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FOCAL-POINT PROBLEM IN CISLUNAR RIGHT-OF-WAY: DO OPERATORS CONVERGE ON TACIT</w:t>
      </w:r>
    </w:p>
    <w:p>
      <w:pPr>
        <w:jc w:val="center"/>
      </w:pPr>
    </w:p>
    <w:p>
      <w:pPr>
        <w:jc w:val="center"/>
      </w:pPr>
      <w:r>
        <w:rPr>
          <w:rFonts w:ascii="Times New Roman" w:hAnsi="Times New Roman"/>
          <w:sz w:val="24"/>
        </w:rPr>
        <w:t>by</w:t>
      </w:r>
    </w:p>
    <w:p>
      <w:pPr>
        <w:jc w:val="center"/>
      </w:pPr>
      <w:r>
        <w:rPr>
          <w:rFonts w:ascii="Times New Roman" w:hAnsi="Times New Roman"/>
          <w:b/>
          <w:sz w:val="28"/>
        </w:rPr>
        <w:t>Kofi Zhang</w:t>
      </w:r>
    </w:p>
    <w:p>
      <w:pPr>
        <w:jc w:val="center"/>
      </w:pPr>
      <w:r>
        <w:rPr>
          <w:rFonts w:ascii="Times New Roman" w:hAnsi="Times New Roman"/>
          <w:sz w:val="24"/>
        </w:rPr>
        <w:t>1B-SDA-228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Cislunar space is filling before its rules are written. That is the whole problem, in one line. Between the Earth and the Moon lies a volume of gravitational structure that carries traffic on trajectories no low-Earth-orbit operator would recognize: weak-stability boundaries, halo orbits around the collinear libration points, low-energy transfer manifolds that thread the region over days and weeks rather than minutes. Missions now plan to occupy it. The pace is real. Yet the governance vocabulary that would tell one operator how to yield to another, when to hold, and who owns the burden of maneuver remains unsettled. This dissertation studies that gap at its earliest observable stage, when a governance problem is visible in the technical record but no institution has fixed the operating rule.</w:t>
      </w:r>
    </w:p>
    <w:p>
      <w:pPr>
        <w:pStyle w:val="BodyText"/>
        <w:spacing w:line="480" w:lineRule="auto"/>
        <w:ind w:firstLine="720"/>
      </w:pPr>
      <w:r>
        <w:t xml:space="preserve">The specific problem is the focal-point problem in cislunar right-of-way. Right-of-way is a coordination device. When two operators approach a shared region and cannot negotiate in real time, they need a rule that each can predict the other will follow without prior communication. Thomas Schelling called such rules focal points: solutions that stand out not because they are optimal but because they are salient, because each party expects the other to expect them. In terrestrial maritime and aviation traffic, right-of-way conventions became focal through long practice and codification. Cislunar operations have neither the practice nor the codification yet. Both are missing. The question is whether the technical community is nevertheless converging on a tacit rule, and whether that convergence, if it exists, leaves a measurable trace in the documentary record the community produces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framing matters because the alternative to a shared focal point is not neutral. Absent a convention operators can anticipate, each spacecraft in a conjunction must either assume the burden of avoidance or assume the other party will. When both assume the same thing, they load risk into the maneuver; when both assume the other will yield, they load it into the collision. The dynamical setting sharpens the stakes. Cislunar transfers exploit low-energy manifolds where small maneuvers propagate into large downstream displacements, and where the observability that would let a third party reconstruct who did what is far weaker than in the well-tracked low-Earth regime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61" w:name="the-stakes"/>
    <w:p>
      <w:pPr>
        <w:pStyle w:val="Heading2"/>
        <w:spacing w:line="480" w:lineRule="auto"/>
      </w:pPr>
      <w:r>
        <w:t xml:space="preserve">1.1 The stakes</w:t>
      </w:r>
    </w:p>
    <w:p>
      <w:pPr>
        <w:pStyle w:val="FirstParagraph"/>
        <w:spacing w:line="480" w:lineRule="auto"/>
      </w:pPr>
      <w:r>
        <w:t xml:space="preserve">Three features make the cislunar right-of-way problem urgent rather than academic. A first is dynamical. The multiscale structure of cislunar motion means that a rule tuned for two-body intuition can fail badly, because the relevant reference frame is rotating and the natural trajectories are neither circular nor closed in any simple sense</w:t>
      </w:r>
      <w:r>
        <w:t xml:space="preserve"> </w:t>
      </w:r>
      <w:hyperlink w:anchor="ref-1">
        <w:r>
          <w:rPr>
            <w:rStyle w:val="Hyperlink"/>
          </w:rPr>
          <w:t xml:space="preserve">[1]</w:t>
        </w:r>
      </w:hyperlink>
      <w:r>
        <w:t xml:space="preserve">. Operators who coordinate on a naive rule may coordinate on the wrong one. Wrong, but agreed. A second feature is observational. Initial orbit determination in the cislunar regime is hard, and a growing technical literature is devoted precisely to reconstructing where an object is and where it came from under sparse, geometrically unfavorable observations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A right-of-way rule that cannot be verified after the fact cannot be enforced, and a rule that cannot be enforced will not become focal. Verification comes first. A third feature is institutional. The bodies that might codify a convention are moving slowly relative to the pace at which missions are being manifested, so any early convergence is more likely to appear first in engineering practice and its written record than in treaty text.</w:t>
      </w:r>
    </w:p>
    <w:p>
      <w:pPr>
        <w:pStyle w:val="BodyText"/>
        <w:spacing w:line="480" w:lineRule="auto"/>
        <w:ind w:firstLine="720"/>
      </w:pPr>
      <w:r>
        <w:t xml:space="preserve">If a tacit rule is forming, the most accessible early evidence is the shape of the literature itself: which problems draw sustained attention, how quickly that attention accumulates, and which venues carry the discussion. This dissertation treats that shape as data. It does not claim that citation structure is right-of-way. Of course not. It claims something narrower and testable: that if the community is converging on a coordination problem, the convergence should be visible in the timing, attention, and venue structure of the sources the community publishes</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Consider what a skeptic would say. A skeptic would note that a literature can grow for reasons unrelated to any convention: funding cycles, conference calendars, the arrival of a new sensor modality. Growth is cheap. The skeptic is right that growth alone proves nothing. Size is not structure. This design responds to exactly that objection by asking not whether the literature is large but whether it is structured, and by reporting where the structure is precise and where it dissolves into noise. A convention forming and a funding cycle churning leave different signatures, and the estimators below are built to tell one from the other rather than to celebrate either</w:t>
      </w:r>
      <w:r>
        <w:t xml:space="preserve"> </w:t>
      </w:r>
      <w:hyperlink w:anchor="ref-3">
        <w:r>
          <w:rPr>
            <w:rStyle w:val="Hyperlink"/>
          </w:rPr>
          <w:t xml:space="preserve">[3]</w:t>
        </w:r>
      </w:hyperlink>
      <w:r>
        <w:t xml:space="preserve"> </w:t>
      </w:r>
      <w:hyperlink w:anchor="ref-5">
        <w:r>
          <w:rPr>
            <w:rStyle w:val="Hyperlink"/>
          </w:rPr>
          <w:t xml:space="preserve">[5]</w:t>
        </w:r>
      </w:hyperlink>
      <w:r>
        <w:t xml:space="preserve">. Signatures differ.</w:t>
      </w:r>
    </w:p>
    <w:bookmarkEnd w:id="61"/>
    <w:bookmarkStart w:id="62" w:name="the-falsifiable-contribution"/>
    <w:p>
      <w:pPr>
        <w:pStyle w:val="Heading2"/>
        <w:spacing w:line="480" w:lineRule="auto"/>
      </w:pPr>
      <w:r>
        <w:t xml:space="preserve">1.2 The falsifiable contribution</w:t>
      </w:r>
    </w:p>
    <w:p>
      <w:pPr>
        <w:pStyle w:val="FirstParagraph"/>
        <w:spacing w:line="480" w:lineRule="auto"/>
      </w:pPr>
      <w:r>
        <w:t xml:space="preserve">This contribution of this project is a single falsifiable document-level test, not a broad theory of cislunar governance. The test asks whether topic-signal intensity in the retrieved cislunar right-of-way corpus is systematically related to three observable features of each source: how recent it is, how much citation attention it has drawn, and which venue family it belongs to. Stated as competing hypotheses:</w:t>
      </w:r>
    </w:p>
    <w:p>
      <w:pPr>
        <w:pStyle w:val="BodyText"/>
        <w:spacing w:line="480" w:lineRule="auto"/>
        <w:ind w:firstLine="720"/>
      </w:pPr>
      <w:r>
        <w:t xml:space="preserve">H0 holds that the topic-signal score of a source is unrelated to publication recency, citation attention, and venue family. Under H0 the corpus is a flat, unstructured pile of documents, and any apparent pattern is sampling noise.</w:t>
      </w:r>
    </w:p>
    <w:p>
      <w:pPr>
        <w:pStyle w:val="BodyText"/>
        <w:spacing w:line="480" w:lineRule="auto"/>
        <w:ind w:firstLine="720"/>
      </w:pPr>
      <w:r>
        <w:t xml:space="preserve">H1 holds that the topic-signal score is systematically related to those three features. Under H1 the corpus has structure that a deterministic estimator can recover, and that structure is consistent with a community organizing its attention around the coordination problem.</w:t>
      </w:r>
    </w:p>
    <w:p>
      <w:pPr>
        <w:pStyle w:val="BodyText"/>
        <w:spacing w:line="480" w:lineRule="auto"/>
        <w:ind w:firstLine="720"/>
      </w:pPr>
      <w:r>
        <w:t xml:space="preserve">This is deliberately modest. Deliberately so. A rejection of H0 does not prove that operators have adopted a right-of-way convention. It shows that the documentary evidence is structured rather than random, which is the precondition for any stronger claim and the thing a design-stage dissertation can actually establish with obtainable evidence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A failure to reject H0 would be equally informative, because it would tell us the corpus does not yet carry the signal a coordination story predicts, and that a more direct document-coding design is needed before any policy inference is safe.</w:t>
      </w:r>
    </w:p>
    <w:p>
      <w:pPr>
        <w:pStyle w:val="BodyText"/>
        <w:spacing w:line="480" w:lineRule="auto"/>
        <w:ind w:firstLine="720"/>
      </w:pPr>
      <w:r>
        <w:t xml:space="preserve">Two empirical screens carry the test. A first is an ordinary least squares model of topic-signal intensity on recency, citation count, and venue family, estimated over thirty retrieved source records. A second is a log-log learning-curve model of citation accumulation against article age, estimated over the same thirty records. The two screens answer different questions. A first asks whether signal is structured across the corpus at a point in time. A second asks whether attention accumulates with age in the way a maturing literature would predict. Reporting both, and reporting where each one is precise and where it is not, is the empirical core of the dissertation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62"/>
    <w:bookmarkStart w:id="63" w:name="why-documentary-evidence-and-why-now"/>
    <w:p>
      <w:pPr>
        <w:pStyle w:val="Heading2"/>
        <w:spacing w:line="480" w:lineRule="auto"/>
      </w:pPr>
      <w:r>
        <w:t xml:space="preserve">1.3 Why documentary evidence, and why now</w:t>
      </w:r>
    </w:p>
    <w:p>
      <w:pPr>
        <w:pStyle w:val="FirstParagraph"/>
        <w:spacing w:line="480" w:lineRule="auto"/>
      </w:pPr>
      <w:r>
        <w:t xml:space="preserve">A reader might object that the honest way to study right-of-way convergence is to interview operators or code mission plans directly. That objection is correct as an ideal and impractical as a design. The population of cislunar operators is small, their planning documents are proprietary or restricted, and the conventions in question are precisely the ones not yet written down. The population is tiny. What is available, and available in an auditable form, is the open technical literature: conference proceedings, journal articles, and policy writing that the community produces as it works the problem. That literature is the earliest public artifact of a convention forming, and it can be screened with deterministic tools whose every step is inspectable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design therefore trades depth for traceability on purpose. It cannot see inside an operator’s decision. It can see whether the community’s written attention is structured, and it can report that structure without inventing a number. That trade is the right one at the design stage, where the goal is to establish that a measurable signal exists before committing to the far heavier instrument that direct document coding would require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Timing is part of the argument. The window is open now. The cislunar traffic problem is not hypothetical and not yet saturated; it sits in the window where a convention could still form in more than one direction. Studying the literature now, while the signal is emerging rather than settled, is what makes the test worth running. A study conducted after a convention hardened would only confirm what everyone already knew; a study conducted before any attention accumulated would find nothing to measure. The present moment is the one where a structured corpus and an unsettled rule coexist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63"/>
    <w:bookmarkStart w:id="64" w:name="scope-and-limits-stated-up-front"/>
    <w:p>
      <w:pPr>
        <w:pStyle w:val="Heading2"/>
        <w:spacing w:line="480" w:lineRule="auto"/>
      </w:pPr>
      <w:r>
        <w:t xml:space="preserve">1.4 Scope and limits stated up front</w:t>
      </w:r>
    </w:p>
    <w:p>
      <w:pPr>
        <w:pStyle w:val="FirstParagraph"/>
        <w:spacing w:line="480" w:lineRule="auto"/>
      </w:pPr>
      <w:r>
        <w:t xml:space="preserve">The boundaries of the claim are worth fixing before the argument begins. This corpus is a candidate-specific source set, not the universe of cislunar writing, so the results describe the retrieved sample and generalize only as far as that sample is representative. The citation counts are drawn from a local index rather than a universal citation database, which means they measure attention as this index records it, not attention in the abstract. The venue-family coding is ordinal and coarse, distinguishing conference proceedings from journal articles from policy and economics writing, and it should not be read as a quality ranking. The topic-signal score is a deterministic count of theme-term hits in source metadata, which makes it reproducible but also blunt. None of these limits is fatal to a design-stage test. Each of them bounds what the results can mean, and the dissertation states those bounds rather than papering over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seven chapters. Chapter 2 situates the project against prior work on cislunar dynamics, orbit determination, and the coordination logic of focal points, drawing the reference pool into an account of what is known and what is missing. Chapter 3 develops the theory: how a coordination problem becomes visible in a literature before it becomes visible in an institution, and what testable predictions that mechanism implies. Chapter 4 sets out the methodology and identification strategy, explaining the two estimators and why each recovers the feature it claims to recover. Chapter 5 documents the data and measurement, describing the source set, the variable construction, and the sample of thirty records. Chapter 6 reports the results of both screens exactly as the estimation files produced them, then interprets the signs and magnitudes of the coefficients. Chapter 7 discusses what the findings mean, the threats to validity that qualify them, and the questions the data cannot answer. Chapter 8 draws the conclusions, states the contribution, and connects the result to the governance and program conversations it can legitimately inform</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5"/>
    <w:bookmarkStart w:id="66" w:name="Xb5064023809fb2b770240afe42bc9a2c649996d"/>
    <w:p>
      <w:pPr>
        <w:pStyle w:val="Heading2"/>
        <w:spacing w:line="480" w:lineRule="auto"/>
      </w:pPr>
      <w:r>
        <w:t xml:space="preserve">1.6 What a right-of-way rule must do in this regime</w:t>
      </w:r>
    </w:p>
    <w:p>
      <w:pPr>
        <w:pStyle w:val="FirstParagraph"/>
        <w:spacing w:line="480" w:lineRule="auto"/>
      </w:pPr>
      <w:r>
        <w:t xml:space="preserve">It helps to be concrete about what a cislunar right-of-way rule would actually govern, because the abstraction hides how demanding the requirement is. In terrestrial traffic, a right-of-way rule presumes that the two parties share a plane, move at comparable speeds, and can each estimate the other’s future position from a short observation. None of those presumptions holds cleanly in cislunar space. Two spacecraft near a libration point may occupy the same neighborhood while moving on manifolds that diverge over the following week; a maneuver that resolves the conflict today may create a new one at the next apoapsis passage. A rule that says the trailing vehicle yields, or the vehicle on a particular manifold branch holds, must therefore be robust to trajectory structure that has no terrestrial analogue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rule must also survive the observability problem. For a convention to be focal, each party must be able to predict that the other will comply and to detect when the other has not. Detection requires reconstructing the other spacecraft’s trajectory from sparse observations, and the orbit-determination literature reviewed later shows how hard that reconstruction is in this regime</w:t>
      </w:r>
      <w:r>
        <w:t xml:space="preserve"> </w:t>
      </w:r>
      <w:hyperlink w:anchor="ref-5">
        <w:r>
          <w:rPr>
            <w:rStyle w:val="Hyperlink"/>
          </w:rPr>
          <w:t xml:space="preserve">[5]</w:t>
        </w:r>
      </w:hyperlink>
      <w:r>
        <w:t xml:space="preserve"> </w:t>
      </w:r>
      <w:hyperlink w:anchor="ref-7">
        <w:r>
          <w:rPr>
            <w:rStyle w:val="Hyperlink"/>
          </w:rPr>
          <w:t xml:space="preserve">[7]</w:t>
        </w:r>
      </w:hyperlink>
      <w:r>
        <w:t xml:space="preserve">. A rule that cannot be verified after the fact invites defection, because a defector cannot be identified. So the feasibility of any right-of-way convention is bounded below by the state of cislunar tracking, and the community’s investment in that tracking is one of the things a study of the literature can observe.</w:t>
      </w:r>
    </w:p>
    <w:p>
      <w:pPr>
        <w:pStyle w:val="BodyText"/>
        <w:spacing w:line="480" w:lineRule="auto"/>
        <w:ind w:firstLine="720"/>
      </w:pPr>
      <w:r>
        <w:t xml:space="preserve">Finally, the rule must be simple enough to become focal. Schelling’s focal points are salient because they are obvious, and an obvious rule cannot depend on a full numerical propagation that only a mission operations center could perform. The tension between the dynamical complexity of the regime and the simplicity a focal point demands is the deep difficulty of cislunar right-of-way, and it is why the convention, if one forms, will emerge from a community that has first agreed on how to describe the problem simply. That prior agreement on description is what a literature encodes, and it is what this dissertation measures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6"/>
    <w:bookmarkStart w:id="67" w:name="X845411236429d910561a6bf671d3eb44caf200d"/>
    <w:p>
      <w:pPr>
        <w:pStyle w:val="Heading2"/>
        <w:spacing w:line="480" w:lineRule="auto"/>
      </w:pPr>
      <w:r>
        <w:t xml:space="preserve">1.7 The logic of the two-screen design in brief</w:t>
      </w:r>
    </w:p>
    <w:p>
      <w:pPr>
        <w:pStyle w:val="FirstParagraph"/>
        <w:spacing w:line="480" w:lineRule="auto"/>
      </w:pPr>
      <w:r>
        <w:t xml:space="preserve">The dissertation’s empirical strategy is worth previewing at the level of logic, because it shapes how every later chapter reads. A single test can be dismissed as a fluke; two tests that examine different properties of the same corpus are harder to dismiss and can reveal a joint pattern that either alone would miss. A first screen asks a cross-sectional question: at a single moment, is the intensity of topic engagement organized by the observable features of sources? The second asks a temporal question: as sources age, does citation accumulate in the way a maturing field predicts? A community consolidating its framing quickly could show strong cross-sectional organization while its citation record, which lags framing by years, stays flat. That precise combination is the one the paired design is built to detect, and detecting it is what lets the dissertation say not merely that the corpus is structured but that it is young and structured, which is a sharper and more useful claim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7"/>
    <w:bookmarkStart w:id="68" w:name="a-note-on-what-would-count-as-failure"/>
    <w:p>
      <w:pPr>
        <w:pStyle w:val="Heading2"/>
        <w:spacing w:line="480" w:lineRule="auto"/>
      </w:pPr>
      <w:r>
        <w:t xml:space="preserve">1.8 A note on what would count as failure</w:t>
      </w:r>
    </w:p>
    <w:p>
      <w:pPr>
        <w:pStyle w:val="FirstParagraph"/>
        <w:spacing w:line="480" w:lineRule="auto"/>
      </w:pPr>
      <w:r>
        <w:t xml:space="preserve">A study that cannot fail is not worth running, so it is worth saying what failure would look like here. This design fails to support the coordination reading if the first screen returns no cross-sectional structure, that is, if topic-signal intensity is scattered independently of recency, citation, and venue. It fails differently if the structure it finds turns out to be entirely a measurement artifact, with no substantively interpretable coefficient surviving once the measurement entanglements are named. Both outcomes were live possibilities when the estimators were run, and the dissertation commits in advance to reporting either. That advance commitment is what separates a test from a demonstration, and it is the standard the results chapter is held to</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8"/>
    <w:bookmarkStart w:id="69" w:name="Xad9147d739eca996cd1081a4decf2ca258f51a6"/>
    <w:p>
      <w:pPr>
        <w:pStyle w:val="Heading2"/>
        <w:spacing w:line="480" w:lineRule="auto"/>
      </w:pPr>
      <w:r>
        <w:t xml:space="preserve">1.9 The cislunar traffic environment that motivates the study</w:t>
      </w:r>
    </w:p>
    <w:p>
      <w:pPr>
        <w:pStyle w:val="FirstParagraph"/>
        <w:spacing w:line="480" w:lineRule="auto"/>
      </w:pPr>
      <w:r>
        <w:t xml:space="preserve">The urgency of the problem is easier to feel with the traffic picture in view. Cislunar space is not empty and it is not idle. Programs across civil, commercial, and defense sectors are planning sustained operations at and around the Moon, in orbits that share the same libration-point neighborhoods and the same transfer manifolds. When multiple vehicles occupy those shared structures, the conjunctions that result are not the fast, geometrically clean crossings of low Earth orbit; they are slow, dynamically entangled encounters that can persist across days and recur across revolutions. The tools for even detecting such encounters are themselves under active development, which is part of why the orbit-determination literature is growing as fast as it is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Against that backdrop, the absence of a right-of-way convention is not a gap that time will fill automatically. Conventions do not form because they are needed; they form because a community converges on a salient rule and then codifies it. The convergence has to happen first, in practice and in the shared understanding practice produces, and that shared understanding is what a literature records. A study that can detect whether the convergence has begun is therefore a study of the earliest and most consequential phase of the whole process, the phase before any institution can act because there is nothing yet to codify</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is why the dissertation places its bet where it does. Rather than speculate about what convention might eventually form, or survey operators who cannot yet describe a rule that does not yet exist, it asks whether the documentary precursor of convergence is present. The answer to that narrow question is obtainable, reproducible, and falsifiable, and it is the answer a design-stage inquiry is positioned to give. The larger questions, which rule, whether it is efficient, whether operators will honor it, all wait on evidence that does not yet exist, and the dissertation is careful throughout to keep its claims on the near side of that line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69"/>
    <w:bookmarkStart w:id="70" w:name="how-to-read-the-chapters-that-follow"/>
    <w:p>
      <w:pPr>
        <w:pStyle w:val="Heading2"/>
        <w:spacing w:line="480" w:lineRule="auto"/>
      </w:pPr>
      <w:r>
        <w:t xml:space="preserve">1.10 How to read the chapters that follow</w:t>
      </w:r>
    </w:p>
    <w:p>
      <w:pPr>
        <w:pStyle w:val="FirstParagraph"/>
        <w:spacing w:line="480" w:lineRule="auto"/>
      </w:pPr>
      <w:r>
        <w:t xml:space="preserve">A reader should approach the coming chapters with the two-screen logic in mind, because it is the thread that ties them together. Chapter 2’s literature review is not a survey for its own sake; it establishes that the technical community has been building the observability tools a convention requires, which is the substantive backdrop against which corpus structure becomes interpretable. Chapter 3’s theory is not abstract scaffolding; it fixes the directional predictions in advance so the results cannot be fitted after the fact. Chapters 4 and 5 are the audit trail, specifying the estimators and the data so precisely that any coefficient can be reconstructed. Chapter 6 is the payload, reporting the exact output, and Chapters 7 and 8 are the discipline, reading that output no further than it allows and marking clearly where the study stops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Read this way, the dissertation is a single argument delivered in eight movements, not eight separate essays. One argument, eight movements. Its claim is narrow and the evidence is exact, and the structure exists to make the narrowness and the exactness impossible to miss. That is the reading the author intends, and it is the reading the following chapters reward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argument that follows is bounded by design. It offers one clean test, reports the real output of that test, and refuses to carry the result further than the evidence allows. That discipline is the point. A cislunar right-of-way convention, if it is forming, will be governed eventually by institutions that need to know whether the technical community was already converging. This dissertation supplies one honest, reproducible piece of that answer</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70"/>
    <w:bookmarkEnd w:id="71"/>
    <w:bookmarkStart w:id="82" w:name="chapter-2.-literature-review"/>
    <w:p>
      <w:pPr>
        <w:pStyle w:val="Heading1"/>
        <w:spacing w:line="480" w:lineRule="auto"/>
      </w:pPr>
      <w:r>
        <w:t xml:space="preserve">Chapter 2. Literature Review</w:t>
      </w:r>
    </w:p>
    <w:p>
      <w:pPr>
        <w:pStyle w:val="FirstParagraph"/>
        <w:spacing w:line="480" w:lineRule="auto"/>
      </w:pPr>
      <w:r>
        <w:t xml:space="preserve">The work behind this dissertation sits at the meeting point of two literatures that rarely cite each other. One is the technical literature of cislunar dynamics and orbit determination, written by astrodynamicists and sensor engineers who describe the region in equations of motion and estimation error. The other is the coordination literature of focal points and tacit convention, written by economists and strategists who describe how parties settle on a shared rule without communicating. The right-of-way problem lives in the gap between them. Right there, in the seam. It is a coordination problem whose feasibility is set by dynamics and observability. This chapter reads both strands and identifies the seam where the dissertation’s contribution belongs. The seam is narrow.</w:t>
      </w:r>
    </w:p>
    <w:bookmarkStart w:id="72" w:name="Xf5f30836adb3be4f63b262799edba8995489dcd"/>
    <w:p>
      <w:pPr>
        <w:pStyle w:val="Heading2"/>
        <w:spacing w:line="480" w:lineRule="auto"/>
      </w:pPr>
      <w:r>
        <w:t xml:space="preserve">2.1 The cislunar regime as a distinct dynamical setting</w:t>
      </w:r>
    </w:p>
    <w:p>
      <w:pPr>
        <w:pStyle w:val="FirstParagraph"/>
        <w:spacing w:line="480" w:lineRule="auto"/>
      </w:pPr>
      <w:r>
        <w:t xml:space="preserve">The starting point is that cislunar space is not a scaled-up version of the near-Earth environment. Rosengren’s account of cislunar multiscale dynamics establishes the core difficulty: motion in the Earth-Moon system is governed by a rotating three-body structure in which trajectories organize around libration points and invariant manifolds rather than around a single dominant body</w:t>
      </w:r>
      <w:r>
        <w:t xml:space="preserve"> </w:t>
      </w:r>
      <w:hyperlink w:anchor="ref-1">
        <w:r>
          <w:rPr>
            <w:rStyle w:val="Hyperlink"/>
          </w:rPr>
          <w:t xml:space="preserve">[1]</w:t>
        </w:r>
      </w:hyperlink>
      <w:r>
        <w:t xml:space="preserve">. That structure has direct consequences for any traffic rule. Geometry drives everything. Two spacecraft on nearby manifolds are not on nearby Keplerian ellipses; small differences in energy separate into large differences in path over the transfer time. A right-of-way convention that assumes locally predictable relative motion, as most terrestrial conventions implicitly do, inherits an error the moment it is imported into this regime.</w:t>
      </w:r>
    </w:p>
    <w:p>
      <w:pPr>
        <w:pStyle w:val="BodyText"/>
        <w:spacing w:line="480" w:lineRule="auto"/>
        <w:ind w:firstLine="720"/>
      </w:pPr>
      <w:r>
        <w:t xml:space="preserve">The dynamical literature also frames the observability problem that any enforceable rule depends on. Because a convention only becomes focal if parties can anticipate compliance and detect defection, the physical possibility of reconstructing a trajectory after the fact is not a side issue but a precondition. The manifold structure that makes cislunar transfers efficient is the same structure that makes them hard to observe from a fixed set of sensors, and that tension runs through the orbit-determination work reviewed next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2"/>
    <w:bookmarkStart w:id="73" w:name="Xb5751509bb76bff0f382dd54c5afded3e1ced99"/>
    <w:p>
      <w:pPr>
        <w:pStyle w:val="Heading2"/>
        <w:spacing w:line="480" w:lineRule="auto"/>
      </w:pPr>
      <w:r>
        <w:t xml:space="preserve">2.2 Initial orbit determination as the enforcement substrate</w:t>
      </w:r>
    </w:p>
    <w:p>
      <w:pPr>
        <w:pStyle w:val="FirstParagraph"/>
        <w:spacing w:line="480" w:lineRule="auto"/>
      </w:pPr>
      <w:r>
        <w:t xml:space="preserve">A large and growing share of the retrieved corpus addresses initial orbit determination in the cislunar regime. This is not incidental to a right-of-way study; it is the enforcement substrate. Wishnek, Holzinger, and Handley treat robust cislunar initial orbit determination as a problem of extracting a usable state estimate from sparse, geometrically poor observations, and their framing makes explicit how thin the observational margin is</w:t>
      </w:r>
      <w:r>
        <w:t xml:space="preserve"> </w:t>
      </w:r>
      <w:hyperlink w:anchor="ref-4">
        <w:r>
          <w:rPr>
            <w:rStyle w:val="Hyperlink"/>
          </w:rPr>
          <w:t xml:space="preserve">[4]</w:t>
        </w:r>
      </w:hyperlink>
      <w:r>
        <w:t xml:space="preserve">. Chow and colleagues extend this to the processing of observations of periodic orbits, showing that even well-structured targets demand Gaussian-mixture estimation filters to handle the multimodal uncertainty that cislunar geometry produces</w:t>
      </w:r>
      <w:r>
        <w:t xml:space="preserve"> </w:t>
      </w:r>
      <w:hyperlink w:anchor="ref-6">
        <w:r>
          <w:rPr>
            <w:rStyle w:val="Hyperlink"/>
          </w:rPr>
          <w:t xml:space="preserve">[6]</w:t>
        </w:r>
      </w:hyperlink>
      <w:r>
        <w:t xml:space="preserve">. The recurring message is that knowing where a cislunar object is, and inferring where it has been, is difficult enough to constitute its own research program.</w:t>
      </w:r>
    </w:p>
    <w:p>
      <w:pPr>
        <w:pStyle w:val="BodyText"/>
        <w:spacing w:line="480" w:lineRule="auto"/>
        <w:ind w:firstLine="720"/>
      </w:pPr>
      <w:r>
        <w:t xml:space="preserve">Recent contributions push the estimation problem in two directions. Ojeda Romero and coauthors bring machine learning to the initial orbit determination problem, adapting the estimator to the regime rather than forcing the regime into a classical filter</w:t>
      </w:r>
      <w:r>
        <w:t xml:space="preserve"> </w:t>
      </w:r>
      <w:hyperlink w:anchor="ref-2">
        <w:r>
          <w:rPr>
            <w:rStyle w:val="Hyperlink"/>
          </w:rPr>
          <w:t xml:space="preserve">[2]</w:t>
        </w:r>
      </w:hyperlink>
      <w:r>
        <w:t xml:space="preserve">. Hope and colleagues develop a multi-order single-shooting scheme aimed at cislunar objects, attacking the same problem through numerical trajectory reconstruction</w:t>
      </w:r>
      <w:r>
        <w:t xml:space="preserve"> </w:t>
      </w:r>
      <w:hyperlink w:anchor="ref-5">
        <w:r>
          <w:rPr>
            <w:rStyle w:val="Hyperlink"/>
          </w:rPr>
          <w:t xml:space="preserve">[5]</w:t>
        </w:r>
      </w:hyperlink>
      <w:r>
        <w:t xml:space="preserve">. Heidrich and Holzinger take the harder case of maneuvering objects, reconstructing cislunar orbits from ephemeris models using nonlinear programming, which matters because a maneuvering spacecraft is precisely the actor a right-of-way rule must govern</w:t>
      </w:r>
      <w:r>
        <w:t xml:space="preserve"> </w:t>
      </w:r>
      <w:hyperlink w:anchor="ref-7">
        <w:r>
          <w:rPr>
            <w:rStyle w:val="Hyperlink"/>
          </w:rPr>
          <w:t xml:space="preserve">[7]</w:t>
        </w:r>
      </w:hyperlink>
      <w:r>
        <w:t xml:space="preserve">. Read together, these papers describe a community investing heavily in the ability to reconstruct cislunar trajectories under adverse conditions. That investment is exactly what a convention would require, and its concentration is itself a signal worth measuring.</w:t>
      </w:r>
    </w:p>
    <w:p>
      <w:pPr>
        <w:pStyle w:val="BodyText"/>
        <w:spacing w:line="480" w:lineRule="auto"/>
        <w:ind w:firstLine="720"/>
      </w:pPr>
      <w:r>
        <w:t xml:space="preserve">The survey literature confirms the pattern at a higher altitude. Kazemi and colleagues, in a broad survey of orbit determination for space situational awareness, document how estimation methods have proliferated as the tracked environment has grown more complex, and their synthesis situates the cislunar work as one demanding frontier within a larger field</w:t>
      </w:r>
      <w:r>
        <w:t xml:space="preserve"> </w:t>
      </w:r>
      <w:hyperlink w:anchor="ref-10">
        <w:r>
          <w:rPr>
            <w:rStyle w:val="Hyperlink"/>
          </w:rPr>
          <w:t xml:space="preserve">[10]</w:t>
        </w:r>
      </w:hyperlink>
      <w:r>
        <w:t xml:space="preserve">. A survey drawing thirty citations, as this one has in the local index, is itself a marker of where the community’s attention has settled.</w:t>
      </w:r>
    </w:p>
    <w:bookmarkEnd w:id="73"/>
    <w:bookmarkStart w:id="74" w:name="X14818e5dbaa481bba5ac35849e1a65e292a7f60"/>
    <w:p>
      <w:pPr>
        <w:pStyle w:val="Heading2"/>
        <w:spacing w:line="480" w:lineRule="auto"/>
      </w:pPr>
      <w:r>
        <w:t xml:space="preserve">2.3 Sensor tasking and the allocation of scarce observation</w:t>
      </w:r>
    </w:p>
    <w:p>
      <w:pPr>
        <w:pStyle w:val="FirstParagraph"/>
        <w:spacing w:line="480" w:lineRule="auto"/>
      </w:pPr>
      <w:r>
        <w:t xml:space="preserve">Orbit determination presumes that a sensor was pointed at the object. Who decides where limited sensors look is a coordination problem in its own right, and the corpus reflects it. Tran’s treatment of a commercial-off-the-shelf resource optimization framework applied to space surveillance network sensor tasking defines the problem cleanly: observation capacity is finite, targets compete for it, and an allocation rule must decide the contest</w:t>
      </w:r>
      <w:r>
        <w:t xml:space="preserve"> </w:t>
      </w:r>
      <w:hyperlink w:anchor="ref-3">
        <w:r>
          <w:rPr>
            <w:rStyle w:val="Hyperlink"/>
          </w:rPr>
          <w:t xml:space="preserve">[3]</w:t>
        </w:r>
      </w:hyperlink>
      <w:r>
        <w:t xml:space="preserve">. The parallel to right-of-way is close. A right-of-way rule allocates the burden of maneuver; a sensor-tasking rule allocates the burden of observation. Both are convention problems dressed in engineering clothes, and the presence of sensor-tasking work in a cislunar corpus signals that the community is already reasoning about scarce shared resources under contention. Scarcity forces choices.</w:t>
      </w:r>
    </w:p>
    <w:p>
      <w:pPr>
        <w:pStyle w:val="BodyText"/>
        <w:spacing w:line="480" w:lineRule="auto"/>
        <w:ind w:firstLine="720"/>
      </w:pPr>
      <w:r>
        <w:t xml:space="preserve">Sensor-model resection work extends this further. Settergren’s treatment of long-range sensor models for exploitation of non-Earth imagery addresses how observations far from Earth are turned into usable geometry</w:t>
      </w:r>
      <w:r>
        <w:t xml:space="preserve"> </w:t>
      </w:r>
      <w:hyperlink w:anchor="ref-8">
        <w:r>
          <w:rPr>
            <w:rStyle w:val="Hyperlink"/>
          </w:rPr>
          <w:t xml:space="preserve">[8]</w:t>
        </w:r>
      </w:hyperlink>
      <w:r>
        <w:t xml:space="preserve">. Its relevance to a right-of-way study is that the quality of the observation determines the quality of the reconstruction, which determines whether a convention can be enforced at all. Enforcement is not free; it rests on a chain of sensor, model, and estimator, each link of which the corpus documents. No link is optional.</w:t>
      </w:r>
    </w:p>
    <w:bookmarkEnd w:id="74"/>
    <w:bookmarkStart w:id="75" w:name="X0e25ffd567c9d234d1bab0f4f092b6c5f44e1d9"/>
    <w:p>
      <w:pPr>
        <w:pStyle w:val="Heading2"/>
        <w:spacing w:line="480" w:lineRule="auto"/>
      </w:pPr>
      <w:r>
        <w:t xml:space="preserve">2.4 Adjacent techniques and the boundary of the corpus</w:t>
      </w:r>
    </w:p>
    <w:p>
      <w:pPr>
        <w:pStyle w:val="FirstParagraph"/>
        <w:spacing w:line="480" w:lineRule="auto"/>
      </w:pPr>
      <w:r>
        <w:t xml:space="preserve">A source set assembled by topic retrieval will include work whose relevance is partial, and honesty about that boundary is part of the literature review. Several journal contributions in the corpus address orbital mechanics techniques that touch cislunar operations without being about right-of-way. Rubio and colleagues develop a waveform relaxation method for parallel orbital propagation, a computational advance that would support any large-scale conjunction screening but does not itself concern coordination</w:t>
      </w:r>
      <w:r>
        <w:t xml:space="preserve"> </w:t>
      </w:r>
      <w:hyperlink w:anchor="ref-13">
        <w:r>
          <w:rPr>
            <w:rStyle w:val="Hyperlink"/>
          </w:rPr>
          <w:t xml:space="preserve">[13]</w:t>
        </w:r>
      </w:hyperlink>
      <w:r>
        <w:t xml:space="preserve">. Gill and Palo describe a GNSS-assisted autonomous clock system for very small satellites in the Earth-Moon system, which bears on the timing infrastructure a convention would need without addressing the convention</w:t>
      </w:r>
      <w:r>
        <w:t xml:space="preserve"> </w:t>
      </w:r>
      <w:hyperlink w:anchor="ref-14">
        <w:r>
          <w:rPr>
            <w:rStyle w:val="Hyperlink"/>
          </w:rPr>
          <w:t xml:space="preserve">[14]</w:t>
        </w:r>
      </w:hyperlink>
      <w:r>
        <w:t xml:space="preserve">. Pavanello, Pirovano, and Armellin treat collision avoidance maneuvers under multiple polynomial constraints, which is nearer the mark because avoidance is the physical act a right-of-way rule governs, yet their contribution is an optimization method rather than a coordination rule</w:t>
      </w:r>
      <w:r>
        <w:t xml:space="preserve"> </w:t>
      </w:r>
      <w:hyperlink w:anchor="ref-15">
        <w:r>
          <w:rPr>
            <w:rStyle w:val="Hyperlink"/>
          </w:rPr>
          <w:t xml:space="preserve">[15]</w:t>
        </w:r>
      </w:hyperlink>
      <w:r>
        <w:t xml:space="preserve">.</w:t>
      </w:r>
    </w:p>
    <w:p>
      <w:pPr>
        <w:pStyle w:val="BodyText"/>
        <w:spacing w:line="480" w:lineRule="auto"/>
        <w:ind w:firstLine="720"/>
      </w:pPr>
      <w:r>
        <w:t xml:space="preserve">Other corpus entries sit further from the center. Mahfouz and colleagues address delta-V-optimal guidance for under-actuated satellite formations, a formation-keeping problem rather than a traffic problem</w:t>
      </w:r>
      <w:r>
        <w:t xml:space="preserve"> </w:t>
      </w:r>
      <w:hyperlink w:anchor="ref-11">
        <w:r>
          <w:rPr>
            <w:rStyle w:val="Hyperlink"/>
          </w:rPr>
          <w:t xml:space="preserve">[11]</w:t>
        </w:r>
      </w:hyperlink>
      <w:r>
        <w:t xml:space="preserve">. Ma, Pan, and Tan develop neural convex optimization for asteroid-landing trajectory generation, which shares the cislunar setting only loosely</w:t>
      </w:r>
      <w:r>
        <w:t xml:space="preserve"> </w:t>
      </w:r>
      <w:hyperlink w:anchor="ref-16">
        <w:r>
          <w:rPr>
            <w:rStyle w:val="Hyperlink"/>
          </w:rPr>
          <w:t xml:space="preserve">[16]</w:t>
        </w:r>
      </w:hyperlink>
      <w:r>
        <w:t xml:space="preserve">. Hernández Bandrich and Tragesser study exoplanet imaging along a time-varying focal line using tethered spacecraft, a use of the word focal unrelated to the coordination sense this dissertation intends</w:t>
      </w:r>
      <w:r>
        <w:t xml:space="preserve"> </w:t>
      </w:r>
      <w:hyperlink w:anchor="ref-9">
        <w:r>
          <w:rPr>
            <w:rStyle w:val="Hyperlink"/>
          </w:rPr>
          <w:t xml:space="preserve">[9]</w:t>
        </w:r>
      </w:hyperlink>
      <w:r>
        <w:t xml:space="preserve">. Including these entries in the retrieved pack is not an error; it is a property of topic retrieval that the design must account for. Their presence dilutes the topic signal, and the measurement chapters treat that dilution as a feature to be estimated rather than a flaw to be hidden. The one clearly off-topic biomedical entry in the pack, on chondrocyte calcium in parabolic flight, marks the outer edge of retrieval noise and is retained only so the corpus remains exactly as generated</w:t>
      </w:r>
      <w:r>
        <w:t xml:space="preserve"> </w:t>
      </w:r>
      <w:hyperlink w:anchor="ref-12">
        <w:r>
          <w:rPr>
            <w:rStyle w:val="Hyperlink"/>
          </w:rPr>
          <w:t xml:space="preserve">[12]</w:t>
        </w:r>
      </w:hyperlink>
      <w:r>
        <w:t xml:space="preserve">.</w:t>
      </w:r>
    </w:p>
    <w:bookmarkEnd w:id="75"/>
    <w:bookmarkStart w:id="76" w:name="Xc90ed8052622a2cb23f2df54268e91a20743f63"/>
    <w:p>
      <w:pPr>
        <w:pStyle w:val="Heading2"/>
        <w:spacing w:line="480" w:lineRule="auto"/>
      </w:pPr>
      <w:r>
        <w:t xml:space="preserve">2.5 The coordination logic the technical corpus does not supply</w:t>
      </w:r>
    </w:p>
    <w:p>
      <w:pPr>
        <w:pStyle w:val="FirstParagraph"/>
        <w:spacing w:line="480" w:lineRule="auto"/>
      </w:pPr>
      <w:r>
        <w:t xml:space="preserve">The technical literature establishes that the cislunar regime is distinct, that reconstructing trajectories in it is hard, and that scarce observation must be allocated under contention. What it does not supply is a theory of how operators would settle on a shared rule. The focal-point idea, that parties converge on a salient solution because each expects the other to, is absent from the engineering corpus even though the engineering corpus describes precisely the conditions a focal point would have to satisfy. That absence is the gap this dissertation addresses. The astrodynamics work tells us whether a convention could be enforced; the coordination logic would tell us how one might form. Bridging the two requires first establishing that the community’s attention is organizing around the problem at all, which is a measurement question the retrieved corpus can answer</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6"/>
    <w:bookmarkStart w:id="77" w:name="Xf0fee043143a4a87b95156b710065ddf64997b0"/>
    <w:p>
      <w:pPr>
        <w:pStyle w:val="Heading2"/>
        <w:spacing w:line="480" w:lineRule="auto"/>
      </w:pPr>
      <w:r>
        <w:t xml:space="preserve">2.6 Bibliometric structure as a lens on emerging fields</w:t>
      </w:r>
    </w:p>
    <w:p>
      <w:pPr>
        <w:pStyle w:val="FirstParagraph"/>
        <w:spacing w:line="480" w:lineRule="auto"/>
      </w:pPr>
      <w:r>
        <w:t xml:space="preserve">There is a methodological literature, distinct from the astrodynamics work, on reading the structure of a field through its documentary output, and the dissertation’s design borrows from it. The core idea is that a research community leaves a legible trace in the timing, citation, and venue distribution of what it publishes, and that this trace can be read to infer where the community’s attention is concentrating before any summary statement of consensus exists. Kazemi and colleagues’ survey is itself an instance of this: a survey is the field’s own attempt to summarize its structure, and the fact that the community produced one, and that it drew substantial citation, is a marker that orbit determination for space situational awareness had reached the stage where a synthesis was demanded</w:t>
      </w:r>
      <w:r>
        <w:t xml:space="preserve"> </w:t>
      </w:r>
      <w:hyperlink w:anchor="ref-10">
        <w:r>
          <w:rPr>
            <w:rStyle w:val="Hyperlink"/>
          </w:rPr>
          <w:t xml:space="preserve">[10]</w:t>
        </w:r>
      </w:hyperlink>
      <w:r>
        <w:t xml:space="preserve">. A young coordination sub-field would not yet have produced such a synthesis, and its absence is itself informative.</w:t>
      </w:r>
    </w:p>
    <w:p>
      <w:pPr>
        <w:pStyle w:val="BodyText"/>
        <w:spacing w:line="480" w:lineRule="auto"/>
        <w:ind w:firstLine="720"/>
      </w:pPr>
      <w:r>
        <w:t xml:space="preserve">The learning-curve idea the second screen uses comes from this tradition. Experience and learning curves were developed to describe how cost or attention scales with cumulative production or age, and they have been applied to research literatures to describe how citation accumulates as articles age. Its functional form is log-linear: a straight line in log-log space whose slope is an elasticity. Applying it to a citation record asks whether attention accumulates with age in the decelerating way a maturing field exhibits, and a flat or noisy fit indicates a field too young or too sparsely cited for the pattern to have formed. This corpus reviewed here, heavy with conference proceedings from the last few years and journal articles from the last two, is exactly the kind of young field where the learning-curve pattern may not yet have emerged, and the design anticipates that outcome rather than assuming the pattern must appear</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77"/>
    <w:bookmarkStart w:id="78" w:name="the-economics-and-policy-strand"/>
    <w:p>
      <w:pPr>
        <w:pStyle w:val="Heading2"/>
        <w:spacing w:line="480" w:lineRule="auto"/>
      </w:pPr>
      <w:r>
        <w:t xml:space="preserve">2.7 The economics and policy strand</w:t>
      </w:r>
    </w:p>
    <w:p>
      <w:pPr>
        <w:pStyle w:val="FirstParagraph"/>
        <w:spacing w:line="480" w:lineRule="auto"/>
      </w:pPr>
      <w:r>
        <w:t xml:space="preserve">A smaller but distinct part of the corpus comes from space-economy and policy writing, and it plays a specific role in the argument. These sources do not solve estimation problems; they frame the sustainability and governance stakes that make a coordination rule matter. Their metadata is sparse compared with the technical sources, which has consequences for measurement that Chapter 5 details, but their presence in the retrieved pack is substantively meaningful. It shows that the topic retrieval reached beyond the pure astrodynamics literature into the writing that treats space use as an economic and governance problem, which is the register in which a right-of-way convention would ultimately be argued. The gradient from conference proceedings through archival journals to policy writing is the gradient along which a technical problem becomes a governance problem, and the corpus spans it, however unevenly</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span matters for the coordination question. A convention forms when a technical framing and a governance framing meet, and a corpus that contained only one register could not reflect that meeting. The presence of both registers, even with the policy register thinly represented, is what makes the corpus an appropriate object for a study of convention formation rather than a study of estimation methods alone. The unevenness of the representation is a limitation the measurement chapters carry forward, but the span itself is a feature that the retrieval produced and that the design exploits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imbalance between the two registers is itself a small piece of evidence. That the technical register dominates the pack while the governance register is thin is consistent with a field whose observability work has run ahead of its rule-making conversation, which is the developmental ordering the theory predicts. A corpus in which the governance register dominated would suggest a field debating rules before it could enforce them, which is not what the retrieval found. The measurement chapters treat this imbalance as informative rather than as a nuisance to be corrected</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78"/>
    <w:bookmarkStart w:id="79" w:name="Xaabe2eddaac9fe17e5dbfe813ed4ea7d6e09ced"/>
    <w:p>
      <w:pPr>
        <w:pStyle w:val="Heading2"/>
        <w:spacing w:line="480" w:lineRule="auto"/>
      </w:pPr>
      <w:r>
        <w:t xml:space="preserve">2.8 The maneuvering-object problem as the hard case</w:t>
      </w:r>
    </w:p>
    <w:p>
      <w:pPr>
        <w:pStyle w:val="FirstParagraph"/>
        <w:spacing w:line="480" w:lineRule="auto"/>
      </w:pPr>
      <w:r>
        <w:t xml:space="preserve">Among the technical contributions, the work on maneuvering objects deserves separate emphasis because it maps most directly onto what a right-of-way rule governs. A cooperative, non-maneuvering spacecraft poses little coordination difficulty; the hard case is the vehicle that changes its trajectory, because a maneuver is exactly the act a right-of-way rule permits or forbids. Heidrich and Holzinger’s reconstruction of maneuvering cislunar orbits from ephemeris models using nonlinear programming addresses this hard case head on, and its presence in the corpus signals that the community is already grappling with the observability of the very behavior a convention would regulate</w:t>
      </w:r>
      <w:r>
        <w:t xml:space="preserve"> </w:t>
      </w:r>
      <w:hyperlink w:anchor="ref-7">
        <w:r>
          <w:rPr>
            <w:rStyle w:val="Hyperlink"/>
          </w:rPr>
          <w:t xml:space="preserve">[7]</w:t>
        </w:r>
      </w:hyperlink>
      <w:r>
        <w:t xml:space="preserve">. A field that could not reconstruct a maneuver could not enforce a rule about maneuvers, so this line of work is not peripheral to the coordination question; it is load-bearing for it.</w:t>
      </w:r>
    </w:p>
    <w:p>
      <w:pPr>
        <w:pStyle w:val="BodyText"/>
        <w:spacing w:line="480" w:lineRule="auto"/>
        <w:ind w:firstLine="720"/>
      </w:pPr>
      <w:r>
        <w:t xml:space="preserve">The single-shooting and machine-learning approaches extend the same capability from different directions. Hope and colleagues’ multi-order single-shooting scheme attacks the reconstruction numerically, propagating candidate trajectories to match observations, while Ojeda Romero and colleagues train an estimator to adapt to the regime’s difficulty rather than forcing a classical filter onto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the community is pursuing the problem through several independent methods, numerical, learning-based, and filter-based with Gaussian mixtures</w:t>
      </w:r>
      <w:r>
        <w:t xml:space="preserve"> </w:t>
      </w:r>
      <w:hyperlink w:anchor="ref-6">
        <w:r>
          <w:rPr>
            <w:rStyle w:val="Hyperlink"/>
          </w:rPr>
          <w:t xml:space="preserve">[6]</w:t>
        </w:r>
      </w:hyperlink>
      <w:r>
        <w:t xml:space="preserve">, is itself evidence of concentrated attention, which is the pattern the measurement chapters set out to detect quantitatively. The qualitative review thus points toward the same conclusion the screens will test: a community investing heavily and from multiple angles in the observability substrate a convention would need.</w:t>
      </w:r>
    </w:p>
    <w:bookmarkEnd w:id="79"/>
    <w:bookmarkStart w:id="80" w:name="where-the-corpus-is-thin"/>
    <w:p>
      <w:pPr>
        <w:pStyle w:val="Heading2"/>
        <w:spacing w:line="480" w:lineRule="auto"/>
      </w:pPr>
      <w:r>
        <w:t xml:space="preserve">2.9 Where the corpus is thin</w:t>
      </w:r>
    </w:p>
    <w:p>
      <w:pPr>
        <w:pStyle w:val="FirstParagraph"/>
        <w:spacing w:line="480" w:lineRule="auto"/>
      </w:pPr>
      <w:r>
        <w:t xml:space="preserve">An honest literature review names not only what the corpus contains but what it lacks, because the gaps shape the inference. This corpus contains abundant work on the observability substrate and almost none on the coordination rule itself. There is no source in the pack that proposes a cislunar right-of-way convention, evaluates alternative conventions, or models how operators would converge on one. This absence is substantively important. It means the community has built the enforcement capability well ahead of the coordination rule, which is the ordering the theory in Chapter 3 predicts: the tools for detecting compliance mature before the rule whose compliance they would detect. The thinness of the coordination-rule literature is therefore not a flaw in the retrieval but a finding about the field’s stage of development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corpus is also thin on the international and institutional dimension. The policy and economy records touch space sustainability and the governance of space use in general terms, but none addresses the specific institutional pathway by which a cislunar traffic convention might be codified</w:t>
      </w:r>
      <w:r>
        <w:t xml:space="preserve"> </w:t>
      </w:r>
      <w:hyperlink w:anchor="ref-8">
        <w:r>
          <w:rPr>
            <w:rStyle w:val="Hyperlink"/>
          </w:rPr>
          <w:t xml:space="preserve">[8]</w:t>
        </w:r>
      </w:hyperlink>
      <w:r>
        <w:t xml:space="preserve">. That gap marks the outer boundary of what a documentary study of this corpus can reach, and it is one reason the dissertation’s claims stop at the technical community’s framing rather than extending to the institutions that would eventually act. The measurement chapters work with the corpus as it is, dense on observability and thin on rule and institution, and they read the resulting structure with that shape in view</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0"/>
    <w:bookmarkStart w:id="81" w:name="X8c2b17e756904168bfbd40a3929d2db18b451ef"/>
    <w:p>
      <w:pPr>
        <w:pStyle w:val="Heading2"/>
        <w:spacing w:line="480" w:lineRule="auto"/>
      </w:pPr>
      <w:r>
        <w:t xml:space="preserve">2.10 What the corpus can and cannot testify to</w:t>
      </w:r>
    </w:p>
    <w:p>
      <w:pPr>
        <w:pStyle w:val="FirstParagraph"/>
        <w:spacing w:line="480" w:lineRule="auto"/>
      </w:pPr>
      <w:r>
        <w:t xml:space="preserve">The reviewed literature testifies clearly to a technical frontier. It documents a community working the observability and estimation problems that any cislunar traffic convention depends on, and it does so across conference proceedings and archival journals over more than a decade. What it cannot testify to, on its own, is whether that technical activity reflects convergence on a coordination rule or merely parallel work on hard estimation problems. Distinguishing the two is not something a reading of abstracts can settle. It requires treating the corpus as data and asking whether its structure, the timing of its attention, the distribution of citation, and the concentration by venue, is consistent with a community organizing around a shared problem. That is the task the following chapters take up, and it is why the literature review ends not with a claim but with a measurable question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bookmarkEnd w:id="81"/>
    <w:bookmarkEnd w:id="82"/>
    <w:bookmarkStart w:id="93" w:name="chapter-3.-theory-and-hypotheses"/>
    <w:p>
      <w:pPr>
        <w:pStyle w:val="Heading1"/>
        <w:spacing w:line="480" w:lineRule="auto"/>
      </w:pPr>
      <w:r>
        <w:t xml:space="preserve">Chapter 3. Theory and Hypotheses</w:t>
      </w:r>
    </w:p>
    <w:p>
      <w:pPr>
        <w:pStyle w:val="FirstParagraph"/>
        <w:spacing w:line="480" w:lineRule="auto"/>
      </w:pPr>
      <w:r>
        <w:t xml:space="preserve">A convention forms before it is written. Practice comes first. That is the theoretical premise of this dissertation, and everything that follows depends on making it precise enough to test. Its claim is not that a cislunar right-of-way rule already exists in codified form; it plainly does not. Its claim is that the process of a rule becoming focal leaves observable traces in the community that would eventually adopt it, and that those traces appear in the documentary record earlier than in any institution. This chapter builds the mechanism that connects an unwritten coordination rule to a measurable feature of a literature, then derives the two testable predictions the empirical screens evaluate.</w:t>
      </w:r>
    </w:p>
    <w:bookmarkStart w:id="83" w:name="Xa15ccdfcef2aeb62150d7521f353058f269b090"/>
    <w:p>
      <w:pPr>
        <w:pStyle w:val="Heading2"/>
        <w:spacing w:line="480" w:lineRule="auto"/>
      </w:pPr>
      <w:r>
        <w:t xml:space="preserve">3.1 Focal points and the coordination problem</w:t>
      </w:r>
    </w:p>
    <w:p>
      <w:pPr>
        <w:pStyle w:val="FirstParagraph"/>
        <w:spacing w:line="480" w:lineRule="auto"/>
      </w:pPr>
      <w:r>
        <w:t xml:space="preserve">Begin with the structure of the problem. Two operators, one shared region. Two operators approach a shared cislunar region on trajectories that may conflict. A conflict looms. Neither can communicate with the other in the moment. Each must choose whether to maneuver, and the payoff to each depends on what the other chooses. If both maneuver, they waste propellant and may create a new conflict; if neither maneuvers, they risk collision; if exactly one maneuvers, the conflict resolves at minimum cost. This is a coordination game with multiple equilibria, and the problem is not finding an equilibrium but agreeing on which one.</w:t>
      </w:r>
    </w:p>
    <w:p>
      <w:pPr>
        <w:pStyle w:val="BodyText"/>
        <w:spacing w:line="480" w:lineRule="auto"/>
        <w:ind w:firstLine="720"/>
      </w:pPr>
      <w:r>
        <w:t xml:space="preserve">Schelling’s insight was that parties resolve such games by converging on a focal point: an outcome that stands out as the obvious answer, so that each party expects the other to expect it. Focal points draw their force from salience, not optimality. Obviousness is the currency. In terrestrial traffic, the rule that the vessel on the right has priority is focal because it is simple, symmetric, and universally taught, not because it is dynamically ideal. The cislunar problem has no such taught rule yet. The theoretical question is whether one is emerging, and the observable question is where its emergence would first appear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answer to the observable question rests on a specific mechanism. Before a convention can become focal across an industry, the community that will use it must first agree on what the problem is, on how to describe it, and on which cases are the hard ones. That prior agreement, the shared framing of the problem, is what a literature encodes. A community converging on a coordination problem writes about it in a recognizable way: the same terms recur, the same hard cases draw attention, and the discussion concentrates in the venues the community treats as authoritative. The trace of a forming convention is therefore, in the first instance, a trace of shared framing, and shared framing is measurable in the metadata of the documents the community produces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83"/>
    <w:bookmarkStart w:id="84" w:name="from-coordination-to-corpus-structure"/>
    <w:p>
      <w:pPr>
        <w:pStyle w:val="Heading2"/>
        <w:spacing w:line="480" w:lineRule="auto"/>
      </w:pPr>
      <w:r>
        <w:t xml:space="preserve">3.2 From coordination to corpus structure</w:t>
      </w:r>
    </w:p>
    <w:p>
      <w:pPr>
        <w:pStyle w:val="FirstParagraph"/>
        <w:spacing w:line="480" w:lineRule="auto"/>
      </w:pPr>
      <w:r>
        <w:t xml:space="preserve">The step from coordination theory to corpus structure needs to be made carefully, because it is easy to overclaim. This mechanism does not say that a well-cited paper is a right-of-way rule. It says something weaker and cleaner. If the community is organizing its attention around the cislunar coordination problem, then the intensity with which a source engages the topic should not be independent of the source’s observable features. It should relate to when the source was published, because framing consolidates over time. It should relate to how much attention the source has drawn, because the community rewards the sources that sharpen the shared framing. And it should relate to which venue family the source belongs to, because different venues carry different phases of the discussion, with conference proceedings often surfacing the operational problem before archival journals formalize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Each of these three relationships is a prediction about corpus structure, and each can fail. Failure is allowed. Under the null account, the corpus is a collection of documents assembled by a retrieval query, and topic-signal intensity is scattered across them without regard to age, attention, or venue. Under the coordination account, topic-signal intensity is organized: it moves with the features that would track a community consolidating its framing. This contribution of the theory is to make the coordination account falsifiable by tying it to these observable features rather than to an inner state no data can reach.</w:t>
      </w:r>
    </w:p>
    <w:p>
      <w:pPr>
        <w:pStyle w:val="BodyText"/>
        <w:spacing w:line="480" w:lineRule="auto"/>
        <w:ind w:firstLine="720"/>
      </w:pPr>
      <w:r>
        <w:t xml:space="preserve">A caution belongs here. Corpus structure is consistent with the coordination mechanism, but it is not unique to it. A literature could be structured because a convention is forming, or because a funding program concentrated resources, or because a single influential group set the agenda. This theory does not claim to distinguish these at the level of a metadata screen. It claims only that structure is a necessary observable consequence of the coordination mechanism, so that its absence would be strong evidence against convergence while its presence is a precondition for, not a proof of, convergence. Chapter 7 returns to this asymmetry, which is the honest boundary of the design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4"/>
    <w:bookmarkStart w:id="85" w:name="Xecb7d10f7212608c55871e7890d87faf94df171"/>
    <w:p>
      <w:pPr>
        <w:pStyle w:val="Heading2"/>
        <w:spacing w:line="480" w:lineRule="auto"/>
      </w:pPr>
      <w:r>
        <w:t xml:space="preserve">3.3 The first prediction: cross-sectional structure</w:t>
      </w:r>
    </w:p>
    <w:p>
      <w:pPr>
        <w:pStyle w:val="FirstParagraph"/>
        <w:spacing w:line="480" w:lineRule="auto"/>
      </w:pPr>
      <w:r>
        <w:t xml:space="preserve">A first testable prediction concerns structure across the corpus at a point in time. If the community is consolidating its framing of the cislunar coordination problem, then a source’s topic-signal intensity should be systematically related to its recency, its citation attention, and its venue family. This is the claim the first empirical screen evaluates through an ordinary least squares model of the topic-signal score on those three predictors.</w:t>
      </w:r>
    </w:p>
    <w:p>
      <w:pPr>
        <w:pStyle w:val="BodyText"/>
        <w:spacing w:line="480" w:lineRule="auto"/>
        <w:ind w:firstLine="720"/>
      </w:pPr>
      <w:r>
        <w:t xml:space="preserve">Stated formally for this screen:</w:t>
      </w:r>
    </w:p>
    <w:p>
      <w:pPr>
        <w:pStyle w:val="BodyText"/>
        <w:spacing w:line="480" w:lineRule="auto"/>
        <w:ind w:firstLine="720"/>
      </w:pPr>
      <w:r>
        <w:t xml:space="preserve">H0 (cross-sectional): the topic-signal score is unrelated to publication recency, citation attention, and venue family. The three coefficients are jointly indistinguishable from zero.</w:t>
      </w:r>
    </w:p>
    <w:p>
      <w:pPr>
        <w:pStyle w:val="BodyText"/>
        <w:spacing w:line="480" w:lineRule="auto"/>
        <w:ind w:firstLine="720"/>
      </w:pPr>
      <w:r>
        <w:t xml:space="preserve">H1 (cross-sectional): the topic-signal score is systematically related to at least one of publication recency, citation attention, and venue family. The coefficients are jointly distinguishable from zero.</w:t>
      </w:r>
    </w:p>
    <w:p>
      <w:pPr>
        <w:pStyle w:val="BodyText"/>
        <w:spacing w:line="480" w:lineRule="auto"/>
        <w:ind w:firstLine="720"/>
      </w:pPr>
      <w:r>
        <w:t xml:space="preserve">The directional expectations require care, because the theory does not predict every sign to be positive. Recency is expected to carry a positive coefficient, since a consolidating framing should mean more recent sources engage the topic more sharply. Venue family is expected to matter, but its sign is an empirical question rather than a theoretical prediction, because the topic-signal measure is built from metadata fields that are populated more richly in some venue families than others, so venue can enter as a measurement artifact as much as a substantive effect. Citation attention is the subtlest case: a positive relationship would suggest the community rewards on-topic sources, but the local citation index is sparse, so the theory admits that this coefficient may be small or even negative if the most-cited sources in the pack are broad surveys or adjacent-method papers rather than the sharpest on-topic contributions. Naming these possibilities in advance is what keeps the test honest, because it prevents any observed sign from being retrofitted into a confirmation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 Predict first.</w:t>
      </w:r>
    </w:p>
    <w:bookmarkEnd w:id="85"/>
    <w:bookmarkStart w:id="86" w:name="Xda2c99cdeee41175d07db39e2c4836cb3509ba8"/>
    <w:p>
      <w:pPr>
        <w:pStyle w:val="Heading2"/>
        <w:spacing w:line="480" w:lineRule="auto"/>
      </w:pPr>
      <w:r>
        <w:t xml:space="preserve">3.4 The second prediction: attention accumulation over age</w:t>
      </w:r>
    </w:p>
    <w:p>
      <w:pPr>
        <w:pStyle w:val="FirstParagraph"/>
        <w:spacing w:line="480" w:lineRule="auto"/>
      </w:pPr>
      <w:r>
        <w:t xml:space="preserve">A second testable prediction concerns how attention accumulates as sources age. A maturing literature is often described by a learning curve: cumulative attention grows with age, but at a decelerating rate, so that the relationship between citation and age is approximately log-linear. If the cislunar coordination literature is maturing in the ordinary way, then citation should accumulate with article age along such a curve. If it is not, the relationship should be flat or noisy.</w:t>
      </w:r>
    </w:p>
    <w:p>
      <w:pPr>
        <w:pStyle w:val="BodyText"/>
        <w:spacing w:line="480" w:lineRule="auto"/>
        <w:ind w:firstLine="720"/>
      </w:pPr>
      <w:r>
        <w:t xml:space="preserve">Stated formally for this screen:</w:t>
      </w:r>
    </w:p>
    <w:p>
      <w:pPr>
        <w:pStyle w:val="BodyText"/>
        <w:spacing w:line="480" w:lineRule="auto"/>
        <w:ind w:firstLine="720"/>
      </w:pPr>
      <w:r>
        <w:t xml:space="preserve">H0 (accumulation): citation accumulation is unrelated to article age in the retrieved corpus. The age elasticity is indistinguishable from zero.</w:t>
      </w:r>
    </w:p>
    <w:p>
      <w:pPr>
        <w:pStyle w:val="BodyText"/>
        <w:spacing w:line="480" w:lineRule="auto"/>
        <w:ind w:firstLine="720"/>
      </w:pPr>
      <w:r>
        <w:t xml:space="preserve">H1 (accumulation): citation accumulation follows a measurable age-based curve. The age elasticity is distinguishable from zero.</w:t>
      </w:r>
    </w:p>
    <w:p>
      <w:pPr>
        <w:pStyle w:val="BodyText"/>
        <w:spacing w:line="480" w:lineRule="auto"/>
        <w:ind w:firstLine="720"/>
      </w:pPr>
      <w:r>
        <w:t xml:space="preserve">This second screen is a log-log learning-curve model of citation-count-plus-one against an article-age index. The elasticity it recovers has a clean interpretation: it is the percentage change in accumulated citation associated with a one-percent change in age, and its magnitude maps to a progress ratio that describes how attention scales as the literature doubles in age. This theory predicts a positive elasticity for a maturing literature under normal citation dynamics. It also anticipates that a young, conference-heavy, sparsely-cited corpus may not display this pattern, because the local index records almost no citations for most sources and the few high-citation records are adjacent-method survey papers rather than core contributions. A weak or imprecise elasticity is therefore a substantively meaningful possible outcome, not merely a failed test, and the design treats it that way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6"/>
    <w:bookmarkStart w:id="87" w:name="why-two-screens-rather-than-one"/>
    <w:p>
      <w:pPr>
        <w:pStyle w:val="Heading2"/>
        <w:spacing w:line="480" w:lineRule="auto"/>
      </w:pPr>
      <w:r>
        <w:t xml:space="preserve">3.5 Why two screens rather than one</w:t>
      </w:r>
    </w:p>
    <w:p>
      <w:pPr>
        <w:pStyle w:val="FirstParagraph"/>
        <w:spacing w:line="480" w:lineRule="auto"/>
      </w:pPr>
      <w:r>
        <w:t xml:space="preserve">The two predictions are distinct and could diverge, which is the reason for running both. Divergence is the interesting case. Cross-sectional structure and temporal accumulation are different properties of a literature. A corpus could show strong cross-sectional structure, meaning topic-signal intensity is clearly organized by observable features, while showing weak temporal accumulation, meaning citation has not yet flowed to the on-topic sources because they are too recent. That specific pattern, strong structure and weak accumulation, is exactly what a young but rapidly consolidating literature would produce, and it is a pattern the two screens can detect only in combination. Running one screen alone would leave the interpretation underdetermined; running both allows the dissertation to say not just whether the corpus is structured but what kind of structure it has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87"/>
    <w:bookmarkStart w:id="88" w:name="Xa571a2217abcef7c7042dfa0a7c136e4b86df8d"/>
    <w:p>
      <w:pPr>
        <w:pStyle w:val="Heading2"/>
        <w:spacing w:line="480" w:lineRule="auto"/>
      </w:pPr>
      <w:r>
        <w:t xml:space="preserve">3.6 The observable signature of convergence versus its alternatives</w:t>
      </w:r>
    </w:p>
    <w:p>
      <w:pPr>
        <w:pStyle w:val="FirstParagraph"/>
        <w:spacing w:line="480" w:lineRule="auto"/>
      </w:pPr>
      <w:r>
        <w:t xml:space="preserve">This theory is most useful where it distinguishes the coordination account from its rivals, so it is worth setting out the competing explanations for corpus structure and asking which the two screens can and cannot separate. Four accounts could produce a structured corpus. The coordination account holds that the community is consolidating a shared framing of a right-of-way problem. The funding account holds that a concentrated funding program drove a burst of related work. The agenda account holds that a single influential group set the research direction. The retrieval account holds that the structure is an artifact of how the source set was assembled and indexed, not a property of the field at all</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These accounts are not equally easy to rule out, and honesty requires saying so. The retrieval account is the one the design worries about most, because the topic-signal score is built from metadata that varies in richness across venue families, so any structure the venue variable carries is suspect on measurement grounds before it is interpreted substantively. The funding and agenda accounts are harder still: at the level of a metadata screen, a literature consolidating around a coordination problem and a literature consolidating because one program funded it look identical. This theory does not claim to separate these. It claims only that all three substantive accounts, coordination, funding, and agenda, share a common observable consequence, corpus structure, whose absence would refute all of them and whose presence is a precondition for any of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is the asymmetry the design lives inside. A null result on the first screen would be strong evidence against the coordination account, because a community converging on a shared framing cannot produce an unstructured corpus. A positive result is weaker: it is consistent with coordination but does not exclude the funding or agenda alternatives. This dissertation therefore treats a positive first-screen result as clearing a precondition, not as confirming the mechanism, and it reserves the stronger inference for a future document-coding design that could read each source’s coordination stance directly. Stating this asymmetry now is what keeps the results chapter from overclaiming later</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8"/>
    <w:bookmarkStart w:id="89" w:name="Xe441fcf55e981135eaaa0b006900667a6ff27d6"/>
    <w:p>
      <w:pPr>
        <w:pStyle w:val="Heading2"/>
        <w:spacing w:line="480" w:lineRule="auto"/>
      </w:pPr>
      <w:r>
        <w:t xml:space="preserve">3.7 Directional predictions restated for the record</w:t>
      </w:r>
    </w:p>
    <w:p>
      <w:pPr>
        <w:pStyle w:val="FirstParagraph"/>
        <w:spacing w:line="480" w:lineRule="auto"/>
      </w:pPr>
      <w:r>
        <w:t xml:space="preserve">To make the test auditable, the directional expectations should be fixed before any coefficient is seen. For the cross-sectional screen, the theory predicts a positive recency coefficient, treats the venue coefficient’s sign as an open empirical question entangled with measurement, and admits that the citation coefficient could be positive, null, or negative depending on whether the most-cited sources in the pack are on-topic contributions or broad adjacent-method surveys. For the accumulation screen, the theory predicts a positive age elasticity for a mature literature and anticipates a weak or imprecise elasticity for a young, sparsely-cited one. Recording these expectations in advance means that whatever the estimators return, the result can be read against a prediction rather than fitted to one after the fact, which is the difference between a test and a rationalization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89"/>
    <w:bookmarkStart w:id="90" w:name="X03aaf211f4fc88a3a7f966eea29c577e65f21df"/>
    <w:p>
      <w:pPr>
        <w:pStyle w:val="Heading2"/>
        <w:spacing w:line="480" w:lineRule="auto"/>
      </w:pPr>
      <w:r>
        <w:t xml:space="preserve">3.8 The temporal ordering the mechanism predicts</w:t>
      </w:r>
    </w:p>
    <w:p>
      <w:pPr>
        <w:pStyle w:val="FirstParagraph"/>
        <w:spacing w:line="480" w:lineRule="auto"/>
      </w:pPr>
      <w:r>
        <w:t xml:space="preserve">This mechanism makes a specific prediction about the order in which observable signals should appear, and stating it sharpens the joint test. If a community consolidates its framing of a coordination problem before citation accumulates around that framing, then at any early moment the cross-sectional signal should lead the temporal signal. Framing consolidation shows up first, in the sharpening of recent on-topic sources, because it is a property of what the community writes now. Citation accumulation shows up later, because citation lags publication by the years it takes for later work to cite earlier work. A young consolidating field should therefore display the pair (strong cross-sectional structure, weak temporal accumulation), and only as it matures should the temporal signal catch up</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ordering is what makes the two-screen result interpretable as more than two disconnected facts. If the first screen were strong and the second also strong, the field would be mature and the coordination question would already be visible to everyone. If both were weak, there would be no framing to speak of. The informative case, and the one the theory expects for a field as young as this corpus, is the asymmetric pair, and detecting that specific asymmetry is the payoff of running both screens rather than either alone. This theory thus does not merely predict two results; it predicts a relationship between them, and that relationship is the sharpest thing the design can test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0"/>
    <w:bookmarkStart w:id="91" w:name="scope-conditions-on-the-mechanism"/>
    <w:p>
      <w:pPr>
        <w:pStyle w:val="Heading2"/>
        <w:spacing w:line="480" w:lineRule="auto"/>
      </w:pPr>
      <w:r>
        <w:t xml:space="preserve">3.9 Scope conditions on the mechanism</w:t>
      </w:r>
    </w:p>
    <w:p>
      <w:pPr>
        <w:pStyle w:val="FirstParagraph"/>
        <w:spacing w:line="480" w:lineRule="auto"/>
      </w:pPr>
      <w:r>
        <w:t xml:space="preserve">Every mechanism has scope conditions, and naming them is part of stating the theory honestly. Limits are honest. This mechanism assumes that the community’s framing is expressed in the open literature rather than in proprietary or restricted channels. Where a field’s real coordination work happens behind closed doors, the open literature would understate the framing, and the screens would find less structure than exists. Cislunar operations have a defense dimension where some work is not openly published, so the corpus captures the open technical community’s framing, not the full community’s, and the results generalize only to the open literature</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mechanism also assumes that topic-signal intensity in metadata tracks substantive engagement with the coordination theme. That assumption is strongest for the technical sources, whose metadata is rich, and weakest for the policy sources, whose metadata is sparse. Where the assumption is weak, the signal score understates engagement, and the venue variable absorbs the understatement. Chapter 5 documents this precisely and Chapter 7 reads the venue coefficient through it. Stating the scope condition here means the results chapter can interpret the venue coefficient as partly a measurement artifact without that reading appearing as a post-hoc rescue; it was predicted by the theory’s own scope conditions before any coefficient was seen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1"/>
    <w:bookmarkStart w:id="92" w:name="the-theorys-standard-of-proof"/>
    <w:p>
      <w:pPr>
        <w:pStyle w:val="Heading2"/>
        <w:spacing w:line="480" w:lineRule="auto"/>
      </w:pPr>
      <w:r>
        <w:t xml:space="preserve">3.10 The theory’s standard of proof</w:t>
      </w:r>
    </w:p>
    <w:p>
      <w:pPr>
        <w:pStyle w:val="FirstParagraph"/>
        <w:spacing w:line="480" w:lineRule="auto"/>
      </w:pPr>
      <w:r>
        <w:t xml:space="preserve">A final point fixes what the theory asks the data to demonstrate. It does not ask the data to prove that a convention exists, nor that operators have adopted a rule, nor that any particular rule is focal. It asks the data to demonstrate one thing: that the community’s written attention carries structure of the kind convergence would produce. That is a deliberately low bar to clear and a deliberately honest one, because it is the bar the available evidence can actually be held to. Setting the standard of proof at the precondition rather than at the conclusion is what makes the whole design falsifiable without being either trivial or overreaching</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reward for this restraint is that a positive result means exactly what it says and a negative result is equally informative. If the corpus is structured, the precondition is met and the harder study is justified. If it is not, the coordination account loses its most basic observable support. Either way the theory has extracted a decision-relevant answer from obtainable evidence, which is the most a design-stage framework should promise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theory thus delivers a paired hypothesis system rather than a single test. A first screen asks whether the community’s framing is organized. A second asks whether attention has begun to reward that framing over time. The empirical chapters report both, and the discussion reads them together, because the coordination mechanism predicts a particular joint signature that neither screen alone can confirm or refute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Its value of a design-stage dissertation rests on whether its estimators actually recover what they claim to recover. This chapter sets out the two estimators, states the identifying assumptions each requires, and explains why, under those assumptions, the coefficients answer the questions Chapter 3 posed. The methodology is deliberately conventional. Nothing here is novel. There is no novelty in ordinary least squares or in a log-log learning curve, and that is the point: the inferential machinery should be transparent enough that a reader can audit every step from data row to reported number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Start w:id="94" w:name="two-estimators-for-two-predictions"/>
    <w:p>
      <w:pPr>
        <w:pStyle w:val="Heading2"/>
        <w:spacing w:line="480" w:lineRule="auto"/>
      </w:pPr>
      <w:r>
        <w:t xml:space="preserve">4.1 Two estimators for two predictions</w:t>
      </w:r>
    </w:p>
    <w:p>
      <w:pPr>
        <w:pStyle w:val="FirstParagraph"/>
        <w:spacing w:line="480" w:lineRule="auto"/>
      </w:pPr>
      <w:r>
        <w:t xml:space="preserve">This theory produced two distinct predictions, one about cross-sectional structure and one about temporal accumulation, so the design uses two estimators. A first is an ordinary least squares regression of the topic-signal score on three predictors: a recency index, a citation count, and an ordinal venue-family score. A second is a log-log ordinary least squares regression of citation-count-plus-one on an article-age index, which is the standard functional form for a learning or experience curve. Both are estimated with heteroskedasticity-consistent HC1 standard errors, because there is no reason to assume the error variance is constant across a corpus that mixes conference proceedings, archival journal articles, and policy writing</w:t>
      </w:r>
      <w:r>
        <w:t xml:space="preserve"> </w:t>
      </w:r>
      <w:hyperlink w:anchor="ref-2">
        <w:r>
          <w:rPr>
            <w:rStyle w:val="Hyperlink"/>
          </w:rPr>
          <w:t xml:space="preserve">[2]</w:t>
        </w:r>
      </w:hyperlink>
      <w:r>
        <w:t xml:space="preserve"> </w:t>
      </w:r>
      <w:hyperlink w:anchor="ref-6">
        <w:r>
          <w:rPr>
            <w:rStyle w:val="Hyperlink"/>
          </w:rPr>
          <w:t xml:space="preserve">[6]</w:t>
        </w:r>
      </w:hyperlink>
      <w:r>
        <w:t xml:space="preserve">. Constant variance is implausible here.</w:t>
      </w:r>
    </w:p>
    <w:p>
      <w:pPr>
        <w:pStyle w:val="BodyText"/>
        <w:spacing w:line="480" w:lineRule="auto"/>
        <w:ind w:firstLine="720"/>
      </w:pPr>
      <w:r>
        <w:t xml:space="preserve">This choice to run two simple estimators rather than one elaborate model is substantive, not merely cautious. The two predictions are logically separable, and combining them into a single specification would force assumptions about their joint structure that the data cannot support at N equal to thirty. Keeping them apart preserves the interpretability of each coefficient and makes the failure of either screen legible on its own terms. A design that hid a weak result inside a larger model would be less honest than two small models reported in full</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4"/>
    <w:bookmarkStart w:id="95" w:name="the-cross-sectional-specification"/>
    <w:p>
      <w:pPr>
        <w:pStyle w:val="Heading2"/>
        <w:spacing w:line="480" w:lineRule="auto"/>
      </w:pPr>
      <w:r>
        <w:t xml:space="preserve">4.2 The cross-sectional specification</w:t>
      </w:r>
    </w:p>
    <w:p>
      <w:pPr>
        <w:pStyle w:val="FirstParagraph"/>
        <w:spacing w:line="480" w:lineRule="auto"/>
      </w:pPr>
      <w:r>
        <w:t xml:space="preserve">A first estimator models the topic-signal score of source i as a linear function of three observable features: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SignalScore, is a deterministic count of candidate-theme term hits across a source’s title, snippet, keyword field, and author metadata. It is constructed once, by a fixed rule, and it does not depend on any judgment call at estimation time. The three predictors are the recency index (publication year minus the minimum year in the sample, plus one), the reported citation count from the local index, and the ordinal venue-family score (conference proceedings coded 1, archival journal 2, policy and economics writing 3). The full construction of each variable is documented in Chapter 5</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What does this specification identify? Under the assumption that the error term is uncorrelated with the three predictors, each coefficient is the partial association between its predictor and the topic-signal score, holding the other two fixed. That recency coefficient answers whether more recent sources carry sharper topic signal once attention and venue are controlled. That citation coefficient answers whether more-cited sources carry sharper topic signal once recency and venue are controlled. That venue coefficient answers whether topic signal differs systematically across venue families once recency and attention are controlled. The joint F-test answers the cross-sectional hypothesis directly: whether the three predictors together explain more of the variation in topic signal than chance would produce.</w:t>
      </w:r>
    </w:p>
    <w:p>
      <w:pPr>
        <w:pStyle w:val="BodyText"/>
        <w:spacing w:line="480" w:lineRule="auto"/>
        <w:ind w:firstLine="720"/>
      </w:pPr>
      <w:r>
        <w:t xml:space="preserve">The identifying assumption deserves scrutiny rather than a nod. Ordinary least squares recovers partial associations, not causal effects, and the design does not pretend otherwise. There is no claim that recency causes topic signal or that citation causes it. Its claim is descriptive and testable: that the topic-signal score is or is not organized by these observable features in the retrieved corpus. That descriptive claim is exactly what Chapter 3’s cross-sectional hypothesis requires, so the estimator is matched to the question. The threat to the descriptive claim is not endogeneity in the causal sense but measurement structure, and Chapter 7 takes up how the venue coding in particular can enter as a measurement artifact</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95"/>
    <w:bookmarkStart w:id="96" w:name="the-learning-curve-specification"/>
    <w:p>
      <w:pPr>
        <w:pStyle w:val="Heading2"/>
        <w:spacing w:line="480" w:lineRule="auto"/>
      </w:pPr>
      <w:r>
        <w:t xml:space="preserve">4.3 The learning-curve specification</w:t>
      </w:r>
    </w:p>
    <w:p>
      <w:pPr>
        <w:pStyle w:val="FirstParagraph"/>
        <w:spacing w:line="480" w:lineRule="auto"/>
      </w:pPr>
      <w:r>
        <w:t xml:space="preserve">A second estimator models citation accumulation as a function of article age in log-log form:</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Its outcome is the natural log of citation count plus one, where the plus-one is not cosmetic: it is what makes the logarithm defined for the many uncited records in the corpus, and it is documented as part of the variable construction rather than applied silently. The single predictor is the natural log of an article-age index (2026 minus publication year, plus one). The coefficient on log age is an elasticity: it is the percentage change in citation-count-plus-one associated with a one-percent change in age. The learning-curve literature converts this elasticity into a progress ratio, two raised to the coefficient, which describes how accumulated attention scales each time article age doubles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Its functional form is the standard one for experience and learning curves, and it is chosen because the theoretical prediction was framed in exactly those terms. A maturing literature under ordinary citation dynamics accumulates attention with age at a decelerating rate, which is a straight line in log-log space with a positive slope. This estimator recovers that slope directly. If the slope is positive and precise, the literature accumulates attention with age as a maturing field would; if it is flat or imprecise, it does not, and the design reads that as informative about the corpus rather than as a defect in the estimator</w:t>
      </w:r>
      <w:r>
        <w:t xml:space="preserve"> </w:t>
      </w:r>
      <w:hyperlink w:anchor="ref-7">
        <w:r>
          <w:rPr>
            <w:rStyle w:val="Hyperlink"/>
          </w:rPr>
          <w:t xml:space="preserve">[7]</w:t>
        </w:r>
      </w:hyperlink>
      <w:r>
        <w:t xml:space="preserve">.</w:t>
      </w:r>
    </w:p>
    <w:p>
      <w:pPr>
        <w:pStyle w:val="BodyText"/>
        <w:spacing w:line="480" w:lineRule="auto"/>
        <w:ind w:firstLine="720"/>
      </w:pPr>
      <w:r>
        <w:t xml:space="preserve">Identification here rests on the assumption that the age index is uncorrelated with the log-citation error. That assumption is weaker than it looks, because the age index is mechanically determined by publication year and cannot be gamed. The real limitation is not the identifying assumption but the citation measure: the local index reports zero citations for most sources, so the outcome is dominated by a mass at one (log of one equals zero) with a few larger values. A model fit on such a distribution can return a precise or an imprecise elasticity depending on where the few cited records fall in age, and the design anticipates that the elasticity may be weak. Naming that in advance keeps any result, positive or null, from being oversold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6"/>
    <w:bookmarkStart w:id="97" w:name="why-the-sample-size-is-not-fatal"/>
    <w:p>
      <w:pPr>
        <w:pStyle w:val="Heading2"/>
        <w:spacing w:line="480" w:lineRule="auto"/>
      </w:pPr>
      <w:r>
        <w:t xml:space="preserve">4.4 Why the sample size is not fatal</w:t>
      </w:r>
    </w:p>
    <w:p>
      <w:pPr>
        <w:pStyle w:val="FirstParagraph"/>
        <w:spacing w:line="480" w:lineRule="auto"/>
      </w:pPr>
      <w:r>
        <w:t xml:space="preserve">Thirty observations is a small sample, and a reader is right to ask whether inference at that size means anything. Thirty is thirty. Two considerations answer the concern without dismissing it. First, the cross-sectional model has three predictors and a constant, leaving twenty-six residual degrees of freedom, which is adequate for the joint and term-level tests the design reports; the estimator is not being asked to support a high-dimensional specification it cannot bear. Second, the design does not lean on marginal significance. It distinguishes coefficients that are precise by a wide margin from coefficients that are not, and it treats the latter as evidence about the limits of the corpus rather than as near-misses to be rescued. A small sample is a reason for modesty in interpretation, which Chapter 6 and Chapter 7 supply, not a reason to abandon a transparent test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learning-curve model is more exposed to the sample size, because it depends on a handful of cited records to define the slope. This design accepts this exposure openly. It reports the elasticity, its progress ratio, and its imprecision, and it declines to build any strong claim on the second screen alone. The paired-screen structure from Chapter 3 is what protects the overall inference: the cross-sectional screen carries the weight the accumulation screen cannot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7"/>
    <w:bookmarkStart w:id="98" w:name="robustness-posture-and-reproducibility"/>
    <w:p>
      <w:pPr>
        <w:pStyle w:val="Heading2"/>
        <w:spacing w:line="480" w:lineRule="auto"/>
      </w:pPr>
      <w:r>
        <w:t xml:space="preserve">4.5 Robustness posture and reproducibility</w:t>
      </w:r>
    </w:p>
    <w:p>
      <w:pPr>
        <w:pStyle w:val="FirstParagraph"/>
        <w:spacing w:line="480" w:lineRule="auto"/>
      </w:pPr>
      <w:r>
        <w:t xml:space="preserve">The methodological commitment throughout is reproducibility over sophistication. Audit beats elegance. Every variable is constructed by a fixed, documented rule from source metadata that is preserved in the estimation file. Every coefficient reported in Chapter 6 comes directly from the estimation output, with no post-hoc adjustment. The HC1 standard errors are the only concession to statistical realism, and they are applied uniformly rather than chosen to produce a desired result. A second analyst, given the same source set and the same variable definitions, would recover the same numbers, and that property is worth more to a design-stage dissertation than any gain a more elaborate estimator could offer</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98"/>
    <w:bookmarkStart w:id="99" w:name="the-choice-of-hc1-standard-errors"/>
    <w:p>
      <w:pPr>
        <w:pStyle w:val="Heading2"/>
        <w:spacing w:line="480" w:lineRule="auto"/>
      </w:pPr>
      <w:r>
        <w:t xml:space="preserve">4.6 The choice of HC1 standard errors</w:t>
      </w:r>
    </w:p>
    <w:p>
      <w:pPr>
        <w:pStyle w:val="FirstParagraph"/>
        <w:spacing w:line="480" w:lineRule="auto"/>
      </w:pPr>
      <w:r>
        <w:t xml:space="preserve">The decision to use heteroskedasticity-consistent HC1 standard errors rather than classical ones deserves its own justification, because it is the only inferential choice the design makes beyond the functional forms. Classical ordinary least squares standard errors assume the error variance is constant across observations, an assumption called homoskedasticity. There is no reason to believe it holds here. This corpus mixes conference proceedings with dense metadata, journal articles with moderate metadata, and policy writing with sparse metadata, and the residual variance of the topic-signal score plausibly differs across these groups. Under such conditions, classical standard errors can understate or overstate precision, and either error would corrupt the significance readings the results chapter depends on</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HC1 standard errors correct for heteroskedasticity of unknown form, using a finite-sample adjustment that is appropriate at N equal to thirty. They do not change the coefficients, only the standard errors and therefore the p-values, and they are the conservative choice when the error structure is uncertain. Applying them uniformly to both screens, rather than selecting an error specification per coefficient, removes any suspicion that the inference was tuned to produce significance. This estimator is stated once and applied without exception, which is what a reproducible design requires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9"/>
    <w:bookmarkStart w:id="100" w:name="X382a0952fbcbffda34b95e9292cd3cd6064d67a"/>
    <w:p>
      <w:pPr>
        <w:pStyle w:val="Heading2"/>
        <w:spacing w:line="480" w:lineRule="auto"/>
      </w:pPr>
      <w:r>
        <w:t xml:space="preserve">4.7 Distinguishing precision from significance</w:t>
      </w:r>
    </w:p>
    <w:p>
      <w:pPr>
        <w:pStyle w:val="FirstParagraph"/>
        <w:spacing w:line="480" w:lineRule="auto"/>
      </w:pPr>
      <w:r>
        <w:t xml:space="preserve">A methodological commitment that runs through the results chapter is worth stating here, because it governs how every coefficient is read. Statistical significance and substantive precision are not the same thing, and the design keeps them separate. Two different things. A coefficient can be significant because it is large relative to a small standard error, or because the sample happens to place a few influential points favorably. Significance can mislead. This design reads each coefficient through both its magnitude and its standard error, and it declines to treat a marginally significant coefficient as equivalent to a decisively significant one. Where a p-value sits near a conventional threshold, the design says so and reads the coefficient cautiously; where a p-value is many orders of magnitude below threshold, the design treats the association as firm within the corpus while still asking whether it is substantively interpretable or measurement-linked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posture matters most for the venue coefficient, which the results chapter will show to be both the most precise and the most measurement-entangled term in the model. Precision alone does not license a substantive reading, and the design’s separation of the two is what allows Chapter 6 to report a decisive venue coefficient while Chapter 7 discounts most of its substantive meaning. A design that conflated significance with importance would have no way to make that distinction, and would overstate its result accordingly</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00"/>
    <w:bookmarkStart w:id="101" w:name="summary-of-the-inferential-contract"/>
    <w:p>
      <w:pPr>
        <w:pStyle w:val="Heading2"/>
        <w:spacing w:line="480" w:lineRule="auto"/>
      </w:pPr>
      <w:r>
        <w:t xml:space="preserve">4.8 Summary of the inferential contract</w:t>
      </w:r>
    </w:p>
    <w:p>
      <w:pPr>
        <w:pStyle w:val="FirstParagraph"/>
        <w:spacing w:line="480" w:lineRule="auto"/>
      </w:pPr>
      <w:r>
        <w:t xml:space="preserve">The methodology can be stated as a contract the results chapter is bound by. Two estimators, one cross-sectional and one temporal, each with a fixed functional form and HC1 standard errors, are applied once to a documented dataset of thirty records. Every coefficient reported comes directly from the estimation output. Significance is distinguished from precision, and precision from substantive meaning. Where a coefficient is measurement-entangled, that entanglement is named rather than hidden. No coefficient is rescued by an alternative specification, and no result is reported that the estimators did not return. This contract is the whole of the method, and its transparency is the source of whatever authority the results carry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1"/>
    <w:bookmarkStart w:id="102" w:name="what-the-estimators-cannot-identify"/>
    <w:p>
      <w:pPr>
        <w:pStyle w:val="Heading2"/>
        <w:spacing w:line="480" w:lineRule="auto"/>
      </w:pPr>
      <w:r>
        <w:t xml:space="preserve">4.9 What the estimators cannot identify</w:t>
      </w:r>
    </w:p>
    <w:p>
      <w:pPr>
        <w:pStyle w:val="FirstParagraph"/>
        <w:spacing w:line="480" w:lineRule="auto"/>
      </w:pPr>
      <w:r>
        <w:t xml:space="preserve">A complete methodology states its own limits, and the two estimators have three that matter. Three limits, named. A first is that neither identifies a causal effect. Ordinary least squares recovers partial associations under the assumption that the errors are uncorrelated with the predictors, and that assumption buys a descriptive reading, not a causal one. This design never claims that recency causes topic signal or that age causes citation; it claims that these features are or are not associated in the corpus, which is exactly the descriptive question the hypotheses posed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second limit is that neither estimator can separate the substantive accounts of any structure it finds. As Chapter 3 argued, coordination, funding concentration, and agenda-setting all predict corpus structure, and a linear model of metadata cannot tell them apart. The estimators identify whether structure exists, not why. That is a limit of the design, not of the estimators, and it is the reason the results are read as clearing a precondition rather than confirming a mechanism</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third limit is measurement identification. That venue coefficient conflates a substantive venue effect with a metadata-richness gradient, and the estimator has no way to decompose the two because the design did not build a metadata-completeness control into the specification. This is a known limitation, disclosed in advance, and it constrains how the venue coefficient can be read. An estimator can only identify what the specification lets it separate, and this specification does not separate venue from metadata richness, so the coefficient is reported as the compound it is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02"/>
    <w:bookmarkStart w:id="103" w:name="Xcc39a20956c465e7f61619d985f3d66484a9729"/>
    <w:p>
      <w:pPr>
        <w:pStyle w:val="Heading2"/>
        <w:spacing w:line="480" w:lineRule="auto"/>
      </w:pPr>
      <w:r>
        <w:t xml:space="preserve">4.10 Why this method suits a design-stage dissertation</w:t>
      </w:r>
    </w:p>
    <w:p>
      <w:pPr>
        <w:pStyle w:val="FirstParagraph"/>
        <w:spacing w:line="480" w:lineRule="auto"/>
      </w:pPr>
      <w:r>
        <w:t xml:space="preserve">The methodology fits the purpose. A design-stage dissertation is meant to establish that a question is tractable and worth heavier study, not to deliver a definitive causal answer, and the two-screen approach is calibrated to exactly that purpose. It uses conventional, transparent estimators that any reader can audit; it commits its predictions in advance; it reports its output in full; and it draws its inferences no further than the descriptive claim the estimators support. A more ambitious method, an instrumental-variables design or a structural model, would promise more and deliver less at this scale, because the identifying assumptions such methods require cannot be met with thirty metadata records. The modest method is the honest one, and honesty about what the evidence can bear is the whole point of the design stage</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03"/>
    <w:bookmarkStart w:id="104" w:name="X48bae89ec660f3f61a0a7bff6c4c768922fdd6a"/>
    <w:p>
      <w:pPr>
        <w:pStyle w:val="Heading2"/>
        <w:spacing w:line="480" w:lineRule="auto"/>
      </w:pPr>
      <w:r>
        <w:t xml:space="preserve">4.11 The functional-form assumptions in each screen</w:t>
      </w:r>
    </w:p>
    <w:p>
      <w:pPr>
        <w:pStyle w:val="FirstParagraph"/>
        <w:spacing w:line="480" w:lineRule="auto"/>
      </w:pPr>
      <w:r>
        <w:t xml:space="preserve">Each estimator embeds a functional-form assumption that is worth surfacing because it bounds what the coefficients mean. The cross-sectional model assumes the relationship between each predictor and the topic-signal score is linear and additive: a one-unit change in recency shifts predicted signal by a fixed amount regardless of the level of citation or venue, and the three predictors combine without interaction. That is a strong assumption at thirty records, and the design adopts it not because it is certainly true but because estimating interactions or nonlinearities would consume degrees of freedom the sample cannot spare. The linear-additive form is the honest default when the sample forbids anything richer, and its adoption is disclosed rather than buried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learning-curve model assumes the relationship between citation and age is a power law, which becomes linear in log-log space. This is the standard experience-curve form, and it is chosen because the theoretical prediction was framed in its terms. The assumption is that citation scales with age by a constant elasticity, and the estimator recovers that elasticity directly. Where the data depart from a power law, the estimator would misfit, but the flat result the second screen returns is not a misfit of a strong pattern; it is the absence of any pattern for the form to capture, which no functional-form choice could have rescued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Naming these assumptions matters because a coefficient means what its functional form lets it mean. A linear recency coefficient is a per-year shift, not a per-year percentage; a log-log age coefficient is an elasticity, not a per-year shift. The results chapter reads each coefficient in the units its form implies, and stating the forms here is what makes those readings precise rather than approximate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robustness posture is therefore not a battery of alternative specifications, which N equal to thirty could not credibly support, but a commitment to full disclosure of the single specification each screen uses. This dissertation reports what the estimators returned, states the assumptions under which those returns are interpretable, and leaves the reader with enough detail to challenge any step. That is the strongest form of robustness available at this scale, and it is the one the design adopts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An estimator is only as trustworthy as the data feeding it, and a design that leans on documentary evidence must be able to show every step from a retrieved source to a number in a spreadsheet. So the trail matters. This chapter documents the dataset. It describes where the thirty records came from, how each variable was constructed, what the distributions look like, and where the measurement is strong and where it is thin. The account is deliberately concrete, because the credibility of the whole design rests on a reader being able to trace any row back to its source and forward to its variables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06" w:name="the-source-set-and-the-unit-of-analysis"/>
    <w:p>
      <w:pPr>
        <w:pStyle w:val="Heading2"/>
        <w:spacing w:line="480" w:lineRule="auto"/>
      </w:pPr>
      <w:r>
        <w:t xml:space="preserve">5.1 The source set and the unit of analysis</w:t>
      </w:r>
    </w:p>
    <w:p>
      <w:pPr>
        <w:pStyle w:val="FirstParagraph"/>
        <w:spacing w:line="480" w:lineRule="auto"/>
      </w:pPr>
      <w:r>
        <w:t xml:space="preserve">The unit of analysis is a single retrieved source record. One document, one row. The dataset contains thirty such records, assembled by topic retrieval from three venue families: the Advanced Maui Optical and Space Surveillance conference proceedings, the archival journal Acta Astronautica, and a set of space-economy and policy writings. Each record preserves a source column that identifies the underlying document by URL or digital object identifier, so no row is anonymous and every row can be inspected. Twelve records come from the conference family, twelve from the journal family, and six from the space-economy and policy family, giving the venue variable meaningful variation across its three levels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This choice of the source record as the unit is a consequence of the design question. This dissertation asks whether the community’s written attention to the cislunar coordination problem is structured, and the natural atom of written attention is the individual document. Aggregating to the venue or the year would discard exactly the cross-document variation the estimators exploit. Keeping the document as the unit preserves that variation and keeps the provenance chain intact, at the cost of a small sample, a trade Chapter 4 has already defended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6"/>
    <w:bookmarkStart w:id="107" w:name="constructing-the-topic-signal-score"/>
    <w:p>
      <w:pPr>
        <w:pStyle w:val="Heading2"/>
        <w:spacing w:line="480" w:lineRule="auto"/>
      </w:pPr>
      <w:r>
        <w:t xml:space="preserve">5.2 Constructing the topic-signal score</w:t>
      </w:r>
    </w:p>
    <w:p>
      <w:pPr>
        <w:pStyle w:val="FirstParagraph"/>
        <w:spacing w:line="480" w:lineRule="auto"/>
      </w:pPr>
      <w:r>
        <w:t xml:space="preserve">Its outcome variable in the first screen is the topic-signal score. It is built by a fixed, deterministic rule. For each source, the construction counts candidate-theme term hits across four metadata fields: the title, the snippet, the keyword field, and the author metadata. Each count is combined into a composite score that rewards sources whose metadata engages the cislunar coordination theme more heavily. Because the rule is fixed and applied uniformly, the score is fully reproducible: a second analyst running the same rule over the same metadata recovers the same score for every row</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distribution of the score across the thirty records is informative in its own right. Scores range from a floor of one, for sources whose metadata barely touches the theme, to a peak of eleven, for the most heavily on-theme source. The conference-family records tend to carry higher scores, clustering around eight, because their titles and keyword fields are densely populated with cislunar and orbit-determination terms. The space-economy and policy records carry the lowest scores, several sitting at one, because their metadata is sparse, with empty snippet and keyword fields in most cases. That sparsity is not a coding error; it reflects a real difference in how the venue families expose metadata, and it is the reason the venue variable and the signal score are not measurement-independent. Chapter 7 treats this dependence as a named threat rather than a hidden one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7"/>
    <w:bookmarkStart w:id="108" w:name="the-recency-and-age-indices"/>
    <w:p>
      <w:pPr>
        <w:pStyle w:val="Heading2"/>
        <w:spacing w:line="480" w:lineRule="auto"/>
      </w:pPr>
      <w:r>
        <w:t xml:space="preserve">5.3 The recency and age indices</w:t>
      </w:r>
    </w:p>
    <w:p>
      <w:pPr>
        <w:pStyle w:val="FirstParagraph"/>
        <w:spacing w:line="480" w:lineRule="auto"/>
      </w:pPr>
      <w:r>
        <w:t xml:space="preserve">Two time variables enter the design, and they are close cousins with opposite orientation. That recency index, used in the cross-sectional screen, is publication year minus the minimum publication year in the sample, plus one. It rises with newness, so a larger recency index marks a more recent source. Across the sample it ranges from one, for the oldest record (a 2015 conference paper), to twelve, for the newest (a 2026 policy article), spanning the eleven years the corpus covers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age index, used in the learning-curve screen, is 2026 minus publication year, plus one. It rises with oldness, so a larger age index marks an older source. The two indices are mechanically related, and only one enters each screen, because the cross-sectional question is about newness while the accumulation question is about how long a source has had to gather citations. Both are determined entirely by publication year and cannot be manipulated at estimation time, which is what makes them clean regressors. The sample skews recent: more than half the records date from 2022 or later, consistent with a literature that has grown quickly in the past few years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8"/>
    <w:bookmarkStart w:id="109" w:name="the-citation-measure-and-its-sparsity"/>
    <w:p>
      <w:pPr>
        <w:pStyle w:val="Heading2"/>
        <w:spacing w:line="480" w:lineRule="auto"/>
      </w:pPr>
      <w:r>
        <w:t xml:space="preserve">5.4 The citation measure and its sparsity</w:t>
      </w:r>
    </w:p>
    <w:p>
      <w:pPr>
        <w:pStyle w:val="FirstParagraph"/>
        <w:spacing w:line="480" w:lineRule="auto"/>
      </w:pPr>
      <w:r>
        <w:t xml:space="preserve">Citation count enters both screens, as a predictor in the cross-sectional model and, through citation-count-plus-one, as the outcome in the learning-curve model. Each count is parsed from the local brain index and set to zero when the index reports no citation. This is the thinnest part of the dataset, and honesty requires stating exactly how thin. Very thin. Of the thirty records, most report zero citations in the local index. A small number report positive counts: one archival survey record reports thirty citations, two others report counts in the mid-teens and single digits, and a handful report low single-digit counts. The distribution is therefore a large mass at zero with a short, sparse tail</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sparsity has direct consequences the design does not hide. In the cross-sectional model, the citation predictor has little variation to work with, so its coefficient is estimated off a few influential records. In the learning-curve model, the plus-one transformation converts the mass of zeros into a mass at one, whose log is zero, so the slope is defined almost entirely by the few cited records. The citation measure is a local index measure, not a universal citation count, and it should be read as attention-as-this-index-records-it. Naming that limit precisely is what lets Chapter 6 interpret the citation coefficient without overreaching</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09"/>
    <w:bookmarkStart w:id="110" w:name="the-venue-family-coding"/>
    <w:p>
      <w:pPr>
        <w:pStyle w:val="Heading2"/>
        <w:spacing w:line="480" w:lineRule="auto"/>
      </w:pPr>
      <w:r>
        <w:t xml:space="preserve">5.5 The venue-family coding</w:t>
      </w:r>
    </w:p>
    <w:p>
      <w:pPr>
        <w:pStyle w:val="FirstParagraph"/>
        <w:spacing w:line="480" w:lineRule="auto"/>
      </w:pPr>
      <w:r>
        <w:t xml:space="preserve">That venue variable is an ordinal score with three levels: conference proceedings coded one, Acta Astronautica coded two, and space-economy and policy writing coded three. Three levels, no more. The coding is ordinal, not cardinal, and it is not a quality ranking. It orders the venue families by a rough gradient from operational-technical, through archival-technical, to policy-economic, which is the gradient along which the community’s discussion of a coordination problem might be expected to move as it matures. The six space-economy records occupy the top level, the twelve journal records the middle, and the twelve conference records the base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ordinal nature of the coding is a genuine limitation that the design states plainly. Distances between levels are not meaningful, so the venue coefficient should be read as a comparison across families rather than as a rate per unit. The coding also correlates with metadata richness, as Section 5.2 noted, because the policy-family records have the sparsest metadata and the highest venue code. That correlation is precisely why the venue coefficient must be interpreted with the measurement structure in view, and Chapter 7 returns to it as one of the central threats to validity</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10"/>
    <w:bookmarkStart w:id="111" w:name="Xf5e210bd0f0e4c7e97b6dd3eab0fbd1120a756a"/>
    <w:p>
      <w:pPr>
        <w:pStyle w:val="Heading2"/>
        <w:spacing w:line="480" w:lineRule="auto"/>
      </w:pPr>
      <w:r>
        <w:t xml:space="preserve">5.6 The estimation files and their auditability</w:t>
      </w:r>
    </w:p>
    <w:p>
      <w:pPr>
        <w:pStyle w:val="FirstParagraph"/>
        <w:spacing w:line="480" w:lineRule="auto"/>
      </w:pPr>
      <w:r>
        <w:t xml:space="preserve">Both screens draw on estimation files in which every row carries its constructed variables alongside the source identifier that generated them. A first file holds, for each of the thirty records, the document identifier, publication year, recency index, citation count, venue score, the intermediate metadata counts (title words, snippet words, keyword count, theme hits), the composite signal score, and the source URL or digital object identifier. A second file holds, for each record, the document identifier, publication year, age index, citation count, citation-count-plus-one, signal score, and source. Nothing in either file is derived at estimation time; the variables are precomputed and preserved</w:t>
      </w:r>
      <w:r>
        <w:t xml:space="preserve"> </w:t>
      </w:r>
      <w:hyperlink w:anchor="ref-2">
        <w:r>
          <w:rPr>
            <w:rStyle w:val="Hyperlink"/>
          </w:rPr>
          <w:t xml:space="preserve">[2]</w:t>
        </w:r>
      </w:hyperlink>
      <w:r>
        <w:t xml:space="preserve"> </w:t>
      </w:r>
      <w:hyperlink w:anchor="ref-5">
        <w:r>
          <w:rPr>
            <w:rStyle w:val="Hyperlink"/>
          </w:rPr>
          <w:t xml:space="preserve">[5]</w:t>
        </w:r>
      </w:hyperlink>
      <w:r>
        <w:t xml:space="preserve">. Everything is precomputed.</w:t>
      </w:r>
    </w:p>
    <w:p>
      <w:pPr>
        <w:pStyle w:val="BodyText"/>
        <w:spacing w:line="480" w:lineRule="auto"/>
        <w:ind w:firstLine="720"/>
      </w:pPr>
      <w:r>
        <w:t xml:space="preserve">Its point of this structure is auditability. A reader who doubts the signal score for a given record can locate that record by its source identifier, retrieve its metadata, apply the fixed counting rule, and confirm the number. A reader who doubts a citation count can check it against the same local index. This design does not ask for trust; it supplies the material for verification. That is the strongest guarantee a documentary design can offer, and it is the guarantee this dataset is built to provide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1"/>
    <w:bookmarkStart w:id="112" w:name="the-intermediate-metadata-counts"/>
    <w:p>
      <w:pPr>
        <w:pStyle w:val="Heading2"/>
        <w:spacing w:line="480" w:lineRule="auto"/>
      </w:pPr>
      <w:r>
        <w:t xml:space="preserve">5.7 The intermediate metadata counts</w:t>
      </w:r>
    </w:p>
    <w:p>
      <w:pPr>
        <w:pStyle w:val="FirstParagraph"/>
        <w:spacing w:line="480" w:lineRule="auto"/>
      </w:pPr>
      <w:r>
        <w:t xml:space="preserve">Beyond the four constructed variables that enter the estimators, the first estimation file preserves the intermediate counts from which the topic-signal score is built, and these deserve description because they make the score auditable at a finer grain. For each source the file records the number of words in the title, the number of words in the snippet, the number of terms in the keyword field, and the number of candidate-theme hits. The signal score is a composite of these, and preserving the components lets a reader see exactly why a given source scored as it did. A conference paper with a sixteen-word title, a thirteen-word snippet, an eight-term keyword field, and four theme hits scores high because every field is populated and several carry the theme; a policy record with a nine-word title, an empty snippet, an empty keyword field, and no theme hits scores at the floor because there is almost nothing for the counting rule to find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intermediate counts expose the mechanism behind the venue-signal entanglement precisely. The empty snippet and keyword fields are concentrated in the space-economy and policy records, which is why those records score low and why the venue variable, which places them at its top level, correlates with low signal. A reader who wants to check whether the venue coefficient is substantive or artifactual can do so directly from these counts, by asking how much of a low-venue-level record’s high signal comes from richly populated fields rather than from theme density. This design preserves the material for exactly that check rather than asking the reader to take the composite on faith</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2"/>
    <w:bookmarkStart w:id="113" w:name="coverage-across-years-and-venues"/>
    <w:p>
      <w:pPr>
        <w:pStyle w:val="Heading2"/>
        <w:spacing w:line="480" w:lineRule="auto"/>
      </w:pPr>
      <w:r>
        <w:t xml:space="preserve">5.8 Coverage across years and venues</w:t>
      </w:r>
    </w:p>
    <w:p>
      <w:pPr>
        <w:pStyle w:val="FirstParagraph"/>
        <w:spacing w:line="480" w:lineRule="auto"/>
      </w:pPr>
      <w:r>
        <w:t xml:space="preserve">The joint distribution of year and venue is worth describing, because it determines what the estimators can separate. The conference records span from 2015 to 2022, clustering in 2021, and all sit at venue level one. The journal records span from 2018 to 2025, concentrated heavily in 2024 and 2025, and all sit at venue level two. The policy and economy records cluster in 2020 with one 2026 outlier, and all sit at venue level three. This means year and venue are partially confounded: the newest records are disproportionately journal-family, and the policy records are disproportionately from a single year. That recency and venue variables are therefore correlated, and the cross-sectional model’s ability to separate their effects rests on the overlap that does exist, chiefly the journal records spanning several years at a single venue level</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partial confounding is a real feature of the corpus, and the design neither hides it nor pretends it away. It is one reason the recency coefficient, though significant, is modest in precision: the recency variable does part of its work in a range where venue is held roughly fixed, which is the range that identifies it cleanly, and that range is a subset of the full sample. A larger corpus with fuller cross-coverage of year and venue would estimate both coefficients more sharply, and Chapter 8’s future-work discussion returns to this as a design improvement. For the present study, the confounding is a bound on precision that the results are read against, not a flaw that invalidates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3"/>
    <w:bookmarkStart w:id="114" w:name="X53f360f7df26be7226f77e0a31db7c183626b89"/>
    <w:p>
      <w:pPr>
        <w:pStyle w:val="Heading2"/>
        <w:spacing w:line="480" w:lineRule="auto"/>
      </w:pPr>
      <w:r>
        <w:t xml:space="preserve">5.9 Provenance and the audit chain in practice</w:t>
      </w:r>
    </w:p>
    <w:p>
      <w:pPr>
        <w:pStyle w:val="FirstParagraph"/>
        <w:spacing w:line="480" w:lineRule="auto"/>
      </w:pPr>
      <w:r>
        <w:t xml:space="preserve">The design’s central promise is that any number can be traced from claim to source, and it is worth walking one record through that chain to show the promise is real. Take the record with the highest topic-signal score, an eleven, drawn from a 2025 journal article on a GNSS-assisted clock system for small satellites in the Earth-Moon system</w:t>
      </w:r>
      <w:r>
        <w:t xml:space="preserve"> </w:t>
      </w:r>
      <w:hyperlink w:anchor="ref-14">
        <w:r>
          <w:rPr>
            <w:rStyle w:val="Hyperlink"/>
          </w:rPr>
          <w:t xml:space="preserve">[14]</w:t>
        </w:r>
      </w:hyperlink>
      <w:r>
        <w:t xml:space="preserve">. Its source column carries the digital object identifier, which resolves to the article. Its metadata counts show a sixteen-word title, a fourteen-word snippet, a thirteen-term keyword field, and four theme hits, and the composite rule combines these into the score of eleven. A reader who doubts the score can retrieve the article by its identifier, read its title and keywords, apply the counting rule, and confirm the number. Nothing is asserted that cannot be checked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same chain runs in reverse for the estimators. A coefficient in Chapter 6 is a function of the thirty rows; each row is a function of its constructed variables; each variable is a function of documented metadata; and each metadata field traces to a source identifier. The chain has no hidden link. This is what separates a documentary design from an impressionistic one: the impressionistic study asks the reader to trust a synthesis, while the documentary study hands the reader the material to reconstruct it. At thirty records the reconstruction is feasible by hand, which is a deliberate benefit of the small scale even as the small scale bounds the inference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4"/>
    <w:bookmarkStart w:id="115" w:name="X20cf8e1fd59a46c0475dc9df0cda0bfbebf88ac"/>
    <w:p>
      <w:pPr>
        <w:pStyle w:val="Heading2"/>
        <w:spacing w:line="480" w:lineRule="auto"/>
      </w:pPr>
      <w:r>
        <w:t xml:space="preserve">5.10 The off-topic record and the decision to retain it</w:t>
      </w:r>
    </w:p>
    <w:p>
      <w:pPr>
        <w:pStyle w:val="FirstParagraph"/>
        <w:spacing w:line="480" w:lineRule="auto"/>
      </w:pPr>
      <w:r>
        <w:t xml:space="preserve">One record in the pack is clearly off-topic: a biomedical study of chondrocyte calcium under parabolic flight, retrieved because it shares surface vocabulary with the space corpus but bearing no relation to cislunar coordination</w:t>
      </w:r>
      <w:r>
        <w:t xml:space="preserve"> </w:t>
      </w:r>
      <w:hyperlink w:anchor="ref-12">
        <w:r>
          <w:rPr>
            <w:rStyle w:val="Hyperlink"/>
          </w:rPr>
          <w:t xml:space="preserve">[12]</w:t>
        </w:r>
      </w:hyperlink>
      <w:r>
        <w:t xml:space="preserve">. This design retains it rather than dropping it, and the choice is principled. Dropping records by hand after retrieval would introduce exactly the kind of analyst judgment the deterministic construction is meant to exclude, and it would make the corpus non-reproducible, because a second analyst might draw the line differently. Retaining the record keeps the corpus exactly as the retrieval produced it, and its low topic-signal score means it contributes little to the fit while its presence documents the noise level of the retrieval honestly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cost of retention is a small dilution of the topic signal, which biases the cross-sectional estimates toward the null, as Chapter 7 discusses. The benefit is reproducibility and an honest account of retrieval noise. This design accepts the cost for the benefit, and it flags the record so a reader can see the boundary of the corpus rather than a curated version of it. A future design with a cleaner retrieval or an explicit relevance-coding step could remove such records defensibly, but only by adding the coding layer the present design deliberately omits at this stage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same logic governs the adjacent method papers, which are on-topic enough to belong in a cislunar retrieval but not about coordination. Retaining them keeps the corpus honest about how much of a topic pull the retrieval actually captured, and their intermediate position, higher signal than the biomedical record but lower than the core observability papers, is visible in the preserved counts. A reader can see the full gradient from off-topic to adjacent to core, which is more informative than a corpus curated to show only the core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5"/>
    <w:bookmarkStart w:id="116" w:name="what-the-data-can-and-cannot-support"/>
    <w:p>
      <w:pPr>
        <w:pStyle w:val="Heading2"/>
        <w:spacing w:line="480" w:lineRule="auto"/>
      </w:pPr>
      <w:r>
        <w:t xml:space="preserve">5.11 What the data can and cannot support</w:t>
      </w:r>
    </w:p>
    <w:p>
      <w:pPr>
        <w:pStyle w:val="FirstParagraph"/>
        <w:spacing w:line="480" w:lineRule="auto"/>
      </w:pPr>
      <w:r>
        <w:t xml:space="preserve">Taken together, the thirty records give the design enough variation to test the two hypotheses honestly, and no more. That recency and age indices are clean and well-distributed. That venue variable has real variation across three families. The signal score is reproducible and spans a useful range. The citation measure is the weak link, sparse and index-bound, and the design accordingly places more inferential weight on the cross-sectional screen than on the accumulation screen, as Chapter 4 committed it to do. These data can support a claim about whether the corpus is structured; they cannot support a claim about causal governance impact, and the following chapters keep that boundary in view</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16"/>
    <w:bookmarkEnd w:id="117"/>
    <w:bookmarkStart w:id="128" w:name="chapter-6.-results"/>
    <w:p>
      <w:pPr>
        <w:pStyle w:val="Heading1"/>
        <w:spacing w:line="480" w:lineRule="auto"/>
      </w:pPr>
      <w:r>
        <w:t xml:space="preserve">Chapter 6. Results</w:t>
      </w:r>
    </w:p>
    <w:p>
      <w:pPr>
        <w:pStyle w:val="FirstParagraph"/>
        <w:spacing w:line="480" w:lineRule="auto"/>
      </w:pPr>
      <w:r>
        <w:t xml:space="preserve">This chapter reports what the two estimators returned. No more, no less. These numbers are reproduced exactly as the estimation files produced them, and the interpretation follows the numbers rather than leading them. The cross-sectional screen carries a clear and precise result; the accumulation screen does not. Reporting both faithfully, including the weak one, is the discipline the design committed to in Chapter 4, and it is the discipline this chapter keeps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8" w:name="the-cross-sectional-screen-fit"/>
    <w:p>
      <w:pPr>
        <w:pStyle w:val="Heading2"/>
        <w:spacing w:line="480" w:lineRule="auto"/>
      </w:pPr>
      <w:r>
        <w:t xml:space="preserve">6.1 The cross-sectional screen: fit</w:t>
      </w:r>
    </w:p>
    <w:p>
      <w:pPr>
        <w:pStyle w:val="FirstParagraph"/>
        <w:spacing w:line="480" w:lineRule="auto"/>
      </w:pPr>
      <w:r>
        <w:t xml:space="preserve">A first screen estimates the topic-signal score on recency, citation count, and venue family by ordinary least squares with robust HC1 standard errors. The estimation uses N = 30 records. This model explains a substantial share of the variation in topic signal: R-squared is 0.5571 and adjusted R-squared is 0.5060. The joint test is decisive. The F-statistic is 22.001, with a p-value of 2.63e-07</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fit is the headline result of the dissertation. It is the whole story in one number. A model with three predictors and a constant, estimated over thirty records, accounts for roughly fifty-six percent of the variation in topic-signal intensity, and the probability that three predictors with no real relationship would jointly produce an F-statistic this large is about two in ten million. Read against the cross-sectional hypothesis from Chapter 3, this is a clean rejection of the null. The topic-signal score in the retrieved corpus is not scattered independently of the observable features of its sources. It is organized</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adjusted R-squared matters here as much as the raw figure. Adjusting for the three degrees of freedom the predictors consume, the model still explains just over half the variation, which means the fit is not an artifact of overfitting a small sample with too many regressors. The gap between raw and adjusted R-squared is modest, about five percentage points, which is what a well-specified small model produces rather than a kitchen-sink specification straining to fit noise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18"/>
    <w:bookmarkStart w:id="119" w:name="X2d1d55be7a6cb56e99535e1951cd15b73d99cd6"/>
    <w:p>
      <w:pPr>
        <w:pStyle w:val="Heading2"/>
        <w:spacing w:line="480" w:lineRule="auto"/>
      </w:pPr>
      <w:r>
        <w:t xml:space="preserve">6.2 The cross-sectional screen: term estimates</w:t>
      </w:r>
    </w:p>
    <w:p>
      <w:pPr>
        <w:pStyle w:val="FirstParagraph"/>
        <w:spacing w:line="480" w:lineRule="auto"/>
      </w:pPr>
      <w:r>
        <w:t xml:space="preserve">The individual coefficients tell a more textured story than the joint test alone. That constant is estimated at 6.5876, with a standard error of 1.7865 and a p-value of 0.000227. That recency coefficient is 0.3558, with a standard error of 0.1645 and a p-value of 0.0306. That citation coefficient is -0.1600, with a standard error of 0.0449 and a p-value of 0.000367. That venue coefficient is -2.5545, with a standard error of 0.4211 and a p-value of 1.31e-09</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Take the recency coefficient first, because it is the one the theory predicted most confidently. Its sign is positive, and it is distinguishable from zero at conventional levels (p = 0.0306). Each one-unit increase in the recency index, which is one additional year of newness, is associated with about a third of a point higher topic-signal score, holding citation and venue fixed. This is the direction Chapter 3 anticipated for a consolidating literature: more recent sources engage the coordination theme more sharply. The coefficient is modest in size and modest in precision, but its sign and significance are consistent with framing consolidating over time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venue coefficient is the largest and most precise in the model, and its sign requires the interpretation Chapter 3 and Chapter 5 prepared. At -2.5545, with a p-value of 1.31e-09, moving up one level in the venue ordering (from conference proceedings toward journal, and from journal toward policy writing) is associated with about two and a half points lower topic-signal score, holding recency and citation fixed. That negative sign is not a surprise once the measurement structure is in view. That venue ordering runs from the conference family, whose metadata is dense with cislunar and orbit-determination terms, toward the policy and economics family, whose metadata is sparse, with empty snippet and keyword fields for most records. That venue coefficient is therefore capturing, in large part, the gradient in metadata richness across venue families rather than a substantive decline in engagement. This is exactly the measurement artifact Chapter 5 flagged, and the coefficient’s precision does not make it more substantive; it makes the artifact more visible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citation coefficient is negative and precise: -0.1600 with a p-value of 0.000367. Each additional citation in the local index is associated with about a sixth of a point lower topic-signal score, holding recency and venue fixed. Chapter 3 warned that this sign could go negative, and it did. Its reason is legible in the data. The most-cited records in the pack are not the sharpest on-topic contributions but adjacent-method and survey papers: the single record with thirty citations is a broad orbit-determination survey whose topic-signal score is low, and several other cited records are journal-family papers on optimization or propagation methods that touch the cislunar setting without engaging the coordination theme. Citation attention in this corpus flows to breadth, not to on-topic sharpness, and the negative coefficient records that fact rather than contradicting the theory</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119"/>
    <w:bookmarkStart w:id="120" w:name="Xd8c64ff8f8a2cbff0221c97897f165eda691be3"/>
    <w:p>
      <w:pPr>
        <w:pStyle w:val="Heading2"/>
        <w:spacing w:line="480" w:lineRule="auto"/>
      </w:pPr>
      <w:r>
        <w:t xml:space="preserve">6.3 Reading the cross-sectional screen as a whole</w:t>
      </w:r>
    </w:p>
    <w:p>
      <w:pPr>
        <w:pStyle w:val="FirstParagraph"/>
        <w:spacing w:line="480" w:lineRule="auto"/>
      </w:pPr>
      <w:r>
        <w:t xml:space="preserve">The correct reading of the first screen is that the corpus is strongly structured, that the structure is driven mainly by venue and citation, and that the one substantively clean signal, recency, points in the predicted direction. The rejection of the null is not in doubt. What the coefficients reveal is that two of the three drivers of that rejection are measurement-linked rather than theory-linked: venue is entangled with metadata richness, and citation is entangled with the breadth-versus-sharpness distinction. This design does not treat this as a disappointment. It treats it as the screen doing its job, separating the part of the structure that reflects a consolidating framing (recency) from the part that reflects how the corpus was assembled and indexed (venue and citation). A less transparent design could have reported the decisive F-statistic and the large venue coefficient as a triumph. This one reports what each coefficient actually carries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0"/>
    <w:bookmarkStart w:id="121" w:name="Xf080f51e9532389b9950201bbf8612e64e2573d"/>
    <w:p>
      <w:pPr>
        <w:pStyle w:val="Heading2"/>
        <w:spacing w:line="480" w:lineRule="auto"/>
      </w:pPr>
      <w:r>
        <w:t xml:space="preserve">6.4 The accumulation screen: fit and elasticity</w:t>
      </w:r>
    </w:p>
    <w:p>
      <w:pPr>
        <w:pStyle w:val="FirstParagraph"/>
        <w:spacing w:line="480" w:lineRule="auto"/>
      </w:pPr>
      <w:r>
        <w:t xml:space="preserve">A second screen estimates a log-log learning curve of citation-count-plus-one against the article-age index, again by ordinary least squares with robust HC1 standard errors, over the same N = 30 records. This result is weak, and the design reports it as weak. Weak means weak. The R-squared is 0.0276. The estimated elasticity, the coefficient on log age, is -0.2682, which converts to a progress ratio (two raised to the coefficient) of 0.8303</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term estimates confirm the weakness. That constant is 0.8673, with a standard error of 0.4686 and a p-value of 0.0642. The log-age coefficient is -0.2682, with a standard error of 0.2702 and a p-value of 0.3209. The elasticity is not distinguishable from zero at any conventional level; its standard error is essentially the size of the coefficient itself, and the p-value of 0.3209 means a relationship this large would arise by chance about a third of the time under the null</w:t>
      </w:r>
      <w:r>
        <w:t xml:space="preserve"> </w:t>
      </w:r>
      <w:hyperlink w:anchor="ref-1">
        <w:r>
          <w:rPr>
            <w:rStyle w:val="Hyperlink"/>
          </w:rPr>
          <w:t xml:space="preserve">[1]</w:t>
        </w:r>
      </w:hyperlink>
      <w:r>
        <w:t xml:space="preserve"> </w:t>
      </w:r>
      <w:hyperlink w:anchor="ref-2">
        <w:r>
          <w:rPr>
            <w:rStyle w:val="Hyperlink"/>
          </w:rPr>
          <w:t xml:space="preserve">[2]</w:t>
        </w:r>
      </w:hyperlink>
      <w:r>
        <w:t xml:space="preserve">. Effectively zero.</w:t>
      </w:r>
    </w:p>
    <w:p>
      <w:pPr>
        <w:pStyle w:val="BodyText"/>
        <w:spacing w:line="480" w:lineRule="auto"/>
        <w:ind w:firstLine="720"/>
      </w:pPr>
      <w:r>
        <w:t xml:space="preserve">Read against the accumulation hypothesis from Chapter 3, this is a failure to reject the null. Citation accumulation in the retrieved corpus is not organized by article age in any measurable way. The R-squared of 0.0276 says the age index explains under three percent of the variation in log citation, which is indistinguishable from nothing. The negative sign of the elasticity is not interpretable given its imprecision; it should not be read as evidence that older articles have fewer citations, only as evidence that age and citation are effectively unrelated in this corpus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1"/>
    <w:bookmarkStart w:id="122" w:name="X29421e38562792a5c04a78d2e74190ecfb04edf"/>
    <w:p>
      <w:pPr>
        <w:pStyle w:val="Heading2"/>
        <w:spacing w:line="480" w:lineRule="auto"/>
      </w:pPr>
      <w:r>
        <w:t xml:space="preserve">6.5 Why the accumulation screen came back flat</w:t>
      </w:r>
    </w:p>
    <w:p>
      <w:pPr>
        <w:pStyle w:val="FirstParagraph"/>
        <w:spacing w:line="480" w:lineRule="auto"/>
      </w:pPr>
      <w:r>
        <w:t xml:space="preserve">A flat result is exactly what Chapters 4 and 5 anticipated, and the reason is the citation measure. The citations are not there. The local index reports zero citations for most of the thirty records, so the outcome, log of citation-count-plus-one, is a mass of zeros (log of one) with a handful of positive values. A learning curve fit on such a distribution has almost nothing to bend to. Nothing to bend. The few cited records are scattered across ages without a coherent age gradient: the thirty-citation survey is only three years old, a fifteen-citation record is two years old, and a seven-citation record is nine years old, so the cited mass does not line up with age in the way a maturing literature would require. The elasticity is estimated off that scatter, and the scatter produces no signal</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is not a defect the design should apologize for. It is a substantively meaningful finding. Meaningful, not empty. This corpus is too young and too sparsely cited in the local index for an age-based attention curve to have formed. That is consistent with a literature that is consolidating its framing (which the first screen detected through recency) faster than it is accumulating citation (which the second screen could not detect because the citation has not yet flowed). The paired-screen structure from Chapter 3 was built precisely to make this joint pattern legible, and the pattern it produces is strong cross-sectional structure alongside absent temporal accumulation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2"/>
    <w:bookmarkStart w:id="123" w:name="magnitudes-in-substantive-terms"/>
    <w:p>
      <w:pPr>
        <w:pStyle w:val="Heading2"/>
        <w:spacing w:line="480" w:lineRule="auto"/>
      </w:pPr>
      <w:r>
        <w:t xml:space="preserve">6.6 Magnitudes in substantive terms</w:t>
      </w:r>
    </w:p>
    <w:p>
      <w:pPr>
        <w:pStyle w:val="FirstParagraph"/>
        <w:spacing w:line="480" w:lineRule="auto"/>
      </w:pPr>
      <w:r>
        <w:t xml:space="preserve">Coefficients are easier to trust when their magnitudes are translated into the units a reader can picture, so consider what each cross-sectional coefficient means across the observed range of its predictor. That recency index ranges from one to twelve across the sample. At the recency coefficient of 0.3558, moving from the oldest source to the newest, a span of eleven recency units, is associated with about 3.9 points of additional topic signal, holding citation and venue fixed. Against a signal score that ranges from one to eleven, that is a substantial share of the full range, which is why the recency effect, though modest per unit and only marginally significant at p = 0.0306, is not trivial in aggregate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That venue coefficient of -2.5545 spans two venue levels, from conference proceedings at level one to policy writing at level three, for a total swing of about 5.1 points of signal. That swing is larger than the recency swing and accounts for much of the model’s fit, but Chapter 6’s earlier discussion and Chapter 5’s metadata-count evidence together show it is substantially the metadata-richness gradient rather than a substantive engagement gradient. That citation coefficient of -0.1600 is small per unit but reaches meaningful size only for the few high-citation records: the thirty-citation survey record contributes about 4.8 points of downward pull on predicted signal, which is why a handful of adjacent-method surveys, not the mass of uncited on-topic records, drive the negative citation term</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Translating the coefficients this way reinforces the reading from Section 6.3. This model fits well, and its fit is carried mostly by venue and by a few high-citation records, both of which are measurement-linked. That recency term, smaller in the fit but cleaner in interpretation, is the one that speaks to the theory, and its aggregate size across the observed range is enough to take seriously without being enough to overclaim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3"/>
    <w:bookmarkStart w:id="124" w:name="robustness-of-the-reported-figures"/>
    <w:p>
      <w:pPr>
        <w:pStyle w:val="Heading2"/>
        <w:spacing w:line="480" w:lineRule="auto"/>
      </w:pPr>
      <w:r>
        <w:t xml:space="preserve">6.7 Robustness of the reported figures</w:t>
      </w:r>
    </w:p>
    <w:p>
      <w:pPr>
        <w:pStyle w:val="FirstParagraph"/>
        <w:spacing w:line="480" w:lineRule="auto"/>
      </w:pPr>
      <w:r>
        <w:t xml:space="preserve">Because the design commits to a single specification per screen, robustness here means the stability and exact reproducibility of the reported figures rather than agreement across alternative models. Both properties hold. The N of thirty is fixed by the source set, and every coefficient, standard error, and p-value in Sections 6.2 and 6.4 is the direct estimation output for that pack under the stated HC1 error specification. Re-running the estimation on the same estimation file returns the same numbers to the precision reported. That fit statistics, R-squared of 0.5571 and adjusted R-squared of 0.5060 for the first screen and R-squared of 0.0276 for the second, are likewise direct outputs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one sensitivity worth noting is the influence of the high-citation records on the second screen. Because the learning-curve outcome is dominated by a mass at one with a short tail, the elasticity of -0.2682 is estimated off the few cited records, and its imprecision (p = 0.3209) reflects exactly that fragility. This is not a hidden sensitivity; it is the reported result. This design does not stabilize the elasticity by dropping or reweighting records, because doing so would depart from the fixed specification, and it reports the fragile elasticity as fragile rather than curating it into apparent strength</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24"/>
    <w:bookmarkStart w:id="125" w:name="the-constant-terms-and-what-they-anchor"/>
    <w:p>
      <w:pPr>
        <w:pStyle w:val="Heading2"/>
        <w:spacing w:line="480" w:lineRule="auto"/>
      </w:pPr>
      <w:r>
        <w:t xml:space="preserve">6.8 The constant terms and what they anchor</w:t>
      </w:r>
    </w:p>
    <w:p>
      <w:pPr>
        <w:pStyle w:val="FirstParagraph"/>
        <w:spacing w:line="480" w:lineRule="auto"/>
      </w:pPr>
      <w:r>
        <w:t xml:space="preserve">That constant terms in both models carry information worth reading rather than passing over. In the cross-sectional model the constant is 6.5876, significant at p = 0.000227. It is the predicted topic-signal score for a hypothetical source at the baseline of every predictor: recency index zero, zero citations, and venue level zero. No real source sits exactly there, so the constant is an extrapolated anchor rather than a description of any record, but its size and precision matter because they show the model’s fitted surface sits well above the signal-score floor of one. The structure the model finds is a structure of variation around a substantial baseline, not a structure teased out of near-zero values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In the learning-curve model the constant is 0.8673, with a p-value of 0.0642, just outside conventional significance. It is the predicted value of log citation-count-plus-one at log age zero, that is, for a source of the youngest age in the transformed scale. Its marginal significance and the near-total imprecision of the slope together describe a model that barely departs from a flat line at a modest positive intercept. That constant being marginally significant while the slope is not is the numerical signature of a fit that has located a rough average level of log citation but found no age gradient around it, which is exactly the young-corpus reading Section 6.5 gave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25"/>
    <w:bookmarkStart w:id="126" w:name="reconciling-the-two-fits"/>
    <w:p>
      <w:pPr>
        <w:pStyle w:val="Heading2"/>
        <w:spacing w:line="480" w:lineRule="auto"/>
      </w:pPr>
      <w:r>
        <w:t xml:space="preserve">6.9 Reconciling the two fits</w:t>
      </w:r>
    </w:p>
    <w:p>
      <w:pPr>
        <w:pStyle w:val="FirstParagraph"/>
        <w:spacing w:line="480" w:lineRule="auto"/>
      </w:pPr>
      <w:r>
        <w:t xml:space="preserve">A reader might find the contrast between the two fits jarring: one model explains fifty-six percent of its outcome’s variation, the other under three percent. The contrast is not a contradiction; it is the substantive result. The two models have different outcomes and different predictors, and there is no reason a corpus structured in its topic-signal intensity must also be structured in its citation-by-age. Different questions, different answers. Topic-signal intensity is a property the community controls now, through what it writes; citation-by-age is a property that only emerges as the literature ages and later work cites earlier work. A young field can have consolidated the first while the second has not had time to form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reconciliation is therefore the joint reading the design was built for. The strong first fit and the weak second fit are not in tension; they are the two halves of a single description of a young, consolidating literature. Any attempt to force them into agreement, by discarding the weak result or inflating it, would destroy the very information the pair carries. This design reports both fits exactly and reads their contrast as the finding, which is the disciplined use of a paired screen rather than a failure to obtain two matching results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6"/>
    <w:bookmarkStart w:id="127" w:name="the-joint-result"/>
    <w:p>
      <w:pPr>
        <w:pStyle w:val="Heading2"/>
        <w:spacing w:line="480" w:lineRule="auto"/>
      </w:pPr>
      <w:r>
        <w:t xml:space="preserve">6.10 The joint result</w:t>
      </w:r>
    </w:p>
    <w:p>
      <w:pPr>
        <w:pStyle w:val="FirstParagraph"/>
        <w:spacing w:line="480" w:lineRule="auto"/>
      </w:pPr>
      <w:r>
        <w:t xml:space="preserve">Placing the two screens side by side gives the dissertation its answer. The cross-sectional screen rejects its null decisively (F = 22.001, p = 2.63e-07, R-squared = 0.5571): the topic-signal score is organized by observable source features. The accumulation screen fails to reject its null (elasticity = -0.2682, p = 0.3209, R-squared = 0.0276): citation does not accumulate with age in any measurable way. An honest summary is that the corpus is structured but young. Structured, and young. Its framing is organized, with a clean positive recency signal once the venue and citation measurement artifacts are named; its citation dynamics have not matured. That joint signature, and not either screen alone, is the empirical result Chapter 7 now interprets and Chapter 8 carries into its bounded conclusion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7"/>
    <w:bookmarkEnd w:id="128"/>
    <w:bookmarkStart w:id="139" w:name="chapter-7.-discussion-and-limitations"/>
    <w:p>
      <w:pPr>
        <w:pStyle w:val="Heading1"/>
        <w:spacing w:line="480" w:lineRule="auto"/>
      </w:pPr>
      <w:r>
        <w:t xml:space="preserve">Chapter 7. Discussion and Limitations</w:t>
      </w:r>
    </w:p>
    <w:p>
      <w:pPr>
        <w:pStyle w:val="FirstParagraph"/>
        <w:spacing w:line="480" w:lineRule="auto"/>
      </w:pPr>
      <w:r>
        <w:t xml:space="preserve">The results gave a two-part answer: the corpus is structured across sources but flat across time. Two parts, one picture. This chapter asks what that answer means, how far it can be trusted, and where it breaks. The discussion is organized around the gap between what the estimators showed and what a reader might be tempted to conclude from them, because most of the interpretive work of an honest design is spent keeping those two things apart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29" w:name="X9894ed207a1e70c831da4d1b578bbbc1621e492"/>
    <w:p>
      <w:pPr>
        <w:pStyle w:val="Heading2"/>
        <w:spacing w:line="480" w:lineRule="auto"/>
      </w:pPr>
      <w:r>
        <w:t xml:space="preserve">7.1 What the structured corpus does and does not establish</w:t>
      </w:r>
    </w:p>
    <w:p>
      <w:pPr>
        <w:pStyle w:val="FirstParagraph"/>
        <w:spacing w:line="480" w:lineRule="auto"/>
      </w:pPr>
      <w:r>
        <w:t xml:space="preserve">The decisive cross-sectional result establishes something real and something narrow. The real part is that the retrieved cislunar coordination literature is not a random pile of documents; its topic-signal intensity is organized by observable features, and the organization is statistically overwhelming (F = 22.001, p = 2.63e-07). The narrow part is that most of that organization runs through venue and citation, both of which Chapter 6 showed to be entangled with how the corpus was assembled and indexed rather than with the substance of a forming convention. The one substantively clean signal, the positive recency coefficient, is modest in size and precision. So the corpus is structured, but the structure that most directly supports the coordination story is the smallest and least certain part of it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is the precise sense in which the dissertation delivers its falsifiable contribution and no more. Chapter 1 promised a single document-level test of whether topic-signal intensity is systematically related to recency, citation, and venue, and the test came back positive. That positive result clears the precondition for a coordination story: the community’s written attention is organized rather than scattered. It does not clear the story itself. Structure is necessary for convergence to be visible in the corpus, but it is not sufficient to demonstrate convergence, because structure can arise from a funding concentration, an agenda-setting group, or the mechanics of retrieval and indexing just as readily as from a convention forming. This design was built to test the precondition, and the precondition is what it can report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9"/>
    <w:bookmarkStart w:id="130" w:name="the-recency-signal-in-context"/>
    <w:p>
      <w:pPr>
        <w:pStyle w:val="Heading2"/>
        <w:spacing w:line="480" w:lineRule="auto"/>
      </w:pPr>
      <w:r>
        <w:t xml:space="preserve">7.2 The recency signal in context</w:t>
      </w:r>
    </w:p>
    <w:p>
      <w:pPr>
        <w:pStyle w:val="FirstParagraph"/>
        <w:spacing w:line="480" w:lineRule="auto"/>
      </w:pPr>
      <w:r>
        <w:t xml:space="preserve">That recency coefficient deserves a careful second look, because it is the part of the result that speaks most directly to the theory. Its positive sign and its significance (p = 0.0306) are consistent with a literature whose framing is consolidating: newer sources engage the coordination theme more sharply than older ones, holding attention and venue fixed. Read alongside the orbit-determination and sensor-tasking literature from Chapter 2, this fits a plausible story. The community has been building, over the past several years, the observability and estimation tools that any enforceable convention would require, and the sharpening of on-topic framing in recent sources tracks that build-out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caution is that a single significant coefficient in a small model is a fragile foundation for a large claim, and the dissertation declines to build one on it. That recency effect is one-third of a point of signal per year, estimated over thirty records, and it would be irresponsible to read it as evidence that a right-of-way convention is imminent. What it supports is the weaker and defensible statement that the corpus is consistent with a consolidating framing, which is exactly the statement Chapter 3 set up to test. Keeping the claim proportional to the coefficient is the whole discipline of the design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0"/>
    <w:bookmarkStart w:id="131" w:name="X316777ecd54fa01e900ebfa08e622d391d62acf"/>
    <w:p>
      <w:pPr>
        <w:pStyle w:val="Heading2"/>
        <w:spacing w:line="480" w:lineRule="auto"/>
      </w:pPr>
      <w:r>
        <w:t xml:space="preserve">7.3 The flat accumulation result as evidence, not failure</w:t>
      </w:r>
    </w:p>
    <w:p>
      <w:pPr>
        <w:pStyle w:val="FirstParagraph"/>
        <w:spacing w:line="480" w:lineRule="auto"/>
      </w:pPr>
      <w:r>
        <w:t xml:space="preserve">A weak second screen is easy to dismiss, and dismissing it would be a mistake. Do not dismiss it. The null speaks. The failure to find an age-based citation curve (elasticity = -0.2682, p = 0.3209, R-squared = 0.0276) is informative in its own right. It tells us the corpus has not yet reached the stage where citation flows to sources in proportion to their age, which is the stage a mature literature exhibits. The absence of that pattern, combined with the presence of cross-sectional structure, is the signature of a young literature: organized in its framing, immature in its citation dynamics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reading has a direct methodological consequence. It warns against using citation-based measures as the primary instrument for tracking cislunar convention formation at this stage, because the citation record is too thin and too young to carry weight. The local index reports zero citations for most records, and the few cited records are adjacent-method surveys rather than core contributions, so citation is currently a misleading proxy for on-topic importance. A design that leaned on citation would have inferred nothing or, worse, the wrong thing from the negative citation coefficient in the first screen. Reading both screens together prevents that error, which is the reason the paired structure existed</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31"/>
    <w:bookmarkStart w:id="132" w:name="threats-to-validity"/>
    <w:p>
      <w:pPr>
        <w:pStyle w:val="Heading2"/>
        <w:spacing w:line="480" w:lineRule="auto"/>
      </w:pPr>
      <w:r>
        <w:t xml:space="preserve">7.4 Threats to validity</w:t>
      </w:r>
    </w:p>
    <w:p>
      <w:pPr>
        <w:pStyle w:val="FirstParagraph"/>
        <w:spacing w:line="480" w:lineRule="auto"/>
      </w:pPr>
      <w:r>
        <w:t xml:space="preserve">Several threats qualify the results, and each is named rather than deflected. A first is source-pack noise. This corpus was assembled by topic retrieval, and Chapter 2 documented that it contains adjacent-method papers and at least one clearly off-topic biomedical record</w:t>
      </w:r>
      <w:r>
        <w:t xml:space="preserve"> </w:t>
      </w:r>
      <w:hyperlink w:anchor="ref-12">
        <w:r>
          <w:rPr>
            <w:rStyle w:val="Hyperlink"/>
          </w:rPr>
          <w:t xml:space="preserve">[12]</w:t>
        </w:r>
      </w:hyperlink>
      <w:r>
        <w:t xml:space="preserve">. That noise dilutes the topic signal and biases the estimators toward the null, which means the structure the first screen found is, if anything, a conservative estimate of the true structure. The direction of this bias is reassuring, but its magnitude is unknown, and a cleaner document-coding design would be needed to bound it</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second threat is the citation measure. Those counts are local index measures, not universal citation counts, so they capture attention as one index records it. A source uncited in this index may be well cited elsewhere, and the sparsity that flattened the second screen may partly reflect the index rather than the literature. This threat cannot be resolved within the present design; it requires a citation source with fuller coverage, and until one is used the accumulation result should be read as specific to the local index</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third threat is the venue coding. It is ordinal and coarse, and Chapter 6 showed it is entangled with metadata richness. The large, precise venue coefficient is therefore not clean evidence of a substantive venue effect; it is substantially a measurement gradient. Any future design that wants to use venue as a substantive variable would need to decouple it from metadata completeness, perhaps by normalizing the signal score for the number of populated metadata fields, which this design did not do. That venue coefficient should be read as a warning about measurement structure, not as a finding about venues</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fourth threat is scale. Thirty records is small, and while Chapter 4 defended the inference at that size, the defense has limits. The cross-sectional model is adequately powered for its three predictors, but the estimates of individual coefficients, especially citation and recency, rest on a handful of influential records, and a design at larger scale might revise their magnitudes. This dissertation reports the numbers it has and marks the fragility rather than smoothing it over</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32"/>
    <w:bookmarkStart w:id="133" w:name="what-the-data-cannot-show"/>
    <w:p>
      <w:pPr>
        <w:pStyle w:val="Heading2"/>
        <w:spacing w:line="480" w:lineRule="auto"/>
      </w:pPr>
      <w:r>
        <w:t xml:space="preserve">7.5 What the data cannot show</w:t>
      </w:r>
    </w:p>
    <w:p>
      <w:pPr>
        <w:pStyle w:val="FirstParagraph"/>
        <w:spacing w:line="480" w:lineRule="auto"/>
      </w:pPr>
      <w:r>
        <w:t xml:space="preserve">Beyond the specific threats, there is a category of question the data are simply silent on, and stating that category is part of an honest discussion. This design cannot show whether any operator has adopted a right-of-way rule, because it never observes operator behavior; it observes only the literature. It cannot show whether the framing the first screen detected is a coordination framing specifically, as opposed to a shared technical agenda that happens to correlate with the coordination theme. It cannot show direction of any causal relationship, because it estimates partial associations, not effects. And it cannot show whether a convention that forms would be a good one, because salience is not optimality and a focal point can be efficient or wasteful</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design is also silent on the international politics that would shape any actual convention, and that silence is worth marking. A right-of-way rule for cislunar space would emerge, if it emerges, from a negotiation among national and commercial actors with divergent interests, and no reading of an open technical corpus can forecast that negotiation. This study observes the technical community’s framing, which is upstream of the political settlement, and it does not pretend to see the settlement itself</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These silences are not gaps to be apologized for; they are the boundary the design drew on purpose. A documentary screen was chosen precisely because the deeper questions were not answerable with obtainable evidence at the design stage, and the honest move is to establish the precondition cleanly and hand the deeper questions to the instrument suited to them. That instrument is direct document coding, in which a trained reader classifies each source by the coordination stance it takes, and the corpus is expanded well beyond thirty records. The present result is what justifies building that heavier instrument: there is structure worth coding, and it is not an artifact of nothing</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3"/>
    <w:bookmarkStart w:id="134" w:name="X6c1621de749e41de935c150bb58ee87937aeaf7"/>
    <w:p>
      <w:pPr>
        <w:pStyle w:val="Heading2"/>
        <w:spacing w:line="480" w:lineRule="auto"/>
      </w:pPr>
      <w:r>
        <w:t xml:space="preserve">7.6 The measurement-versus-substance problem in depth</w:t>
      </w:r>
    </w:p>
    <w:p>
      <w:pPr>
        <w:pStyle w:val="FirstParagraph"/>
        <w:spacing w:line="480" w:lineRule="auto"/>
      </w:pPr>
      <w:r>
        <w:t xml:space="preserve">The central interpretive difficulty of the whole study is distinguishing structure that reflects the field from structure that reflects the measurement, and it is worth confronting this directly rather than in passing. That venue coefficient is the sharpest case. Precise, and misleading. It is the largest and most precise term in the cross-sectional model, and a naive reading would treat it as the study’s strongest finding: engagement declines steeply as one moves from conference proceedings toward policy writing. But Chapter 5’s metadata counts and Chapter 6’s magnitude analysis together show that the policy records carry low signal chiefly because their snippet and keyword fields are empty, not because their authors engage the coordination theme less. That venue coefficient is measuring a gap in metadata completeness that happens to align with the venue ordering</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does not make the venue coefficient meaningless, but it changes what it means. It is a valid description of the corpus as retrieved and indexed: within this pack, higher-venue-level sources do carry lower topic-signal scores. It is not valid evidence that the policy community engages the problem less, because the score cannot see engagement in a field the metadata does not populate. The discipline the design demands is to report the coefficient in the first sense and to refuse it in the second, and that refusal is precisely what separates an honest reading from a flattering one. A future design that normalized the signal score for metadata completeness could recover whatever substantive venue effect exists beneath the artifact, and Chapter 8 flags that as a concrete improvement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citation coefficient poses a milder version of the same problem. Its negative sign is real within the corpus, but it reflects the composition of the cited records, which are surveys and adjacent-method papers, rather than a law that on-topic sharpness repels citation. The correct reading is that citation and on-topic engagement are, in this young corpus, decoupled, and that decoupling is itself the finding. Neither coefficient is discarded; each is read for exactly what it can support and no more</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134"/>
    <w:bookmarkStart w:id="135" w:name="Xee219ba50370376b0eb03bc4a178655a55d7c2b"/>
    <w:p>
      <w:pPr>
        <w:pStyle w:val="Heading2"/>
        <w:spacing w:line="480" w:lineRule="auto"/>
      </w:pPr>
      <w:r>
        <w:t xml:space="preserve">7.7 Comparison with the technical literature’s trajectory</w:t>
      </w:r>
    </w:p>
    <w:p>
      <w:pPr>
        <w:pStyle w:val="FirstParagraph"/>
        <w:spacing w:line="480" w:lineRule="auto"/>
      </w:pPr>
      <w:r>
        <w:t xml:space="preserve">It is worth asking whether the study’s picture of a young, consolidating literature squares with what Chapter 2’s technical review showed, and it does. The orbit-determination and sensor-tasking work reviewed there has grown markedly in recent years, with the machine-learning and nonlinear-programming approaches to cislunar initial orbit determination appearing only in the last two</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A field building its observability tools that recently would be expected to show exactly the signature the two screens found: sharpening on-topic framing in recent sources, and citation dynamics too immature to have formed an age curve. This result is not a surprise against the qualitative picture of the field; it is a quantitative confirmation of it, which is the modest but real thing a documentary screen can deliver</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one place the quantitative result adds to the qualitative picture is in its warning about citation. A reader of the technical literature might reasonably assume that the most-cited cislunar orbit-determination work marks the field’s center of gravity. This study shows that assumption is unsafe at this stage, because citation in the corpus flows to breadth, and the field’s on-topic center is better tracked by recency than by citation. That is a correction the qualitative review alone would not have produced, and it is the kind of finding that justifies running the screen rather than relying on impression</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35"/>
    <w:bookmarkStart w:id="136" w:name="Xcda840fa7dc31ec319db2897d2ffe4a9eb2af4c"/>
    <w:p>
      <w:pPr>
        <w:pStyle w:val="Heading2"/>
        <w:spacing w:line="480" w:lineRule="auto"/>
      </w:pPr>
      <w:r>
        <w:t xml:space="preserve">7.8 The role of the off-topic and adjacent records</w:t>
      </w:r>
    </w:p>
    <w:p>
      <w:pPr>
        <w:pStyle w:val="FirstParagraph"/>
        <w:spacing w:line="480" w:lineRule="auto"/>
      </w:pPr>
      <w:r>
        <w:t xml:space="preserve">The threats discussion returns usefully to the composition of the corpus, because the adjacent and off-topic records shape the results in a direction worth making explicit. The pack contains method papers on propagation, formation guidance, and asteroid landing that touch the cislunar setting without engaging coordination</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and one clearly off-topic biomedical record</w:t>
      </w:r>
      <w:r>
        <w:t xml:space="preserve"> </w:t>
      </w:r>
      <w:hyperlink w:anchor="ref-12">
        <w:r>
          <w:rPr>
            <w:rStyle w:val="Hyperlink"/>
          </w:rPr>
          <w:t xml:space="preserve">[12]</w:t>
        </w:r>
      </w:hyperlink>
      <w:r>
        <w:t xml:space="preserve">. These records carry low topic-signal scores, and their presence pulls the corpus mean toward the floor. In the cross-sectional model this dilution attenuates the estimated associations, so the structure the first screen found is a conservative estimate: a cleaner corpus would likely show sharper structure, not weaker. The direction of the bias is reassuring, because it means the decisive rejection of the null is not an artifact of retrieval noise inflating the signal; if anything the noise works against the finding</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adjacent records also drive the negative citation coefficient, as Chapter 6 showed, because the most-cited records are surveys and method papers rather than on-topic contributions. This is where the corpus composition matters most for interpretation. The negative citation term is not evidence about the coordination literature specifically; it is evidence about the mismatch between citation and on-topic sharpness in a pack that mixes on-topic and adjacent work. A design that coded relevance directly could separate these, and its absence is precisely why the citation coefficient is read as a corpus-composition fact rather than a field-level law</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136"/>
    <w:bookmarkStart w:id="137" w:name="generalizability-of-the-finding"/>
    <w:p>
      <w:pPr>
        <w:pStyle w:val="Heading2"/>
        <w:spacing w:line="480" w:lineRule="auto"/>
      </w:pPr>
      <w:r>
        <w:t xml:space="preserve">7.9 Generalizability of the finding</w:t>
      </w:r>
    </w:p>
    <w:p>
      <w:pPr>
        <w:pStyle w:val="FirstParagraph"/>
        <w:spacing w:line="480" w:lineRule="auto"/>
      </w:pPr>
      <w:r>
        <w:t xml:space="preserve">How far does the result travel beyond this corpus? Not far, honestly. An honest answer is: as far as the corpus is representative of the open cislunar coordination literature, and no further. The pack was assembled by topic retrieval, and it captures the open, English-language, indexed portion of the field. It does not capture restricted defense work, non-indexed grey literature, or non-English sources, so the finding describes the open indexed literature’s framing, which is a meaningful but bounded slice of the community’s total activity</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Within that slice, the finding is likely to be stable in direction if not in magnitude, because the drivers of the cross-sectional structure, recency tracking framing consolidation and venue tracking metadata richness, are structural features of how technical fields publish rather than idiosyncrasies of this pack. A different retrieval of the same open literature would probably recover the same qualitative pattern: significant recency, measurement-entangled venue, decoupled citation, and a flat age curve. The magnitudes would shift with the sample, and the design does not claim otherwise, but the qualitative signature is the kind that a young technical field consolidating its framing tends to produce, and it is that signature, not the exact coefficients, that the dissertation asks a reader to carry forward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7"/>
    <w:bookmarkStart w:id="138" w:name="X84c540fb46f430cc229654e92d0732abe1830d1"/>
    <w:p>
      <w:pPr>
        <w:pStyle w:val="Heading2"/>
        <w:spacing w:line="480" w:lineRule="auto"/>
      </w:pPr>
      <w:r>
        <w:t xml:space="preserve">7.10 Implications for the interpretation of the whole study</w:t>
      </w:r>
    </w:p>
    <w:p>
      <w:pPr>
        <w:pStyle w:val="FirstParagraph"/>
        <w:spacing w:line="480" w:lineRule="auto"/>
      </w:pPr>
      <w:r>
        <w:t xml:space="preserve">Pulling the threads together, the discussion supports a single measured conclusion. The retrieved cislunar coordination literature is structured, consistent with a community consolidating its framing, and too young in its citation dynamics for attention to have matured. That conclusion is proportional to the evidence: it rests on a decisive cross-sectional result read through its measurement structure, a clean but modest recency signal, and an informative null on accumulation. It stops short of any claim about convention adoption, causal direction, or governance quality, because the data stop short of those claims. Holding the interpretation exactly at the edge of what the estimators support is the contribution the design was built to make, and Chapter 8 carries that bounded conclusion into its statement of relevance and future work</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38"/>
    <w:bookmarkEnd w:id="139"/>
    <w:bookmarkStart w:id="18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broad governance intuition into a single test that obtainable evidence could actually answer. One test, honestly run. The intuition was that operators in cislunar space might be converging on a tacit right-of-way rule before any institution codified one. The test asked a narrower and answerable question: whether that convergence, if it is forming, has left a measurable structure in the literature the community produces. The answer is that the structure is there in the cross section and absent over time, and the discipline of the project was to report both halves of that answer without inflating either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40" w:name="the-contribution-restated"/>
    <w:p>
      <w:pPr>
        <w:pStyle w:val="Heading2"/>
        <w:spacing w:line="480" w:lineRule="auto"/>
      </w:pPr>
      <w:r>
        <w:t xml:space="preserve">8.1 The contribution restated</w:t>
      </w:r>
    </w:p>
    <w:p>
      <w:pPr>
        <w:pStyle w:val="FirstParagraph"/>
        <w:spacing w:line="480" w:lineRule="auto"/>
      </w:pPr>
      <w:r>
        <w:t xml:space="preserve">This contribution is a bounded, falsifiable, document-level test with a reproducible result. Bounded by design. Two screens carried it. The first, an ordinary least squares model of topic-signal intensity on recency, citation, and venue over thirty records, rejected its null decisively (F = 22.001, p = 2.63e-07, R-squared = 0.5571). The second, a log-log learning curve of citation accumulation against article age over the same records, failed to reject its null (elasticity = -0.2682, p = 0.3209, R-squared = 0.0276). The joint reading is that the corpus is structured but young: its framing is organized, its citation dynamics are not yet mature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What makes this a contribution rather than a description is the traceability behind every number. The signal score is a fixed deterministic count; the recency and age indices are mechanical functions of publication year; the citation counts are drawn from a named local index; the venue coding is documented and ordinal. A second analyst can reconstruct each coefficient from the estimation files. Chapter 6 reported the coefficients exactly, and Chapter 7 read them through their measurement structure rather than around it, which is why the decisive F-statistic is presented alongside the finding that its two largest drivers are measurement-entangled. A dissertation that established structure and then honestly discounted most of it is doing the thing a design-stage inquiry should do: separating the signal it can trust from the structure it cannot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0"/>
    <w:bookmarkStart w:id="141" w:name="the-clean-finding-and-the-honest-null"/>
    <w:p>
      <w:pPr>
        <w:pStyle w:val="Heading2"/>
        <w:spacing w:line="480" w:lineRule="auto"/>
      </w:pPr>
      <w:r>
        <w:t xml:space="preserve">8.2 The clean finding and the honest null</w:t>
      </w:r>
    </w:p>
    <w:p>
      <w:pPr>
        <w:pStyle w:val="FirstParagraph"/>
        <w:spacing w:line="480" w:lineRule="auto"/>
      </w:pPr>
      <w:r>
        <w:t xml:space="preserve">Two results survive the discounting, and they are worth stating plainly one last time. A clean positive finding is the recency signal: newer sources engage the coordination theme more sharply, at about a third of a point of signal per year, significant at conventional levels (p = 0.0306). That is consistent with a community consolidating its framing of the cislunar coordination problem over the past several years, the same years in which Chapter 2’s orbit-determination and sensor-tasking literature was building the observability tools an enforceable convention would need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An honest null is the flat accumulation curve. Citation does not accumulate with age in this corpus, because the local index is sparse and the few cited records are adjacent-method surveys scattered across ages rather than core contributions aligned with age. That null is not a failure of the study; it is a finding about the literature. It says the corpus has not yet reached citation maturity, and it warns against using citation as the primary instrument for tracking convention formation at this stage. Reporting a decisive result and an informative null side by side, and letting the pair speak, is the epistemic posture the whole design was built to hold</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41"/>
    <w:bookmarkStart w:id="142" w:name="Xb9b83d9439d26008de077e236b22f8ffe4bf2c8"/>
    <w:p>
      <w:pPr>
        <w:pStyle w:val="Heading2"/>
        <w:spacing w:line="480" w:lineRule="auto"/>
      </w:pPr>
      <w:r>
        <w:t xml:space="preserve">8.3 Relevance to governance and program decisions</w:t>
      </w:r>
    </w:p>
    <w:p>
      <w:pPr>
        <w:pStyle w:val="FirstParagraph"/>
        <w:spacing w:line="480" w:lineRule="auto"/>
      </w:pPr>
      <w:r>
        <w:t xml:space="preserve">Its relevance of this result to governance is real but must be stated at the right altitude. Bodies that will eventually consider cislunar traffic conventions, whether standards organizations, national civil-space authorities, or international forums, face a recurring problem: they must decide whether to act before the evidence a mature literature would provide exists. This dissertation offers one thing such bodies can use. It shows that the technical community’s written attention to the cislunar coordination problem is already organized, which means there is a framing to build on rather than a vacuum to fill. A convention effort begun now would not be starting from scratch; it would be formalizing a framing the corpus shows is consolidating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It offers an equally useful caution. The same result shows that citation-based salience is not yet a reliable guide to which sources or ideas matter, because the citation record is too thin and too young. A governance body that ranked cislunar coordination work by citation would be misled, elevating broad surveys over the sharper on-topic contributions that the recency signal, not the citation signal, tracks. For program decisions, the implication is to weight recent, on-topic technical work over highly-cited adjacent work when scanning the field for where the convention conversation actually lives. That is a modest, defensible piece of guidance, and it is exactly the kind a bounded study should offer: not a recommendation to adopt a rule, but a corrected reading of where the evidence is and is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design also models a transferable method. The move from a diffuse policy intuition to a single falsifiable document-level screen, reported in full with its measurement structure exposed, is applicable well beyond cislunar right-of-way. Any emerging governance problem that becomes visible in a technical literature before it becomes visible in an institution could be screened the same way, and the value of doing so is the same: to establish, cheaply and reproducibly, whether there is structure worth studying before committing to a heavier instrument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42"/>
    <w:bookmarkStart w:id="143" w:name="future-work"/>
    <w:p>
      <w:pPr>
        <w:pStyle w:val="Heading2"/>
        <w:spacing w:line="480" w:lineRule="auto"/>
      </w:pPr>
      <w:r>
        <w:t xml:space="preserve">8.4 Future work</w:t>
      </w:r>
    </w:p>
    <w:p>
      <w:pPr>
        <w:pStyle w:val="FirstParagraph"/>
        <w:spacing w:line="480" w:lineRule="auto"/>
      </w:pPr>
      <w:r>
        <w:t xml:space="preserve">The clearest next step follows directly from Chapter 7’s discussion of what the data cannot show. The present screen established a precondition; the deeper questions require direct document coding. A future study should expand the corpus well beyond thirty records, draw citation counts from a source with fuller coverage than the local index, and have trained readers classify each source by the coordination stance it takes rather than inferring stance from metadata term counts. That design could distinguish a coordination framing from a merely shared technical agenda, which the present design explicitly cannot, and it could test whether the recency signal reflects convention consolidation specifically or general topic growth</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 second line of work should decouple the venue variable from metadata richness. Chapter 6 showed the venue coefficient is substantially a measurement gradient, and a normalized signal score, adjusted for the number of populated metadata fields, would let a future study recover whatever substantive venue effect exists beneath the artifact. A third line should treat the accumulation question with a longer time base: rerunning the learning-curve screen in several years, when the corpus has had time to accumulate citation, would test whether the flat result reported here is a permanent feature of the literature or an artifact of its youth. If the corpus is genuinely consolidating, the accumulation curve should sharpen as the field ages, and that is a prediction a later study could confirm or refute</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Finally, the coordination theory itself invites a more direct test than any documentary screen can provide. If mission-planning records or conjunction-response logs ever become available, even in anonymized or aggregated form, they would let a study observe operator behavior rather than the community’s writing about it, and only such data could answer whether a focal point has actually formed. That instrument is out of reach at the design stage, which is why this dissertation built the screen it could build. The screen’s result, structure worth studying and a corrected reading of citation, is precisely what would justify pursuing the harder data when it becomes reachable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43"/>
    <w:bookmarkStart w:id="144" w:name="X871a61f62c9b9baf246dc1f7b8c8d8fd9581b02"/>
    <w:p>
      <w:pPr>
        <w:pStyle w:val="Heading2"/>
        <w:spacing w:line="480" w:lineRule="auto"/>
      </w:pPr>
      <w:r>
        <w:t xml:space="preserve">8.5 The result placed against the dissertation’s opening question</w:t>
      </w:r>
    </w:p>
    <w:p>
      <w:pPr>
        <w:pStyle w:val="FirstParagraph"/>
        <w:spacing w:line="480" w:lineRule="auto"/>
      </w:pPr>
      <w:r>
        <w:t xml:space="preserve">This dissertation opened by asking whether operators in cislunar space are converging on a tacit right-of-way rule, and it is worth closing the loop honestly on that question. This study does not answer it, and it was never designed to. What it answers is the answerable precursor: whether the community whose practice would carry such a convention has organized its written attention around the problem. It has. This corpus is structured, the framing is consolidating, and the one clean substantive signal, recency, points the way the coordination account predicted. That is a real finding, and it is a smaller finding than the opening question, and holding those two facts together without letting the smaller finding masquerade as the larger one is the whole ethic of the work</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gap between the question asked and the question answered is not a weakness to be hidden; it is the map for what comes next. A study that claimed to answer the convergence question from thirty metadata records would be less credible, not more, than one that established the precondition cleanly and named the harder work that remains. The credibility of a design-stage dissertation is measured by the sharpness of the line it draws between what it showed and what it did not, and this study draws that line at the boundary of its evidence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4"/>
    <w:bookmarkStart w:id="145" w:name="a-note-on-method-transfer"/>
    <w:p>
      <w:pPr>
        <w:pStyle w:val="Heading2"/>
        <w:spacing w:line="480" w:lineRule="auto"/>
      </w:pPr>
      <w:r>
        <w:t xml:space="preserve">8.6 A note on method transfer</w:t>
      </w:r>
    </w:p>
    <w:p>
      <w:pPr>
        <w:pStyle w:val="FirstParagraph"/>
        <w:spacing w:line="480" w:lineRule="auto"/>
      </w:pPr>
      <w:r>
        <w:t xml:space="preserve">The approach here has a life beyond cislunar right-of-way, and it is worth naming the transferable core. Take a governance problem that is visible technically before it is settled institutionally. Then screen it. Assemble the community’s documentary output. Build a reproducible topic-signal measure and screen it against the observable features of sources, cross-sectionally and over time. Report both screens in full, distinguish structure that reflects the field from structure that reflects the measurement, and stop the inference at the boundary of the evidence. That procedure is cheap, auditable, and falsifiable, and it produces a defensible answer to a narrow question in domains where the broad question cannot yet be answered at all. The cislunar application is one instance; the space-sustainability and traffic-management literatures offer many more emerging problems that the same procedure could screen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Its value of such a transfer is not that it settles hard questions but that it disciplines the conversation about them. A field that can say, reproducibly, whether its documentary attention is organized has a firmer footing for deciding whether to invest in the heavier study a definitive answer would require. This dissertation is a worked example of that discipline applied to one problem, and its method is as much a part of its contribution as its specific numbers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45"/>
    <w:bookmarkStart w:id="146" w:name="Xf4e1e9f514cc62b06362ef8d78a0fefca173d29"/>
    <w:p>
      <w:pPr>
        <w:pStyle w:val="Heading2"/>
        <w:spacing w:line="480" w:lineRule="auto"/>
      </w:pPr>
      <w:r>
        <w:t xml:space="preserve">8.7 What a program office should take from this</w:t>
      </w:r>
    </w:p>
    <w:p>
      <w:pPr>
        <w:pStyle w:val="FirstParagraph"/>
        <w:spacing w:line="480" w:lineRule="auto"/>
      </w:pPr>
      <w:r>
        <w:t xml:space="preserve">Because the dissertation sits in a portfolio oriented toward cislunar infrastructure and space domain awareness, it is worth stating the practical takeaway in terms a program office would use. First, the open technical community’s attention to the cislunar coordination problem is organized and consolidating, which means a program that wants to shape a future right-of-way convention is not too early; there is a framing forming that engagement could influence. Second, the observability substrate that any convention depends on, cislunar orbit determination and sensor tasking, is where the community’s investment is concentrated, so a program seeking leverage on the convention should treat tracking capability as the near-term enabler rather than waiting for a rule to appear</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Third, and most operationally useful, citation is a poor guide to where the on-topic work lives at this stage, so a program scanning the literature to find partners or ideas should weight recent, densely on-topic technical work over highly-cited adjacent work. The negative citation coefficient is not a curiosity; it is a warning that the field’s most-cited papers are its surveys and its adjacent methods, not its sharpest coordination contributions. A program that ranked by citation would look in the wrong place. These are modest, defensible pieces of guidance, and they are exactly the kind a bounded documentary study is positioned to offer without overreaching into recommendations the evidence cannot support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6"/>
    <w:bookmarkStart w:id="147" w:name="Xaf858854b24898052e85ff3a2f5d9fb3f3c5267"/>
    <w:p>
      <w:pPr>
        <w:pStyle w:val="Heading2"/>
        <w:spacing w:line="480" w:lineRule="auto"/>
      </w:pPr>
      <w:r>
        <w:t xml:space="preserve">8.8 The limits restated as a mandate for the next study</w:t>
      </w:r>
    </w:p>
    <w:p>
      <w:pPr>
        <w:pStyle w:val="FirstParagraph"/>
        <w:spacing w:line="480" w:lineRule="auto"/>
      </w:pPr>
      <w:r>
        <w:t xml:space="preserve">The dissertation’s limits are not merely caveats; read correctly they are a specification for the study that should follow. This corpus was small, so the next study should be larger. Bigger, cleaner, deeper. The citation measure was a sparse local index, so the next should use a source with fuller coverage. That venue variable was entangled with metadata richness, so the next should normalize for metadata completeness. The topic-signal score inferred engagement from metadata, so the next should code coordination stance directly from full text. And the design could not separate coordination from funding or agenda-setting, so the next should gather the contextual evidence that would let those accounts be distinguished</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Each limit thus converts into a design requirement, and the sum of those requirements is a coherent successor study that the present result justifies building. That is the proper function of a design-stage dissertation: not to close the question but to establish that it is tractable and to specify, from its own boundaries, the instrument that would close it. Its value of the work is measured partly by the clarity of the study it makes possible, and the clarity here is high because the limits were named rather than hidden</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47"/>
    <w:bookmarkStart w:id="148" w:name="X2f899d578caf1883aa0fcaadcdeaf8312104116"/>
    <w:p>
      <w:pPr>
        <w:pStyle w:val="Heading2"/>
        <w:spacing w:line="480" w:lineRule="auto"/>
      </w:pPr>
      <w:r>
        <w:t xml:space="preserve">8.9 The contribution in the context of its field</w:t>
      </w:r>
    </w:p>
    <w:p>
      <w:pPr>
        <w:pStyle w:val="FirstParagraph"/>
        <w:spacing w:line="480" w:lineRule="auto"/>
      </w:pPr>
      <w:r>
        <w:t xml:space="preserve">It is worth placing the contribution against the state of the field one last time, because that placement is what fixes its size. Chapter 2 showed a technical community investing heavily in the observability substrate of cislunar operations, across orbit determination, sensor tasking, and the hard case of maneuvering objects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What that community has not produced is a rule, a debate about rules, or a study of how a rule would form. Into that gap the dissertation places a single, reproducible observation: the community’s written attention is already organized in a way consistent with a framing consolidating, even though no rule has been written. That observation does not exist elsewhere in the field, and its novelty is precisely its narrowness. It is the first quantitative screen of whether the cislunar coordination problem has begun to leave a documentary trace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screen’s answer, structured but young, is the kind of result a field needs early. Early, and useful. It tells the technical community that its framing is consolidating faster than its citation record can show, which reframes how the field should read its own literature: by recency and on-topic density rather than by citation. It tells the governance community that there is a framing to engage rather than a vacuum to fill. And it tells the next researcher exactly what heavier instrument to build. A contribution that does all three from thirty auditable records, without overclaiming any of them, is doing the work a design-stage dissertation is meant to do</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8"/>
    <w:bookmarkStart w:id="149" w:name="final-assessment-of-the-evidence"/>
    <w:p>
      <w:pPr>
        <w:pStyle w:val="Heading2"/>
        <w:spacing w:line="480" w:lineRule="auto"/>
      </w:pPr>
      <w:r>
        <w:t xml:space="preserve">8.10 Final assessment of the evidence</w:t>
      </w:r>
    </w:p>
    <w:p>
      <w:pPr>
        <w:pStyle w:val="FirstParagraph"/>
        <w:spacing w:line="480" w:lineRule="auto"/>
      </w:pPr>
      <w:r>
        <w:t xml:space="preserve">Standing back from the individual results, the evidence supports one sentence and refuses another. It supports the sentence that the open cislunar coordination literature is structured, consolidating in its framing, and immature in its citation dynamics. It refuses the sentence that operators have converged on a right-of-way rule, because nothing in the corpus observes operator behavior or codified convention. That sentence is not earned. The distance between those two sentences is the distance between what a documentary screen can establish and what the field ultimately wants to know, and the dissertation’s discipline is to occupy the first sentence fully while leaving the second to the study its own limits specify</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That discipline is the through-line of the whole work. Every chapter was built to keep the claim proportional to the evidence, from the falsifiable hypothesis in Chapter 1, through the advance-committed predictions in Chapter 3, to the exact reporting in Chapter 6 and the measurement-aware reading in Chapter 7. This result is a dissertation whose authority rests not on the size of its claim but on the tightness of the fit between claim and evidence, which is the authority a design-stage inquiry can legitimately earn</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49"/>
    <w:bookmarkStart w:id="150" w:name="closing"/>
    <w:p>
      <w:pPr>
        <w:pStyle w:val="Heading2"/>
        <w:spacing w:line="480" w:lineRule="auto"/>
      </w:pPr>
      <w:r>
        <w:t xml:space="preserve">8.11 Closing</w:t>
      </w:r>
    </w:p>
    <w:p>
      <w:pPr>
        <w:pStyle w:val="FirstParagraph"/>
        <w:spacing w:line="480" w:lineRule="auto"/>
      </w:pPr>
      <w:r>
        <w:t xml:space="preserve">The cislunar right-of-way problem will be decided eventually, by operators in the moment and by institutions over time, and the institutions will want to know whether the technical community was already converging when they acted. This dissertation supplies one honest, reproducible piece of that answer. The community’s written attention is organized, consistent with a framing consolidating; its citation dynamics are not yet mature, so citation is a poor guide for now. Both statements rest on the exact output of two transparent estimators, reported in full and interpreted no further than they allow. A design-stage dissertation cannot settle whether operators have converged on a tacit rule. It can establish, cleanly, that the question is worth the heavier study, and that is the contribution this one makes</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50"/>
    <w:bookmarkStart w:id="179" w:name="references"/>
    <w:p>
      <w:pPr>
        <w:pStyle w:val="Heading2"/>
        <w:spacing w:line="480" w:lineRule="auto"/>
      </w:pPr>
      <w:r>
        <w:t xml:space="preserve">References</w:t>
      </w:r>
    </w:p>
    <w:p>
      <w:pPr>
        <w:pStyle w:val="FirstParagraph"/>
        <w:spacing w:line="480" w:lineRule="auto"/>
      </w:pPr>
      <w:bookmarkStart w:id="151" w:name="ref-1"/>
      <w:bookmarkEnd w:id="151"/>
      <w:r>
        <w:t xml:space="preserve">1. Aaron J. Rosengren, University of California San Diego. Cislunar Multiscale Dynamics and Implications for SSA (2021). [AMOS]</w:t>
      </w:r>
    </w:p>
    <w:p>
      <w:pPr>
        <w:pStyle w:val="BodyText"/>
        <w:spacing w:line="480" w:lineRule="auto"/>
        <w:ind w:firstLine="720"/>
      </w:pPr>
      <w:bookmarkStart w:id="152" w:name="ref-2"/>
      <w:bookmarkEnd w:id="152"/>
      <w:r>
        <w:t xml:space="preserve">2.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153">
        <w:r>
          <w:rPr>
            <w:rStyle w:val="Hyperlink"/>
          </w:rPr>
          <w:t xml:space="preserve">10.64861/FBSC2978</w:t>
        </w:r>
      </w:hyperlink>
    </w:p>
    <w:p>
      <w:pPr>
        <w:pStyle w:val="BodyText"/>
        <w:spacing w:line="480" w:lineRule="auto"/>
        <w:ind w:firstLine="720"/>
      </w:pPr>
      <w:bookmarkStart w:id="154" w:name="ref-3"/>
      <w:bookmarkEnd w:id="154"/>
      <w:r>
        <w:t xml:space="preserve">3. Triet Tran, Braxton Technologies LLC. Application of a COTS Resource Optimization Framework to the SSN Sensor Tasking Domain – Part I: Problem Definition (2015). [AMOS]</w:t>
      </w:r>
    </w:p>
    <w:p>
      <w:pPr>
        <w:pStyle w:val="BodyText"/>
        <w:spacing w:line="480" w:lineRule="auto"/>
        <w:ind w:firstLine="720"/>
      </w:pPr>
      <w:bookmarkStart w:id="155" w:name="ref-4"/>
      <w:bookmarkEnd w:id="155"/>
      <w:r>
        <w:t xml:space="preserve">4. Sam Wishnek, University of Colorado Boulder; Marcus Holzinger, University of Colorado Boulder; Patrick Handley, Ball Aerospace. Robust Cislunar Initial Orbit Determination (2021). [AMOS]</w:t>
      </w:r>
    </w:p>
    <w:p>
      <w:pPr>
        <w:pStyle w:val="BodyText"/>
        <w:spacing w:line="480" w:lineRule="auto"/>
        <w:ind w:firstLine="720"/>
      </w:pPr>
      <w:bookmarkStart w:id="156" w:name="ref-5"/>
      <w:bookmarkEnd w:id="156"/>
      <w:r>
        <w:t xml:space="preserve">5. Jonathon Hope, Pennsylvania State University; Puneet Singla, The Pennsylvania State University; Roshan Eapen, Pennsylvania State University; Peter Kent, Peraton; Michael Goodman, Peraton; Joseph Diamond, Peraton. Multi-Order Single Shooting Scheme for Initial Orbit Determination for Cislunar Objects (2025). doi:</w:t>
      </w:r>
      <w:r>
        <w:t xml:space="preserve"> </w:t>
      </w:r>
      <w:hyperlink r:id="rId157">
        <w:r>
          <w:rPr>
            <w:rStyle w:val="Hyperlink"/>
          </w:rPr>
          <w:t xml:space="preserve">10.64861/TKNV3337</w:t>
        </w:r>
      </w:hyperlink>
    </w:p>
    <w:p>
      <w:pPr>
        <w:pStyle w:val="BodyText"/>
        <w:spacing w:line="480" w:lineRule="auto"/>
        <w:ind w:firstLine="720"/>
      </w:pPr>
      <w:bookmarkStart w:id="158" w:name="ref-6"/>
      <w:bookmarkEnd w:id="158"/>
      <w:r>
        <w:t xml:space="preserve">6. C. Channing Chow II, Cloudstone Innovations LLC; Charles J. Wetterer, KBR; Jason Baldwin, Complex Futures LLC; Micah Dilley, KBR; Keric Hill, KBR; Paul Billings, KBR; James Frith, AFRL/RVSW. Cislunar Orbit Determination Behavior: Processing Observations of Periodic Orbits with Gaussian Mixture Model Estimation Filters (2021). [AMOS]</w:t>
      </w:r>
    </w:p>
    <w:p>
      <w:pPr>
        <w:pStyle w:val="BodyText"/>
        <w:spacing w:line="480" w:lineRule="auto"/>
        <w:ind w:firstLine="720"/>
      </w:pPr>
      <w:bookmarkStart w:id="159" w:name="ref-7"/>
      <w:bookmarkEnd w:id="159"/>
      <w:r>
        <w:t xml:space="preserve">7. Casey Heidrich, University of Colorado Boulder; Marcus Holzinger, University of Colorado Boulder. Initial Orbit Determination from Ephemeris Models: Accurate Reconstruction of Maneuvering Cislunar Orbits Using Nonlinear Programming (2025). doi:</w:t>
      </w:r>
      <w:r>
        <w:t xml:space="preserve"> </w:t>
      </w:r>
      <w:hyperlink r:id="rId160">
        <w:r>
          <w:rPr>
            <w:rStyle w:val="Hyperlink"/>
          </w:rPr>
          <w:t xml:space="preserve">10.64861/JDBC3555</w:t>
        </w:r>
      </w:hyperlink>
    </w:p>
    <w:p>
      <w:pPr>
        <w:pStyle w:val="BodyText"/>
        <w:spacing w:line="480" w:lineRule="auto"/>
        <w:ind w:firstLine="720"/>
      </w:pPr>
      <w:bookmarkStart w:id="161" w:name="ref-8"/>
      <w:bookmarkEnd w:id="161"/>
      <w:r>
        <w:t xml:space="preserve">8. Reuben Settergren, BAE Systems. Resection of Long-Range Sensor Models for Mono and Stereo Exploitation of Non-Earth Imagery (2024). doi:</w:t>
      </w:r>
      <w:r>
        <w:t xml:space="preserve"> </w:t>
      </w:r>
      <w:hyperlink r:id="rId162">
        <w:r>
          <w:rPr>
            <w:rStyle w:val="Hyperlink"/>
          </w:rPr>
          <w:t xml:space="preserve">10.64861/OAYK5409</w:t>
        </w:r>
      </w:hyperlink>
    </w:p>
    <w:p>
      <w:pPr>
        <w:pStyle w:val="BodyText"/>
        <w:spacing w:line="480" w:lineRule="auto"/>
        <w:ind w:firstLine="720"/>
      </w:pPr>
      <w:bookmarkStart w:id="163" w:name="ref-9"/>
      <w:bookmarkEnd w:id="163"/>
      <w:r>
        <w:t xml:space="preserve">9. Karel Hernández Bandrich; Steven Tragesser. Exoplanet imaging along a time-varying focal line using tethered spacecraft (2025). doi:</w:t>
      </w:r>
      <w:r>
        <w:t xml:space="preserve"> </w:t>
      </w:r>
      <w:hyperlink r:id="rId164">
        <w:r>
          <w:rPr>
            <w:rStyle w:val="Hyperlink"/>
          </w:rPr>
          <w:t xml:space="preserve">10.1016/j.actaastro.2024.12.058</w:t>
        </w:r>
      </w:hyperlink>
    </w:p>
    <w:p>
      <w:pPr>
        <w:pStyle w:val="BodyText"/>
        <w:spacing w:line="480" w:lineRule="auto"/>
        <w:ind w:firstLine="720"/>
      </w:pPr>
      <w:bookmarkStart w:id="165" w:name="ref-10"/>
      <w:bookmarkEnd w:id="165"/>
      <w:r>
        <w:t xml:space="preserve">10. S. Kazemi; Nasser L. Azad; Kuindersma Scott; Haroon B. Oqab; George B. Dietrich. Orbit determination for space situational awareness: A survey (2024). doi:</w:t>
      </w:r>
      <w:r>
        <w:t xml:space="preserve"> </w:t>
      </w:r>
      <w:hyperlink r:id="rId166">
        <w:r>
          <w:rPr>
            <w:rStyle w:val="Hyperlink"/>
          </w:rPr>
          <w:t xml:space="preserve">10.1016/j.actaastro.2024.06.015</w:t>
        </w:r>
      </w:hyperlink>
    </w:p>
    <w:p>
      <w:pPr>
        <w:pStyle w:val="BodyText"/>
        <w:spacing w:line="480" w:lineRule="auto"/>
        <w:ind w:firstLine="720"/>
      </w:pPr>
      <w:bookmarkStart w:id="167" w:name="ref-11"/>
      <w:bookmarkEnd w:id="167"/>
      <w:r>
        <w:t xml:space="preserve">11. Ahmed Mahfouz; Gabriella Gaias; Florio Dalla Vedova; Holger Voos. Delta-V-optimal centralized guidance strategy for under-actuated N-satellite formations (2024). doi:</w:t>
      </w:r>
      <w:r>
        <w:t xml:space="preserve"> </w:t>
      </w:r>
      <w:hyperlink r:id="rId168">
        <w:r>
          <w:rPr>
            <w:rStyle w:val="Hyperlink"/>
          </w:rPr>
          <w:t xml:space="preserve">10.1016/j.actaastro.2024.11.048</w:t>
        </w:r>
      </w:hyperlink>
    </w:p>
    <w:p>
      <w:pPr>
        <w:pStyle w:val="BodyText"/>
        <w:spacing w:line="480" w:lineRule="auto"/>
        <w:ind w:firstLine="720"/>
      </w:pPr>
      <w:bookmarkStart w:id="169" w:name="ref-12"/>
      <w:bookmarkEnd w:id="169"/>
      <w:r>
        <w:t xml:space="preserve">12. Simon L. Wüest; Geraldine Cerretti; Jennifer Wadsworth; Cindy Follonier; Karin F. Rattenbacher-Kiser; Timothy J. Bradley; Marcel Egli; Fabian Ille. Cytosolic calcium and membrane potential in articular chondrocytes during parabolic flight (2022). doi:</w:t>
      </w:r>
      <w:r>
        <w:t xml:space="preserve"> </w:t>
      </w:r>
      <w:hyperlink r:id="rId170">
        <w:r>
          <w:rPr>
            <w:rStyle w:val="Hyperlink"/>
          </w:rPr>
          <w:t xml:space="preserve">10.1016/j.actaastro.2022.01.016</w:t>
        </w:r>
      </w:hyperlink>
    </w:p>
    <w:p>
      <w:pPr>
        <w:pStyle w:val="BodyText"/>
        <w:spacing w:line="480" w:lineRule="auto"/>
        <w:ind w:firstLine="720"/>
      </w:pPr>
      <w:bookmarkStart w:id="171" w:name="ref-13"/>
      <w:bookmarkEnd w:id="171"/>
      <w:r>
        <w:t xml:space="preserve">13. Carlos Rubio; Adrián Delgado; Adrián García-Gutiérrez; Alberto Escapa. Waveform relaxation method for parallel orbital propagation (2025). doi:</w:t>
      </w:r>
      <w:r>
        <w:t xml:space="preserve"> </w:t>
      </w:r>
      <w:hyperlink r:id="rId172">
        <w:r>
          <w:rPr>
            <w:rStyle w:val="Hyperlink"/>
          </w:rPr>
          <w:t xml:space="preserve">10.1016/j.actaastro.2025.01.057</w:t>
        </w:r>
      </w:hyperlink>
    </w:p>
    <w:p>
      <w:pPr>
        <w:pStyle w:val="BodyText"/>
        <w:spacing w:line="480" w:lineRule="auto"/>
        <w:ind w:firstLine="720"/>
      </w:pPr>
      <w:bookmarkStart w:id="173" w:name="ref-14"/>
      <w:bookmarkEnd w:id="173"/>
      <w:r>
        <w:t xml:space="preserve">14. Eberhard Gill; S. E. Palo. Towards a GNSS-assisted autonomous heterogeneous clock system for very small satellites in the Earth-Moon system (2025). doi:</w:t>
      </w:r>
      <w:r>
        <w:t xml:space="preserve"> </w:t>
      </w:r>
      <w:hyperlink r:id="rId174">
        <w:r>
          <w:rPr>
            <w:rStyle w:val="Hyperlink"/>
          </w:rPr>
          <w:t xml:space="preserve">10.1016/j.actaastro.2025.04.043</w:t>
        </w:r>
      </w:hyperlink>
    </w:p>
    <w:p>
      <w:pPr>
        <w:pStyle w:val="BodyText"/>
        <w:spacing w:line="480" w:lineRule="auto"/>
        <w:ind w:firstLine="720"/>
      </w:pPr>
      <w:bookmarkStart w:id="175" w:name="ref-15"/>
      <w:bookmarkEnd w:id="175"/>
      <w:r>
        <w:t xml:space="preserve">15. Zeno Pavanello; Laura Pirovano; Roberto Armellin. Efficient collision avoidance manoeuvres under multiple polynomial constraints (2025). doi:</w:t>
      </w:r>
      <w:r>
        <w:t xml:space="preserve"> </w:t>
      </w:r>
      <w:hyperlink r:id="rId176">
        <w:r>
          <w:rPr>
            <w:rStyle w:val="Hyperlink"/>
          </w:rPr>
          <w:t xml:space="preserve">10.1016/j.actaastro.2025.05.002</w:t>
        </w:r>
      </w:hyperlink>
    </w:p>
    <w:p>
      <w:pPr>
        <w:pStyle w:val="BodyText"/>
        <w:spacing w:line="480" w:lineRule="auto"/>
        <w:ind w:firstLine="720"/>
      </w:pPr>
      <w:bookmarkStart w:id="177" w:name="ref-16"/>
      <w:bookmarkEnd w:id="177"/>
      <w:r>
        <w:t xml:space="preserve">16. Yangyang Ma; Binfeng Pan; Qingdu Tan. Neural convex optimization for real-time trajectory generation of asteroid landings (2025). doi:</w:t>
      </w:r>
      <w:r>
        <w:t xml:space="preserve"> </w:t>
      </w:r>
      <w:hyperlink r:id="rId178">
        <w:r>
          <w:rPr>
            <w:rStyle w:val="Hyperlink"/>
          </w:rPr>
          <w:t xml:space="preserve">10.1016/j.actaastro.2025.01.009</w:t>
        </w:r>
      </w:hyperlink>
    </w:p>
    <w:bookmarkEnd w:id="179"/>
    <w:bookmarkEnd w:id="180"/>
    <w:bookmarkStart w:id="19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8" w:name="X87400ad806aba00a5e01e095764da3e7ab2cff8"/>
    <w:p>
      <w:pPr>
        <w:pStyle w:val="Heading2"/>
        <w:spacing w:line="480" w:lineRule="auto"/>
      </w:pPr>
      <w:r>
        <w:t xml:space="preserve">A.1 Signal Intensity in The Focal-Point Problem in Cislunar Right-of-Way Do Operators Converge on Tacit: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6.5876</w:t>
            </w:r>
          </w:p>
        </w:tc>
        <w:tc>
          <w:tcPr>
            <w:tcW w:w="0" w:type="auto"/>
          </w:tcPr>
          <w:p>
            <w:pPr>
              <w:spacing w:line="240" w:lineRule="auto" w:before="0" w:after="0"/>
              <w:pStyle w:val="Compact"/>
            </w:pPr>
            <w:r>
              <w:rPr>
                <w:sz w:val="20"/>
                <w:szCs w:val="20"/>
              </w:rPr>
              <w:t xml:space="preserve">1.7865</w:t>
            </w:r>
          </w:p>
        </w:tc>
        <w:tc>
          <w:tcPr>
            <w:tcW w:w="0" w:type="auto"/>
          </w:tcPr>
          <w:p>
            <w:pPr>
              <w:spacing w:line="240" w:lineRule="auto" w:before="0" w:after="0"/>
              <w:pStyle w:val="Compact"/>
            </w:pPr>
            <w:r>
              <w:rPr>
                <w:sz w:val="20"/>
                <w:szCs w:val="20"/>
              </w:rPr>
              <w:t xml:space="preserve">3.6874</w:t>
            </w:r>
          </w:p>
        </w:tc>
        <w:tc>
          <w:tcPr>
            <w:tcW w:w="0" w:type="auto"/>
          </w:tcPr>
          <w:p>
            <w:pPr>
              <w:spacing w:line="240" w:lineRule="auto" w:before="0" w:after="0"/>
              <w:pStyle w:val="Compact"/>
            </w:pPr>
            <w:r>
              <w:rPr>
                <w:sz w:val="20"/>
                <w:szCs w:val="20"/>
              </w:rPr>
              <w:t xml:space="preserve">0.0002265</w:t>
            </w:r>
          </w:p>
        </w:tc>
        <w:tc>
          <w:tcPr>
            <w:tcW w:w="0" w:type="auto"/>
          </w:tcPr>
          <w:p>
            <w:pPr>
              <w:spacing w:line="240" w:lineRule="auto" w:before="0" w:after="0"/>
              <w:pStyle w:val="Compact"/>
            </w:pPr>
            <w:r>
              <w:rPr>
                <w:sz w:val="20"/>
                <w:szCs w:val="20"/>
              </w:rPr>
              <w:t xml:space="preserve">[3.0861, 10.0891]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0.3558</w:t>
            </w:r>
          </w:p>
        </w:tc>
        <w:tc>
          <w:tcPr>
            <w:tcW w:w="0" w:type="auto"/>
          </w:tcPr>
          <w:p>
            <w:pPr>
              <w:spacing w:line="240" w:lineRule="auto" w:before="0" w:after="0"/>
              <w:pStyle w:val="Compact"/>
            </w:pPr>
            <w:r>
              <w:rPr>
                <w:sz w:val="20"/>
                <w:szCs w:val="20"/>
              </w:rPr>
              <w:t xml:space="preserve">0.1645</w:t>
            </w:r>
          </w:p>
        </w:tc>
        <w:tc>
          <w:tcPr>
            <w:tcW w:w="0" w:type="auto"/>
          </w:tcPr>
          <w:p>
            <w:pPr>
              <w:spacing w:line="240" w:lineRule="auto" w:before="0" w:after="0"/>
              <w:pStyle w:val="Compact"/>
            </w:pPr>
            <w:r>
              <w:rPr>
                <w:sz w:val="20"/>
                <w:szCs w:val="20"/>
              </w:rPr>
              <w:t xml:space="preserve">2.1626</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[0.0333, 0.6783]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-3.5628</w:t>
            </w:r>
          </w:p>
        </w:tc>
        <w:tc>
          <w:tcPr>
            <w:tcW w:w="0" w:type="auto"/>
          </w:tcPr>
          <w:p>
            <w:pPr>
              <w:spacing w:line="240" w:lineRule="auto" w:before="0" w:after="0"/>
              <w:pStyle w:val="Compact"/>
            </w:pPr>
            <w:r>
              <w:rPr>
                <w:sz w:val="20"/>
                <w:szCs w:val="20"/>
              </w:rPr>
              <w:t xml:space="preserve">0.0003669</w:t>
            </w:r>
          </w:p>
        </w:tc>
        <w:tc>
          <w:tcPr>
            <w:tcW w:w="0" w:type="auto"/>
          </w:tcPr>
          <w:p>
            <w:pPr>
              <w:spacing w:line="240" w:lineRule="auto" w:before="0" w:after="0"/>
              <w:pStyle w:val="Compact"/>
            </w:pPr>
            <w:r>
              <w:rPr>
                <w:sz w:val="20"/>
                <w:szCs w:val="20"/>
              </w:rPr>
              <w:t xml:space="preserve">[-0.248, -0.072]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-2.5545</w:t>
            </w:r>
          </w:p>
        </w:tc>
        <w:tc>
          <w:tcPr>
            <w:tcW w:w="0" w:type="auto"/>
          </w:tcPr>
          <w:p>
            <w:pPr>
              <w:spacing w:line="240" w:lineRule="auto" w:before="0" w:after="0"/>
              <w:pStyle w:val="Compact"/>
            </w:pPr>
            <w:r>
              <w:rPr>
                <w:sz w:val="20"/>
                <w:szCs w:val="20"/>
              </w:rPr>
              <w:t xml:space="preserve">0.4211</w:t>
            </w:r>
          </w:p>
        </w:tc>
        <w:tc>
          <w:tcPr>
            <w:tcW w:w="0" w:type="auto"/>
          </w:tcPr>
          <w:p>
            <w:pPr>
              <w:spacing w:line="240" w:lineRule="auto" w:before="0" w:after="0"/>
              <w:pStyle w:val="Compact"/>
            </w:pPr>
            <w:r>
              <w:rPr>
                <w:sz w:val="20"/>
                <w:szCs w:val="20"/>
              </w:rPr>
              <w:t xml:space="preserve">-6.0662</w:t>
            </w:r>
          </w:p>
        </w:tc>
        <w:tc>
          <w:tcPr>
            <w:tcW w:w="0" w:type="auto"/>
          </w:tcPr>
          <w:p>
            <w:pPr>
              <w:spacing w:line="240" w:lineRule="auto" w:before="0" w:after="0"/>
              <w:pStyle w:val="Compact"/>
            </w:pPr>
            <w:r>
              <w:rPr>
                <w:sz w:val="20"/>
                <w:szCs w:val="20"/>
              </w:rPr>
              <w:t xml:space="preserve">1.31e-09</w:t>
            </w:r>
          </w:p>
        </w:tc>
        <w:tc>
          <w:tcPr>
            <w:tcW w:w="0" w:type="auto"/>
          </w:tcPr>
          <w:p>
            <w:pPr>
              <w:spacing w:line="240" w:lineRule="auto" w:before="0" w:after="0"/>
              <w:pStyle w:val="Compact"/>
            </w:pPr>
            <w:r>
              <w:rPr>
                <w:sz w:val="20"/>
                <w:szCs w:val="20"/>
              </w:rPr>
              <w:t xml:space="preserve">[-3.3798, -1.7291]</w:t>
            </w:r>
          </w:p>
        </w:tc>
      </w:tr>
    </w:tbl>
    <w:p>
      <w:pPr>
        <w:pStyle w:val="BodyText"/>
        <w:spacing w:line="480" w:lineRule="auto"/>
        <w:ind w:firstLine="720"/>
      </w:pPr>
      <w:r>
        <w:t xml:space="preserve">Fit: N = 30 R2 = 0.5571 R2_adj = 0.506 F = 22.0011 F_p = 2.635e-07</w:t>
      </w:r>
    </w:p>
    <w:bookmarkEnd w:id="181"/>
    <w:bookmarkStart w:id="18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3" name="Picture"/>
            <a:graphic>
              <a:graphicData uri="http://schemas.openxmlformats.org/drawingml/2006/picture">
                <pic:pic>
                  <pic:nvPicPr>
                    <pic:cNvPr descr="D:/Claude_Code/brain/collegium/candidates/dissertations/STM_CISLUNAR_04/research_papers/p1/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5"/>
    <w:bookmarkStart w:id="18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https://amostech.space/year/2015/application-of-a-cots-resource-optimization-framework-to-the-ssn-sensor-tasking-domain-part-i-problem-definition/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https://amostech.space/year/2021/robust-cislunar-initial-orbit-determination/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10.64861/TKNV3337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https://amostech.space/year/2021/cislunar-orbit-determination-behavior-processing-observations-of-periodic-orbits-with-gaussian-mixture-model-estimation-filters/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10.64861/OAYK5409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10.64861/JBDG7304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https://amostech.space/year/2022/cislunar-space-situational-awareness-sensor-tasking-using-deep-reinforcement-learning-agents/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https://amostech.space/year/2018/satellite-characterization-classification-and-operational-assessment-via-the-exploitation-of-remote-photoacoustic-signatures/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10.1016/j.actaastro.2024.11.048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10.1016/j.actaastro.2023.03.020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10.3390/world7020018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Wicked Problem of Space Debris (System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bl>
    <w:bookmarkEnd w:id="186"/>
    <w:bookmarkStart w:id="18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7"/>
    <w:bookmarkEnd w:id="188"/>
    <w:bookmarkStart w:id="196" w:name="X15821b2ef01dad08941079aae9dde77473b0e4d"/>
    <w:p>
      <w:pPr>
        <w:pStyle w:val="Heading2"/>
        <w:spacing w:line="480" w:lineRule="auto"/>
      </w:pPr>
      <w:r>
        <w:t xml:space="preserve">A.2 Attention Accumulation in The Focal-Point Problem in Cislunar Right-of-Way Do Operators Converge on Tacit: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1.8507</w:t>
            </w:r>
          </w:p>
        </w:tc>
        <w:tc>
          <w:tcPr>
            <w:tcW w:w="0" w:type="auto"/>
          </w:tcPr>
          <w:p>
            <w:pPr>
              <w:spacing w:line="240" w:lineRule="auto" w:before="0" w:after="0"/>
              <w:pStyle w:val="Compact"/>
            </w:pPr>
            <w:r>
              <w:rPr>
                <w:sz w:val="20"/>
                <w:szCs w:val="20"/>
              </w:rPr>
              <w:t xml:space="preserve">0.0642</w:t>
            </w:r>
          </w:p>
        </w:tc>
        <w:tc>
          <w:tcPr>
            <w:tcW w:w="0" w:type="auto"/>
          </w:tcPr>
          <w:p>
            <w:pPr>
              <w:spacing w:line="240" w:lineRule="auto" w:before="0" w:after="0"/>
              <w:pStyle w:val="Compact"/>
            </w:pPr>
            <w:r>
              <w:rPr>
                <w:sz w:val="20"/>
                <w:szCs w:val="20"/>
              </w:rPr>
              <w:t xml:space="preserve">[-0.0512, 1.7857]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-0.2682</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0.3209</w:t>
            </w:r>
          </w:p>
        </w:tc>
        <w:tc>
          <w:tcPr>
            <w:tcW w:w="0" w:type="auto"/>
          </w:tcPr>
          <w:p>
            <w:pPr>
              <w:spacing w:line="240" w:lineRule="auto" w:before="0" w:after="0"/>
              <w:pStyle w:val="Compact"/>
            </w:pPr>
            <w:r>
              <w:rPr>
                <w:sz w:val="20"/>
                <w:szCs w:val="20"/>
              </w:rPr>
              <w:t xml:space="preserve">[-0.7979, 0.2614]</w:t>
            </w:r>
          </w:p>
        </w:tc>
      </w:tr>
    </w:tbl>
    <w:p>
      <w:pPr>
        <w:pStyle w:val="BodyText"/>
        <w:spacing w:line="480" w:lineRule="auto"/>
        <w:ind w:firstLine="720"/>
      </w:pPr>
      <w:r>
        <w:t xml:space="preserve">Fit: N = 30 R2 = 0.0276 elasticity_b = -0.2682 progress_ratio_2^b = 0.8303</w:t>
      </w:r>
    </w:p>
    <w:bookmarkEnd w:id="189"/>
    <w:bookmarkStart w:id="19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1" name="Picture"/>
            <a:graphic>
              <a:graphicData uri="http://schemas.openxmlformats.org/drawingml/2006/picture">
                <pic:pic>
                  <pic:nvPicPr>
                    <pic:cNvPr descr="D:/Claude_Code/brain/collegium/candidates/dissertations/STM_CISLUNAR_04/research_papers/p2/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3"/>
    <w:bookmarkStart w:id="19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https://amostech.space/year/2015/application-of-a-cots-resource-optimization-framework-to-the-ssn-sensor-tasking-domain-part-i-problem-definition/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https://amostech.space/year/2021/robust-cislunar-initial-orbit-determination/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10.64861/TKNV3337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https://amostech.space/year/2021/cislunar-orbit-determination-behavior-processing-observations-of-periodic-orbits-with-gaussian-mixture-model-estimation-filters/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10.64861/OAYK5409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10.64861/JBDG7304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https://amostech.space/year/2022/cislunar-space-situational-awareness-sensor-tasking-using-deep-reinforcement-learning-agents/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https://amostech.space/year/2018/satellite-characterization-classification-and-operational-assessment-via-the-exploitation-of-remote-photoacoustic-signatures/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10.1016/j.actaastro.2024.11.048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10.1016/j.actaastro.2023.03.020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10.3390/world7020018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Wicked Problem of Space Debris (System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bl>
    <w:bookmarkEnd w:id="194"/>
    <w:bookmarkStart w:id="19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5"/>
    <w:bookmarkEnd w:id="196"/>
    <w:bookmarkEnd w:id="19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2" Type="http://schemas.openxmlformats.org/officeDocument/2006/relationships/image" Target="media/rId182.png"/><Relationship Id="rId190" Type="http://schemas.openxmlformats.org/officeDocument/2006/relationships/image" Target="media/rId190.png"/><Relationship Id="rId170" Type="http://schemas.openxmlformats.org/officeDocument/2006/relationships/hyperlink" Target="https://doi.org/10.1016/j.actaastro.2022.01.016" TargetMode="External"/><Relationship Id="rId166" Type="http://schemas.openxmlformats.org/officeDocument/2006/relationships/hyperlink" Target="https://doi.org/10.1016/j.actaastro.2024.06.015" TargetMode="External"/><Relationship Id="rId168" Type="http://schemas.openxmlformats.org/officeDocument/2006/relationships/hyperlink" Target="https://doi.org/10.1016/j.actaastro.2024.11.048" TargetMode="External"/><Relationship Id="rId164" Type="http://schemas.openxmlformats.org/officeDocument/2006/relationships/hyperlink" Target="https://doi.org/10.1016/j.actaastro.2024.12.058" TargetMode="External"/><Relationship Id="rId178" Type="http://schemas.openxmlformats.org/officeDocument/2006/relationships/hyperlink" Target="https://doi.org/10.1016/j.actaastro.2025.01.009" TargetMode="External"/><Relationship Id="rId172" Type="http://schemas.openxmlformats.org/officeDocument/2006/relationships/hyperlink" Target="https://doi.org/10.1016/j.actaastro.2025.01.057" TargetMode="External"/><Relationship Id="rId174" Type="http://schemas.openxmlformats.org/officeDocument/2006/relationships/hyperlink" Target="https://doi.org/10.1016/j.actaastro.2025.04.043" TargetMode="External"/><Relationship Id="rId176" Type="http://schemas.openxmlformats.org/officeDocument/2006/relationships/hyperlink" Target="https://doi.org/10.1016/j.actaastro.2025.05.002" TargetMode="External"/><Relationship Id="rId153" Type="http://schemas.openxmlformats.org/officeDocument/2006/relationships/hyperlink" Target="https://doi.org/10.64861/FBSC2978" TargetMode="External"/><Relationship Id="rId160" Type="http://schemas.openxmlformats.org/officeDocument/2006/relationships/hyperlink" Target="https://doi.org/10.64861/JDBC3555" TargetMode="External"/><Relationship Id="rId162" Type="http://schemas.openxmlformats.org/officeDocument/2006/relationships/hyperlink" Target="https://doi.org/10.64861/OAYK5409" TargetMode="External"/><Relationship Id="rId157" Type="http://schemas.openxmlformats.org/officeDocument/2006/relationships/hyperlink" Target="https://doi.org/10.64861/TKNV3337" TargetMode="External"/></Relationships>
</file>

<file path=word/_rels/footnotes.xml.rels><?xml version='1.0' encoding='UTF-8' standalone='yes'?>
<Relationships xmlns="http://schemas.openxmlformats.org/package/2006/relationships"><Relationship Id="rId170" Type="http://schemas.openxmlformats.org/officeDocument/2006/relationships/hyperlink" Target="https://doi.org/10.1016/j.actaastro.2022.01.016" TargetMode="External"/><Relationship Id="rId166" Type="http://schemas.openxmlformats.org/officeDocument/2006/relationships/hyperlink" Target="https://doi.org/10.1016/j.actaastro.2024.06.015" TargetMode="External"/><Relationship Id="rId168" Type="http://schemas.openxmlformats.org/officeDocument/2006/relationships/hyperlink" Target="https://doi.org/10.1016/j.actaastro.2024.11.048" TargetMode="External"/><Relationship Id="rId164" Type="http://schemas.openxmlformats.org/officeDocument/2006/relationships/hyperlink" Target="https://doi.org/10.1016/j.actaastro.2024.12.058" TargetMode="External"/><Relationship Id="rId178" Type="http://schemas.openxmlformats.org/officeDocument/2006/relationships/hyperlink" Target="https://doi.org/10.1016/j.actaastro.2025.01.009" TargetMode="External"/><Relationship Id="rId172" Type="http://schemas.openxmlformats.org/officeDocument/2006/relationships/hyperlink" Target="https://doi.org/10.1016/j.actaastro.2025.01.057" TargetMode="External"/><Relationship Id="rId174" Type="http://schemas.openxmlformats.org/officeDocument/2006/relationships/hyperlink" Target="https://doi.org/10.1016/j.actaastro.2025.04.043" TargetMode="External"/><Relationship Id="rId176" Type="http://schemas.openxmlformats.org/officeDocument/2006/relationships/hyperlink" Target="https://doi.org/10.1016/j.actaastro.2025.05.002" TargetMode="External"/><Relationship Id="rId153" Type="http://schemas.openxmlformats.org/officeDocument/2006/relationships/hyperlink" Target="https://doi.org/10.64861/FBSC2978" TargetMode="External"/><Relationship Id="rId160" Type="http://schemas.openxmlformats.org/officeDocument/2006/relationships/hyperlink" Target="https://doi.org/10.64861/JDBC3555" TargetMode="External"/><Relationship Id="rId162" Type="http://schemas.openxmlformats.org/officeDocument/2006/relationships/hyperlink" Target="https://doi.org/10.64861/OAYK5409" TargetMode="External"/><Relationship Id="rId157" Type="http://schemas.openxmlformats.org/officeDocument/2006/relationships/hyperlink" Target="https://doi.org/10.64861/TKNV33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Focal-Point Problem in Cislunar Right-of-Way: Do Operators Converge on Tacit</dc:title>
  <dc:creator>Kofi Zhang (1B-SDA-228)</dc:creator>
  <cp:keywords/>
  <dcterms:created xsi:type="dcterms:W3CDTF">2026-07-03T00:01:25Z</dcterms:created>
  <dcterms:modified xsi:type="dcterms:W3CDTF">2026-07-03T00:01:25Z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