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3abc2ab1a87f96085a54cd9a1ed9bc13f53cf48"/>
    <w:p>
      <w:pPr>
        <w:pStyle w:val="Heading1"/>
      </w:pPr>
      <w:r>
        <w:t xml:space="preserve">Attention Accumulation in Whose Numbers Win Cross-Catalog Disagreement as a Predictor of STM Coordination: A Learning-Curve Analysis of Citation Growth by Article Age</w:t>
      </w:r>
    </w:p>
    <w:bookmarkStart w:id="61" w:name="introduction"/>
    <w:p>
      <w:pPr>
        <w:pStyle w:val="Heading2"/>
      </w:pPr>
      <w:r>
        <w:t xml:space="preserve">1. Introduction</w:t>
      </w:r>
    </w:p>
    <w:p>
      <w:pPr>
        <w:pStyle w:val="FirstParagraph"/>
      </w:pPr>
      <w:r>
        <w:t xml:space="preserve">This empirical paper supports Pavel Bjornson (1B-SDA-172) and the dissertation project</w:t>
      </w:r>
      <w:r>
        <w:t xml:space="preserve"> </w:t>
      </w:r>
      <w:r>
        <w:rPr>
          <w:i/>
          <w:iCs/>
        </w:rPr>
        <w:t xml:space="preserve">Whose Numbers Win? Cross-Catalog Disagreement as a Predictor of STM Coordination</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R2=0.07229007213298921, elasticity_b=-0.6167183468708546, progress_ratio_2^b=0.6521526730592376. The exact term summary is: const coef=1.9759609951390478 p=0.00011011350076524471; _ln_x coef=-0.6167183468708546 p=0.028447456556840955.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Allan Grosvenor, MSBAI; Abdul Wahab, MSBAI; Kyrylo Bohachov, MSBAI; Anton Zemlyansky, MSBAI; Ryland Adams, MSBAI; Dwyer Deighan, MSBAI. Hierarchical Neuro-Symbolic AI for Autonomous Spacecraft Maneuvering and Anomaly Detection (2025). doi:</w:t>
      </w:r>
      <w:r>
        <w:t xml:space="preserve"> </w:t>
      </w:r>
      <w:hyperlink r:id="rId68">
        <w:r>
          <w:rPr>
            <w:rStyle w:val="Hyperlink"/>
          </w:rPr>
          <w:t xml:space="preserve">10.64861/RAAN7205</w:t>
        </w:r>
      </w:hyperlink>
      <w:r>
        <w:t xml:space="preserve"> </w:t>
      </w:r>
      <w:bookmarkStart w:id="69" w:name="ref-2"/>
      <w:bookmarkEnd w:id="69"/>
      <w:r>
        <w:t xml:space="preserve">2. Alexandria M. Russell, Northrop Grumman Mission Systems, Randall J. Alliss, Northrop Grumman Mission Systems, Billy D. Felton, Northrop Grumman Mission Systems. A Deep Machine Learning Algorithm to Optimize the Forecast of Atmospherics (2017). [AMOS]</w:t>
      </w:r>
      <w:r>
        <w:t xml:space="preserve"> </w:t>
      </w:r>
      <w:bookmarkStart w:id="70" w:name="ref-3"/>
      <w:bookmarkEnd w:id="70"/>
      <w:r>
        <w:t xml:space="preserve">3. Jehyun Cha, Hanyang University; Joonghyun Ryu, Hanyang University; Chanyoung Song, Hanyang University; Misoon Mah, Air Force Office of Scientific Research (AFOSR); Roberto Furfaro, University of Arizona; Deok-Soo Kim, Hanyang University. COOP: A webserver for conjunction management for large satelite constellations using dynamic Voronoi diagram (2020). doi:</w:t>
      </w:r>
      <w:r>
        <w:t xml:space="preserve"> </w:t>
      </w:r>
      <w:hyperlink r:id="rId71">
        <w:r>
          <w:rPr>
            <w:rStyle w:val="Hyperlink"/>
          </w:rPr>
          <w:t xml:space="preserve">10.1109/TVCG.2019.2959321</w:t>
        </w:r>
      </w:hyperlink>
      <w:r>
        <w:t xml:space="preserve"> </w:t>
      </w:r>
      <w:bookmarkStart w:id="72" w:name="ref-4"/>
      <w:bookmarkEnd w:id="72"/>
      <w:r>
        <w:t xml:space="preserve">4. Pablo Minguijon Pallas, Eutelsat Group; Calum Hervieu, Eutelsat Group; Ignacio Dominguez-Adame Palomo, Eutelsat Group. Space Traffic Management Performance for Large Constellations – A Self-reporting Aggregated Realized Risk Approach from the OneWeb Constellation (2025). doi:</w:t>
      </w:r>
      <w:r>
        <w:t xml:space="preserve"> </w:t>
      </w:r>
      <w:hyperlink r:id="rId73">
        <w:r>
          <w:rPr>
            <w:rStyle w:val="Hyperlink"/>
          </w:rPr>
          <w:t xml:space="preserve">10.64861/AJUV7773</w:t>
        </w:r>
      </w:hyperlink>
      <w:r>
        <w:t xml:space="preserve"> </w:t>
      </w:r>
      <w:bookmarkStart w:id="74" w:name="ref-5"/>
      <w:bookmarkEnd w:id="74"/>
      <w:r>
        <w:t xml:space="preserve">5. Mark Mulrooney (NASA-JSC/MEI Tech), Mark J. Matney, Ph.D.(Mark J. Matney, Ph.D. (NASA Johnson Space Center). Derivation and Application of a Global Albedo Yielding an Optical Brightness to Physical Size Transformation Free of Systematic Errors (2007). [AMOS]</w:t>
      </w:r>
      <w:r>
        <w:t xml:space="preserve"> </w:t>
      </w:r>
      <w:bookmarkStart w:id="75" w:name="ref-6"/>
      <w:bookmarkEnd w:id="75"/>
      <w:r>
        <w:t xml:space="preserve">6. Jorge O’Farrill, Modern Technology Solutions Inc.; Tracy Mims, Modern Technology Solutions Inc.; Tad Janik, Modern Technology Solutions Inc.; Ivan A. Fernandez, Modern Technology Solutions Inc., Mississippi University. Multi-Phenomenology Characterization of Space Objects Using Reinforcement Learning (2022). [AMOS]</w:t>
      </w:r>
      <w:r>
        <w:t xml:space="preserve"> </w:t>
      </w:r>
      <w:bookmarkStart w:id="76" w:name="ref-7"/>
      <w:bookmarkEnd w:id="76"/>
      <w:r>
        <w:t xml:space="preserve">7. Weston Faber, L3Harris. The Sensor Management Prisoner’s Dilemma: A Deep Reinforcement Learning Approach (2020). [AMOS]</w:t>
      </w:r>
      <w:r>
        <w:t xml:space="preserve"> </w:t>
      </w:r>
      <w:bookmarkStart w:id="77" w:name="ref-8"/>
      <w:bookmarkEnd w:id="77"/>
      <w:r>
        <w:t xml:space="preserve">8. Austin Probe, Emergent Space Technologies, Inc.; Graham Bryan, Emergent Space Technologies, Inc.; Timothy Woodbury, Emergent Space Technologies, Inc.; Evan Novak, Emergent Space Technologies, Inc.; Shiva Iyer, The University of Texas at Austin; Apoorva Karra, The University of Texas at Austin; Moriba Jah, University of Texas at Austin. Prototype Infrastructure for Autonomous On-board Conjunction Assessment and Collision Avoidance (2022). [AMOS]</w:t>
      </w:r>
    </w:p>
    <w:bookmarkEnd w:id="78"/>
    <w:bookmarkStart w:id="79"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0.511</w:t>
            </w:r>
          </w:p>
        </w:tc>
        <w:tc>
          <w:tcPr>
            <w:tcW w:w="0" w:type="auto"/>
          </w:tcPr>
          <w:p>
            <w:pPr>
              <w:spacing w:line="240" w:lineRule="auto" w:before="0" w:after="0"/>
              <w:pStyle w:val="Compact"/>
            </w:pPr>
            <w:r>
              <w:rPr>
                <w:sz w:val="20"/>
                <w:szCs w:val="20"/>
              </w:rPr>
              <w:t xml:space="preserve">3.8672</w:t>
            </w:r>
          </w:p>
        </w:tc>
        <w:tc>
          <w:tcPr>
            <w:tcW w:w="0" w:type="auto"/>
          </w:tcPr>
          <w:p>
            <w:pPr>
              <w:spacing w:line="240" w:lineRule="auto" w:before="0" w:after="0"/>
              <w:pStyle w:val="Compact"/>
            </w:pPr>
            <w:r>
              <w:rPr>
                <w:sz w:val="20"/>
                <w:szCs w:val="20"/>
              </w:rPr>
              <w:t xml:space="preserve">0.0001101</w:t>
            </w:r>
          </w:p>
        </w:tc>
        <w:tc>
          <w:tcPr>
            <w:tcW w:w="0" w:type="auto"/>
          </w:tcPr>
          <w:p>
            <w:pPr>
              <w:spacing w:line="240" w:lineRule="auto" w:before="0" w:after="0"/>
              <w:pStyle w:val="Compact"/>
            </w:pPr>
            <w:r>
              <w:rPr>
                <w:sz w:val="20"/>
                <w:szCs w:val="20"/>
              </w:rPr>
              <w:t xml:space="preserve">[0.9745, 2.9774]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-0.6167</w:t>
            </w:r>
          </w:p>
        </w:tc>
        <w:tc>
          <w:tcPr>
            <w:tcW w:w="0" w:type="auto"/>
          </w:tcPr>
          <w:p>
            <w:pPr>
              <w:spacing w:line="240" w:lineRule="auto" w:before="0" w:after="0"/>
              <w:pStyle w:val="Compact"/>
            </w:pPr>
            <w:r>
              <w:rPr>
                <w:sz w:val="20"/>
                <w:szCs w:val="20"/>
              </w:rPr>
              <w:t xml:space="preserve">0.2815</w:t>
            </w:r>
          </w:p>
        </w:tc>
        <w:tc>
          <w:tcPr>
            <w:tcW w:w="0" w:type="auto"/>
          </w:tcPr>
          <w:p>
            <w:pPr>
              <w:spacing w:line="240" w:lineRule="auto" w:before="0" w:after="0"/>
              <w:pStyle w:val="Compact"/>
            </w:pPr>
            <w:r>
              <w:rPr>
                <w:sz w:val="20"/>
                <w:szCs w:val="20"/>
              </w:rPr>
              <w:t xml:space="preserve">-2.1911</w:t>
            </w:r>
          </w:p>
        </w:tc>
        <w:tc>
          <w:tcPr>
            <w:tcW w:w="0" w:type="auto"/>
          </w:tcPr>
          <w:p>
            <w:pPr>
              <w:spacing w:line="240" w:lineRule="auto" w:before="0" w:after="0"/>
              <w:pStyle w:val="Compact"/>
            </w:pPr>
            <w:r>
              <w:rPr>
                <w:sz w:val="20"/>
                <w:szCs w:val="20"/>
              </w:rPr>
              <w:t xml:space="preserve">0.0284</w:t>
            </w:r>
          </w:p>
        </w:tc>
        <w:tc>
          <w:tcPr>
            <w:tcW w:w="0" w:type="auto"/>
          </w:tcPr>
          <w:p>
            <w:pPr>
              <w:spacing w:line="240" w:lineRule="auto" w:before="0" w:after="0"/>
              <w:pStyle w:val="Compact"/>
            </w:pPr>
            <w:r>
              <w:rPr>
                <w:sz w:val="20"/>
                <w:szCs w:val="20"/>
              </w:rPr>
              <w:t xml:space="preserve">[-1.1684, -0.065]</w:t>
            </w:r>
          </w:p>
        </w:tc>
      </w:tr>
    </w:tbl>
    <w:p>
      <w:pPr>
        <w:pStyle w:val="BodyText"/>
      </w:pPr>
      <w:r>
        <w:t xml:space="preserve">Fit: N = 30 R2 = 0.0723 elasticity_b = -0.6167 progress_ratio_2^b = 0.6522</w:t>
      </w:r>
    </w:p>
    <w:p>
      <w:pPr>
        <w:pStyle w:val="CaptionedFigure"/>
      </w:pPr>
      <w:r>
        <w:drawing>
          <wp:inline>
            <wp:extent cx="5669280" cy="3657600"/>
            <wp:effectExtent b="0" l="0" r="0" t="0"/>
            <wp:docPr descr="Figure 1. Citation accumulation against article age in the retrieved topic literature." title="" id="81" name="Picture"/>
            <a:graphic>
              <a:graphicData uri="http://schemas.openxmlformats.org/drawingml/2006/picture">
                <pic:pic>
                  <pic:nvPicPr>
                    <pic:cNvPr descr="D:\Claude_Code\brain\collegium\candidates\dissertations\STM_CISLUNAR_03\research_papers\p2\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10.64861/RAAN7205</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https://amostech.space/year/2017/a-deep-machine-learning-algorithm-to-optimize-the-forecast-of-atmospherics/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10.64861/OHST9432</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https://amostech.space/year/2022/prototype-infrastructure-for-autonomous-on-board-conjunction-assessment-and-collision-avoidance/</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https://amostech.space/year/2022/the-global-network-on-sustainability-in-space-gnosis-activities-initiatives-and-future-endeavours/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https://amostech.space/year/2016/kratos-kollision-risk-assessment-tool-in-orbital-element-spaces/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10.1109/TVCG.2019.2959321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10.64861/AJUV7773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https://amostech.space/year/2019/blockchain-enabled-space-traffic-awareness-besta/</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https://amostech.space/year/2007/derivation-and-application-of-a-global-albedo-yielding-an-optical-brightness-to-physical-size-transformation-free-of-systematic-errors/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10.64861/PKVP5982</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10.1016/j.actaastro.2023.12.016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10.1016/j.actaastro.2025.01.006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10.1016/j.actaastro.2025.01.069</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10.1016/j.actaastro.2024.11.026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10.1016/j.actaastro.2022.01.027</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10.1016/j.actaastro.2024.05.007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10.1016/j.actaastro.2021.03.030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MITRE/Aspen Institute (2022) whole-of-nation framework paper arguing that commercial, civil, and military space sectors share sustainability and governance challenges requiring unified U.S. leadership on norms, streamlined mission authorization, and sustained cross-sector coordination.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Sustainability Rating Composite Indicator</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Future of the SSA Enterprise: Global Trends (AMOS)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Future of the Space Situational Awareness Enterprise: Global Trends</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0.511</w:t>
            </w:r>
          </w:p>
        </w:tc>
        <w:tc>
          <w:tcPr>
            <w:tcW w:w="0" w:type="auto"/>
          </w:tcPr>
          <w:p>
            <w:pPr>
              <w:spacing w:line="240" w:lineRule="auto" w:before="0" w:after="0"/>
              <w:pStyle w:val="Compact"/>
            </w:pPr>
            <w:r>
              <w:rPr>
                <w:sz w:val="20"/>
                <w:szCs w:val="20"/>
              </w:rPr>
              <w:t xml:space="preserve">3.8672</w:t>
            </w:r>
          </w:p>
        </w:tc>
        <w:tc>
          <w:tcPr>
            <w:tcW w:w="0" w:type="auto"/>
          </w:tcPr>
          <w:p>
            <w:pPr>
              <w:spacing w:line="240" w:lineRule="auto" w:before="0" w:after="0"/>
              <w:pStyle w:val="Compact"/>
            </w:pPr>
            <w:r>
              <w:rPr>
                <w:sz w:val="20"/>
                <w:szCs w:val="20"/>
              </w:rPr>
              <w:t xml:space="preserve">0.0001101</w:t>
            </w:r>
          </w:p>
        </w:tc>
        <w:tc>
          <w:tcPr>
            <w:tcW w:w="0" w:type="auto"/>
          </w:tcPr>
          <w:p>
            <w:pPr>
              <w:spacing w:line="240" w:lineRule="auto" w:before="0" w:after="0"/>
              <w:pStyle w:val="Compact"/>
            </w:pPr>
            <w:r>
              <w:rPr>
                <w:sz w:val="20"/>
                <w:szCs w:val="20"/>
              </w:rPr>
              <w:t xml:space="preserve">[0.9745, 2.9774]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-0.6167</w:t>
            </w:r>
          </w:p>
        </w:tc>
        <w:tc>
          <w:tcPr>
            <w:tcW w:w="0" w:type="auto"/>
          </w:tcPr>
          <w:p>
            <w:pPr>
              <w:spacing w:line="240" w:lineRule="auto" w:before="0" w:after="0"/>
              <w:pStyle w:val="Compact"/>
            </w:pPr>
            <w:r>
              <w:rPr>
                <w:sz w:val="20"/>
                <w:szCs w:val="20"/>
              </w:rPr>
              <w:t xml:space="preserve">0.2815</w:t>
            </w:r>
          </w:p>
        </w:tc>
        <w:tc>
          <w:tcPr>
            <w:tcW w:w="0" w:type="auto"/>
          </w:tcPr>
          <w:p>
            <w:pPr>
              <w:spacing w:line="240" w:lineRule="auto" w:before="0" w:after="0"/>
              <w:pStyle w:val="Compact"/>
            </w:pPr>
            <w:r>
              <w:rPr>
                <w:sz w:val="20"/>
                <w:szCs w:val="20"/>
              </w:rPr>
              <w:t xml:space="preserve">-2.1911</w:t>
            </w:r>
          </w:p>
        </w:tc>
        <w:tc>
          <w:tcPr>
            <w:tcW w:w="0" w:type="auto"/>
          </w:tcPr>
          <w:p>
            <w:pPr>
              <w:spacing w:line="240" w:lineRule="auto" w:before="0" w:after="0"/>
              <w:pStyle w:val="Compact"/>
            </w:pPr>
            <w:r>
              <w:rPr>
                <w:sz w:val="20"/>
                <w:szCs w:val="20"/>
              </w:rPr>
              <w:t xml:space="preserve">0.0284</w:t>
            </w:r>
          </w:p>
        </w:tc>
        <w:tc>
          <w:tcPr>
            <w:tcW w:w="0" w:type="auto"/>
          </w:tcPr>
          <w:p>
            <w:pPr>
              <w:spacing w:line="240" w:lineRule="auto" w:before="0" w:after="0"/>
              <w:pStyle w:val="Compact"/>
            </w:pPr>
            <w:r>
              <w:rPr>
                <w:sz w:val="20"/>
                <w:szCs w:val="20"/>
              </w:rPr>
              <w:t xml:space="preserve">[-1.1684, -0.065]</w:t>
            </w:r>
          </w:p>
        </w:tc>
      </w:tr>
    </w:tbl>
    <w:p>
      <w:pPr>
        <w:pStyle w:val="BodyText"/>
      </w:pPr>
      <w:r>
        <w:t xml:space="preserve">Fit: N = 30 R2 = 0.0723 elasticity_b = -0.6167 progress_ratio_2^b = 0.6522</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1" Target="https://doi.org/10.1109/TVCG.2019.2959321" TargetMode="External" /><Relationship Type="http://schemas.openxmlformats.org/officeDocument/2006/relationships/hyperlink" Id="rId73" Target="https://doi.org/10.64861/AJUV7773" TargetMode="External" /><Relationship Type="http://schemas.openxmlformats.org/officeDocument/2006/relationships/hyperlink" Id="rId68" Target="https://doi.org/10.64861/RAAN7205" TargetMode="External" /></Relationships>
</file>

<file path=word/_rels/footnotes.xml.rels><?xml version="1.0" encoding="UTF-8"?><Relationships xmlns="http://schemas.openxmlformats.org/package/2006/relationships"><Relationship Type="http://schemas.openxmlformats.org/officeDocument/2006/relationships/hyperlink" Id="rId71" Target="https://doi.org/10.1109/TVCG.2019.2959321" TargetMode="External" /><Relationship Type="http://schemas.openxmlformats.org/officeDocument/2006/relationships/hyperlink" Id="rId73" Target="https://doi.org/10.64861/AJUV7773" TargetMode="External" /><Relationship Type="http://schemas.openxmlformats.org/officeDocument/2006/relationships/hyperlink" Id="rId68" Target="https://doi.org/10.64861/RAAN720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2026-06-28T19:49:53Z</dcterms:created>
  <dcterms:modified xsi:type="dcterms:W3CDTF">2026-06-28T19:49:53Z</dcterms:modified>
</cp:coreProperties>
</file>

<file path=docProps/custom.xml><?xml version="1.0" encoding="utf-8"?>
<Properties xmlns="http://schemas.openxmlformats.org/officeDocument/2006/custom-properties" xmlns:vt="http://schemas.openxmlformats.org/officeDocument/2006/docPropsVTypes"/>
</file>