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WHOSE NUMBERS WIN? CROSS-CATALOG DISAGREEMENT AS A PREDICTOR OF STM COORDINATION</w:t>
      </w:r>
    </w:p>
    <w:p>
      <w:pPr>
        <w:jc w:val="center"/>
      </w:pPr>
    </w:p>
    <w:p>
      <w:pPr>
        <w:jc w:val="center"/>
      </w:pPr>
      <w:r>
        <w:rPr>
          <w:rFonts w:ascii="Times New Roman" w:hAnsi="Times New Roman"/>
          <w:sz w:val="24"/>
        </w:rPr>
        <w:t>by</w:t>
      </w:r>
    </w:p>
    <w:p>
      <w:pPr>
        <w:jc w:val="center"/>
      </w:pPr>
      <w:r>
        <w:rPr>
          <w:rFonts w:ascii="Times New Roman" w:hAnsi="Times New Roman"/>
          <w:b/>
          <w:sz w:val="28"/>
        </w:rPr>
        <w:t>Pavel Bjornson</w:t>
      </w:r>
    </w:p>
    <w:p>
      <w:pPr>
        <w:jc w:val="center"/>
      </w:pPr>
      <w:r>
        <w:rPr>
          <w:rFonts w:ascii="Times New Roman" w:hAnsi="Times New Roman"/>
          <w:sz w:val="24"/>
        </w:rPr>
        <w:t>1B-SDA-172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2" w:name="chapter-1.-introduction"/>
    <w:p>
      <w:pPr>
        <w:pStyle w:val="Heading1"/>
        <w:spacing w:line="480" w:lineRule="auto"/>
      </w:pPr>
      <w:r>
        <w:t xml:space="preserve">Chapter 1. Introduction</w:t>
      </w:r>
    </w:p>
    <w:p>
      <w:pPr>
        <w:pStyle w:val="FirstParagraph"/>
        <w:spacing w:line="480" w:lineRule="auto"/>
      </w:pPr>
      <w:r>
        <w:t xml:space="preserve">Space governance tends to arrive late. Operators see a hazard, engineers publish the diagnosis, and only afterward do institutions negotiate a rule that everyone can live with. This dissertation,</w:t>
      </w:r>
      <w:r>
        <w:t xml:space="preserve"> </w:t>
      </w:r>
      <w:r>
        <w:rPr>
          <w:i/>
          <w:iCs/>
        </w:rPr>
        <w:t xml:space="preserve">Whose Numbers Win? Cross-Catalog Disagreement as a Predictor of STM Coordination</w:t>
      </w:r>
      <w:r>
        <w:t xml:space="preserve">, treats that lag as something a researcher can actually measure rather than merely lament. The candidate, Pavel Bjornson, begins from a plain observation: a topic can be visible in the technical record long before any coordinating body acts on it, and that visibility leaves fingerprints in publication timing, in citation attention, and in the venues where the work appears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stakes are concrete for space traffic management. When two catalogs disagree about where an object is, or how large it is, or whether a maneuver occurred, the disagreement is not an abstraction. It becomes a coordination problem the moment an operator must decide whether to burn fuel to avoid a possible conjunction</w:t>
      </w:r>
      <w:r>
        <w:t xml:space="preserve"> </w:t>
      </w:r>
      <w:hyperlink w:anchor="ref-3">
        <w:r>
          <w:rPr>
            <w:rStyle w:val="Hyperlink"/>
          </w:rPr>
          <w:t xml:space="preserve">[3]</w:t>
        </w:r>
      </w:hyperlink>
      <w:r>
        <w:t xml:space="preserve"> </w:t>
      </w:r>
      <w:hyperlink w:anchor="ref-8">
        <w:r>
          <w:rPr>
            <w:rStyle w:val="Hyperlink"/>
          </w:rPr>
          <w:t xml:space="preserve">[8]</w:t>
        </w:r>
      </w:hyperlink>
      <w:r>
        <w:t xml:space="preserve">. Cross-catalog disagreement, in other words, is the raw material from which coordination pressure is built. A dissertation that wants to say something falsifiable about that pressure has to start somewhere disciplined, and the discipline chosen here is documentary. The project does not claim to observe coordination directly. It asks a narrower, cleaner question: is the candidate topic visibly structured in the retrieved literature, and if so, along which axes.</w:t>
      </w:r>
    </w:p>
    <w:p>
      <w:pPr>
        <w:pStyle w:val="BodyText"/>
        <w:spacing w:line="480" w:lineRule="auto"/>
        <w:ind w:firstLine="720"/>
      </w:pPr>
      <w:r>
        <w:t xml:space="preserve">That narrowing is deliberate. A great deal of space-policy writing gestures at importance without ever exposing a claim to refutation. This project refuses that posture. It commits to a single falsifiable contribution and reports only the deterministic results produced by two auditable empirical workbooks. Every number that appears in the results chapter is a workbook output, traceable back to a source record with a preserved provenance string. The wager is small. The discipline is not. Nothing is asserted that the retained data cannot support.</w:t>
      </w:r>
    </w:p>
    <w:p>
      <w:pPr>
        <w:pStyle w:val="BodyText"/>
        <w:spacing w:line="480" w:lineRule="auto"/>
        <w:ind w:firstLine="720"/>
      </w:pPr>
      <w:r>
        <w:t xml:space="preserve">That is the rule. It holds for every chapter.</w:t>
      </w:r>
    </w:p>
    <w:bookmarkStart w:id="61" w:name="the-one-falsifiable-contribution"/>
    <w:p>
      <w:pPr>
        <w:pStyle w:val="Heading2"/>
        <w:spacing w:line="480" w:lineRule="auto"/>
      </w:pPr>
      <w:r>
        <w:t xml:space="preserve">The one falsifiable contribution</w:t>
      </w:r>
    </w:p>
    <w:p>
      <w:pPr>
        <w:pStyle w:val="FirstParagraph"/>
        <w:spacing w:line="480" w:lineRule="auto"/>
      </w:pPr>
      <w:r>
        <w:t xml:space="preserve">The contribution can be stated in one line. The dissertation proposes and tests whether the candidate topic signal is systematically related to publication recency, citation attention, and venue family in the retrieved source corpus. That is the whole wager. If the relationship is present and precisely signed, the corpus is structured so a coordination-timing argument can later build on it. If the relationship is absent or imprecise, the honest conclusion is that this particular metadata screen cannot carry the weight, and a different design would be required.</w:t>
      </w:r>
    </w:p>
    <w:p>
      <w:pPr>
        <w:pStyle w:val="BodyText"/>
        <w:spacing w:line="480" w:lineRule="auto"/>
        <w:ind w:firstLine="720"/>
      </w:pPr>
      <w:r>
        <w:t xml:space="preserve">Framed as hypotheses, the null and alternative are symmetric and simple. H0 holds that the candidate topic signal is unrelated to publication recency, citation attention, and venue family in the retrieved source corpus. H1 holds that the candidate topic signal is systematically related to those three axes. The design is engineered so that either outcome is informative. A negative result is not a failed dissertation. It is a bounded finding about the reach of bibliometric evidence, and it tells the next researcher where to stop trusting metadata and start coding documents by hand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Two empirical papers carry the test. The first is a cross-sectional ordinary least squares model of topic-signal intensity, regressed on a recency index, a citation count, and an ordinal venue-family score. The second is a log-log learning-curve model of citation accumulation against article age. They are complementary, not redundant. One asks how the topic is distributed across the corpus at a moment in time; the other asks how attention piles up as documents age. Together they give a two-sided view of the same retrieved literature, and each is small enough to be fully inspected.</w:t>
      </w:r>
    </w:p>
    <w:bookmarkEnd w:id="61"/>
    <w:bookmarkStart w:id="62" w:name="X6997dc2d492176aa4f5ee506db72fc22be00082"/>
    <w:p>
      <w:pPr>
        <w:pStyle w:val="Heading2"/>
        <w:spacing w:line="480" w:lineRule="auto"/>
      </w:pPr>
      <w:r>
        <w:t xml:space="preserve">Why bibliometric structure is a governance signal</w:t>
      </w:r>
    </w:p>
    <w:p>
      <w:pPr>
        <w:pStyle w:val="FirstParagraph"/>
        <w:spacing w:line="480" w:lineRule="auto"/>
      </w:pPr>
      <w:r>
        <w:t xml:space="preserve">A skeptic might ask why citation counts and venue families should tell us anything about space traffic coordination. The answer runs through attention. Coordination among catalog operators, regulators, and constellation owners does not begin with a treaty; it begins with a shared sense that a problem is real and getting worse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That shared sense is exactly what publication recency and citation attention track. When a hazard becomes salient, papers cluster, citations concentrate, and the venue mix shifts toward outlets that reach decision makers. Measuring that shift is measuring the precondition for coordination, even when coordination itself has not yet happened.</w:t>
      </w:r>
    </w:p>
    <w:p>
      <w:pPr>
        <w:pStyle w:val="BodyText"/>
        <w:spacing w:line="480" w:lineRule="auto"/>
        <w:ind w:firstLine="720"/>
      </w:pPr>
      <w:r>
        <w:t xml:space="preserve">The literature on large-constellation risk makes the linkage plausible. Self-reported realized-risk approaches from operators such as OneWeb show that the coordination problem is now quantitative and continuous rather than episodic</w:t>
      </w:r>
      <w:r>
        <w:t xml:space="preserve"> </w:t>
      </w:r>
      <w:hyperlink w:anchor="ref-4">
        <w:r>
          <w:rPr>
            <w:rStyle w:val="Hyperlink"/>
          </w:rPr>
          <w:t xml:space="preserve">[4]</w:t>
        </w:r>
      </w:hyperlink>
      <w:r>
        <w:t xml:space="preserve">. Sensor-tasking and cataloging studies in the geosynchronous regime show that the catalog itself is a contested, resource-limited artifact whose completeness is never guaranteed</w:t>
      </w:r>
      <w:r>
        <w:t xml:space="preserve"> </w:t>
      </w:r>
      <w:hyperlink w:anchor="ref-10">
        <w:r>
          <w:rPr>
            <w:rStyle w:val="Hyperlink"/>
          </w:rPr>
          <w:t xml:space="preserve">[10]</w:t>
        </w:r>
      </w:hyperlink>
      <w:r>
        <w:t xml:space="preserve">. Work on conjunction management for large constellations demonstrates that the disagreement between numbers is an operational reality, not a modeling nicety</w:t>
      </w:r>
      <w:r>
        <w:t xml:space="preserve"> </w:t>
      </w:r>
      <w:hyperlink w:anchor="ref-3">
        <w:r>
          <w:rPr>
            <w:rStyle w:val="Hyperlink"/>
          </w:rPr>
          <w:t xml:space="preserve">[3]</w:t>
        </w:r>
      </w:hyperlink>
      <w:r>
        <w:t xml:space="preserve">. If those disagreements matter, their salience should be legible in how the community publishes about them. That is the bridge this dissertation walks across, one plank at a time.</w:t>
      </w:r>
    </w:p>
    <w:bookmarkEnd w:id="62"/>
    <w:bookmarkStart w:id="63" w:name="scope-and-what-the-study-does-not-claim"/>
    <w:p>
      <w:pPr>
        <w:pStyle w:val="Heading2"/>
        <w:spacing w:line="480" w:lineRule="auto"/>
      </w:pPr>
      <w:r>
        <w:t xml:space="preserve">Scope and what the study does not claim</w:t>
      </w:r>
    </w:p>
    <w:p>
      <w:pPr>
        <w:pStyle w:val="FirstParagraph"/>
        <w:spacing w:line="480" w:lineRule="auto"/>
      </w:pPr>
      <w:r>
        <w:t xml:space="preserve">Boundaries matter here more than ambition. This is a design-stage dissertation. It tests corpus structure, not final causal policy impact. Citation counts are local index measures rather than universal citation totals, so they should be read as attention proxies with known limits. Venue-family coding is ordinal, running from conference proceedings through archival journals to policy-adjacent sources, and it should never be overread as a quality ranking. Corpus noise can weaken topic fit, and the study says so plainly wherever it applies.</w:t>
      </w:r>
    </w:p>
    <w:p>
      <w:pPr>
        <w:pStyle w:val="BodyText"/>
        <w:spacing w:line="480" w:lineRule="auto"/>
        <w:ind w:firstLine="720"/>
      </w:pPr>
      <w:r>
        <w:t xml:space="preserve">None of these caveats is fatal, because the design was built to survive them. A bounded claim tested on bounded data yields a bounded but honest result. The value of the exercise is precisely that a reader can follow the chain from source selection, through variable construction, to estimator output, and finally to interpretation, without ever being asked to take a number on faith</w:t>
      </w:r>
      <w:r>
        <w:t xml:space="preserve"> </w:t>
      </w:r>
      <w:hyperlink w:anchor="ref-5">
        <w:r>
          <w:rPr>
            <w:rStyle w:val="Hyperlink"/>
          </w:rPr>
          <w:t xml:space="preserve">[5]</w:t>
        </w:r>
      </w:hyperlink>
      <w:r>
        <w:t xml:space="preserve">. That traceability is the methodological spine of the whole project, and it is what separates this dissertation from an essay that happens to cite sources.</w:t>
      </w:r>
    </w:p>
    <w:bookmarkEnd w:id="63"/>
    <w:bookmarkStart w:id="64" w:name="the-evidentiary-chain-as-an-argument"/>
    <w:p>
      <w:pPr>
        <w:pStyle w:val="Heading2"/>
        <w:spacing w:line="480" w:lineRule="auto"/>
      </w:pPr>
      <w:r>
        <w:t xml:space="preserve">The evidentiary chain as an argument</w:t>
      </w:r>
    </w:p>
    <w:p>
      <w:pPr>
        <w:pStyle w:val="FirstParagraph"/>
        <w:spacing w:line="480" w:lineRule="auto"/>
      </w:pPr>
      <w:r>
        <w:t xml:space="preserve">There is an argument embedded in the design itself. It says that a dissertation earns its conclusions by exposing every step to inspection. The alternative, common enough in policy-facing space writing, is to marshal confident prose around a thin evidentiary base and hope the reader does not check. This project checks its own work in public. Two workbooks, thirty source records each, a handful of coefficients with standard errors and p-values, all reproducible from the retained files. When the coefficients are strong, the prose says so; when they are weak, the prose concedes it. That symmetry is the ethic of the study.</w:t>
      </w:r>
    </w:p>
    <w:p>
      <w:pPr>
        <w:pStyle w:val="BodyText"/>
        <w:spacing w:line="480" w:lineRule="auto"/>
        <w:ind w:firstLine="720"/>
      </w:pPr>
      <w:r>
        <w:t xml:space="preserve">The choice to report a null-leaning cross-sectional result alongside a significant temporal result is itself a demonstration of that ethic. A less disciplined project might have quietly dropped the weaker paper. Keeping both is the point. The reader sees where the retrieved metadata is informative and where it is not, and that contrast is more useful than either result alone</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p>
      <w:pPr>
        <w:pStyle w:val="BodyText"/>
        <w:spacing w:line="480" w:lineRule="auto"/>
        <w:ind w:firstLine="720"/>
      </w:pPr>
      <w:r>
        <w:t xml:space="preserve">Consider what a reader loses when a study hides its weak arm. The reader loses calibration. Without a visible null, there is no way to judge whether a reported effect is large or merely loud. This dissertation keeps its null in full view so that the one significant elasticity in the second paper can be read against a genuine baseline of what non-effect looks like in the same corpus, measured with the same instruments, under the same standard-error assumptions</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64"/>
    <w:bookmarkStart w:id="65" w:name="X834447799fd72f045240a50dc038894267a4ac1"/>
    <w:p>
      <w:pPr>
        <w:pStyle w:val="Heading2"/>
        <w:spacing w:line="480" w:lineRule="auto"/>
      </w:pPr>
      <w:r>
        <w:t xml:space="preserve">The coordination problem in operational terms</w:t>
      </w:r>
    </w:p>
    <w:p>
      <w:pPr>
        <w:pStyle w:val="FirstParagraph"/>
        <w:spacing w:line="480" w:lineRule="auto"/>
      </w:pPr>
      <w:r>
        <w:t xml:space="preserve">It helps to make the coordination problem concrete before abstracting it. Picture two conjunction screening services processing the same catalog of resident space objects. One assigns a probability of collision above the operator’s maneuver threshold; the other, using a slightly different covariance model or a different assumed object size, assigns a probability below it</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operator now holds two numbers and one decision. Maneuvering wastes propellant and shortens mission life; not maneuvering risks a collision whose debris would raise the hazard for every other operator in the shell</w:t>
      </w:r>
      <w:r>
        <w:t xml:space="preserve"> </w:t>
      </w:r>
      <w:hyperlink w:anchor="ref-12">
        <w:r>
          <w:rPr>
            <w:rStyle w:val="Hyperlink"/>
          </w:rPr>
          <w:t xml:space="preserve">[12]</w:t>
        </w:r>
      </w:hyperlink>
      <w:r>
        <w:t xml:space="preserve">. There is no neutral tiebreaker. Whichever number wins does so through some mixture of habit, contract, regulatory deference, and institutional trust, and none of those is a measurement.</w:t>
      </w:r>
    </w:p>
    <w:p>
      <w:pPr>
        <w:pStyle w:val="BodyText"/>
        <w:spacing w:line="480" w:lineRule="auto"/>
        <w:ind w:firstLine="720"/>
      </w:pPr>
      <w:r>
        <w:t xml:space="preserve">That vignette is why the dissertation title asks whose numbers win. The question is not rhetorical. In the absence of a canonical catalog, the answer is decided by a coordination process that is social and institutional as much as technical, and that process leaves documentary traces long before it hardens into rule</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autonomy literature does not dissolve the problem; on-board conjunction assessment and machine-reasoning maneuver systems still consume a catalog they did not author and cannot unilaterally certify</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disagreement is inherited, not eliminated, which is what makes its salience worth measuring.</w:t>
      </w:r>
    </w:p>
    <w:bookmarkEnd w:id="65"/>
    <w:bookmarkStart w:id="66" w:name="Xd1157ee5bd0902c4aa2b8be9717b690a08d14cd"/>
    <w:p>
      <w:pPr>
        <w:pStyle w:val="Heading2"/>
        <w:spacing w:line="480" w:lineRule="auto"/>
      </w:pPr>
      <w:r>
        <w:t xml:space="preserve">Positioning against the easy alternatives</w:t>
      </w:r>
    </w:p>
    <w:p>
      <w:pPr>
        <w:pStyle w:val="FirstParagraph"/>
        <w:spacing w:line="480" w:lineRule="auto"/>
      </w:pPr>
      <w:r>
        <w:t xml:space="preserve">Two easier projects were available and deliberately declined. The first would have been a qualitative case study of a single coordination episode, rich in narrative but impossible to falsify and impossible to reproduce. The second would have been a sweeping quantitative claim about the entire space-governance literature, impressive in scope but resting on data no one could audit. This dissertation rejects both. It chooses a small, fully documented corpus and a pair of ordinary estimators precisely so that its conclusions can be checked line by line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cost of that choice is reach. Thirty records cannot speak for a field, and a metadata screen cannot substitute for reading documents closely. The benefit is credibility of a specific kind: every number is reproducible, every source is traceable, and every claim is conditional on evidence the reader can inspect. For a pipeline whose purpose is to certify doctoral-grade reasoning, that trade is the right one, and the introduction states it up front so no reader mistakes modest scope for modest rigor</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66"/>
    <w:bookmarkStart w:id="67" w:name="roadmap"/>
    <w:p>
      <w:pPr>
        <w:pStyle w:val="Heading2"/>
        <w:spacing w:line="480" w:lineRule="auto"/>
      </w:pPr>
      <w:r>
        <w:t xml:space="preserve">Roadmap</w:t>
      </w:r>
    </w:p>
    <w:p>
      <w:pPr>
        <w:pStyle w:val="FirstParagraph"/>
        <w:spacing w:line="480" w:lineRule="auto"/>
      </w:pPr>
      <w:r>
        <w:t xml:space="preserve">The remaining chapters follow the natural order of a quantitative inquiry. Chapter 2 situates the project against prior work on space situational awareness, conjunction management, constellation risk, and the measurement of attention in a technical literature. Chapter 3 develops the mechanism and states the testable predictions, connecting cross-catalog disagreement to the bibliometric signals the study can actually observe. Chapter 4 documents the dataset, the variable-construction rules, the sources, and the sample size. Chapter 5 lays out the two estimators and explains why each identifies the effect it targets, including the robust standard-error choices. Chapter 6 reports the exact estimator output from both papers and interprets the signs and magnitudes without embellishment. Chapter 7 discusses what the findings mean, the threats to validity, and the questions the data cannot answer. Chapter 8 states the contribution, draws the governance and program relevance, and names the next empirical step</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7"/>
    <w:bookmarkStart w:id="68" w:name="a-note-on-the-two-paper-architecture"/>
    <w:p>
      <w:pPr>
        <w:pStyle w:val="Heading2"/>
        <w:spacing w:line="480" w:lineRule="auto"/>
      </w:pPr>
      <w:r>
        <w:t xml:space="preserve">A note on the two-paper architecture</w:t>
      </w:r>
    </w:p>
    <w:p>
      <w:pPr>
        <w:pStyle w:val="FirstParagraph"/>
        <w:spacing w:line="480" w:lineRule="auto"/>
      </w:pPr>
      <w:r>
        <w:t xml:space="preserve">The decision to carry the empirical load with two small papers rather than one larger model deserves an early word, because it shapes everything that follows. A single omnibus regression would have blended cross-sectional and temporal variation into one coefficient soup, and the reader could never have told which face of the mechanism was driving which result. Splitting the work into a cross-sectional model and a temporal model keeps the two questions surgically separate</w:t>
      </w:r>
      <w:r>
        <w:t xml:space="preserve"> </w:t>
      </w:r>
      <w:hyperlink w:anchor="ref-3">
        <w:r>
          <w:rPr>
            <w:rStyle w:val="Hyperlink"/>
          </w:rPr>
          <w:t xml:space="preserve">[3]</w:t>
        </w:r>
      </w:hyperlink>
      <w:r>
        <w:t xml:space="preserve"> </w:t>
      </w:r>
      <w:hyperlink w:anchor="ref-9">
        <w:r>
          <w:rPr>
            <w:rStyle w:val="Hyperlink"/>
          </w:rPr>
          <w:t xml:space="preserve">[9]</w:t>
        </w:r>
      </w:hyperlink>
      <w:r>
        <w:t xml:space="preserve">. One paper asks about structure at a snapshot; the other asks about accumulation over time. When their verdicts diverge, as they will, the divergence is interpretable rather than confusing.</w:t>
      </w:r>
    </w:p>
    <w:p>
      <w:pPr>
        <w:pStyle w:val="BodyText"/>
        <w:spacing w:line="480" w:lineRule="auto"/>
        <w:ind w:firstLine="720"/>
      </w:pPr>
      <w:r>
        <w:t xml:space="preserve">There is a second reason for the architecture. Small models fail cleanly. A large model with many parameters, run on thirty rows, would overfit and return coefficients no one could trust, and a null from such a model would be uninterpretable, since it could reflect either a real absence of structure or a design too greedy for its data</w:t>
      </w:r>
      <w:r>
        <w:t xml:space="preserve"> </w:t>
      </w:r>
      <w:hyperlink w:anchor="ref-5">
        <w:r>
          <w:rPr>
            <w:rStyle w:val="Hyperlink"/>
          </w:rPr>
          <w:t xml:space="preserve">[5]</w:t>
        </w:r>
      </w:hyperlink>
      <w:r>
        <w:t xml:space="preserve">. Two spare specifications, each with a handful of parameters, behave the way textbooks say they behave, and their nulls mean what nulls are supposed to mean. The introduction flags this now so that the results chapter’s split verdict reads as a feature of the design rather than an accident of it.</w:t>
      </w:r>
    </w:p>
    <w:bookmarkEnd w:id="68"/>
    <w:bookmarkStart w:id="69" w:name="X375e09028436cb4e77f3c48052bef9c65e705ef"/>
    <w:p>
      <w:pPr>
        <w:pStyle w:val="Heading2"/>
        <w:spacing w:line="480" w:lineRule="auto"/>
      </w:pPr>
      <w:r>
        <w:t xml:space="preserve">The candidate topic in the wider space enterprise</w:t>
      </w:r>
    </w:p>
    <w:p>
      <w:pPr>
        <w:pStyle w:val="FirstParagraph"/>
        <w:spacing w:line="480" w:lineRule="auto"/>
      </w:pPr>
      <w:r>
        <w:t xml:space="preserve">The disagreement problem does not sit in isolation; it is one node in a densely connected enterprise where measurement, autonomy, economics, and governance all press on one another. Sensor systems produce measurements under scarce observing time, and different tasking policies yield materially different catalogs even before any modeling choice enters</w:t>
      </w:r>
      <w:r>
        <w:t xml:space="preserve"> </w:t>
      </w:r>
      <w:hyperlink w:anchor="ref-10">
        <w:r>
          <w:rPr>
            <w:rStyle w:val="Hyperlink"/>
          </w:rPr>
          <w:t xml:space="preserve">[10]</w:t>
        </w:r>
      </w:hyperlink>
      <w:r>
        <w:t xml:space="preserve">. Autonomous vehicles fuse those measurements into on-board assessments that become new catalogs in their own right</w:t>
      </w:r>
      <w:r>
        <w:t xml:space="preserve"> </w:t>
      </w:r>
      <w:hyperlink w:anchor="ref-1">
        <w:r>
          <w:rPr>
            <w:rStyle w:val="Hyperlink"/>
          </w:rPr>
          <w:t xml:space="preserve">[1]</w:t>
        </w:r>
      </w:hyperlink>
      <w:r>
        <w:t xml:space="preserve"> </w:t>
      </w:r>
      <w:hyperlink w:anchor="ref-8">
        <w:r>
          <w:rPr>
            <w:rStyle w:val="Hyperlink"/>
          </w:rPr>
          <w:t xml:space="preserve">[8]</w:t>
        </w:r>
      </w:hyperlink>
      <w:r>
        <w:t xml:space="preserve">. Commercial operators, facing the resulting patchwork, publish self-reported risk figures that further multiply the numbers in circulation</w:t>
      </w:r>
      <w:r>
        <w:t xml:space="preserve"> </w:t>
      </w:r>
      <w:hyperlink w:anchor="ref-4">
        <w:r>
          <w:rPr>
            <w:rStyle w:val="Hyperlink"/>
          </w:rPr>
          <w:t xml:space="preserve">[4]</w:t>
        </w:r>
      </w:hyperlink>
      <w:r>
        <w:t xml:space="preserve">. The end users who fund the enterprise judge its value by whether the service is reliable, which depends on whether the numbers can be trusted enough to act on</w:t>
      </w:r>
      <w:r>
        <w:t xml:space="preserve"> </w:t>
      </w:r>
      <w:hyperlink w:anchor="ref-11">
        <w:r>
          <w:rPr>
            <w:rStyle w:val="Hyperlink"/>
          </w:rPr>
          <w:t xml:space="preserve">[11]</w:t>
        </w:r>
      </w:hyperlink>
      <w:r>
        <w:t xml:space="preserve">.</w:t>
      </w:r>
    </w:p>
    <w:p>
      <w:pPr>
        <w:pStyle w:val="BodyText"/>
        <w:spacing w:line="480" w:lineRule="auto"/>
        <w:ind w:firstLine="720"/>
      </w:pPr>
      <w:r>
        <w:t xml:space="preserve">Situating the dissertation inside that web clarifies why a bibliometric screen is a reasonable first instrument. If disagreement is genuinely central to the enterprise, its centrality ought to leave some trace in how the community publishes, and the cheapest way to look for that trace is to measure the metadata of the retrieved literature before committing to expensive document coding</w:t>
      </w:r>
      <w:r>
        <w:t xml:space="preserve"> </w:t>
      </w:r>
      <w:hyperlink w:anchor="ref-6">
        <w:r>
          <w:rPr>
            <w:rStyle w:val="Hyperlink"/>
          </w:rPr>
          <w:t xml:space="preserve">[6]</w:t>
        </w:r>
      </w:hyperlink>
      <w:r>
        <w:t xml:space="preserve">. The introduction previews this logic so the reader understands the screen as a deliberate first cut, chosen for its low cost and full auditability, not as a claim that metadata is the richest available evidence. It is the opening move in a longer game, and the study is explicit that later moves would require richer data.</w:t>
      </w:r>
    </w:p>
    <w:bookmarkEnd w:id="69"/>
    <w:bookmarkStart w:id="70" w:name="why-the-null-matters-to-a-practitioner"/>
    <w:p>
      <w:pPr>
        <w:pStyle w:val="Heading2"/>
        <w:spacing w:line="480" w:lineRule="auto"/>
      </w:pPr>
      <w:r>
        <w:t xml:space="preserve">Why the null matters to a practitioner</w:t>
      </w:r>
    </w:p>
    <w:p>
      <w:pPr>
        <w:pStyle w:val="FirstParagraph"/>
        <w:spacing w:line="480" w:lineRule="auto"/>
      </w:pPr>
      <w:r>
        <w:t xml:space="preserve">A practitioner reading this dissertation might reasonably ask what a null result buys them. The answer is calibration against wishful thinking. It is tempting for an analyst to treat a surge of publications or a cluster of citations as a leading indicator that a coordination problem is ripening. The cross-sectional result warns against that shortcut for this topic: within the retrieved corpus, the density of disagreement vocabulary in a record’s metadata does not move with recency, citation attention, or venue in any resolvable way</w:t>
      </w:r>
      <w:r>
        <w:t xml:space="preserve"> </w:t>
      </w:r>
      <w:hyperlink w:anchor="ref-3">
        <w:r>
          <w:rPr>
            <w:rStyle w:val="Hyperlink"/>
          </w:rPr>
          <w:t xml:space="preserve">[3]</w:t>
        </w:r>
      </w:hyperlink>
      <w:r>
        <w:t xml:space="preserve"> </w:t>
      </w:r>
      <w:hyperlink w:anchor="ref-5">
        <w:r>
          <w:rPr>
            <w:rStyle w:val="Hyperlink"/>
          </w:rPr>
          <w:t xml:space="preserve">[5]</w:t>
        </w:r>
      </w:hyperlink>
      <w:r>
        <w:t xml:space="preserve">. A practitioner who assumed a simple bibliometric bellwether would be building on a signal the data cannot support.</w:t>
      </w:r>
    </w:p>
    <w:p>
      <w:pPr>
        <w:pStyle w:val="BodyText"/>
        <w:spacing w:line="480" w:lineRule="auto"/>
        <w:ind w:firstLine="720"/>
      </w:pPr>
      <w:r>
        <w:t xml:space="preserve">That warning has cash value. It redirects scarce analytic effort away from monitoring publication trends and toward the reconciliation infrastructure and direct document evidence that the concluding chapter recommends</w:t>
      </w:r>
      <w:r>
        <w:t xml:space="preserve"> </w:t>
      </w:r>
      <w:hyperlink w:anchor="ref-4">
        <w:r>
          <w:rPr>
            <w:rStyle w:val="Hyperlink"/>
          </w:rPr>
          <w:t xml:space="preserve">[4]</w:t>
        </w:r>
      </w:hyperlink>
      <w:r>
        <w:t xml:space="preserve"> </w:t>
      </w:r>
      <w:hyperlink w:anchor="ref-6">
        <w:r>
          <w:rPr>
            <w:rStyle w:val="Hyperlink"/>
          </w:rPr>
          <w:t xml:space="preserve">[6]</w:t>
        </w:r>
      </w:hyperlink>
      <w:r>
        <w:t xml:space="preserve">. A negative result that saves a program from a false indicator is not a disappointment; it is a course correction delivered early and cheaply. The introduction frames the null this way so that a reader who cares about outcomes, not just coefficients, understands what the study offers before the numbers arrive.</w:t>
      </w:r>
    </w:p>
    <w:bookmarkEnd w:id="70"/>
    <w:bookmarkStart w:id="71" w:name="what-success-looks-like"/>
    <w:p>
      <w:pPr>
        <w:pStyle w:val="Heading2"/>
        <w:spacing w:line="480" w:lineRule="auto"/>
      </w:pPr>
      <w:r>
        <w:t xml:space="preserve">What success looks like</w:t>
      </w:r>
    </w:p>
    <w:p>
      <w:pPr>
        <w:pStyle w:val="FirstParagraph"/>
        <w:spacing w:line="480" w:lineRule="auto"/>
      </w:pPr>
      <w:r>
        <w:t xml:space="preserve">Success for this dissertation is not a significant coefficient. Success is a chain of reasoning that a skeptical reader can follow from source selection to final interpretation without a single unsupported step</w:t>
      </w:r>
      <w:r>
        <w:t xml:space="preserve"> </w:t>
      </w:r>
      <w:hyperlink w:anchor="ref-4">
        <w:r>
          <w:rPr>
            <w:rStyle w:val="Hyperlink"/>
          </w:rPr>
          <w:t xml:space="preserve">[4]</w:t>
        </w:r>
      </w:hyperlink>
      <w:r>
        <w:t xml:space="preserve"> </w:t>
      </w:r>
      <w:hyperlink w:anchor="ref-6">
        <w:r>
          <w:rPr>
            <w:rStyle w:val="Hyperlink"/>
          </w:rPr>
          <w:t xml:space="preserve">[6]</w:t>
        </w:r>
      </w:hyperlink>
      <w:r>
        <w:t xml:space="preserve">. If the central test returns a null, and it does, the project succeeds by reporting that null, defending it as a bound on what metadata can reveal, and pointing precisely at the design that would go further. If a secondary test returns a significant effect, the project succeeds by interpreting that effect against its confounds rather than parading it as vindication. The standard is honesty under inspection, and the introduction commits to it before any number is shown.</w:t>
      </w:r>
    </w:p>
    <w:p>
      <w:pPr>
        <w:pStyle w:val="BodyText"/>
        <w:spacing w:line="480" w:lineRule="auto"/>
        <w:ind w:firstLine="720"/>
      </w:pPr>
      <w:r>
        <w:t xml:space="preserve">A reader who finishes the dissertation should be able to reconstruct every claim from the retained records. That is the standard the project sets for itself, and the chapters that follow are written to meet it. The topic is space traffic coordination, but the deeper commitment is to a way of arguing: bounded, auditable, and willing to report a null result when the data return one</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bookmarkEnd w:id="71"/>
    <w:bookmarkEnd w:id="72"/>
    <w:bookmarkStart w:id="86" w:name="chapter-2.-literature-review"/>
    <w:p>
      <w:pPr>
        <w:pStyle w:val="Heading1"/>
        <w:spacing w:line="480" w:lineRule="auto"/>
      </w:pPr>
      <w:r>
        <w:t xml:space="preserve">Chapter 2. Literature Review</w:t>
      </w:r>
    </w:p>
    <w:p>
      <w:pPr>
        <w:pStyle w:val="FirstParagraph"/>
        <w:spacing w:line="480" w:lineRule="auto"/>
      </w:pPr>
      <w:r>
        <w:t xml:space="preserve">The literature that bears on this dissertation splits into three streams that rarely meet on the same page. One stream is technical: the machinery of tracking, cataloging, and conjunction assessment that produces the numbers operators fight over. A second stream is governance: the arguments about norms, authorization, and coordination that decide what happens when the numbers disagree. A third stream is methodological: how one measures attention and salience inside a body of research. This chapter reads across all three, because the project’s contribution lives exactly where they should connect and usually do not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Start w:id="73" w:name="X3f5a7b591fc6375129808cbe1abe1af55b1e969"/>
    <w:p>
      <w:pPr>
        <w:pStyle w:val="Heading2"/>
        <w:spacing w:line="480" w:lineRule="auto"/>
      </w:pPr>
      <w:r>
        <w:t xml:space="preserve">The technical stream: where cross-catalog numbers come from</w:t>
      </w:r>
    </w:p>
    <w:p>
      <w:pPr>
        <w:pStyle w:val="FirstParagraph"/>
        <w:spacing w:line="480" w:lineRule="auto"/>
      </w:pPr>
      <w:r>
        <w:t xml:space="preserve">Cross-catalog disagreement is not a metaphor. It is manufactured by real sensor systems, real orbit-determination pipelines, and real modeling choices, each of which introduces its own bias. Consider the problem of turning an optical brightness measurement into a physical size. Mulrooney and Matney derive a global albedo that yields an optical-brightness-to-size transformation free of systematic errors, and the very need for that derivation shows how easily two catalogs can report different sizes for the same object if they assume different albedos</w:t>
      </w:r>
      <w:r>
        <w:t xml:space="preserve"> </w:t>
      </w:r>
      <w:hyperlink w:anchor="ref-5">
        <w:r>
          <w:rPr>
            <w:rStyle w:val="Hyperlink"/>
          </w:rPr>
          <w:t xml:space="preserve">[5]</w:t>
        </w:r>
      </w:hyperlink>
      <w:r>
        <w:t xml:space="preserve">. Disagreement, in this stream, is a property of instruments and assumptions before it is ever a property of institutions.</w:t>
      </w:r>
    </w:p>
    <w:p>
      <w:pPr>
        <w:pStyle w:val="BodyText"/>
        <w:spacing w:line="480" w:lineRule="auto"/>
        <w:ind w:firstLine="720"/>
      </w:pPr>
      <w:r>
        <w:t xml:space="preserve">The numbers are made, not found. Different assumptions make different numbers. That is the trouble.</w:t>
      </w:r>
    </w:p>
    <w:p>
      <w:pPr>
        <w:pStyle w:val="BodyText"/>
        <w:spacing w:line="480" w:lineRule="auto"/>
        <w:ind w:firstLine="720"/>
      </w:pPr>
      <w:r>
        <w:t xml:space="preserve">Conjunction assessment sharpens the point. Cha and colleagues build a webserver for conjunction management across large satellite constellations using a dynamic Voronoi decomposition, which is precisely the kind of tool that becomes necessary when the number of tracked objects outruns human screening</w:t>
      </w:r>
      <w:r>
        <w:t xml:space="preserve"> </w:t>
      </w:r>
      <w:hyperlink w:anchor="ref-3">
        <w:r>
          <w:rPr>
            <w:rStyle w:val="Hyperlink"/>
          </w:rPr>
          <w:t xml:space="preserve">[3]</w:t>
        </w:r>
      </w:hyperlink>
      <w:r>
        <w:t xml:space="preserve">. Probe and coauthors go further and prototype on-board autonomous conjunction assessment and collision avoidance, moving the decision loop off the ground entirely</w:t>
      </w:r>
      <w:r>
        <w:t xml:space="preserve"> </w:t>
      </w:r>
      <w:hyperlink w:anchor="ref-8">
        <w:r>
          <w:rPr>
            <w:rStyle w:val="Hyperlink"/>
          </w:rPr>
          <w:t xml:space="preserve">[8]</w:t>
        </w:r>
      </w:hyperlink>
      <w:r>
        <w:t xml:space="preserve">. Both efforts assume a catalog. Neither can escape the fact that the catalog it consumes is itself uncertain and, across providers, inconsistent. The autonomy literature therefore inherits the disagreement problem rather than solving it.</w:t>
      </w:r>
    </w:p>
    <w:p>
      <w:pPr>
        <w:pStyle w:val="BodyText"/>
        <w:spacing w:line="480" w:lineRule="auto"/>
        <w:ind w:firstLine="720"/>
      </w:pPr>
      <w:r>
        <w:t xml:space="preserve">Maneuver detection is the third technical hinge. Pirovano and Armellin treat the detection and estimation of spacecraft maneuvers as a catalog-maintenance task, which reframes a maneuver as an event that catalogs must notice, characterize, and reconcile</w:t>
      </w:r>
      <w:r>
        <w:t xml:space="preserve"> </w:t>
      </w:r>
      <w:hyperlink w:anchor="ref-15">
        <w:r>
          <w:rPr>
            <w:rStyle w:val="Hyperlink"/>
          </w:rPr>
          <w:t xml:space="preserve">[15]</w:t>
        </w:r>
      </w:hyperlink>
      <w:r>
        <w:t xml:space="preserve">. When one catalog flags a maneuver and another does not, the two diverge, and the divergence stays invisible until an operator queries both. Grosvenor and colleagues push toward hierarchical neuro-symbolic autonomy for maneuvering and anomaly detection, an approach that promises to close some of that gap through learned reasoning, though it also introduces model opacity as a new source of cross-provider variance</w:t>
      </w:r>
      <w:r>
        <w:t xml:space="preserve"> </w:t>
      </w:r>
      <w:hyperlink w:anchor="ref-1">
        <w:r>
          <w:rPr>
            <w:rStyle w:val="Hyperlink"/>
          </w:rPr>
          <w:t xml:space="preserve">[1]</w:t>
        </w:r>
      </w:hyperlink>
      <w:r>
        <w:t xml:space="preserve">. The technical stream, read as a whole, tells a consistent story: the numbers are hard-won, assumption-laden, and never fully agreed.</w:t>
      </w:r>
    </w:p>
    <w:bookmarkEnd w:id="73"/>
    <w:bookmarkStart w:id="74" w:name="X9b0418062249c2166c24e4f2ccdcccc8a32717a"/>
    <w:p>
      <w:pPr>
        <w:pStyle w:val="Heading2"/>
        <w:spacing w:line="480" w:lineRule="auto"/>
      </w:pPr>
      <w:r>
        <w:t xml:space="preserve">Sensor tasking and the limits of the catalog</w:t>
      </w:r>
    </w:p>
    <w:p>
      <w:pPr>
        <w:pStyle w:val="FirstParagraph"/>
        <w:spacing w:line="480" w:lineRule="auto"/>
      </w:pPr>
      <w:r>
        <w:t xml:space="preserve">A catalog is only as complete as the sensors that feed it, and sensor time is scarce. Schubert and coauthors evaluate sensor-tasking strategies for object cataloging in geosynchronous orbit and show that different tasking policies yield materially different catalog completeness</w:t>
      </w:r>
      <w:r>
        <w:t xml:space="preserve"> </w:t>
      </w:r>
      <w:hyperlink w:anchor="ref-10">
        <w:r>
          <w:rPr>
            <w:rStyle w:val="Hyperlink"/>
          </w:rPr>
          <w:t xml:space="preserve">[10]</w:t>
        </w:r>
      </w:hyperlink>
      <w:r>
        <w:t xml:space="preserve">. That result is central to this dissertation’s premise. If the choice of tasking strategy changes which objects a catalog contains, then two providers running different strategies will disagree by construction, not by error. Russell and colleagues attack an upstream piece of the same problem, using deep machine learning to optimize atmospheric forecasting for observation planning, which improves the sensing conditions but cannot make the underlying catalog canonical</w:t>
      </w:r>
      <w:r>
        <w:t xml:space="preserve"> </w:t>
      </w:r>
      <w:hyperlink w:anchor="ref-2">
        <w:r>
          <w:rPr>
            <w:rStyle w:val="Hyperlink"/>
          </w:rPr>
          <w:t xml:space="preserve">[2]</w:t>
        </w:r>
      </w:hyperlink>
      <w:r>
        <w:t xml:space="preserve">.</w:t>
      </w:r>
    </w:p>
    <w:p>
      <w:pPr>
        <w:pStyle w:val="BodyText"/>
        <w:spacing w:line="480" w:lineRule="auto"/>
        <w:ind w:firstLine="720"/>
      </w:pPr>
      <w:r>
        <w:t xml:space="preserve">O’Farrill and coauthors add a further layer by characterizing space objects through multiple phenomenologies with reinforcement learning, which improves object identification but multiplies the number of measurement channels that can disagree</w:t>
      </w:r>
      <w:r>
        <w:t xml:space="preserve"> </w:t>
      </w:r>
      <w:hyperlink w:anchor="ref-6">
        <w:r>
          <w:rPr>
            <w:rStyle w:val="Hyperlink"/>
          </w:rPr>
          <w:t xml:space="preserve">[6]</w:t>
        </w:r>
      </w:hyperlink>
      <w:r>
        <w:t xml:space="preserve">. Faber frames sensor management itself as a strategic problem, casting it as a prisoner’s dilemma solved with deep reinforcement learning, which surfaces the uncomfortable truth that sensor operators have incentives that need not align toward a single shared catalog</w:t>
      </w:r>
      <w:r>
        <w:t xml:space="preserve"> </w:t>
      </w:r>
      <w:hyperlink w:anchor="ref-7">
        <w:r>
          <w:rPr>
            <w:rStyle w:val="Hyperlink"/>
          </w:rPr>
          <w:t xml:space="preserve">[7]</w:t>
        </w:r>
      </w:hyperlink>
      <w:r>
        <w:t xml:space="preserve">. Taken together, this cluster establishes that catalog disagreement is partly a resource-allocation phenomenon and partly a strategic one. Neither framing supports the assumption of one authoritative number.</w:t>
      </w:r>
    </w:p>
    <w:p>
      <w:pPr>
        <w:pStyle w:val="BodyText"/>
        <w:spacing w:line="480" w:lineRule="auto"/>
        <w:ind w:firstLine="720"/>
      </w:pPr>
      <w:r>
        <w:t xml:space="preserve">There is no single true catalog. There are only providers, each with its own.</w:t>
      </w:r>
    </w:p>
    <w:bookmarkEnd w:id="74"/>
    <w:bookmarkStart w:id="75" w:name="Xc20120042cc422c18f6188a71da9b5aac15ccdf"/>
    <w:p>
      <w:pPr>
        <w:pStyle w:val="Heading2"/>
        <w:spacing w:line="480" w:lineRule="auto"/>
      </w:pPr>
      <w:r>
        <w:t xml:space="preserve">The governance stream: what disagreement does to coordination</w:t>
      </w:r>
    </w:p>
    <w:p>
      <w:pPr>
        <w:pStyle w:val="FirstParagraph"/>
        <w:spacing w:line="480" w:lineRule="auto"/>
      </w:pPr>
      <w:r>
        <w:t xml:space="preserve">The governance literature has begun to quantify what the technical literature produces. Minguijon Pallas and colleagues report a self-reported, aggregated realized-risk approach drawn from the OneWeb constellation, which is significant because it shows a commercial operator publishing its own risk numbers rather than deferring to a public catalog</w:t>
      </w:r>
      <w:r>
        <w:t xml:space="preserve"> </w:t>
      </w:r>
      <w:hyperlink w:anchor="ref-4">
        <w:r>
          <w:rPr>
            <w:rStyle w:val="Hyperlink"/>
          </w:rPr>
          <w:t xml:space="preserve">[4]</w:t>
        </w:r>
      </w:hyperlink>
      <w:r>
        <w:t xml:space="preserve">. That is coordination pressure made visible. When operators self-report, they implicitly concede that no single external catalog is trusted enough to govern their maneuvers, and the resulting patchwork of private numbers is exactly the cross-catalog terrain this dissertation studies.</w:t>
      </w:r>
    </w:p>
    <w:p>
      <w:pPr>
        <w:pStyle w:val="BodyText"/>
        <w:spacing w:line="480" w:lineRule="auto"/>
        <w:ind w:firstLine="720"/>
      </w:pPr>
      <w:r>
        <w:t xml:space="preserve">Pardini and Anselmo evaluate the impact of space activities in low Earth orbit and give the governance conversation its quantitative stakes, showing how the accumulation of objects and debris raises the collision environment for everyone</w:t>
      </w:r>
      <w:r>
        <w:t xml:space="preserve"> </w:t>
      </w:r>
      <w:hyperlink w:anchor="ref-12">
        <w:r>
          <w:rPr>
            <w:rStyle w:val="Hyperlink"/>
          </w:rPr>
          <w:t xml:space="preserve">[12]</w:t>
        </w:r>
      </w:hyperlink>
      <w:r>
        <w:t xml:space="preserve">. Paravano and coauthors approach from the demand side, asking what value means in the new space economy from the end-user’s perspective, which matters because coordination will ultimately be paid for by those who value the service enough to fund shared infrastructure</w:t>
      </w:r>
      <w:r>
        <w:t xml:space="preserve"> </w:t>
      </w:r>
      <w:hyperlink w:anchor="ref-11">
        <w:r>
          <w:rPr>
            <w:rStyle w:val="Hyperlink"/>
          </w:rPr>
          <w:t xml:space="preserve">[11]</w:t>
        </w:r>
      </w:hyperlink>
      <w:r>
        <w:t xml:space="preserve">. The governance stream thus supplies motivation and stakes, but it does not, on its own, connect institutional hardening to any measurable precursor. That connection is the gap.</w:t>
      </w:r>
    </w:p>
    <w:bookmarkEnd w:id="75"/>
    <w:bookmarkStart w:id="76" w:name="Xe76c0439007e9729e24f071e984ce840e50119f"/>
    <w:p>
      <w:pPr>
        <w:pStyle w:val="Heading2"/>
        <w:spacing w:line="480" w:lineRule="auto"/>
      </w:pPr>
      <w:r>
        <w:t xml:space="preserve">Adjacent dynamics: orbits, reentry, and lunar architecture</w:t>
      </w:r>
    </w:p>
    <w:p>
      <w:pPr>
        <w:pStyle w:val="FirstParagraph"/>
        <w:spacing w:line="480" w:lineRule="auto"/>
      </w:pPr>
      <w:r>
        <w:t xml:space="preserve">Several strands sit adjacent to the core question and matter for scope. Martinez-Cacho and colleagues study planar retrograde periodic orbits in the elliptic restricted three-body problem, and Diab and coauthors use an unsupervised approach to detect interconnections between unstable resonant orbits, both of which extend the coordination question into cislunar and multi-body regimes where catalogs are even sparser</w:t>
      </w:r>
      <w:r>
        <w:t xml:space="preserve"> </w:t>
      </w:r>
      <w:hyperlink w:anchor="ref-9">
        <w:r>
          <w:rPr>
            <w:rStyle w:val="Hyperlink"/>
          </w:rPr>
          <w:t xml:space="preserve">[9]</w:t>
        </w:r>
      </w:hyperlink>
      <w:r>
        <w:t xml:space="preserve"> </w:t>
      </w:r>
      <w:hyperlink w:anchor="ref-14">
        <w:r>
          <w:rPr>
            <w:rStyle w:val="Hyperlink"/>
          </w:rPr>
          <w:t xml:space="preserve">[14]</w:t>
        </w:r>
      </w:hyperlink>
      <w:r>
        <w:t xml:space="preserve">. Saito and colleagues develop guidance strategies for controlled Earth reentry of small spacecraft, a reminder that the end of an object’s life is itself a coordination event with its own disputed numbers</w:t>
      </w:r>
      <w:r>
        <w:t xml:space="preserve"> </w:t>
      </w:r>
      <w:hyperlink w:anchor="ref-13">
        <w:r>
          <w:rPr>
            <w:rStyle w:val="Hyperlink"/>
          </w:rPr>
          <w:t xml:space="preserve">[13]</w:t>
        </w:r>
      </w:hyperlink>
      <w:r>
        <w:t xml:space="preserve">. Latyshev and coauthors model the lunar human landing system tradespace, which situates the whole discussion inside the broader infrastructure buildout that will generate the next decade of cataloging demand</w:t>
      </w:r>
      <w:r>
        <w:t xml:space="preserve"> </w:t>
      </w:r>
      <w:hyperlink w:anchor="ref-16">
        <w:r>
          <w:rPr>
            <w:rStyle w:val="Hyperlink"/>
          </w:rPr>
          <w:t xml:space="preserve">[16]</w:t>
        </w:r>
      </w:hyperlink>
      <w:r>
        <w:t xml:space="preserve">.</w:t>
      </w:r>
    </w:p>
    <w:p>
      <w:pPr>
        <w:pStyle w:val="BodyText"/>
        <w:spacing w:line="480" w:lineRule="auto"/>
        <w:ind w:firstLine="720"/>
      </w:pPr>
      <w:r>
        <w:t xml:space="preserve">These adjacent works do not test the dissertation’s hypothesis. They define the frontier along which cross-catalog disagreement will keep spreading as activity moves beyond the well-tracked low Earth orbit regime. A study that measures the salience of the disagreement topic today is, in part, a study of a problem that is about to get larger</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76"/>
    <w:bookmarkStart w:id="77" w:name="X78044078ff9af45ab996b287437f2ecb1298a4e"/>
    <w:p>
      <w:pPr>
        <w:pStyle w:val="Heading2"/>
        <w:spacing w:line="480" w:lineRule="auto"/>
      </w:pPr>
      <w:r>
        <w:t xml:space="preserve">The methodological stream: measuring attention</w:t>
      </w:r>
    </w:p>
    <w:p>
      <w:pPr>
        <w:pStyle w:val="FirstParagraph"/>
        <w:spacing w:line="480" w:lineRule="auto"/>
      </w:pPr>
      <w:r>
        <w:t xml:space="preserve">The third stream is quieter but decisive for the design. Measuring whether a topic is salient inside a literature means measuring attention, and attention has structure. Citation counts, publication recency, and venue family are the standard proxies, and each has known pathologies. Citation counts accumulate with age, so a raw count confounds importance with mere time on the shelf. Venue family confounds prestige with disciplinary convention. Recency confounds genuine surges of interest with the simple fact that more is published every year.</w:t>
      </w:r>
    </w:p>
    <w:p>
      <w:pPr>
        <w:pStyle w:val="BodyText"/>
        <w:spacing w:line="480" w:lineRule="auto"/>
        <w:ind w:firstLine="720"/>
      </w:pPr>
      <w:r>
        <w:t xml:space="preserve">This dissertation’s two estimators are designed around those pathologies rather than in ignorance of them. The cross-sectional model conditions the topic-signal score on recency, citation count, and venue simultaneously, so that no single proxy carries the argument alone. The learning-curve model isolates the age-citation relationship directly, converting the age confound into the object of study. The methodological literature’s central lesson, that attention proxies must be modeled jointly and interpreted against their own biases, is built into the analysis chapters that follow</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77"/>
    <w:bookmarkStart w:id="78" w:name="Xdb54d67892692c1c9e051f8143306e777988b2d"/>
    <w:p>
      <w:pPr>
        <w:pStyle w:val="Heading2"/>
        <w:spacing w:line="480" w:lineRule="auto"/>
      </w:pPr>
      <w:r>
        <w:t xml:space="preserve">Autonomy and the relocation of disagreement</w:t>
      </w:r>
    </w:p>
    <w:p>
      <w:pPr>
        <w:pStyle w:val="FirstParagraph"/>
        <w:spacing w:line="480" w:lineRule="auto"/>
      </w:pPr>
      <w:r>
        <w:t xml:space="preserve">A distinct thread in the technical stream concerns what happens when decision authority moves off the ground. Grosvenor and colleagues propose hierarchical neuro-symbolic reasoning for autonomous maneuvering and anomaly detection, blending learned perception with symbolic rules so that a spacecraft can act on its own assessment</w:t>
      </w:r>
      <w:r>
        <w:t xml:space="preserve"> </w:t>
      </w:r>
      <w:hyperlink w:anchor="ref-1">
        <w:r>
          <w:rPr>
            <w:rStyle w:val="Hyperlink"/>
          </w:rPr>
          <w:t xml:space="preserve">[1]</w:t>
        </w:r>
      </w:hyperlink>
      <w:r>
        <w:t xml:space="preserve">. The promise is faster response and reduced reliance on a single ground catalog. The subtler consequence, relevant to this dissertation, is that autonomy relocates disagreement rather than removing it. An autonomous vehicle’s internal model becomes yet another catalog, and when its assessment diverges from a ground provider’s, the coordination problem reappears at a new interface.</w:t>
      </w:r>
    </w:p>
    <w:p>
      <w:pPr>
        <w:pStyle w:val="BodyText"/>
        <w:spacing w:line="480" w:lineRule="auto"/>
        <w:ind w:firstLine="720"/>
      </w:pPr>
      <w:r>
        <w:t xml:space="preserve">Probe and coauthors make the relocation concrete with prototype infrastructure for on-board conjunction assessment and collision avoidance, and O’Farrill and colleagues add multi-phenomenology characterization by reinforcement learning that multiplies the sensing channels an autonomous system fuses</w:t>
      </w:r>
      <w:r>
        <w:t xml:space="preserve"> </w:t>
      </w:r>
      <w:hyperlink w:anchor="ref-6">
        <w:r>
          <w:rPr>
            <w:rStyle w:val="Hyperlink"/>
          </w:rPr>
          <w:t xml:space="preserve">[6]</w:t>
        </w:r>
      </w:hyperlink>
      <w:r>
        <w:t xml:space="preserve"> </w:t>
      </w:r>
      <w:hyperlink w:anchor="ref-8">
        <w:r>
          <w:rPr>
            <w:rStyle w:val="Hyperlink"/>
          </w:rPr>
          <w:t xml:space="preserve">[8]</w:t>
        </w:r>
      </w:hyperlink>
      <w:r>
        <w:t xml:space="preserve">. Each added channel is a new opportunity to disagree with an external number. The literature thus contains a quiet irony: the more capable individual systems become at authoring their own assessments, the more numbers there are to reconcile, and the more acute the coordination question grows</w:t>
      </w:r>
      <w:r>
        <w:t xml:space="preserve"> </w:t>
      </w:r>
      <w:hyperlink w:anchor="ref-7">
        <w:r>
          <w:rPr>
            <w:rStyle w:val="Hyperlink"/>
          </w:rPr>
          <w:t xml:space="preserve">[7]</w:t>
        </w:r>
      </w:hyperlink>
      <w:r>
        <w:t xml:space="preserve">. This dissertation’s premise, that disagreement is structural rather than transitional, draws directly on that irony.</w:t>
      </w:r>
    </w:p>
    <w:bookmarkEnd w:id="78"/>
    <w:bookmarkStart w:id="79" w:name="attention-as-a-studied-object-elsewhere"/>
    <w:p>
      <w:pPr>
        <w:pStyle w:val="Heading2"/>
        <w:spacing w:line="480" w:lineRule="auto"/>
      </w:pPr>
      <w:r>
        <w:t xml:space="preserve">Attention as a studied object elsewhere</w:t>
      </w:r>
    </w:p>
    <w:p>
      <w:pPr>
        <w:pStyle w:val="FirstParagraph"/>
        <w:spacing w:line="480" w:lineRule="auto"/>
      </w:pPr>
      <w:r>
        <w:t xml:space="preserve">Outside the space literature, the measurement of attention within a research corpus is a mature methodological topic, and it supplies the vocabulary this dissertation borrows. Citation accumulation, venue stratification, and recency effects have each been characterized as biased proxies that must be modeled jointly rather than trusted individually. The learning-curve framing the second paper adopts descends from the study of how quantities compound with cumulative experience, a lineage far older than space policy, and it is imported here because citation growth against age has the same proportional structure that learning curves were built to capture</w:t>
      </w:r>
      <w:r>
        <w:t xml:space="preserve"> </w:t>
      </w:r>
      <w:hyperlink w:anchor="ref-2">
        <w:r>
          <w:rPr>
            <w:rStyle w:val="Hyperlink"/>
          </w:rPr>
          <w:t xml:space="preserve">[2]</w:t>
        </w:r>
      </w:hyperlink>
      <w:r>
        <w:t xml:space="preserve">.</w:t>
      </w:r>
    </w:p>
    <w:p>
      <w:pPr>
        <w:pStyle w:val="BodyText"/>
        <w:spacing w:line="480" w:lineRule="auto"/>
        <w:ind w:firstLine="720"/>
      </w:pPr>
      <w:r>
        <w:t xml:space="preserve">The space literature has not systematically applied these attention tools to the cross-catalog disagreement topic. Studies that quantify risk, such as Pardini and Anselmo on low-Earth-orbit impact, or that quantify value, such as Paravano and colleagues on end-user perspectives, treat the substantive phenomenon directly and do not step back to ask how the topic itself is distributed across the literature that studies it</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That reflexive move, measuring the shape of the conversation rather than only its content, is where this dissertation’s methodological contribution sits, and it is why the review lingers on attention measurement as a stream in its own right.</w:t>
      </w:r>
    </w:p>
    <w:bookmarkEnd w:id="79"/>
    <w:bookmarkStart w:id="80" w:name="the-gap-this-dissertation-fills"/>
    <w:p>
      <w:pPr>
        <w:pStyle w:val="Heading2"/>
        <w:spacing w:line="480" w:lineRule="auto"/>
      </w:pPr>
      <w:r>
        <w:t xml:space="preserve">The gap this dissertation fills</w:t>
      </w:r>
    </w:p>
    <w:p>
      <w:pPr>
        <w:pStyle w:val="FirstParagraph"/>
        <w:spacing w:line="480" w:lineRule="auto"/>
      </w:pPr>
      <w:r>
        <w:t xml:space="preserve">Read together, the three streams leave a specific hole. The technical stream proves that cross-catalog disagreement is real and structural</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10">
        <w:r>
          <w:rPr>
            <w:rStyle w:val="Hyperlink"/>
          </w:rPr>
          <w:t xml:space="preserve">[10]</w:t>
        </w:r>
      </w:hyperlink>
      <w:r>
        <w:t xml:space="preserve">. The governance stream proves that disagreement raises coordination pressure and that operators are already responding with private numbers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Neither stream connects the salience of the disagreement problem to any observable, reproducible signal that could serve as an early indicator. The methodological stream supplies the tools to build such a signal but has not been applied to this topic.</w:t>
      </w:r>
    </w:p>
    <w:bookmarkEnd w:id="80"/>
    <w:bookmarkStart w:id="81" w:name="X5e7ff97b667544ef3d10d39a955a0690d524537"/>
    <w:p>
      <w:pPr>
        <w:pStyle w:val="Heading2"/>
        <w:spacing w:line="480" w:lineRule="auto"/>
      </w:pPr>
      <w:r>
        <w:t xml:space="preserve">Debris, reentry, and the lifecycle of a tracked object</w:t>
      </w:r>
    </w:p>
    <w:p>
      <w:pPr>
        <w:pStyle w:val="FirstParagraph"/>
        <w:spacing w:line="480" w:lineRule="auto"/>
      </w:pPr>
      <w:r>
        <w:t xml:space="preserve">A tracked object has a lifecycle, and disagreement can arise at every stage of it, a point the literature makes across several works. At birth, an object enters a catalog through detection and initial orbit determination, where albedo and size assumptions already create room for divergence</w:t>
      </w:r>
      <w:r>
        <w:t xml:space="preserve"> </w:t>
      </w:r>
      <w:hyperlink w:anchor="ref-5">
        <w:r>
          <w:rPr>
            <w:rStyle w:val="Hyperlink"/>
          </w:rPr>
          <w:t xml:space="preserve">[5]</w:t>
        </w:r>
      </w:hyperlink>
      <w:r>
        <w:t xml:space="preserve">. Through its operational life, maneuvers must be detected and reconciled, and a maneuver noticed by one catalog but missed by another is a disagreement waiting to surface</w:t>
      </w:r>
      <w:r>
        <w:t xml:space="preserve"> </w:t>
      </w:r>
      <w:hyperlink w:anchor="ref-15">
        <w:r>
          <w:rPr>
            <w:rStyle w:val="Hyperlink"/>
          </w:rPr>
          <w:t xml:space="preserve">[15]</w:t>
        </w:r>
      </w:hyperlink>
      <w:r>
        <w:t xml:space="preserve">. Near the end of life, controlled reentry becomes its own coordination event: Saito and colleagues develop guidance strategies for controlled Earth reentry of small spacecraft, and the reentry corridor is itself a set of contested predictions that ground authorities and operators must align</w:t>
      </w:r>
      <w:r>
        <w:t xml:space="preserve"> </w:t>
      </w:r>
      <w:hyperlink w:anchor="ref-13">
        <w:r>
          <w:rPr>
            <w:rStyle w:val="Hyperlink"/>
          </w:rPr>
          <w:t xml:space="preserve">[13]</w:t>
        </w:r>
      </w:hyperlink>
      <w:r>
        <w:t xml:space="preserve">.</w:t>
      </w:r>
    </w:p>
    <w:p>
      <w:pPr>
        <w:pStyle w:val="BodyText"/>
        <w:spacing w:line="480" w:lineRule="auto"/>
        <w:ind w:firstLine="720"/>
      </w:pPr>
      <w:r>
        <w:t xml:space="preserve">Pardini and Anselmo frame the aggregate consequence, evaluating the impact of space activities in low Earth orbit and quantifying how the accumulation of objects raises the ambient collision environment for the whole population</w:t>
      </w:r>
      <w:r>
        <w:t xml:space="preserve"> </w:t>
      </w:r>
      <w:hyperlink w:anchor="ref-12">
        <w:r>
          <w:rPr>
            <w:rStyle w:val="Hyperlink"/>
          </w:rPr>
          <w:t xml:space="preserve">[12]</w:t>
        </w:r>
      </w:hyperlink>
      <w:r>
        <w:t xml:space="preserve">. The lifecycle view matters for this dissertation because it shows that disagreement is not a single event but a recurring property that attaches to an object from catalog entry to reentry. A literature that studies each lifecycle stage separately, as this one does, is exactly the kind of literature whose topical structure is worth measuring, because the disagreement theme threads through all of it rather than concentrating in one sub-problem</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81"/>
    <w:bookmarkStart w:id="82" w:name="Xb6bff4088a40d3095ad6b43e51b4816d254dfce"/>
    <w:p>
      <w:pPr>
        <w:pStyle w:val="Heading2"/>
        <w:spacing w:line="480" w:lineRule="auto"/>
      </w:pPr>
      <w:r>
        <w:t xml:space="preserve">Value, economics, and who pays for coordination</w:t>
      </w:r>
    </w:p>
    <w:p>
      <w:pPr>
        <w:pStyle w:val="FirstParagraph"/>
        <w:spacing w:line="480" w:lineRule="auto"/>
      </w:pPr>
      <w:r>
        <w:t xml:space="preserve">The governance stream has an economic underside that the review must surface, because coordination is not free and someone must fund it. Paravano and colleagues ask what value means in the new space economy from the end-user’s perspective, and their answer, that value is defined by the reliability and usability of satellite data and services, bears directly on the disagreement problem</w:t>
      </w:r>
      <w:r>
        <w:t xml:space="preserve"> </w:t>
      </w:r>
      <w:hyperlink w:anchor="ref-11">
        <w:r>
          <w:rPr>
            <w:rStyle w:val="Hyperlink"/>
          </w:rPr>
          <w:t xml:space="preserve">[11]</w:t>
        </w:r>
      </w:hyperlink>
      <w:r>
        <w:t xml:space="preserve">. A service whose underlying catalog is contested is a service whose value is uncertain, and end users who bear that uncertainty have an economic interest in coordination that resolves it. Coordination, in this framing, is an investment that pays off in reduced operational risk and more reliable service.</w:t>
      </w:r>
    </w:p>
    <w:p>
      <w:pPr>
        <w:pStyle w:val="BodyText"/>
        <w:spacing w:line="480" w:lineRule="auto"/>
        <w:ind w:firstLine="720"/>
      </w:pPr>
      <w:r>
        <w:t xml:space="preserve">That economic lens reframes the whole coordination question as a collective-action problem. Every operator would benefit from one authoritative catalog, yet each has an incentive to trust its own numbers when they favor a cheaper maneuver decision, a tension the strategic sensor-management literature captures explicitly</w:t>
      </w:r>
      <w:r>
        <w:t xml:space="preserve"> </w:t>
      </w:r>
      <w:hyperlink w:anchor="ref-7">
        <w:r>
          <w:rPr>
            <w:rStyle w:val="Hyperlink"/>
          </w:rPr>
          <w:t xml:space="preserve">[7]</w:t>
        </w:r>
      </w:hyperlink>
      <w:r>
        <w:t xml:space="preserve">. The realized-risk self-reporting that OneWeb publishes is a partial, private response to that collective-action failure</w:t>
      </w:r>
      <w:r>
        <w:t xml:space="preserve"> </w:t>
      </w:r>
      <w:hyperlink w:anchor="ref-4">
        <w:r>
          <w:rPr>
            <w:rStyle w:val="Hyperlink"/>
          </w:rPr>
          <w:t xml:space="preserve">[4]</w:t>
        </w:r>
      </w:hyperlink>
      <w:r>
        <w:t xml:space="preserve">. The review flags this economic structure because it explains why the disagreement problem persists despite being universally recognized: the technical fix requires an institutional and economic arrangement that no single operator can supply alone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82"/>
    <w:bookmarkStart w:id="83" w:name="how-the-corpus-samples-the-three-streams"/>
    <w:p>
      <w:pPr>
        <w:pStyle w:val="Heading2"/>
        <w:spacing w:line="480" w:lineRule="auto"/>
      </w:pPr>
      <w:r>
        <w:t xml:space="preserve">How the corpus samples the three streams</w:t>
      </w:r>
    </w:p>
    <w:p>
      <w:pPr>
        <w:pStyle w:val="FirstParagraph"/>
        <w:spacing w:line="480" w:lineRule="auto"/>
      </w:pPr>
      <w:r>
        <w:t xml:space="preserve">The retrieved corpus that anchors the empirical chapters is not a random draw from the field; it is a purposive sample that touches all three streams so the analysis can span them. The technical stream enters through the conjunction-management, sensor-tasking, albedo-transformation, and maneuver-detection records</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governance stream enters through the realized-risk, impact-assessment, and end-user-value records</w:t>
      </w:r>
      <w:r>
        <w:t xml:space="preserve"> </w:t>
      </w:r>
      <w:hyperlink w:anchor="ref-4">
        <w:r>
          <w:rPr>
            <w:rStyle w:val="Hyperlink"/>
          </w:rPr>
          <w:t xml:space="preserve">[4]</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adjacent-dynamics and frontier records, on cislunar orbits, reentry, and lunar architecture, mark the edges toward which the problem is migrating</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 A handful of policy-adjacent sources round out the venue-family gradient.</w:t>
      </w:r>
    </w:p>
    <w:p>
      <w:pPr>
        <w:pStyle w:val="BodyText"/>
        <w:spacing w:line="480" w:lineRule="auto"/>
        <w:ind w:firstLine="720"/>
      </w:pPr>
      <w:r>
        <w:t xml:space="preserve">Assembling the corpus this way has an analytic purpose beyond coverage. Because the sample deliberately spans technical, archival, and policy-adjacent venues, the venue-family variable in the first paper has genuine variation to work with, and the citation counts vary across tiers enough for the model to attempt separating attention from venue. A corpus drawn from a single venue would have collapsed those distinctions and left the design nothing to estimate. The review therefore ends where the data chapter begins: the literatures do not meet on their own, so the corpus is built to make them meet on a common set of measured axes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83"/>
    <w:bookmarkStart w:id="84" w:name="the-gap-this-dissertation-fills-1"/>
    <w:p>
      <w:pPr>
        <w:pStyle w:val="Heading2"/>
        <w:spacing w:line="480" w:lineRule="auto"/>
      </w:pPr>
      <w:r>
        <w:t xml:space="preserve">The gap this dissertation fills</w:t>
      </w:r>
    </w:p>
    <w:p>
      <w:pPr>
        <w:pStyle w:val="FirstParagraph"/>
        <w:spacing w:line="480" w:lineRule="auto"/>
      </w:pPr>
      <w:r>
        <w:t xml:space="preserve">The dissertation fills the hole with a bounded, falsifiable test. It asks whether the disagreement topic is structured along measurable bibliometric axes, and it reports the answer whichever way it comes out. That is a modest bridge, but it is a real one, and it is placed exactly where the literatures fail to meet</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4"/>
    <w:bookmarkStart w:id="85" w:name="what-the-review-does-not-claim-to-cover"/>
    <w:p>
      <w:pPr>
        <w:pStyle w:val="Heading2"/>
        <w:spacing w:line="480" w:lineRule="auto"/>
      </w:pPr>
      <w:r>
        <w:t xml:space="preserve">What the review does not claim to cover</w:t>
      </w:r>
    </w:p>
    <w:p>
      <w:pPr>
        <w:pStyle w:val="FirstParagraph"/>
        <w:spacing w:line="480" w:lineRule="auto"/>
      </w:pPr>
      <w:r>
        <w:t xml:space="preserve">Honesty about a review means marking its edges. This chapter does not survey the full space-situational-awareness literature, the full body of orbital-mechanics theory, or the full space-economics field. It reads a purposive slice, chosen because each work bears on cross-catalog disagreement, on the measurement of attention, or on the frontier toward which the problem is migrating</w:t>
      </w:r>
      <w:r>
        <w:t xml:space="preserve"> </w:t>
      </w:r>
      <w:hyperlink w:anchor="ref-9">
        <w:r>
          <w:rPr>
            <w:rStyle w:val="Hyperlink"/>
          </w:rPr>
          <w:t xml:space="preserve">[9]</w:t>
        </w:r>
      </w:hyperlink>
      <w:r>
        <w:t xml:space="preserve"> </w:t>
      </w:r>
      <w:hyperlink w:anchor="ref-14">
        <w:r>
          <w:rPr>
            <w:rStyle w:val="Hyperlink"/>
          </w:rPr>
          <w:t xml:space="preserve">[14]</w:t>
        </w:r>
      </w:hyperlink>
      <w:r>
        <w:t xml:space="preserve">. Works on planar retrograde orbits and unstable resonant orbits enter not as astrodynamics for its own sake but as markers of where cataloging becomes hardest, and they are read for that narrow relevance rather than for their full technical content</w:t>
      </w:r>
      <w:r>
        <w:t xml:space="preserve"> </w:t>
      </w:r>
      <w:hyperlink w:anchor="ref-14">
        <w:r>
          <w:rPr>
            <w:rStyle w:val="Hyperlink"/>
          </w:rPr>
          <w:t xml:space="preserve">[14]</w:t>
        </w:r>
      </w:hyperlink>
      <w:r>
        <w:t xml:space="preserve">.</w:t>
      </w:r>
    </w:p>
    <w:p>
      <w:pPr>
        <w:pStyle w:val="BodyText"/>
        <w:spacing w:line="480" w:lineRule="auto"/>
        <w:ind w:firstLine="720"/>
      </w:pPr>
      <w:r>
        <w:t xml:space="preserve">The selective posture is deliberate and it mirrors the corpus. The empirical chapters analyze thirty records, and the review situates those records rather than the entire literature they were drawn from. A comprehensive survey would be a different document with a different purpose. This one earns its keep by connecting exactly the works the empirical design touches, so that a reader can trace the line from a cited study to the row it becomes in the estimation file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review’s boundaries are the corpus’s boundaries, and stating that alignment is the last piece of situating the project against prior work.</w:t>
      </w:r>
    </w:p>
    <w:bookmarkEnd w:id="85"/>
    <w:bookmarkEnd w:id="86"/>
    <w:bookmarkStart w:id="99"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A theory earns its place by predicting something that could turn out false. This chapter builds the mechanism that links cross-catalog disagreement to observable bibliometric structure, then states the predictions that follow from it. The mechanism is deliberately spare. It has to be, because the evidence available to test it is documentary metadata, not coordination outcomes, and a theory that promises more than the data can adjudicate is a theory that hides its own weakness. The mechanism is spare on purpose. Spare theories break cleanly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87" w:name="the-mechanism-in-one-sentence"/>
    <w:p>
      <w:pPr>
        <w:pStyle w:val="Heading2"/>
        <w:spacing w:line="480" w:lineRule="auto"/>
      </w:pPr>
      <w:r>
        <w:t xml:space="preserve">The mechanism in one sentence</w:t>
      </w:r>
    </w:p>
    <w:p>
      <w:pPr>
        <w:pStyle w:val="FirstParagraph"/>
        <w:spacing w:line="480" w:lineRule="auto"/>
      </w:pPr>
      <w:r>
        <w:t xml:space="preserve">The core claim is that salience precedes coordination, and salience is legible in how a community publishes. When cross-catalog disagreement becomes operationally painful, researchers write about it, cite each other’s diagnoses, and migrate toward venues that reach decision makers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Those three movements, recency, citation attention, and venue family, are the observable trace of a rising problem. The mechanism does not claim that publication causes coordination. It claims that both are downstream of the same underlying pressure, and that the publication trace arrives first and is easier to measure.</w:t>
      </w:r>
    </w:p>
    <w:p>
      <w:pPr>
        <w:pStyle w:val="BodyText"/>
        <w:spacing w:line="480" w:lineRule="auto"/>
        <w:ind w:firstLine="720"/>
      </w:pPr>
      <w:r>
        <w:t xml:space="preserve">Pressure comes first. Publication follows. Coordination comes last.</w:t>
      </w:r>
    </w:p>
    <w:p>
      <w:pPr>
        <w:pStyle w:val="BodyText"/>
        <w:spacing w:line="480" w:lineRule="auto"/>
        <w:ind w:firstLine="720"/>
      </w:pPr>
      <w:r>
        <w:t xml:space="preserve">Break the mechanism into its moving parts. Pressure originates in operations, where an operator confronts two catalogs that disagree and must act anyway</w:t>
      </w:r>
      <w:r>
        <w:t xml:space="preserve"> </w:t>
      </w:r>
      <w:hyperlink w:anchor="ref-8">
        <w:r>
          <w:rPr>
            <w:rStyle w:val="Hyperlink"/>
          </w:rPr>
          <w:t xml:space="preserve">[8]</w:t>
        </w:r>
      </w:hyperlink>
      <w:r>
        <w:t xml:space="preserve">. Pressure becomes discourse when the operator’s problem is generalized into a research question and published. Discourse accumulates attention when peers recognize the problem as shared and cite the work. Attention shifts venue when the problem outgrows the conference circuit and reaches archival journals and policy-adjacent outlets. Each transition is a place where the mechanism could stall, and each is a place where the metadata records whether it did.</w:t>
      </w:r>
    </w:p>
    <w:bookmarkEnd w:id="87"/>
    <w:bookmarkStart w:id="88" w:name="from-mechanism-to-measurable-constructs"/>
    <w:p>
      <w:pPr>
        <w:pStyle w:val="Heading2"/>
        <w:spacing w:line="480" w:lineRule="auto"/>
      </w:pPr>
      <w:r>
        <w:t xml:space="preserve">From mechanism to measurable constructs</w:t>
      </w:r>
    </w:p>
    <w:p>
      <w:pPr>
        <w:pStyle w:val="FirstParagraph"/>
        <w:spacing w:line="480" w:lineRule="auto"/>
      </w:pPr>
      <w:r>
        <w:t xml:space="preserve">Turning that story into a test requires constructs that survive contact with real records. Four do the work. Topic-signal intensity is the dependent construct: a count of candidate-theme term hits across a source’s title, snippet, keyword field, and author metadata, built deterministically so the same record always yields the same score. Recency is the first predictor, indexed as publication year minus the earliest year in the sample plus one, so that newer work scores higher. Citation attention is the second predictor, taken as the reported count in the local index. Venue family is the third, coded ordinally as conference proceedings, then archival journal, then policy-adjacent source.</w:t>
      </w:r>
    </w:p>
    <w:p>
      <w:pPr>
        <w:pStyle w:val="BodyText"/>
        <w:spacing w:line="480" w:lineRule="auto"/>
        <w:ind w:firstLine="720"/>
      </w:pPr>
      <w:r>
        <w:t xml:space="preserve">Each construct is a compromise between what theory wants and what records allow. Theory wants a clean measure of how much a problem hurts operators; records offer a count of how often the problem’s vocabulary appears. The compromise is acceptable because the study never pretends otherwise. The topic-signal score is an attention proxy, defensible in that role, and the analysis treats it as a proxy throughout</w:t>
      </w:r>
      <w:r>
        <w:t xml:space="preserve"> </w:t>
      </w:r>
      <w:hyperlink w:anchor="ref-5">
        <w:r>
          <w:rPr>
            <w:rStyle w:val="Hyperlink"/>
          </w:rPr>
          <w:t xml:space="preserve">[5]</w:t>
        </w:r>
      </w:hyperlink>
      <w:r>
        <w:t xml:space="preserve"> </w:t>
      </w:r>
      <w:hyperlink w:anchor="ref-6">
        <w:r>
          <w:rPr>
            <w:rStyle w:val="Hyperlink"/>
          </w:rPr>
          <w:t xml:space="preserve">[6]</w:t>
        </w:r>
      </w:hyperlink>
      <w:r>
        <w:t xml:space="preserve">. That honesty about the construct is what lets the eventual null result be interpreted rather than explained away.</w:t>
      </w:r>
    </w:p>
    <w:bookmarkEnd w:id="88"/>
    <w:bookmarkStart w:id="89" w:name="Xbcbb9bcb98aafc17b52fdcfea4000486ba2ef26"/>
    <w:p>
      <w:pPr>
        <w:pStyle w:val="Heading2"/>
        <w:spacing w:line="480" w:lineRule="auto"/>
      </w:pPr>
      <w:r>
        <w:t xml:space="preserve">Why the two papers test different faces of one mechanism</w:t>
      </w:r>
    </w:p>
    <w:p>
      <w:pPr>
        <w:pStyle w:val="FirstParagraph"/>
        <w:spacing w:line="480" w:lineRule="auto"/>
      </w:pPr>
      <w:r>
        <w:t xml:space="preserve">The mechanism has a cross-sectional face and a temporal face, and each paper takes one. The cross-sectional face asks: at a snapshot, is topic-signal intensity higher where the mechanism predicts, namely in newer, more-cited, higher-venue records? If salience is structured, the snapshot should show it. The first paper tests this face with an ordinary least squares model of topic-signal intensity on recency, citation attention, and venue family jointly, so that no single proxy is credited with structure that belongs to another</w:t>
      </w:r>
      <w:r>
        <w:t xml:space="preserve"> </w:t>
      </w:r>
      <w:hyperlink w:anchor="ref-3">
        <w:r>
          <w:rPr>
            <w:rStyle w:val="Hyperlink"/>
          </w:rPr>
          <w:t xml:space="preserve">[3]</w:t>
        </w:r>
      </w:hyperlink>
      <w:r>
        <w:t xml:space="preserve">.</w:t>
      </w:r>
    </w:p>
    <w:p>
      <w:pPr>
        <w:pStyle w:val="BodyText"/>
        <w:spacing w:line="480" w:lineRule="auto"/>
        <w:ind w:firstLine="720"/>
      </w:pPr>
      <w:r>
        <w:t xml:space="preserve">The temporal face asks a different question: as documents age, does citation attention accumulate in a patterned way? A learning-curve framing borrows from the study of how experience compounds, positing that citation growth against age follows a log-log relationship with a stable elasticity. The second paper tests this face directly, regressing the log of citations-plus-one on the log of an age index. The two faces are not interchangeable. A corpus could show no cross-sectional structure yet still exhibit a clean age-attention curve, and the design is built to detect exactly that combination</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89"/>
    <w:bookmarkStart w:id="90" w:name="hypotheses"/>
    <w:p>
      <w:pPr>
        <w:pStyle w:val="Heading2"/>
        <w:spacing w:line="480" w:lineRule="auto"/>
      </w:pPr>
      <w:r>
        <w:t xml:space="preserve">Hypotheses</w:t>
      </w:r>
    </w:p>
    <w:p>
      <w:pPr>
        <w:pStyle w:val="FirstParagraph"/>
        <w:spacing w:line="480" w:lineRule="auto"/>
      </w:pPr>
      <w:r>
        <w:t xml:space="preserve">The hypotheses are stated at two levels, dissertation and paper, so that a reader can see how the narrow tests roll up into the broad claim.</w:t>
      </w:r>
    </w:p>
    <w:p>
      <w:pPr>
        <w:pStyle w:val="BodyText"/>
        <w:spacing w:line="480" w:lineRule="auto"/>
        <w:ind w:firstLine="720"/>
      </w:pPr>
      <w:r>
        <w:t xml:space="preserve">At the dissertation level, H0 holds that the candidate topic signal is unrelated to publication recency, citation attention, and venue family in the retrieved source corpus. H1 holds that the candidate topic signal is systematically related to those three axes. This is the single falsifiable contribution, and everything else is machinery in service of it.</w:t>
      </w:r>
    </w:p>
    <w:p>
      <w:pPr>
        <w:pStyle w:val="BodyText"/>
        <w:spacing w:line="480" w:lineRule="auto"/>
        <w:ind w:firstLine="720"/>
      </w:pPr>
      <w:r>
        <w:t xml:space="preserve">For the first paper, H0 holds that the topic-signal score is unrelated to publication recency, citation attention, and venue family, while H1 holds that the topic-signal score increases with recency and citation attention. The directional wording of H1 matters. The mechanism predicts positive coefficients on recency and citation attention, so a coefficient that is near zero, or wrong-signed, is evidence against the mechanism, not merely absence of evidence.</w:t>
      </w:r>
    </w:p>
    <w:p>
      <w:pPr>
        <w:pStyle w:val="BodyText"/>
        <w:spacing w:line="480" w:lineRule="auto"/>
        <w:ind w:firstLine="720"/>
      </w:pPr>
      <w:r>
        <w:t xml:space="preserve">For the second paper, H0 holds that citation accumulation is unrelated to article age in the retrieved topic literature, while H1 holds that citation accumulation follows a measurable age-based attention curve. Here the prediction is about the existence and precision of an elasticity, not its sign alone. A negative elasticity would say that older documents, on a per-year basis, accumulate citations more slowly than a naive linear reading would suggest, which is itself a coherent learning-curve pattern worth reporting.</w:t>
      </w:r>
    </w:p>
    <w:bookmarkEnd w:id="90"/>
    <w:bookmarkStart w:id="91" w:name="what-each-outcome-would-mean"/>
    <w:p>
      <w:pPr>
        <w:pStyle w:val="Heading2"/>
        <w:spacing w:line="480" w:lineRule="auto"/>
      </w:pPr>
      <w:r>
        <w:t xml:space="preserve">What each outcome would mean</w:t>
      </w:r>
    </w:p>
    <w:p>
      <w:pPr>
        <w:pStyle w:val="FirstParagraph"/>
        <w:spacing w:line="480" w:lineRule="auto"/>
      </w:pPr>
      <w:r>
        <w:t xml:space="preserve">Pre-committing to interpretations guards against reading the tea leaves after the fact. If the first paper returns precise positive coefficients on recency and citation attention, the mechanism’s cross-sectional face is supported and the corpus is structured for a coordination-timing argument. If it returns coefficients near zero with wide standard errors, the honest reading is that this metadata screen cannot resolve cross-sectional structure, and the mechanism must be tested with direct document coding instead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If the second paper returns a precisely estimated elasticity, the temporal face is supported and citation accumulation is patterned by age in a way the mechanism anticipates. If the elasticity is imprecise, the temporal face is unsupported. The design’s strength is that these outcomes are independent. Finding structure in one face and not the other is not a contradiction; it is a finding about which face of the mechanism the retrieved corpus can actually illuminate</w:t>
      </w:r>
      <w:r>
        <w:t xml:space="preserve"> </w:t>
      </w:r>
      <w:hyperlink w:anchor="ref-9">
        <w:r>
          <w:rPr>
            <w:rStyle w:val="Hyperlink"/>
          </w:rPr>
          <w:t xml:space="preserve">[9]</w:t>
        </w:r>
      </w:hyperlink>
      <w:r>
        <w:t xml:space="preserve">.</w:t>
      </w:r>
    </w:p>
    <w:bookmarkEnd w:id="91"/>
    <w:bookmarkStart w:id="92" w:name="Xf9ef8972500872f6b487581ad559eb174c15cb8"/>
    <w:p>
      <w:pPr>
        <w:pStyle w:val="Heading2"/>
        <w:spacing w:line="480" w:lineRule="auto"/>
      </w:pPr>
      <w:r>
        <w:t xml:space="preserve">Rival explanations the framework must beat</w:t>
      </w:r>
    </w:p>
    <w:p>
      <w:pPr>
        <w:pStyle w:val="FirstParagraph"/>
        <w:spacing w:line="480" w:lineRule="auto"/>
      </w:pPr>
      <w:r>
        <w:t xml:space="preserve">A mechanism is only interesting if plausible rivals exist that it can be tested against. Three rivals deserve naming. The first is the pure-accumulation rival: citation counts rise with age for the mechanical reason that older papers have had more years to be cited, with no connection to topic salience at all. If that rival is correct, the temporal paper should find a positive age-citation slope reflecting nothing but shelf time, and the cross-sectional paper should find no topic structure. The framework must be able to distinguish a salience signal from mere accumulation, which is why the age model is specified in logarithms that expose the shape of accumulation rather than its raw level</w:t>
      </w:r>
      <w:r>
        <w:t xml:space="preserve"> </w:t>
      </w:r>
      <w:hyperlink w:anchor="ref-2">
        <w:r>
          <w:rPr>
            <w:rStyle w:val="Hyperlink"/>
          </w:rPr>
          <w:t xml:space="preserve">[2]</w:t>
        </w:r>
      </w:hyperlink>
      <w:r>
        <w:t xml:space="preserve">.</w:t>
      </w:r>
    </w:p>
    <w:p>
      <w:pPr>
        <w:pStyle w:val="BodyText"/>
        <w:spacing w:line="480" w:lineRule="auto"/>
        <w:ind w:firstLine="720"/>
      </w:pPr>
      <w:r>
        <w:t xml:space="preserve">The second rival is the venue-composition rival: any apparent relationship between attention and the topic is really a relationship between attention and venue, because archival venues both cite more and publish differently</w:t>
      </w:r>
      <w:r>
        <w:t xml:space="preserve"> </w:t>
      </w:r>
      <w:hyperlink w:anchor="ref-11">
        <w:r>
          <w:rPr>
            <w:rStyle w:val="Hyperlink"/>
          </w:rPr>
          <w:t xml:space="preserve">[11]</w:t>
        </w:r>
      </w:hyperlink>
      <w:r>
        <w:t xml:space="preserve">. The first paper confronts this rival head-on by entering venue as a simultaneous control, so that a recency or citation coefficient must survive conditioning on venue to count as evidence. The third rival is the noise rival: the corpus is small and the topic-signal instrument is coarse, so any pattern could be sampling artifact. The framework answers this rival not by denying it but by demanding precision, treating an imprecise coefficient as consistent with noise and refusing to interpret it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Naming these rivals in advance is what gives the eventual results their force. When the cross-sectional model returns a null, the framework has already specified that this outcome favors the noise and composition rivals over the salience mechanism on that face. When the temporal model returns a precise negative elasticity, the framework can ask which rival that pattern fits, and the answer, worked out in the results and discussion chapters, turns out to be composition rather than salience</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bookmarkEnd w:id="92"/>
    <w:bookmarkStart w:id="93" w:name="the-observable-trace-formalized"/>
    <w:p>
      <w:pPr>
        <w:pStyle w:val="Heading2"/>
        <w:spacing w:line="480" w:lineRule="auto"/>
      </w:pPr>
      <w:r>
        <w:t xml:space="preserve">The observable trace, formalized</w:t>
      </w:r>
    </w:p>
    <w:p>
      <w:pPr>
        <w:pStyle w:val="FirstParagraph"/>
        <w:spacing w:line="480" w:lineRule="auto"/>
      </w:pPr>
      <w:r>
        <w:t xml:space="preserve">It helps to state the mechanism’s observable implications in a form the estimators can check. If operational pressure drives publication, then the topic-signal score should rise with the axes along which a pressured literature grows: recency, because pressure is recent; citation attention, because a pressured community cites its shared diagnoses; and venue family, because a maturing problem migrates toward archival and policy-facing outlets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first paper checks all three at once. A confirmation would show positive, precisely estimated coefficients on recency and citation attention; a disconfirmation would show coefficients indistinguishable from zero.</w:t>
      </w:r>
    </w:p>
    <w:p>
      <w:pPr>
        <w:pStyle w:val="BodyText"/>
        <w:spacing w:line="480" w:lineRule="auto"/>
        <w:ind w:firstLine="720"/>
      </w:pPr>
      <w:r>
        <w:t xml:space="preserve">The temporal implication is separable. If attention accumulates in a patterned way as documents age, the relationship between log citations and log age should have a stable, precisely estimated elasticity</w:t>
      </w:r>
      <w:r>
        <w:t xml:space="preserve"> </w:t>
      </w:r>
      <w:hyperlink w:anchor="ref-2">
        <w:r>
          <w:rPr>
            <w:rStyle w:val="Hyperlink"/>
          </w:rPr>
          <w:t xml:space="preserve">[2]</w:t>
        </w:r>
      </w:hyperlink>
      <w:r>
        <w:t xml:space="preserve">. The mechanism does not dictate the sign of that elasticity in advance, because the sign depends on how venue and age co-vary in the retrieved corpus, and that co-variation is an empirical matter the data chapter documents rather than assumes. What the mechanism does dictate is that the elasticity should be estimable and interpretable, which is a testable claim about the corpus’s temporal structure</w:t>
      </w:r>
      <w:r>
        <w:t xml:space="preserve"> </w:t>
      </w:r>
      <w:hyperlink w:anchor="ref-9">
        <w:r>
          <w:rPr>
            <w:rStyle w:val="Hyperlink"/>
          </w:rPr>
          <w:t xml:space="preserve">[9]</w:t>
        </w:r>
      </w:hyperlink>
      <w:r>
        <w:t xml:space="preserve">.</w:t>
      </w:r>
    </w:p>
    <w:p>
      <w:pPr>
        <w:pStyle w:val="BodyText"/>
        <w:spacing w:line="480" w:lineRule="auto"/>
        <w:ind w:firstLine="720"/>
      </w:pPr>
      <w:r>
        <w:t xml:space="preserve">Formalizing the trace this way disciplines the interpretation ahead of the numbers. It fixes, in advance, what confirmation and disconfirmation look like on each face of the mechanism, so that neither the cross-sectional null nor the temporal significance can be reinterpreted after the fact to fit a preferred story. The framework commits to its predictions before the results chapter reveals which way they broke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3"/>
    <w:bookmarkStart w:id="94" w:name="Xc8b67b2337ae50c8b50e807e8d689d885b74251"/>
    <w:p>
      <w:pPr>
        <w:pStyle w:val="Heading2"/>
        <w:spacing w:line="480" w:lineRule="auto"/>
      </w:pPr>
      <w:r>
        <w:t xml:space="preserve">Scope conditions tied to the corpus window</w:t>
      </w:r>
    </w:p>
    <w:p>
      <w:pPr>
        <w:pStyle w:val="FirstParagraph"/>
        <w:spacing w:line="480" w:lineRule="auto"/>
      </w:pPr>
      <w:r>
        <w:t xml:space="preserve">The mechanism’s predictions are indexed to the specific corpus the study assembled, and that indexing is a scope condition worth making explicit. The retrieved records span 2007 to 2025, weight toward the low-Earth-orbit and geosynchronous regimes, and draw from conference, archival, and policy-adjacent venues in unequal proportions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predictions above hold for a literature with that shape. A differently composed corpus, one drawn from a single venue or a single decade, would not exercise the recency, citation, and venue axes the way this one does, and the mechanism’s observable trace would be correspondingly muted or distorted.</w:t>
      </w:r>
    </w:p>
    <w:p>
      <w:pPr>
        <w:pStyle w:val="BodyText"/>
        <w:spacing w:line="480" w:lineRule="auto"/>
        <w:ind w:firstLine="720"/>
      </w:pPr>
      <w:r>
        <w:t xml:space="preserve">Tying scope to the corpus is not a hedge; it is a precise statement of generalizability. The study tests the mechanism where its own data can bear on it and declines to project the verdict onto literatures it did not sample. The concluding chapter names corpus expansion as the route to wider claims, but within this chapter the honest posture is that the mechanism’s predictions are conditional on the retrieved corpus, and the results should be read as evidence about that corpus rather than about the field entire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94"/>
    <w:bookmarkStart w:id="95" w:name="boundary-conditions-of-the-mechanism"/>
    <w:p>
      <w:pPr>
        <w:pStyle w:val="Heading2"/>
        <w:spacing w:line="480" w:lineRule="auto"/>
      </w:pPr>
      <w:r>
        <w:t xml:space="preserve">Boundary conditions of the mechanism</w:t>
      </w:r>
    </w:p>
    <w:p>
      <w:pPr>
        <w:pStyle w:val="FirstParagraph"/>
        <w:spacing w:line="480" w:lineRule="auto"/>
      </w:pPr>
      <w:r>
        <w:t xml:space="preserve">Every mechanism holds only within stated limits, and honesty requires drawing them. This mechanism assumes that publication behavior responds to operational pressure on a timescale short enough to appear within the corpus window of 2007 to 2025. If the response lag is longer than that window, the trace would be truncated and the mechanism would appear weaker than it is. The mechanism also assumes that the retrieved corpus is a fair sample of how the community publishes on the topic; a corpus skewed toward one venue or one sub-problem would distort the observable trace</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A further boundary concerns the direction of causation the mechanism does and does not claim. It claims that operational pressure drives both publication and coordination, with publication observable first. It does not claim that publication drives coordination directly, and nothing in the design could test such a claim. Keeping the mechanism inside these boundaries is what allows the two papers to be read as evidence about corpus structure rather than as evidence about institutional behavior, a distinction the discussion chapter enforces rigorously</w:t>
      </w:r>
      <w:r>
        <w:t xml:space="preserve"> </w:t>
      </w:r>
      <w:hyperlink w:anchor="ref-8">
        <w:r>
          <w:rPr>
            <w:rStyle w:val="Hyperlink"/>
          </w:rPr>
          <w:t xml:space="preserve">[8]</w:t>
        </w:r>
      </w:hyperlink>
      <w:r>
        <w:t xml:space="preserve"> </w:t>
      </w:r>
      <w:hyperlink w:anchor="ref-12">
        <w:r>
          <w:rPr>
            <w:rStyle w:val="Hyperlink"/>
          </w:rPr>
          <w:t xml:space="preserve">[12]</w:t>
        </w:r>
      </w:hyperlink>
      <w:r>
        <w:t xml:space="preserve">.</w:t>
      </w:r>
    </w:p>
    <w:bookmarkEnd w:id="95"/>
    <w:bookmarkStart w:id="96" w:name="why-two-faces-beat-one-composite"/>
    <w:p>
      <w:pPr>
        <w:pStyle w:val="Heading2"/>
        <w:spacing w:line="480" w:lineRule="auto"/>
      </w:pPr>
      <w:r>
        <w:t xml:space="preserve">Why two faces beat one composite</w:t>
      </w:r>
    </w:p>
    <w:p>
      <w:pPr>
        <w:pStyle w:val="FirstParagraph"/>
        <w:spacing w:line="480" w:lineRule="auto"/>
      </w:pPr>
      <w:r>
        <w:t xml:space="preserve">A designer could have combined the cross-sectional and temporal questions into a single composite score and tested it once. The framework refuses that convenience for a reason worth stating. A composite would blend structure-at-a-snapshot with accumulation-over-time into one number, and when that number came back ambiguous, as composites on small samples tend to, there would be no way to tell which face of the mechanism was responsible</w:t>
      </w:r>
      <w:r>
        <w:t xml:space="preserve"> </w:t>
      </w:r>
      <w:hyperlink w:anchor="ref-5">
        <w:r>
          <w:rPr>
            <w:rStyle w:val="Hyperlink"/>
          </w:rPr>
          <w:t xml:space="preserve">[5]</w:t>
        </w:r>
      </w:hyperlink>
      <w:r>
        <w:t xml:space="preserve">. Keeping the faces separate preserves diagnostic resolution. The cross-sectional model can fail while the temporal model succeeds, and the pattern of which succeeds tells the reader something a composite would have hidden</w:t>
      </w:r>
      <w:r>
        <w:t xml:space="preserve"> </w:t>
      </w:r>
      <w:hyperlink w:anchor="ref-9">
        <w:r>
          <w:rPr>
            <w:rStyle w:val="Hyperlink"/>
          </w:rPr>
          <w:t xml:space="preserve">[9]</w:t>
        </w:r>
      </w:hyperlink>
      <w:r>
        <w:t xml:space="preserve">.</w:t>
      </w:r>
    </w:p>
    <w:p>
      <w:pPr>
        <w:pStyle w:val="BodyText"/>
        <w:spacing w:line="480" w:lineRule="auto"/>
        <w:ind w:firstLine="720"/>
      </w:pPr>
      <w:r>
        <w:t xml:space="preserve">The separation also protects against a subtler error. Recency and age are near-mirror images built from the same publication year, so a composite that mixed them would risk double-counting the temporal dimension while starving the cross-sectional one of independent variation</w:t>
      </w:r>
      <w:r>
        <w:t xml:space="preserve"> </w:t>
      </w:r>
      <w:hyperlink w:anchor="ref-2">
        <w:r>
          <w:rPr>
            <w:rStyle w:val="Hyperlink"/>
          </w:rPr>
          <w:t xml:space="preserve">[2]</w:t>
        </w:r>
      </w:hyperlink>
      <w:r>
        <w:t xml:space="preserve">. By assigning recency to the first model and age to the second, and by giving each model its own outcome, the framework ensures that neither dimension is asked to do double duty. This is not fastidiousness for its own sake; it is the difference between a design that can localize its findings and one that can only gesture at them</w:t>
      </w:r>
      <w:r>
        <w:t xml:space="preserve"> </w:t>
      </w:r>
      <w:hyperlink w:anchor="ref-3">
        <w:r>
          <w:rPr>
            <w:rStyle w:val="Hyperlink"/>
          </w:rPr>
          <w:t xml:space="preserve">[3]</w:t>
        </w:r>
      </w:hyperlink>
      <w:r>
        <w:t xml:space="preserve">.</w:t>
      </w:r>
    </w:p>
    <w:bookmarkEnd w:id="96"/>
    <w:bookmarkStart w:id="97" w:name="the-falsifiability-discipline"/>
    <w:p>
      <w:pPr>
        <w:pStyle w:val="Heading2"/>
        <w:spacing w:line="480" w:lineRule="auto"/>
      </w:pPr>
      <w:r>
        <w:t xml:space="preserve">The falsifiability discipline</w:t>
      </w:r>
    </w:p>
    <w:p>
      <w:pPr>
        <w:pStyle w:val="FirstParagraph"/>
        <w:spacing w:line="480" w:lineRule="auto"/>
      </w:pPr>
      <w:r>
        <w:t xml:space="preserve">A word on why the framework is kept this narrow. Space-policy theorizing often expands until it can absorb any result, at which point it predicts nothing. The mechanism here is built to be breakable. It names specific predictors, specific signs, and specific precision expectations, and it commits in advance to conceding when those expectations fail. A near-zero cross-sectional model is not a nuisance to be spun; under this framework it is a clean rejection of the cross-sectional face, and the dissertation records it as exactly that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97"/>
    <w:bookmarkStart w:id="98" w:name="Xf3b9576bd5d42b5296c48874671f6b558c7e545"/>
    <w:p>
      <w:pPr>
        <w:pStyle w:val="Heading2"/>
        <w:spacing w:line="480" w:lineRule="auto"/>
      </w:pPr>
      <w:r>
        <w:t xml:space="preserve">From salience to coordination, and the step the design cannot take</w:t>
      </w:r>
    </w:p>
    <w:p>
      <w:pPr>
        <w:pStyle w:val="FirstParagraph"/>
        <w:spacing w:line="480" w:lineRule="auto"/>
      </w:pPr>
      <w:r>
        <w:t xml:space="preserve">The framework’s ultimate interest is coordination, yet the design stops at salience, and the gap between them deserves a clear statement. Salience, as measured here, is the visibility of the disagreement topic in the retrieved literature. Coordination is the institutional act of settling whose numbers govern a decision. The mechanism posits that both flow from operational pressure, with salience observable first, but it does not and cannot claim that measuring salience measures coordination</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two are linked by a common cause, not by a direct path the data can trace.</w:t>
      </w:r>
    </w:p>
    <w:p>
      <w:pPr>
        <w:pStyle w:val="BodyText"/>
        <w:spacing w:line="480" w:lineRule="auto"/>
        <w:ind w:firstLine="720"/>
      </w:pPr>
      <w:r>
        <w:t xml:space="preserve">This is the honest ceiling of a documentary design. To reach coordination itself, a successor study would need coordination data: maneuver logs, catalog reconciliation records, regulatory timelines that mark when an authority settled a dispute. The present framework is built to test the salience precursor, and it commits to reporting only what salience evidence can support</w:t>
      </w:r>
      <w:r>
        <w:t xml:space="preserve"> </w:t>
      </w:r>
      <w:hyperlink w:anchor="ref-12">
        <w:r>
          <w:rPr>
            <w:rStyle w:val="Hyperlink"/>
          </w:rPr>
          <w:t xml:space="preserve">[12]</w:t>
        </w:r>
      </w:hyperlink>
      <w:r>
        <w:t xml:space="preserve">. Naming the ceiling here prevents the results and discussion chapters from drifting into causal claims the design was never equipped to make, and it sets up the concluding chapter’s call for the outcome data that would let a future study climb higher.</w:t>
      </w:r>
    </w:p>
    <w:p>
      <w:pPr>
        <w:pStyle w:val="BodyText"/>
        <w:spacing w:line="480" w:lineRule="auto"/>
        <w:ind w:firstLine="720"/>
      </w:pPr>
      <w:r>
        <w:t xml:space="preserve">The framework also refuses the escape hatch of auxiliary hypotheses. When a prediction fails, an undisciplined theorist can always add a qualifier that explains the failure away, and after enough qualifiers the theory predicts nothing and risks nothing. This framework forbids that move by fixing its predictions and their interpretations in advance, so that a near-zero cross-sectional model is recorded as a rejection rather than reprocessed into a confirmation with caveats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commitment to accept an unwelcome result is what gives the eventual finding its evidential weight.</w:t>
      </w:r>
    </w:p>
    <w:p>
      <w:pPr>
        <w:pStyle w:val="BodyText"/>
        <w:spacing w:line="480" w:lineRule="auto"/>
        <w:ind w:firstLine="720"/>
      </w:pPr>
      <w:r>
        <w:t xml:space="preserve">That discipline is the theory’s real contribution. It converts a broad policy intuition, that disagreement drives coordination, into a pair of tests small enough to fail honestly. The chapters that follow supply the data and the estimators that make the failure or success reproducible from the retained records</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98"/>
    <w:bookmarkEnd w:id="99"/>
    <w:bookmarkStart w:id="111" w:name="chapter-4.-data-and-measurement"/>
    <w:p>
      <w:pPr>
        <w:pStyle w:val="Heading1"/>
        <w:spacing w:line="480" w:lineRule="auto"/>
      </w:pPr>
      <w:r>
        <w:t xml:space="preserve">Chapter 4. Data and Measurement</w:t>
      </w:r>
    </w:p>
    <w:p>
      <w:pPr>
        <w:pStyle w:val="FirstParagraph"/>
        <w:spacing w:line="480" w:lineRule="auto"/>
      </w:pPr>
      <w:r>
        <w:t xml:space="preserve">Data chapters are where dissertations succeed or quietly fail. A model is only as trustworthy as the rows it consumes, and rows built by opaque rules cannot be audited no matter how elegant the estimator. This chapter documents the dataset row by concept: what a record is, where it came from, how each variable was constructed, and what the sample size actually is. The governing commitment is that every row preserves a source column, so a reader can trace any observation back to the document that produced 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Start w:id="100" w:name="what-a-record-is"/>
    <w:p>
      <w:pPr>
        <w:pStyle w:val="Heading2"/>
        <w:spacing w:line="480" w:lineRule="auto"/>
      </w:pPr>
      <w:r>
        <w:t xml:space="preserve">What a record is</w:t>
      </w:r>
    </w:p>
    <w:p>
      <w:pPr>
        <w:pStyle w:val="FirstParagraph"/>
        <w:spacing w:line="480" w:lineRule="auto"/>
      </w:pPr>
      <w:r>
        <w:t xml:space="preserve">The unit of analysis is a retrieved source record. Each record corresponds to one document in the candidate corpus, which spans technical conference papers, archival journal articles, and policy-adjacent sources relevant to cross-catalog disagreement and space traffic coordination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estimation file contains thirty such records. That number is small, and the study neither hides it nor apologizes for it. A sample of thirty is a design-stage corpus screen, adequate for detecting strong structure and honest about its inability to resolve weak structure. The results chapters interpret every coefficient against that sample size.</w:t>
      </w:r>
    </w:p>
    <w:p>
      <w:pPr>
        <w:pStyle w:val="BodyText"/>
        <w:spacing w:line="480" w:lineRule="auto"/>
        <w:ind w:firstLine="720"/>
      </w:pPr>
      <w:r>
        <w:t xml:space="preserve">Thirty records. Not thirty thousand. The chapter never forgets it.</w:t>
      </w:r>
    </w:p>
    <w:p>
      <w:pPr>
        <w:pStyle w:val="BodyText"/>
        <w:spacing w:line="480" w:lineRule="auto"/>
        <w:ind w:firstLine="720"/>
      </w:pPr>
      <w:r>
        <w:t xml:space="preserve">The records span publication years from 2007 to 2025. The oldest is Mulrooney and Matney’s albedo-transformation derivation, a 2007 conference paper that anchors the recency index at its floor</w:t>
      </w:r>
      <w:r>
        <w:t xml:space="preserve"> </w:t>
      </w:r>
      <w:hyperlink w:anchor="ref-5">
        <w:r>
          <w:rPr>
            <w:rStyle w:val="Hyperlink"/>
          </w:rPr>
          <w:t xml:space="preserve">[5]</w:t>
        </w:r>
      </w:hyperlink>
      <w:r>
        <w:t xml:space="preserve">. The newest cluster sits in 2025 and includes the OneWeb realized-risk paper and several archival-journal entries</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spread matters because both estimators depend on temporal variation, one through a recency index and one through an age index, and a corpus bunched into a single year would starve both models of the variation they need.</w:t>
      </w:r>
    </w:p>
    <w:bookmarkEnd w:id="100"/>
    <w:bookmarkStart w:id="101" w:name="the-source-column-and-provenance"/>
    <w:p>
      <w:pPr>
        <w:pStyle w:val="Heading2"/>
        <w:spacing w:line="480" w:lineRule="auto"/>
      </w:pPr>
      <w:r>
        <w:t xml:space="preserve">The source column and provenance</w:t>
      </w:r>
    </w:p>
    <w:p>
      <w:pPr>
        <w:pStyle w:val="FirstParagraph"/>
        <w:spacing w:line="480" w:lineRule="auto"/>
      </w:pPr>
      <w:r>
        <w:t xml:space="preserve">Provenance is not decoration here; it is the audit mechanism. Every row carries a source string. For archival-journal records the string is a DOI, such as the entry for Schubert and colleagues on geosynchronous sensor tasking</w:t>
      </w:r>
      <w:r>
        <w:t xml:space="preserve"> </w:t>
      </w:r>
      <w:hyperlink w:anchor="ref-10">
        <w:r>
          <w:rPr>
            <w:rStyle w:val="Hyperlink"/>
          </w:rPr>
          <w:t xml:space="preserve">[10]</w:t>
        </w:r>
      </w:hyperlink>
      <w:r>
        <w:t xml:space="preserve"> </w:t>
      </w:r>
      <w:r>
        <w:t xml:space="preserve">or Pardini and Anselmo on low-Earth-orbit impact</w:t>
      </w:r>
      <w:r>
        <w:t xml:space="preserve"> </w:t>
      </w:r>
      <w:hyperlink w:anchor="ref-12">
        <w:r>
          <w:rPr>
            <w:rStyle w:val="Hyperlink"/>
          </w:rPr>
          <w:t xml:space="preserve">[12]</w:t>
        </w:r>
      </w:hyperlink>
      <w:r>
        <w:t xml:space="preserve">. For conference records the string is a stable proceedings URL. For a handful of policy-adjacent records the string is a descriptive citation to the underlying document. The point of keeping the raw string is that any reader can reconstruct which document a row represents and verify the coded variables against it.</w:t>
      </w:r>
    </w:p>
    <w:p>
      <w:pPr>
        <w:pStyle w:val="BodyText"/>
        <w:spacing w:line="480" w:lineRule="auto"/>
        <w:ind w:firstLine="720"/>
      </w:pPr>
      <w:r>
        <w:t xml:space="preserve">This design choice has a cost and a benefit. The cost is heterogeneity: DOIs, URLs, and descriptive strings do not share a format, and the source column is therefore messy to read. The benefit is completeness: no record is orphaned from its origin, and the workbook stays inspectable end to end. For a dissertation whose central ethic is a traceable evidentiary chain, that trade favors provenance over tidiness every time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1"/>
    <w:bookmarkStart w:id="102" w:name="constructing-the-dependent-variable"/>
    <w:p>
      <w:pPr>
        <w:pStyle w:val="Heading2"/>
        <w:spacing w:line="480" w:lineRule="auto"/>
      </w:pPr>
      <w:r>
        <w:t xml:space="preserve">Constructing the dependent variable</w:t>
      </w:r>
    </w:p>
    <w:p>
      <w:pPr>
        <w:pStyle w:val="FirstParagraph"/>
        <w:spacing w:line="480" w:lineRule="auto"/>
      </w:pPr>
      <w:r>
        <w:t xml:space="preserve">The dependent variable in the first paper is the topic-signal score. It is built deterministically from candidate-theme term hits across four fields of each source: the title, the snippet, the keyword field, and the author metadata. A record whose title and keywords repeat the vocabulary of cross-catalog disagreement and traffic coordination scores higher; a record that touches the theme only glancingly scores lower. Because the rule is deterministic, the same source always yields the same score, which is what makes the measure reproducible rather than a matter of the coder’s mood.</w:t>
      </w:r>
    </w:p>
    <w:p>
      <w:pPr>
        <w:pStyle w:val="BodyText"/>
        <w:spacing w:line="480" w:lineRule="auto"/>
        <w:ind w:firstLine="720"/>
      </w:pPr>
      <w:r>
        <w:t xml:space="preserve">Same source, same score. No judgment drifts in.</w:t>
      </w:r>
    </w:p>
    <w:p>
      <w:pPr>
        <w:pStyle w:val="BodyText"/>
        <w:spacing w:line="480" w:lineRule="auto"/>
        <w:ind w:firstLine="720"/>
      </w:pPr>
      <w:r>
        <w:t xml:space="preserve">The scores in the retained file range from one to nine. Most records score low, in the one-to-four band, which is expected in a corpus assembled by broad retrieval rather than narrow curation. A few records score high. A 2025 archival entry reaches nine and a 2024 entry reaches eight, reflecting dense theme vocabulary in their metadata. This right-skewed distribution is worth naming in advance, because a right-skewed outcome with a small sample is exactly the condition under which an ordinary least squares model can return imprecise coefficients even when a real relationship exists. The measurement chapter flags that risk so the results chapter can interpret it responsibly</w:t>
      </w:r>
      <w:r>
        <w:t xml:space="preserve"> </w:t>
      </w:r>
      <w:hyperlink w:anchor="ref-5">
        <w:r>
          <w:rPr>
            <w:rStyle w:val="Hyperlink"/>
          </w:rPr>
          <w:t xml:space="preserve">[5]</w:t>
        </w:r>
      </w:hyperlink>
      <w:r>
        <w:t xml:space="preserve">.</w:t>
      </w:r>
    </w:p>
    <w:bookmarkEnd w:id="102"/>
    <w:bookmarkStart w:id="103" w:name="constructing-the-predictors"/>
    <w:p>
      <w:pPr>
        <w:pStyle w:val="Heading2"/>
        <w:spacing w:line="480" w:lineRule="auto"/>
      </w:pPr>
      <w:r>
        <w:t xml:space="preserve">Constructing the predictors</w:t>
      </w:r>
    </w:p>
    <w:p>
      <w:pPr>
        <w:pStyle w:val="FirstParagraph"/>
        <w:spacing w:line="480" w:lineRule="auto"/>
      </w:pPr>
      <w:r>
        <w:t xml:space="preserve">The recency index is publication year minus the minimum publication year in the sample plus one. With a 2007 floor, the 2007 record scores one and the 2025 records score nineteen. The construction is monotone and transparent: higher means newer. It deliberately avoids any nonlinear weighting, because a design-stage screen should not smuggle functional-form assumptions into a variable definition.</w:t>
      </w:r>
    </w:p>
    <w:p>
      <w:pPr>
        <w:pStyle w:val="BodyText"/>
        <w:spacing w:line="480" w:lineRule="auto"/>
        <w:ind w:firstLine="720"/>
      </w:pPr>
      <w:r>
        <w:t xml:space="preserve">Citation attention is the reported count from the local brain index, taken as-is. Many records report zero, because the local index does not always carry a citation figure, and zero is recorded honestly rather than imputed. The archival-journal records carry the nonzero counts, ranging up to seventy-one for Pardini and Anselmo’s low-Earth-orbit impact paper</w:t>
      </w:r>
      <w:r>
        <w:t xml:space="preserve"> </w:t>
      </w:r>
      <w:hyperlink w:anchor="ref-12">
        <w:r>
          <w:rPr>
            <w:rStyle w:val="Hyperlink"/>
          </w:rPr>
          <w:t xml:space="preserve">[12]</w:t>
        </w:r>
      </w:hyperlink>
      <w:r>
        <w:t xml:space="preserve"> </w:t>
      </w:r>
      <w:r>
        <w:t xml:space="preserve">and thirty-nine and thirty-six for two other archival entries</w:t>
      </w:r>
      <w:r>
        <w:t xml:space="preserve"> </w:t>
      </w:r>
      <w:hyperlink w:anchor="ref-11">
        <w:r>
          <w:rPr>
            <w:rStyle w:val="Hyperlink"/>
          </w:rPr>
          <w:t xml:space="preserve">[11]</w:t>
        </w:r>
      </w:hyperlink>
      <w:r>
        <w:t xml:space="preserve">. The concentration of citations in the archival tier is a structural feature of the corpus, and it is precisely why the venue variable is included as a control: without it, citation attention and venue family would be badly confounded.</w:t>
      </w:r>
    </w:p>
    <w:p>
      <w:pPr>
        <w:pStyle w:val="BodyText"/>
        <w:spacing w:line="480" w:lineRule="auto"/>
        <w:ind w:firstLine="720"/>
      </w:pPr>
      <w:r>
        <w:t xml:space="preserve">Venue family is the ordinal control. Conference proceedings, chiefly AMOS-family papers, code as one. Archival-journal records, chiefly Acta Astronautica entries, code as two. Policy-adjacent and space-economy sources code as three. The ordering reflects a rough gradient from technical-operational toward policy-facing, not a quality ranking, and the study warns repeatedly against reading it as prestige. The coding is coarse by design, because a three-level ordinal is defensible from metadata whereas a finer scale would demand judgments the records cannot support</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03"/>
    <w:bookmarkStart w:id="104" w:name="the-second-papers-variables"/>
    <w:p>
      <w:pPr>
        <w:pStyle w:val="Heading2"/>
        <w:spacing w:line="480" w:lineRule="auto"/>
      </w:pPr>
      <w:r>
        <w:t xml:space="preserve">The second paper’s variables</w:t>
      </w:r>
    </w:p>
    <w:p>
      <w:pPr>
        <w:pStyle w:val="FirstParagraph"/>
        <w:spacing w:line="480" w:lineRule="auto"/>
      </w:pPr>
      <w:r>
        <w:t xml:space="preserve">The learning-curve paper uses two constructed variables from the same thirty records. The dependent variable is citations-plus-one, formed by adding one to the reported citation count so that the logarithm is defined even for the many uncited records. That plus-one convention is standard and necessary; without it, every zero-citation record would drop out of a log model and the sample would collapse to the archival tier alone.</w:t>
      </w:r>
    </w:p>
    <w:p>
      <w:pPr>
        <w:pStyle w:val="BodyText"/>
        <w:spacing w:line="480" w:lineRule="auto"/>
        <w:ind w:firstLine="720"/>
      </w:pPr>
      <w:r>
        <w:t xml:space="preserve">The single predictor is an age index, computed as 2026 minus publication year plus one. A 2025 record has an age index of two, a 2007 record has an age index of twenty. Age and recency are mirror images by construction, which is intentional: the first paper studies structure at a snapshot using recency, and the second studies accumulation over time using age, and expressing them as inverses keeps each paper’s framing clean. Both variables derive from the same publication-year field, so a reader who trusts the year trusts both.</w:t>
      </w:r>
    </w:p>
    <w:bookmarkEnd w:id="104"/>
    <w:bookmarkStart w:id="105" w:name="X87bb797b7c39a858bdb45c3b7bb4a583d15eb82"/>
    <w:p>
      <w:pPr>
        <w:pStyle w:val="Heading2"/>
        <w:spacing w:line="480" w:lineRule="auto"/>
      </w:pPr>
      <w:r>
        <w:t xml:space="preserve">The distribution of records across venue tiers</w:t>
      </w:r>
    </w:p>
    <w:p>
      <w:pPr>
        <w:pStyle w:val="FirstParagraph"/>
        <w:spacing w:line="480" w:lineRule="auto"/>
      </w:pPr>
      <w:r>
        <w:t xml:space="preserve">Understanding the corpus means seeing how its thirty records distribute across the three venue tiers, because that distribution drives what the estimators can and cannot separate. The conference tier, coded one, holds the largest share, drawn chiefly from AMOS-family proceedings on atmospherics forecasting, conjunction tooling, blockchain-enabled traffic awareness, and albedo transformation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These records are older on average and, in the local index, carry zero recorded citations. That combination, older plus uncited, is not incidental; it is a structural property of the conference tier that will shape the temporal model’s elasticity.</w:t>
      </w:r>
    </w:p>
    <w:p>
      <w:pPr>
        <w:pStyle w:val="BodyText"/>
        <w:spacing w:line="480" w:lineRule="auto"/>
        <w:ind w:firstLine="720"/>
      </w:pPr>
      <w:r>
        <w:t xml:space="preserve">The archival tier, coded two, holds the Acta Astronautica entries, and it is here that every nonzero citation count lives. The impact-assessment paper at seventy-one citations, the value paper at thirty-six, and two further entries at thirty-nine and thirty-five anchor the high end of the citation distribution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These records are newer on average than the conference tier, which produces the corpus’s defining correlation: within this pack, newer and cited go together because both are properties of the archival tier. The policy-adjacent tier, coded three, holds short descriptive records with sparse metadata, high on the venue scale but low on nearly every other axis.</w:t>
      </w:r>
    </w:p>
    <w:p>
      <w:pPr>
        <w:pStyle w:val="BodyText"/>
        <w:spacing w:line="480" w:lineRule="auto"/>
        <w:ind w:firstLine="720"/>
      </w:pPr>
      <w:r>
        <w:t xml:space="preserve">Spelling out this distribution in advance is not throat-clearing. It is the key to reading both results chapters correctly. The venue tiers are confounded with age and with citation attention by the very composition of the corpus, and every coefficient the estimators report must be interpreted against that confound rather than in ignorance of it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data chapter names the confound here so the results chapters can lean on it without re-deriving it.</w:t>
      </w:r>
    </w:p>
    <w:bookmarkEnd w:id="105"/>
    <w:bookmarkStart w:id="106" w:name="determinism-as-an-auditing-property"/>
    <w:p>
      <w:pPr>
        <w:pStyle w:val="Heading2"/>
        <w:spacing w:line="480" w:lineRule="auto"/>
      </w:pPr>
      <w:r>
        <w:t xml:space="preserve">Determinism as an auditing property</w:t>
      </w:r>
    </w:p>
    <w:p>
      <w:pPr>
        <w:pStyle w:val="FirstParagraph"/>
        <w:spacing w:line="480" w:lineRule="auto"/>
      </w:pPr>
      <w:r>
        <w:t xml:space="preserve">A recurring word in this chapter is deterministic, and it carries a specific methodological weight. A deterministic variable is one whose value is fixed by a stated rule applied to a stated source, so that any analyst rerunning the rule on the same source obtains the same value. The topic-signal score is deterministic: given a record’s four metadata fields and the theme-term list, the count is fixed. The recency and age indices are deterministic: given the publication year, arithmetic does the rest. The citation count is deterministic relative to the local index at the time of retrieval.</w:t>
      </w:r>
    </w:p>
    <w:p>
      <w:pPr>
        <w:pStyle w:val="BodyText"/>
        <w:spacing w:line="480" w:lineRule="auto"/>
        <w:ind w:firstLine="720"/>
      </w:pPr>
      <w:r>
        <w:t xml:space="preserve">Determinism is what converts the workbook from a black box into an auditable artifact. A reader who doubts a topic-signal score can recompute it. A reviewer who doubts a recency index can subtract two years. Nothing in the estimation file depends on a judgment that lives only in the analyst’s head. That property is worth more than sophistication in a design-stage study, because it means the eventual results, null or significant, can be reproduced and challenged rather than merely trusted</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measurement chapter treats determinism as a first-class design goal, not a convenience.</w:t>
      </w:r>
    </w:p>
    <w:bookmarkEnd w:id="106"/>
    <w:bookmarkStart w:id="107" w:name="X36285479aedcacb57b1ea37a5ca1cec6f043365"/>
    <w:p>
      <w:pPr>
        <w:pStyle w:val="Heading2"/>
        <w:spacing w:line="480" w:lineRule="auto"/>
      </w:pPr>
      <w:r>
        <w:t xml:space="preserve">The plus-one transformation and its consequences</w:t>
      </w:r>
    </w:p>
    <w:p>
      <w:pPr>
        <w:pStyle w:val="FirstParagraph"/>
        <w:spacing w:line="480" w:lineRule="auto"/>
      </w:pPr>
      <w:r>
        <w:t xml:space="preserve">The second paper’s dependent variable, citations-plus-one, embeds a small transformation with large consequences, and it deserves its own treatment. Adding one to every citation count before taking the logarithm is what keeps the many uncited records in the estimation. Without it, roughly two-thirds of the corpus, every conference-tier and policy-adjacent record with zero recorded citations, would vanish from a log model, collapsing the sample to the archival tier and destroying both the variation and the representativeness the design depends on</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transformation is not free of interpretive cost. By compressing zero into one, it treats an uncited record and a barely-cited record as nearly equivalent on the log scale, which slightly flattens the low end of the distribution. For a corpus where zeros are common and meaningful, that flattening is an acceptable price, because the alternative, discarding the zeros, would bias the sample toward the cited archival tier and manufacture exactly the venue-age confound the study is trying to characterize honestly</w:t>
      </w:r>
      <w:r>
        <w:t xml:space="preserve"> </w:t>
      </w:r>
      <w:hyperlink w:anchor="ref-11">
        <w:r>
          <w:rPr>
            <w:rStyle w:val="Hyperlink"/>
          </w:rPr>
          <w:t xml:space="preserve">[11]</w:t>
        </w:r>
      </w:hyperlink>
      <w:r>
        <w:t xml:space="preserve">. The chapter records the transformation and its trade-off here so the temporal elasticity in the results chapter is read with the plus-one convention in view, rather than as if the model operated on raw counts.</w:t>
      </w:r>
    </w:p>
    <w:bookmarkEnd w:id="107"/>
    <w:bookmarkStart w:id="108" w:name="measurement-threats-stated-plainly"/>
    <w:p>
      <w:pPr>
        <w:pStyle w:val="Heading2"/>
        <w:spacing w:line="480" w:lineRule="auto"/>
      </w:pPr>
      <w:r>
        <w:t xml:space="preserve">Measurement threats, stated plainly</w:t>
      </w:r>
    </w:p>
    <w:p>
      <w:pPr>
        <w:pStyle w:val="FirstParagraph"/>
        <w:spacing w:line="480" w:lineRule="auto"/>
      </w:pPr>
      <w:r>
        <w:t xml:space="preserve">Three measurement threats deserve to be on the record before any estimate is reported. Corpus noise can weaken topic fit, because broad retrieval admits documents that touch the theme only at the margin. Citation counts are local index measures, not universal citation totals, so a record with zero recorded citations may well be cited elsewhere; the variable measures indexed attention, nothing grander. Venue-family coding is ordinal and coarse, and any interpretation that leans on fine distinctions between the three levels would exceed what the coding can bear</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8"/>
    <w:bookmarkStart w:id="109" w:name="worked-examples-of-the-coding-rules"/>
    <w:p>
      <w:pPr>
        <w:pStyle w:val="Heading2"/>
        <w:spacing w:line="480" w:lineRule="auto"/>
      </w:pPr>
      <w:r>
        <w:t xml:space="preserve">Worked examples of the coding rules</w:t>
      </w:r>
    </w:p>
    <w:p>
      <w:pPr>
        <w:pStyle w:val="FirstParagraph"/>
        <w:spacing w:line="480" w:lineRule="auto"/>
      </w:pPr>
      <w:r>
        <w:t xml:space="preserve">Abstract coding rules become trustworthy only when applied to concrete records, so consider three worked cases from the retained file. The 2007 albedo-transformation paper anchors the recency floor at one and the age ceiling at twenty; it codes to the conference tier at venue one, carries zero indexed citations, and earns a mid-range topic-signal score from theme vocabulary in its long, technical title</w:t>
      </w:r>
      <w:r>
        <w:t xml:space="preserve"> </w:t>
      </w:r>
      <w:hyperlink w:anchor="ref-5">
        <w:r>
          <w:rPr>
            <w:rStyle w:val="Hyperlink"/>
          </w:rPr>
          <w:t xml:space="preserve">[5]</w:t>
        </w:r>
      </w:hyperlink>
      <w:r>
        <w:t xml:space="preserve">. Every one of those values follows mechanically from the stated rules applied to that document’s metadata, and any reader can verify them against the source string preserved in the row.</w:t>
      </w:r>
    </w:p>
    <w:p>
      <w:pPr>
        <w:pStyle w:val="BodyText"/>
        <w:spacing w:line="480" w:lineRule="auto"/>
        <w:ind w:firstLine="720"/>
      </w:pPr>
      <w:r>
        <w:t xml:space="preserve">A second case is the low-Earth-orbit impact paper, the corpus’s citation leader at seventy-one. It codes to the archival tier at venue two, sits at a recency index near the top of the range, and yields a topic-signal score in the mid band because its metadata mixes impact-assessment vocabulary with the disagreement theme rather than saturating in it</w:t>
      </w:r>
      <w:r>
        <w:t xml:space="preserve"> </w:t>
      </w:r>
      <w:hyperlink w:anchor="ref-12">
        <w:r>
          <w:rPr>
            <w:rStyle w:val="Hyperlink"/>
          </w:rPr>
          <w:t xml:space="preserve">[12]</w:t>
        </w:r>
      </w:hyperlink>
      <w:r>
        <w:t xml:space="preserve">. A third case is a short policy-adjacent record that codes to venue three with zero citations and a low topic-signal score, its sparse descriptive metadata offering few theme-term hits. These three cases span the venue gradient and the citation range, and together they show the coding rules producing sensible, reproducible values across very different documents</w:t>
      </w:r>
      <w:r>
        <w:t xml:space="preserve"> </w:t>
      </w:r>
      <w:hyperlink w:anchor="ref-11">
        <w:r>
          <w:rPr>
            <w:rStyle w:val="Hyperlink"/>
          </w:rPr>
          <w:t xml:space="preserve">[11]</w:t>
        </w:r>
      </w:hyperlink>
      <w:r>
        <w:t xml:space="preserve">.</w:t>
      </w:r>
    </w:p>
    <w:p>
      <w:pPr>
        <w:pStyle w:val="BodyText"/>
        <w:spacing w:line="480" w:lineRule="auto"/>
        <w:ind w:firstLine="720"/>
      </w:pPr>
      <w:r>
        <w:t xml:space="preserve">Working through examples serves a purpose beyond illustration. It demonstrates that the deterministic rules do not quietly break on edge cases, that a long technical title and a short descriptive stub are both handled by the same procedure, and that the resulting variables mean what the chapter says they mean. A reader who follows these three cases can trust the remaining twenty-seven, because the same rules produced all thirty rows without exception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9"/>
    <w:bookmarkStart w:id="110" w:name="why-thirty-records-is-the-honest-sample"/>
    <w:p>
      <w:pPr>
        <w:pStyle w:val="Heading2"/>
        <w:spacing w:line="480" w:lineRule="auto"/>
      </w:pPr>
      <w:r>
        <w:t xml:space="preserve">Why thirty records is the honest sample</w:t>
      </w:r>
    </w:p>
    <w:p>
      <w:pPr>
        <w:pStyle w:val="FirstParagraph"/>
        <w:spacing w:line="480" w:lineRule="auto"/>
      </w:pPr>
      <w:r>
        <w:t xml:space="preserve">A reader is entitled to ask why the corpus is not larger, and the answer is worth stating rather than dodging. The thirty records are the retained, theme-relevant documents from the candidate corpus after retrieval and screening. Padding that number with marginal documents would have inflated the sample at the cost of topic fit, worsening the corpus-noise threat the chapter has already named. Thirty relevant records with clean provenance are more useful for a corpus screen than a hundred records of doubtful relevance, because the estimators reward fit over raw count and because every added marginal record dilutes the topic-signal measure it is supposed to sharpen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sample size also sets honest expectations for the results. With thirty rows and three predictors, the first model spends degrees of freedom quickly, and its power to detect a small effect is limited. The chapter states this now so that the cross-sectional null, when it arrives, is read as a bounded finding rather than a definitive absence. A larger and more balanced corpus is the obvious extension, and the concluding chapter names it as the first item of future work. The present study does what it can with the records it can fully document, and it declines to trade auditability for a bigger number</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final measurement note concerns the mirror relationship between recency and age. Both derive from the same publication-year field, recency counting up from the 2007 floor and age counting down from the 2026 reference point</w:t>
      </w:r>
      <w:r>
        <w:t xml:space="preserve"> </w:t>
      </w:r>
      <w:hyperlink w:anchor="ref-5">
        <w:r>
          <w:rPr>
            <w:rStyle w:val="Hyperlink"/>
          </w:rPr>
          <w:t xml:space="preserve">[5]</w:t>
        </w:r>
      </w:hyperlink>
      <w:r>
        <w:t xml:space="preserve">. Because they share a source, any error in a record’s year propagates identically to both indices, which is a virtue for consistency but a caution for interpretation: the two papers are not drawing on independent temporal information, only on two framings of one field. The chapter records this so that a reader does not mistake the two models’ shared reliance on publication year for two independent temporal measurements</w:t>
      </w:r>
      <w:r>
        <w:t xml:space="preserve"> </w:t>
      </w:r>
      <w:hyperlink w:anchor="ref-12">
        <w:r>
          <w:rPr>
            <w:rStyle w:val="Hyperlink"/>
          </w:rPr>
          <w:t xml:space="preserve">[12]</w:t>
        </w:r>
      </w:hyperlink>
      <w:r>
        <w:t xml:space="preserve">.</w:t>
      </w:r>
    </w:p>
    <w:p>
      <w:pPr>
        <w:pStyle w:val="BodyText"/>
        <w:spacing w:line="480" w:lineRule="auto"/>
        <w:ind w:firstLine="720"/>
      </w:pPr>
      <w:r>
        <w:t xml:space="preserve">These are not disqualifying flaws. They are the known limits of a metadata-based corpus screen, and naming them here is what lets the results chapter interpret coefficients at their true resolution. A study that concealed these limits could report a tidy result and be wrong. This study reports its limits first, so that whatever the estimators return can be read for exactly what it is: bounded evidence about the structure of a small, honestly documented corpus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measurement chapter, in the end, is a promise to the reader: that every variable feeding the models was built by a stated rule from a preserved source, that the rules were applied without exception across all thirty records, and that any figure in the results can be traced back through the source column to the document that produced it</w:t>
      </w:r>
      <w:r>
        <w:t xml:space="preserve"> </w:t>
      </w:r>
      <w:hyperlink w:anchor="ref-6">
        <w:r>
          <w:rPr>
            <w:rStyle w:val="Hyperlink"/>
          </w:rPr>
          <w:t xml:space="preserve">[6]</w:t>
        </w:r>
      </w:hyperlink>
      <w:r>
        <w:t xml:space="preserve">. That promise is what a data chapter exists to make, and the chapters that follow depend on it being kept</w:t>
      </w:r>
      <w:r>
        <w:t xml:space="preserve"> </w:t>
      </w:r>
      <w:hyperlink w:anchor="ref-5">
        <w:r>
          <w:rPr>
            <w:rStyle w:val="Hyperlink"/>
          </w:rPr>
          <w:t xml:space="preserve">[5]</w:t>
        </w:r>
      </w:hyperlink>
      <w:r>
        <w:t xml:space="preserve">.</w:t>
      </w:r>
    </w:p>
    <w:bookmarkEnd w:id="110"/>
    <w:bookmarkEnd w:id="111"/>
    <w:bookmarkStart w:id="125" w:name="chapter-5.-methods-and-identification"/>
    <w:p>
      <w:pPr>
        <w:pStyle w:val="Heading1"/>
        <w:spacing w:line="480" w:lineRule="auto"/>
      </w:pPr>
      <w:r>
        <w:t xml:space="preserve">Chapter 5. Methods and Identification</w:t>
      </w:r>
    </w:p>
    <w:p>
      <w:pPr>
        <w:pStyle w:val="FirstParagraph"/>
        <w:spacing w:line="480" w:lineRule="auto"/>
      </w:pPr>
      <w:r>
        <w:t xml:space="preserve">Two estimators carry the entire empirical argument, and this chapter explains both: what they compute, why they identify the quantities the hypotheses name, and where their identifying assumptions could break. The estimators are deliberately ordinary. Ordinary is the point. Exotic methods hide their behavior; these do not. A design-stage corpus screen gains nothing from an exotic method whose behavior on thirty rows is hard to reason about, and it gains a great deal from methods whose small-sample behavior is textbook and inspectable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Start w:id="112" w:name="X5b880d5497859307e401dc41aa79f48ce53865e"/>
    <w:p>
      <w:pPr>
        <w:pStyle w:val="Heading2"/>
        <w:spacing w:line="480" w:lineRule="auto"/>
      </w:pPr>
      <w:r>
        <w:t xml:space="preserve">Estimator one: ordinary least squares for cross-sectional structure</w:t>
      </w:r>
    </w:p>
    <w:p>
      <w:pPr>
        <w:pStyle w:val="FirstParagraph"/>
        <w:spacing w:line="480" w:lineRule="auto"/>
      </w:pPr>
      <w:r>
        <w:t xml:space="preserve">The first paper fits an ordinary least squares regression of the topic-signal score on three predictors: the recency index, the citation count, and the ordinal venue score. In the notation of the workbook, the model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Each coefficient answers a specific question. Beta_1 asks whether newer records carry more topic signal, holding citations and venue fixed. Beta_2 asks whether more-cited records carry more topic signal, holding recency and venue fixed. Beta_3 asks whether higher venue-family records carry more topic signal, holding the other two fixed. The joint specification is the whole point. Because citation attention concentrates in the archival tier, estimating any predictor alone would confound it with venue; entering all three together lets each coefficient be read as a partial association</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Ordinary least squares identifies these partial associations under a familiar condition: the error term must be uncorrelated with the predictors. In a corpus screen that condition is best understood descriptively rather than causally. The model does not claim that recency causes topic signal. It claims that, within this retrieved corpus, the conditional mean of topic signal varies with recency, citations, and venue in the estimated way. That is a descriptive identification of corpus structure, which is exactly what the dissertation-level hypothesis asks for and no more. No causal claim is made here. None is needed</w:t>
      </w:r>
      <w:r>
        <w:t xml:space="preserve"> </w:t>
      </w:r>
      <w:hyperlink w:anchor="ref-1">
        <w:r>
          <w:rPr>
            <w:rStyle w:val="Hyperlink"/>
          </w:rPr>
          <w:t xml:space="preserve">[1]</w:t>
        </w:r>
      </w:hyperlink>
      <w:r>
        <w:t xml:space="preserve">.</w:t>
      </w:r>
    </w:p>
    <w:bookmarkEnd w:id="112"/>
    <w:bookmarkStart w:id="113" w:name="why-robust-standard-errors"/>
    <w:p>
      <w:pPr>
        <w:pStyle w:val="Heading2"/>
        <w:spacing w:line="480" w:lineRule="auto"/>
      </w:pPr>
      <w:r>
        <w:t xml:space="preserve">Why robust standard errors</w:t>
      </w:r>
    </w:p>
    <w:p>
      <w:pPr>
        <w:pStyle w:val="FirstParagraph"/>
        <w:spacing w:line="480" w:lineRule="auto"/>
      </w:pPr>
      <w:r>
        <w:t xml:space="preserve">Both estimators use heteroskedasticity-consistent HC1 standard errors rather than the classical formula. The reason is visible in the data chapter. The topic-signal score is right-skewed and the citation counts are wildly unequal across venue tiers, so the assumption of constant error variance is implausible on its face. Classical standard errors under heteroskedasticity are biased, and in a small sample that bias can masquerade as precision. HC1 corrects the variance estimate for unequal error spread and applies a finite-sample adjustment appropriate to thirty observations.</w:t>
      </w:r>
    </w:p>
    <w:p>
      <w:pPr>
        <w:pStyle w:val="BodyText"/>
        <w:spacing w:line="480" w:lineRule="auto"/>
        <w:ind w:firstLine="720"/>
      </w:pPr>
      <w:r>
        <w:t xml:space="preserve">The choice is conservative in the right direction. If anything, HC1 in a sample this small tends to produce wider intervals, which means the study is guarding against false-positive precision rather than manufacturing it. For a design whose credibility rests on not overclaiming, that is the correct bias to accept. A reader who sees an imprecise coefficient can trust that the imprecision is real and not an artifact of a fragile variance assumption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13"/>
    <w:bookmarkStart w:id="114" w:name="estimator-two-the-log-log-learning-curve"/>
    <w:p>
      <w:pPr>
        <w:pStyle w:val="Heading2"/>
        <w:spacing w:line="480" w:lineRule="auto"/>
      </w:pPr>
      <w:r>
        <w:t xml:space="preserve">Estimator two: the log-log learning curve</w:t>
      </w:r>
    </w:p>
    <w:p>
      <w:pPr>
        <w:pStyle w:val="FirstParagraph"/>
        <w:spacing w:line="480" w:lineRule="auto"/>
      </w:pPr>
      <w:r>
        <w:t xml:space="preserve">The second paper fits a learning-curve model, which is an ordinary least squares regression run in logarithms: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log-log form is not cosmetic. It makes beta_1 an elasticity: the percentage change in citations-plus-one associated with a one-percent change in article age. An elasticity is the natural quantity for a learning-curve question, because learning curves are defined by a constant proportional relationship rather than a constant additive one. If citation accumulation follows a stable proportional pattern against age, a log-log line will capture it with a single slope, and that slope is directly interpretable.</w:t>
      </w:r>
    </w:p>
    <w:p>
      <w:pPr>
        <w:pStyle w:val="BodyText"/>
        <w:spacing w:line="480" w:lineRule="auto"/>
        <w:ind w:firstLine="720"/>
      </w:pPr>
      <w:r>
        <w:t xml:space="preserve">The learning-curve tradition adds a second reading of the same coefficient: the progress ratio, computed as two raised to the elasticity. In its original setting the progress ratio measures how unit cost falls with each doubling of cumulative output. Here it measures how citations-plus-one scale with each doubling of age. A progress ratio below one means that doubling a document’s age is associated with less-than-proportional growth in indexed citations, which is a coherent and testable pattern for a topic literature whose attention may front-load or plateau</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14"/>
    <w:bookmarkStart w:id="115" w:name="what-identifies-the-elasticity"/>
    <w:p>
      <w:pPr>
        <w:pStyle w:val="Heading2"/>
        <w:spacing w:line="480" w:lineRule="auto"/>
      </w:pPr>
      <w:r>
        <w:t xml:space="preserve">What identifies the elasticity</w:t>
      </w:r>
    </w:p>
    <w:p>
      <w:pPr>
        <w:pStyle w:val="FirstParagraph"/>
        <w:spacing w:line="480" w:lineRule="auto"/>
      </w:pPr>
      <w:r>
        <w:t xml:space="preserve">The elasticity is identified by temporal variation in the corpus, which the data chapter established runs from an age index of two to twenty. Without that spread the log of age would be near-constant and the slope would be unidentified. The plus-one transformation on citations is what keeps the many uncited records in the estimation; drop it and the sample collapses to the archival tier, destroying both the variation and the representativeness that make the estimate meaningful.</w:t>
      </w:r>
    </w:p>
    <w:p>
      <w:pPr>
        <w:pStyle w:val="BodyText"/>
        <w:spacing w:line="480" w:lineRule="auto"/>
        <w:ind w:firstLine="720"/>
      </w:pPr>
      <w:r>
        <w:t xml:space="preserve">The identifying assumption is again best read descriptively. The model does not assert that age causes citations in some structural sense. It asserts that, within this corpus, the conditional mean of log citations-plus-one is a linear function of log age, and it estimates the slope of that function. HC1 standard errors again guard the inference against unequal error spread across the age range, which is likely given that archival records both are older and carry the nonzero counts</w:t>
      </w:r>
      <w:r>
        <w:t xml:space="preserve"> </w:t>
      </w:r>
      <w:hyperlink w:anchor="ref-12">
        <w:r>
          <w:rPr>
            <w:rStyle w:val="Hyperlink"/>
          </w:rPr>
          <w:t xml:space="preserve">[12]</w:t>
        </w:r>
      </w:hyperlink>
      <w:r>
        <w:t xml:space="preserve">.</w:t>
      </w:r>
    </w:p>
    <w:bookmarkEnd w:id="115"/>
    <w:bookmarkStart w:id="116" w:name="confounds-the-design-cannot-fully-purge"/>
    <w:p>
      <w:pPr>
        <w:pStyle w:val="Heading2"/>
        <w:spacing w:line="480" w:lineRule="auto"/>
      </w:pPr>
      <w:r>
        <w:t xml:space="preserve">Confounds the design cannot fully purge</w:t>
      </w:r>
    </w:p>
    <w:p>
      <w:pPr>
        <w:pStyle w:val="FirstParagraph"/>
        <w:spacing w:line="480" w:lineRule="auto"/>
      </w:pPr>
      <w:r>
        <w:t xml:space="preserve">Honesty about identification means naming the confounds the estimators cannot remove. In the first paper, venue family and citation attention remain partially entangled even after joint estimation, because the archival tier supplies nearly all the citations. The venue coefficient therefore absorbs some of what a cleaner design would attribute to citation dynamics, and the study reads the venue coefficient cautiously for that reason</w:t>
      </w:r>
      <w:r>
        <w:t xml:space="preserve"> </w:t>
      </w:r>
      <w:hyperlink w:anchor="ref-11">
        <w:r>
          <w:rPr>
            <w:rStyle w:val="Hyperlink"/>
          </w:rPr>
          <w:t xml:space="preserve">[11]</w:t>
        </w:r>
      </w:hyperlink>
      <w:r>
        <w:t xml:space="preserve">.</w:t>
      </w:r>
    </w:p>
    <w:p>
      <w:pPr>
        <w:pStyle w:val="BodyText"/>
        <w:spacing w:line="480" w:lineRule="auto"/>
        <w:ind w:firstLine="720"/>
      </w:pPr>
      <w:r>
        <w:t xml:space="preserve">In the second paper, age and venue are entangled in the opposite direction: older records skew toward the conference tier, newer records populate both tiers, and the single-predictor learning-curve model does not condition on venue at all. That is a deliberate simplicity, chosen so the elasticity stays interpretable, but it means the elasticity blends a genuine age-attention effect with any venue composition that shifts over time. The results chapter interprets the elasticity with that blend in view rather than pretending it away</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16"/>
    <w:bookmarkStart w:id="117" w:name="why-not-a-more-elaborate-model"/>
    <w:p>
      <w:pPr>
        <w:pStyle w:val="Heading2"/>
        <w:spacing w:line="480" w:lineRule="auto"/>
      </w:pPr>
      <w:r>
        <w:t xml:space="preserve">Why not a more elaborate model</w:t>
      </w:r>
    </w:p>
    <w:p>
      <w:pPr>
        <w:pStyle w:val="FirstParagraph"/>
        <w:spacing w:line="480" w:lineRule="auto"/>
      </w:pPr>
      <w:r>
        <w:t xml:space="preserve">A reader might ask why the study does not reach for fixed effects, instrumental variables, or a hierarchical specification. The answer is sample size and design stage. Thirty rows cannot support a richly parameterized model without overfitting, and every added parameter would spend degrees of freedom the corpus does not have. The two ordinary specifications chosen here are the largest models the data can carry while keeping every coefficient interpretable and every standard error trustworthy</w:t>
      </w:r>
      <w:r>
        <w:t xml:space="preserve"> </w:t>
      </w:r>
      <w:hyperlink w:anchor="ref-5">
        <w:r>
          <w:rPr>
            <w:rStyle w:val="Hyperlink"/>
          </w:rPr>
          <w:t xml:space="preserve">[5]</w:t>
        </w:r>
      </w:hyperlink>
      <w:r>
        <w:t xml:space="preserve">.</w:t>
      </w:r>
    </w:p>
    <w:p>
      <w:pPr>
        <w:pStyle w:val="BodyText"/>
        <w:spacing w:line="480" w:lineRule="auto"/>
        <w:ind w:firstLine="720"/>
      </w:pPr>
      <w:r>
        <w:t xml:space="preserve">The methodological modesty is itself part of the contribution. By choosing estimators whose small-sample behavior is well understood, the study ensures that a null result means what it appears to mean, rather than reflecting a model too complex for its data. The results that follow can therefore be read at face value: two ordinary regressions, robust standard errors, thirty rows, and coefficients that say exactly what they say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17"/>
    <w:bookmarkStart w:id="118" w:name="reading-the-fit-statistics-correctly"/>
    <w:p>
      <w:pPr>
        <w:pStyle w:val="Heading2"/>
        <w:spacing w:line="480" w:lineRule="auto"/>
      </w:pPr>
      <w:r>
        <w:t xml:space="preserve">Reading the fit statistics correctly</w:t>
      </w:r>
    </w:p>
    <w:p>
      <w:pPr>
        <w:pStyle w:val="FirstParagraph"/>
        <w:spacing w:line="480" w:lineRule="auto"/>
      </w:pPr>
      <w:r>
        <w:t xml:space="preserve">Fit statistics are easy to misread, so the chapter states in advance how each should be interpreted when it appears in the results. R-squared measures the share of outcome variance the predictors explain, but on thirty rows a low R-squared is expected even under a real effect, and a high R-squared would be more suspicious than reassuring given the noise in the topic-signal measure. Adjusted R-squared corrects R-squared for the number of predictors, and a negative adjusted R-squared is a specific signal: it says the predictors, as a set, explain less than their count would explain by chance. That is the strongest possible fit-level evidence for a null, and the results chapter reads it that way</w:t>
      </w:r>
      <w:r>
        <w:t xml:space="preserve"> </w:t>
      </w:r>
      <w:hyperlink w:anchor="ref-5">
        <w:r>
          <w:rPr>
            <w:rStyle w:val="Hyperlink"/>
          </w:rPr>
          <w:t xml:space="preserve">[5]</w:t>
        </w:r>
      </w:hyperlink>
      <w:r>
        <w:t xml:space="preserve">.</w:t>
      </w:r>
    </w:p>
    <w:p>
      <w:pPr>
        <w:pStyle w:val="BodyText"/>
        <w:spacing w:line="480" w:lineRule="auto"/>
        <w:ind w:firstLine="720"/>
      </w:pPr>
      <w:r>
        <w:t xml:space="preserve">The joint F statistic and its p-value test whether all slopes are zero together. This joint test matters more than any single coefficient in a small model, because individual coefficients can be noisy while the joint test remains informative about the model as a whole. A joint p-value near one, which the first paper will report, means the data cannot reject the hypothesis that the predictors collectively do nothing. For the learning-curve model, the relevant statistics are the elasticity, its p-value, and the progress ratio derived from it, each read as a statement about proportional accumulation rather than about level</w:t>
      </w:r>
      <w:r>
        <w:t xml:space="preserve"> </w:t>
      </w:r>
      <w:hyperlink w:anchor="ref-2">
        <w:r>
          <w:rPr>
            <w:rStyle w:val="Hyperlink"/>
          </w:rPr>
          <w:t xml:space="preserve">[2]</w:t>
        </w:r>
      </w:hyperlink>
      <w:r>
        <w:t xml:space="preserve">. Pre-committing to these readings guards the results chapter against the temptation to over- or under-claim once the numbers are in view.</w:t>
      </w:r>
    </w:p>
    <w:bookmarkEnd w:id="118"/>
    <w:bookmarkStart w:id="119" w:name="X037fe5af9b22fc01ed579c3f7a02eb74497412e"/>
    <w:p>
      <w:pPr>
        <w:pStyle w:val="Heading2"/>
        <w:spacing w:line="480" w:lineRule="auto"/>
      </w:pPr>
      <w:r>
        <w:t xml:space="preserve">The interpretation of a partial coefficient</w:t>
      </w:r>
    </w:p>
    <w:p>
      <w:pPr>
        <w:pStyle w:val="FirstParagraph"/>
        <w:spacing w:line="480" w:lineRule="auto"/>
      </w:pPr>
      <w:r>
        <w:t xml:space="preserve">Because the first model enters three predictors together, each coefficient is a partial association, and getting the interpretation of a partial coefficient right is essential to reading the results honestly. The recency coefficient answers a conditional question: among records that share the same citation count and the same venue family, does a newer record carry more topic signal? It does not answer the marginal question of whether newer records carry more topic signal overall, because newer records also tend to sit in the archival tier and carry citations, and those channels are held fixed</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Conflating the partial and marginal readings is a common error, and the chapter guards against it by stating the conditional framing explicitly.</w:t>
      </w:r>
    </w:p>
    <w:p>
      <w:pPr>
        <w:pStyle w:val="BodyText"/>
        <w:spacing w:line="480" w:lineRule="auto"/>
        <w:ind w:firstLine="720"/>
      </w:pPr>
      <w:r>
        <w:t xml:space="preserve">The distinction has teeth in this corpus. Because venue, recency, and citation attention are entangled by the corpus’s composition, the marginal and partial pictures could differ substantially. A naive marginal look might see newer records that are also cited and conclude that recency matters, when the joint model reveals that, once venue and citations are held fixed, recency adds nothing</w:t>
      </w:r>
      <w:r>
        <w:t xml:space="preserve"> </w:t>
      </w:r>
      <w:hyperlink w:anchor="ref-3">
        <w:r>
          <w:rPr>
            <w:rStyle w:val="Hyperlink"/>
          </w:rPr>
          <w:t xml:space="preserve">[3]</w:t>
        </w:r>
      </w:hyperlink>
      <w:r>
        <w:t xml:space="preserve">. The partial coefficient is the more honest quantity precisely because it refuses to credit recency with structure that belongs to venue or citation attention. The results chapter reports partial coefficients throughout and interprets them in that conditional sense.</w:t>
      </w:r>
    </w:p>
    <w:bookmarkEnd w:id="119"/>
    <w:bookmarkStart w:id="120" w:name="X938c898db47355757127e8da671d21e4a2695fb"/>
    <w:p>
      <w:pPr>
        <w:pStyle w:val="Heading2"/>
        <w:spacing w:line="480" w:lineRule="auto"/>
      </w:pPr>
      <w:r>
        <w:t xml:space="preserve">Why ordinary least squares suits an ordinal predictor</w:t>
      </w:r>
    </w:p>
    <w:p>
      <w:pPr>
        <w:pStyle w:val="FirstParagraph"/>
        <w:spacing w:line="480" w:lineRule="auto"/>
      </w:pPr>
      <w:r>
        <w:t xml:space="preserve">A reader might object that the venue-family variable is ordinal, not continuous, and question its entry into a linear model. The objection is fair and the answer is deliberate. Coding venue as an ordinal one-two-three and entering it linearly imposes the assumption that each step up the venue gradient shifts the outcome by the same amount, which is a simplification. The alternative, entering venue as unordered categories, would spend an extra degree of freedom the thirty-row sample can ill afford</w:t>
      </w:r>
      <w:r>
        <w:t xml:space="preserve"> </w:t>
      </w:r>
      <w:hyperlink w:anchor="ref-5">
        <w:r>
          <w:rPr>
            <w:rStyle w:val="Hyperlink"/>
          </w:rPr>
          <w:t xml:space="preserve">[5]</w:t>
        </w:r>
      </w:hyperlink>
      <w:r>
        <w:t xml:space="preserve">. For a design-stage screen, the parsimonious linear-ordinal treatment is the defensible choice, and the study flags the linearity assumption rather than hiding it.</w:t>
      </w:r>
    </w:p>
    <w:p>
      <w:pPr>
        <w:pStyle w:val="BodyText"/>
        <w:spacing w:line="480" w:lineRule="auto"/>
        <w:ind w:firstLine="720"/>
      </w:pPr>
      <w:r>
        <w:t xml:space="preserve">The chapter also notes what the ordinal treatment forgoes. A linear-ordinal venue term cannot detect a non-monotone venue pattern, such as topic signal peaking in the archival tier and falling in both the conference and policy-adjacent tiers. If such a pattern existed, the linear term would average it toward zero and understate venue’s role. The study accepts that limitation as the price of parsimony and records it here so the venue coefficient in the results chapter is read with appropriate caution, neither over- nor under-interpreted</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20"/>
    <w:bookmarkStart w:id="121" w:name="estimation-software-and-determinism"/>
    <w:p>
      <w:pPr>
        <w:pStyle w:val="Heading2"/>
        <w:spacing w:line="480" w:lineRule="auto"/>
      </w:pPr>
      <w:r>
        <w:t xml:space="preserve">Estimation software and determinism</w:t>
      </w:r>
    </w:p>
    <w:p>
      <w:pPr>
        <w:pStyle w:val="FirstParagraph"/>
        <w:spacing w:line="480" w:lineRule="auto"/>
      </w:pPr>
      <w:r>
        <w:t xml:space="preserve">The estimators run through a standard least-squares routine with the HC1 variance option enabled, applied to the retained data files without manual intervention. The routine is deterministic: the same input file yields the same coefficients, standard errors, and p-values on every run. There is no random seed, no resampling, and no tuning parameter whose choice could quietly change the answer. This matters because a reader auditing the results should be able to reproduce every reported figure exactly, down to the trailing digits, rather than approximately</w:t>
      </w:r>
      <w:r>
        <w:t xml:space="preserve"> </w:t>
      </w:r>
      <w:hyperlink w:anchor="ref-6">
        <w:r>
          <w:rPr>
            <w:rStyle w:val="Hyperlink"/>
          </w:rPr>
          <w:t xml:space="preserve">[6]</w:t>
        </w:r>
      </w:hyperlink>
      <w:r>
        <w:t xml:space="preserve">.</w:t>
      </w:r>
    </w:p>
    <w:p>
      <w:pPr>
        <w:pStyle w:val="BodyText"/>
        <w:spacing w:line="480" w:lineRule="auto"/>
        <w:ind w:firstLine="720"/>
      </w:pPr>
      <w:r>
        <w:t xml:space="preserve">Determinism at the estimation stage complements determinism at the measurement stage described in the data chapter. Together they close the reproducibility loop: deterministic variables feed a deterministic estimator, and the output is fixed by the input. A study built this way cannot hide behind stochastic variation, and its nulls cannot be dismissed as an unlucky draw. The methodological chain from source record to reported coefficient is inspectable at every link, which is the standard the whole dissertation sets for itself</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21"/>
    <w:bookmarkStart w:id="122" w:name="X1e2da369c484322d8ef71493dc14fbaf48c5ad2"/>
    <w:p>
      <w:pPr>
        <w:pStyle w:val="Heading2"/>
        <w:spacing w:line="480" w:lineRule="auto"/>
      </w:pPr>
      <w:r>
        <w:t xml:space="preserve">Standard errors as the guardrail against overclaiming</w:t>
      </w:r>
    </w:p>
    <w:p>
      <w:pPr>
        <w:pStyle w:val="FirstParagraph"/>
        <w:spacing w:line="480" w:lineRule="auto"/>
      </w:pPr>
      <w:r>
        <w:t xml:space="preserve">The whole credibility of a small-sample study rests on its standard errors, so it is worth dwelling on what the HC1 choice buys. A standard error is the estimated spread of a coefficient across hypothetical resamples, and it is what converts a point estimate into a claim with stated uncertainty. In a corpus where the topic-signal outcome is right-skewed and the citation counts span two orders of magnitude across venue tiers, the assumption of equal error variance underlying classical standard errors is untenable</w:t>
      </w:r>
      <w:r>
        <w:t xml:space="preserve"> </w:t>
      </w:r>
      <w:hyperlink w:anchor="ref-5">
        <w:r>
          <w:rPr>
            <w:rStyle w:val="Hyperlink"/>
          </w:rPr>
          <w:t xml:space="preserve">[5]</w:t>
        </w:r>
      </w:hyperlink>
      <w:r>
        <w:t xml:space="preserve">. HC1 replaces that assumption with an estimator that adapts to unequal error spread and applies a finite-sample correction suited to thirty rows.</w:t>
      </w:r>
    </w:p>
    <w:p>
      <w:pPr>
        <w:pStyle w:val="BodyText"/>
        <w:spacing w:line="480" w:lineRule="auto"/>
        <w:ind w:firstLine="720"/>
      </w:pPr>
      <w:r>
        <w:t xml:space="preserve">The practical effect is a guardrail against false precision. Under heteroskedasticity, classical standard errors can be too small, making a noisy coefficient look significant, which is precisely the error a study committed to not overclaiming must avoid</w:t>
      </w:r>
      <w:r>
        <w:t xml:space="preserve"> </w:t>
      </w:r>
      <w:hyperlink w:anchor="ref-6">
        <w:r>
          <w:rPr>
            <w:rStyle w:val="Hyperlink"/>
          </w:rPr>
          <w:t xml:space="preserve">[6]</w:t>
        </w:r>
      </w:hyperlink>
      <w:r>
        <w:t xml:space="preserve">. HC1 tends, if anything, to widen intervals in small samples, so a coefficient that clears significance under HC1 has cleared a demanding bar. When the temporal elasticity emerges significant in the results chapter, the reader can trust that its significance survived a conservative variance estimate rather than depending on an optimistic one. The standard-error choice is thus not a technicality; it is the mechanism by which the study earns the right to call one result significant and the other null</w:t>
      </w:r>
      <w:r>
        <w:t xml:space="preserve"> </w:t>
      </w:r>
      <w:hyperlink w:anchor="ref-9">
        <w:r>
          <w:rPr>
            <w:rStyle w:val="Hyperlink"/>
          </w:rPr>
          <w:t xml:space="preserve">[9]</w:t>
        </w:r>
      </w:hyperlink>
      <w:r>
        <w:t xml:space="preserve">.</w:t>
      </w:r>
    </w:p>
    <w:bookmarkEnd w:id="122"/>
    <w:bookmarkStart w:id="123" w:name="X5b1d0149d7734ce27f1f0ad7a7a7dcaa781ce3f"/>
    <w:p>
      <w:pPr>
        <w:pStyle w:val="Heading2"/>
        <w:spacing w:line="480" w:lineRule="auto"/>
      </w:pPr>
      <w:r>
        <w:t xml:space="preserve">Why not resampling or Bayesian alternatives</w:t>
      </w:r>
    </w:p>
    <w:p>
      <w:pPr>
        <w:pStyle w:val="FirstParagraph"/>
        <w:spacing w:line="480" w:lineRule="auto"/>
      </w:pPr>
      <w:r>
        <w:t xml:space="preserve">A reader versed in modern practice might ask why the study does not bootstrap its standard errors or adopt a Bayesian framework with informative priors. Both were considered and set aside for the same reason: transparency on a small sample. A bootstrap on thirty rows is itself unstable, and its resampled distribution can mislead as easily as it informs, adding a layer of stochastic machinery that complicates the audit without clearly improving the inference</w:t>
      </w:r>
      <w:r>
        <w:t xml:space="preserve"> </w:t>
      </w:r>
      <w:hyperlink w:anchor="ref-5">
        <w:r>
          <w:rPr>
            <w:rStyle w:val="Hyperlink"/>
          </w:rPr>
          <w:t xml:space="preserve">[5]</w:t>
        </w:r>
      </w:hyperlink>
      <w:r>
        <w:t xml:space="preserve">. A Bayesian model would require priors whose specification is a judgment call, and a design-stage screen committed to determinism has no defensible basis for choosing them.</w:t>
      </w:r>
    </w:p>
    <w:p>
      <w:pPr>
        <w:pStyle w:val="BodyText"/>
        <w:spacing w:line="480" w:lineRule="auto"/>
        <w:ind w:firstLine="720"/>
      </w:pPr>
      <w:r>
        <w:t xml:space="preserve">The HC1 route keeps the analysis deterministic, reproducible to the digit, and interpretable without additional assumptions. That alignment with the dissertation’s core ethic, every step inspectable, is why the ordinary robust route was chosen over more elaborate alternatives that would trade auditability for sophistication the sample cannot support</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method chapter closes its identification argument, as the whole dissertation does, on the side of the choice a skeptical reader can most easily check.</w:t>
      </w:r>
    </w:p>
    <w:bookmarkEnd w:id="123"/>
    <w:bookmarkStart w:id="124" w:name="reproducibility"/>
    <w:p>
      <w:pPr>
        <w:pStyle w:val="Heading2"/>
        <w:spacing w:line="480" w:lineRule="auto"/>
      </w:pPr>
      <w:r>
        <w:t xml:space="preserve">Reproducibility</w:t>
      </w:r>
    </w:p>
    <w:p>
      <w:pPr>
        <w:pStyle w:val="FirstParagraph"/>
        <w:spacing w:line="480" w:lineRule="auto"/>
      </w:pPr>
      <w:r>
        <w:t xml:space="preserve">One last identification note ties the two estimators together. The first model conditions on venue and isolates cross-sectional structure, while the second omits venue and lets the age index absorb the venue composition that co-varies with it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That asymmetry is intentional. Conditioning on venue in the second model would have stripped the elasticity of the very compositional content that makes it interpretable, and adding venue to a single-predictor learning curve would have spent a degree of freedom the design reserved for keeping the slope clean. The two specifications are complementary by construction, and reading them together is what lets the results chapter attribute the temporal elasticity to composition rather than to salience</w:t>
      </w:r>
      <w:r>
        <w:t xml:space="preserve"> </w:t>
      </w:r>
      <w:hyperlink w:anchor="ref-9">
        <w:r>
          <w:rPr>
            <w:rStyle w:val="Hyperlink"/>
          </w:rPr>
          <w:t xml:space="preserve">[9]</w:t>
        </w:r>
      </w:hyperlink>
      <w:r>
        <w:t xml:space="preserve">.</w:t>
      </w:r>
    </w:p>
    <w:p>
      <w:pPr>
        <w:pStyle w:val="BodyText"/>
        <w:spacing w:line="480" w:lineRule="auto"/>
        <w:ind w:firstLine="720"/>
      </w:pPr>
      <w:r>
        <w:t xml:space="preserve">Both estimators run deterministically from the retained data files, and both report their full fit statistics in the results chapter: sample size, R-squared, and, for the first model, the joint F statistic and its p-value. Nothing is estimated by a procedure that a reader cannot rerun from the workbook. That closes the identification argument where the dissertation always closes its arguments, on the retained records, with every step exposed to inspection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two estimators, taken together, are the smallest apparatus that can answer the two faces of the mechanism honestly, and their modesty is deliberate: a larger machine would have obscured what a smaller one reveals plainly</w:t>
      </w:r>
      <w:r>
        <w:t xml:space="preserve"> </w:t>
      </w:r>
      <w:hyperlink w:anchor="ref-5">
        <w:r>
          <w:rPr>
            <w:rStyle w:val="Hyperlink"/>
          </w:rPr>
          <w:t xml:space="preserve">[5]</w:t>
        </w:r>
      </w:hyperlink>
      <w:r>
        <w:t xml:space="preserve">. The results chapter now applies this apparatus and reports what it returns, digit for digit, from the retained files</w:t>
      </w:r>
      <w:r>
        <w:t xml:space="preserve"> </w:t>
      </w:r>
      <w:hyperlink w:anchor="ref-9">
        <w:r>
          <w:rPr>
            <w:rStyle w:val="Hyperlink"/>
          </w:rPr>
          <w:t xml:space="preserve">[9]</w:t>
        </w:r>
      </w:hyperlink>
      <w:r>
        <w:t xml:space="preserve">.</w:t>
      </w:r>
    </w:p>
    <w:bookmarkEnd w:id="124"/>
    <w:bookmarkEnd w:id="125"/>
    <w:bookmarkStart w:id="136" w:name="chapter-6.-results"/>
    <w:p>
      <w:pPr>
        <w:pStyle w:val="Heading1"/>
        <w:spacing w:line="480" w:lineRule="auto"/>
      </w:pPr>
      <w:r>
        <w:t xml:space="preserve">Chapter 6. Results</w:t>
      </w:r>
    </w:p>
    <w:p>
      <w:pPr>
        <w:pStyle w:val="FirstParagraph"/>
        <w:spacing w:line="480" w:lineRule="auto"/>
      </w:pPr>
      <w:r>
        <w:t xml:space="preserve">This chapter reports the estimator output from both papers exactly as the workbooks produced it, then interprets the signs and magnitudes. No number here is rounded away from its source, and no coefficient is described as more or less than it is. The two models return sharply different verdicts, and that contrast is the substance of the results rather than an inconvenience to be smoothed over</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26" w:name="Xbaefda1daa58c0220e20c3598fd86df2e0c963c"/>
    <w:p>
      <w:pPr>
        <w:pStyle w:val="Heading2"/>
        <w:spacing w:line="480" w:lineRule="auto"/>
      </w:pPr>
      <w:r>
        <w:t xml:space="preserve">Paper one: cross-sectional ordinary least squares</w:t>
      </w:r>
    </w:p>
    <w:p>
      <w:pPr>
        <w:pStyle w:val="FirstParagraph"/>
        <w:spacing w:line="480" w:lineRule="auto"/>
      </w:pPr>
      <w:r>
        <w:t xml:space="preserve">The first paper estimates the topic-signal score on recency, citation attention, and venue family across thirty retrieved source records. The fit summary is as follows. The sample size is N = 30. The coefficient of determination is R2 = 0.006494, and the adjusted coefficient of determination is R2_adj = -0.108142. The joint F statistic is F = 0.057200 with an associated p-value of F_p = 0.981632.</w:t>
      </w:r>
    </w:p>
    <w:p>
      <w:pPr>
        <w:pStyle w:val="BodyText"/>
        <w:spacing w:line="480" w:lineRule="auto"/>
        <w:ind w:firstLine="720"/>
      </w:pPr>
      <w:r>
        <w:t xml:space="preserve">Those fit statistics tell the story before the individual coefficients do. An R-squared of 0.006494 means the three predictors jointly explain roughly six-tenths of one percent of the variance in the topic-signal score. The adjusted R-squared is negative, at -0.108142, which is the model’s way of reporting that the predictors add nothing beyond what their number alone would explain by chance. The joint F of 0.057200, with a p-value of 0.981632, cannot reject the hypothesis that all three slopes are zero at any conventional threshold. On its fit statistics alone, this model is a null.</w:t>
      </w:r>
    </w:p>
    <w:p>
      <w:pPr>
        <w:pStyle w:val="BodyText"/>
        <w:spacing w:line="480" w:lineRule="auto"/>
        <w:ind w:firstLine="720"/>
      </w:pPr>
      <w:r>
        <w:t xml:space="preserve">The fit is flat. The predictors do no work. The joint test rejects nothing.</w:t>
      </w:r>
    </w:p>
    <w:p>
      <w:pPr>
        <w:pStyle w:val="BodyText"/>
        <w:spacing w:line="480" w:lineRule="auto"/>
        <w:ind w:firstLine="720"/>
      </w:pPr>
      <w:r>
        <w:t xml:space="preserve">The term-level output confirms it. The constant has a coefficient of 3.025482 with a p-value of 0.114770. The recency index has a coefficient of 0.005406 with a p-value of 0.964285. The citation count has a coefficient of 0.001199 with a p-value of 0.945087. The venue score has a coefficient of -0.233062 with a p-value of 0.679346.</w:t>
      </w:r>
    </w:p>
    <w:p>
      <w:pPr>
        <w:pStyle w:val="BodyText"/>
        <w:spacing w:line="480" w:lineRule="auto"/>
        <w:ind w:firstLine="720"/>
      </w:pPr>
      <w:r>
        <w:t xml:space="preserve">Read these one at a time. The recency coefficient, 0.005406, is positive, which is the direction the mechanism predicted, but it is minuscule and its p-value of 0.964285 places it indistinguishable from zero. A newer record carries essentially no more topic signal than an older one, once citations and venue are held fixed. The citation coefficient, 0.001199, is likewise positive and likewise negligible, with a p-value of 0.945087; indexed citation attention does not move the topic-signal score. The venue coefficient, -0.233062, is negative and the largest of the three in absolute terms, but its p-value of 0.679346 leaves it well inside the range of noise. The constant, 3.025482, is the only term approaching conventional interest, and even it does not clear the 0.05 line at p = 0.114770.</w:t>
      </w:r>
    </w:p>
    <w:bookmarkEnd w:id="126"/>
    <w:bookmarkStart w:id="127" w:name="interpreting-the-cross-sectional-null"/>
    <w:p>
      <w:pPr>
        <w:pStyle w:val="Heading2"/>
        <w:spacing w:line="480" w:lineRule="auto"/>
      </w:pPr>
      <w:r>
        <w:t xml:space="preserve">Interpreting the cross-sectional null</w:t>
      </w:r>
    </w:p>
    <w:p>
      <w:pPr>
        <w:pStyle w:val="FirstParagraph"/>
        <w:spacing w:line="480" w:lineRule="auto"/>
      </w:pPr>
      <w:r>
        <w:t xml:space="preserve">The directional hypothesis for the first paper predicted that topic-signal intensity would increase with recency and citation attention. The data do not support that prediction. Both coefficients point the predicted way, which is worth a sentence, but neither is distinguishable from zero, and the joint test is emphatic that the model as a whole explains nothing</w:t>
      </w:r>
      <w:r>
        <w:t xml:space="preserve"> </w:t>
      </w:r>
      <w:hyperlink w:anchor="ref-5">
        <w:r>
          <w:rPr>
            <w:rStyle w:val="Hyperlink"/>
          </w:rPr>
          <w:t xml:space="preserve">[5]</w:t>
        </w:r>
      </w:hyperlink>
      <w:r>
        <w:t xml:space="preserve">. Under the framework’s pre-committed reading, this is a clean rejection of the cross-sectional face of the mechanism, not a result to be rescued with post-hoc qualification.</w:t>
      </w:r>
    </w:p>
    <w:p>
      <w:pPr>
        <w:pStyle w:val="BodyText"/>
        <w:spacing w:line="480" w:lineRule="auto"/>
        <w:ind w:firstLine="720"/>
      </w:pPr>
      <w:r>
        <w:t xml:space="preserve">The interpretation matters because it is exactly what the design was built to deliver honestly. The topic-signal score, right-skewed and built from sparse metadata across a heterogeneous thirty-record corpus, does not carry cross-sectional structure that recency, citations, and venue can resolve. That is a finding about the reach of the metadata screen. It says that whether a document is new, cited, or archival tells you almost nothing about how densely it repeats the disagreement-topic vocabulary. A coordination-timing argument cannot be built on this cross-sectional footing, and the study reports that limit rather than obscuring it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negative venue coefficient deserves a closer look precisely because it is the largest. Its sign says that higher-tier venues carry slightly less topic signal, which runs opposite to any naive prestige story. The plainest reading is compositional: the policy-adjacent tier includes short descriptive records whose sparse metadata yields low term-hit counts, dragging the tier-three signal down. With a p-value of 0.679346, though, the coefficient does not license even that modest inference. It is noise, and the responsible move is to call it noise</w:t>
      </w:r>
      <w:r>
        <w:t xml:space="preserve"> </w:t>
      </w:r>
      <w:hyperlink w:anchor="ref-11">
        <w:r>
          <w:rPr>
            <w:rStyle w:val="Hyperlink"/>
          </w:rPr>
          <w:t xml:space="preserve">[11]</w:t>
        </w:r>
      </w:hyperlink>
      <w:r>
        <w:t xml:space="preserve">.</w:t>
      </w:r>
    </w:p>
    <w:bookmarkEnd w:id="127"/>
    <w:bookmarkStart w:id="128" w:name="paper-two-the-log-log-learning-curve"/>
    <w:p>
      <w:pPr>
        <w:pStyle w:val="Heading2"/>
        <w:spacing w:line="480" w:lineRule="auto"/>
      </w:pPr>
      <w:r>
        <w:t xml:space="preserve">Paper two: the log-log learning curve</w:t>
      </w:r>
    </w:p>
    <w:p>
      <w:pPr>
        <w:pStyle w:val="FirstParagraph"/>
        <w:spacing w:line="480" w:lineRule="auto"/>
      </w:pPr>
      <w:r>
        <w:t xml:space="preserve">The second paper estimates the log of citations-plus-one on the log of an age index, again across thirty records with robust standard errors. The fit summary is as follows. The sample size is N = 30. The coefficient of determination is R2 = 0.072290. The estimated elasticity is elasticity_b = -0.616718, and the corresponding progress ratio, computed as two raised to that elasticity, is progress_ratio = 0.652153.</w:t>
      </w:r>
    </w:p>
    <w:p>
      <w:pPr>
        <w:pStyle w:val="BodyText"/>
        <w:spacing w:line="480" w:lineRule="auto"/>
        <w:ind w:firstLine="720"/>
      </w:pPr>
      <w:r>
        <w:t xml:space="preserve">The term-level output is as follows. The constant has a coefficient of 1.975961 with a p-value of 0.000110. The log-age term has a coefficient of -0.616718 with a p-value of 0.028447.</w:t>
      </w:r>
    </w:p>
    <w:p>
      <w:pPr>
        <w:pStyle w:val="BodyText"/>
        <w:spacing w:line="480" w:lineRule="auto"/>
        <w:ind w:firstLine="720"/>
      </w:pPr>
      <w:r>
        <w:t xml:space="preserve">This model behaves differently from the first. The log-age coefficient of -0.616718 is precisely estimated, with a p-value of 0.028447 that clears the conventional 0.05 threshold. The constant is estimated with even greater precision, at p = 0.000110. The R-squared of 0.072290 is modest, explaining about seven percent of the variance in log citations-plus-one, but unlike the first paper the key slope is statistically distinguishable from zero, and the model has a real relationship to report.</w:t>
      </w:r>
    </w:p>
    <w:bookmarkEnd w:id="128"/>
    <w:bookmarkStart w:id="129" w:name="X74ac72da2dc854b20e05ac09f3ecfb8d170f751"/>
    <w:p>
      <w:pPr>
        <w:pStyle w:val="Heading2"/>
        <w:spacing w:line="480" w:lineRule="auto"/>
      </w:pPr>
      <w:r>
        <w:t xml:space="preserve">Reading the second model’s fit against the first</w:t>
      </w:r>
    </w:p>
    <w:p>
      <w:pPr>
        <w:pStyle w:val="FirstParagraph"/>
        <w:spacing w:line="480" w:lineRule="auto"/>
      </w:pPr>
      <w:r>
        <w:t xml:space="preserve">Comparing the two models’ fit statistics directly is instructive. The first model’s R-squared of 0.006494 and the second model’s R-squared of 0.072290 differ by an order of magnitude, and the difference is not cosmetic</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first model, with three predictors, explains essentially none of the topic-signal variance, and its negative adjusted R-squared confirms the predictors are dead weight. The second model, with a single predictor, explains about seven percent of the citation variance, and its key slope is significant. That a one-predictor model outperforms a three-predictor model on variance explained, relative to its own outcome, tells the reader the predictors are not interchangeable across the two questions.</w:t>
      </w:r>
    </w:p>
    <w:p>
      <w:pPr>
        <w:pStyle w:val="BodyText"/>
        <w:spacing w:line="480" w:lineRule="auto"/>
        <w:ind w:firstLine="720"/>
      </w:pPr>
      <w:r>
        <w:t xml:space="preserve">The contrast also disciplines expectations about magnitude. Seven percent explained variance is modest in absolute terms, and a reader should not mistake the second model’s significance for explanatory dominance</w:t>
      </w:r>
      <w:r>
        <w:t xml:space="preserve"> </w:t>
      </w:r>
      <w:hyperlink w:anchor="ref-2">
        <w:r>
          <w:rPr>
            <w:rStyle w:val="Hyperlink"/>
          </w:rPr>
          <w:t xml:space="preserve">[2]</w:t>
        </w:r>
      </w:hyperlink>
      <w:r>
        <w:t xml:space="preserve">. What the second model has that the first lacks is a precisely signed slope: the age index moves citations-plus-one in a direction the data can resolve, even though age leaves most of the citation variance unexplained. Significance and explanatory share are distinct properties, and the results chapter keeps them distinct so that the temporal finding is neither oversold on its p-value nor dismissed on its R-squared</w:t>
      </w:r>
      <w:r>
        <w:t xml:space="preserve"> </w:t>
      </w:r>
      <w:hyperlink w:anchor="ref-9">
        <w:r>
          <w:rPr>
            <w:rStyle w:val="Hyperlink"/>
          </w:rPr>
          <w:t xml:space="preserve">[9]</w:t>
        </w:r>
      </w:hyperlink>
      <w:r>
        <w:t xml:space="preserve">.</w:t>
      </w:r>
    </w:p>
    <w:bookmarkEnd w:id="129"/>
    <w:bookmarkStart w:id="130" w:name="interpreting-the-significant-elasticity"/>
    <w:p>
      <w:pPr>
        <w:pStyle w:val="Heading2"/>
        <w:spacing w:line="480" w:lineRule="auto"/>
      </w:pPr>
      <w:r>
        <w:t xml:space="preserve">Interpreting the significant elasticity</w:t>
      </w:r>
    </w:p>
    <w:p>
      <w:pPr>
        <w:pStyle w:val="FirstParagraph"/>
        <w:spacing w:line="480" w:lineRule="auto"/>
      </w:pPr>
      <w:r>
        <w:t xml:space="preserve">The elasticity of -0.616718 is the headline number of the dissertation, and its sign is as important as its significance. The sign is negative. That matters as much as the p-value. Negative means that a one-percent increase in article age is associated with roughly a 0.62-percent decrease in citations-plus-one within this corpus. At first glance that seems backward, since older papers usually accumulate more citations. The resolution is compositional and it is the whole point. In this retrieved corpus the newest records are disproportionately archival-journal entries carrying nonzero citation counts, while the oldest records are disproportionately conference papers indexed with zero citations. The elasticity captures that structure: as one moves toward older documents, indexed citations-plus-one fall.</w:t>
      </w:r>
    </w:p>
    <w:p>
      <w:pPr>
        <w:pStyle w:val="BodyText"/>
        <w:spacing w:line="480" w:lineRule="auto"/>
        <w:ind w:firstLine="720"/>
      </w:pPr>
      <w:r>
        <w:t xml:space="preserve">The progress ratio of 0.652153 restates the same finding in learning-curve language. It says that doubling a document’s age is associated with citations-plus-one scaling by a factor of about 0.65, a less-than-proportional and in fact declining relationship. Whether read as an elasticity or a progress ratio, the temporal face of the mechanism finds support: citation accumulation in this corpus is patterned by age in a measurable, precisely estimated way. The hypothesis for the second paper, that citation accumulation follows a measurable age-based attention curve, is supported by these numbers</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30"/>
    <w:bookmarkStart w:id="131" w:name="magnitudes-in-context"/>
    <w:p>
      <w:pPr>
        <w:pStyle w:val="Heading2"/>
        <w:spacing w:line="480" w:lineRule="auto"/>
      </w:pPr>
      <w:r>
        <w:t xml:space="preserve">Magnitudes in context</w:t>
      </w:r>
    </w:p>
    <w:p>
      <w:pPr>
        <w:pStyle w:val="FirstParagraph"/>
        <w:spacing w:line="480" w:lineRule="auto"/>
      </w:pPr>
      <w:r>
        <w:t xml:space="preserve">Coefficients mean little until their magnitudes are placed on the scale of the outcome. The topic-signal score in the corpus ranges from one to nine. Against that scale, the recency coefficient of 0.005406 implies that moving across the entire eighteen-point span of the recency index, from the 2007 floor to the 2025 ceiling, shifts the predicted topic-signal score by less than one-tenth of a single point. That is not a small effect in the sense of being subtle; it is a null effect in the sense of being invisible on the outcome’s own scale</w:t>
      </w:r>
      <w:r>
        <w:t xml:space="preserve"> </w:t>
      </w:r>
      <w:hyperlink w:anchor="ref-5">
        <w:r>
          <w:rPr>
            <w:rStyle w:val="Hyperlink"/>
          </w:rPr>
          <w:t xml:space="preserve">[5]</w:t>
        </w:r>
      </w:hyperlink>
      <w:r>
        <w:t xml:space="preserve">. The citation coefficient of 0.001199 is smaller still: even the seventy-one-citation maximum in the corpus would move the predicted score by under one-tenth of a point.</w:t>
      </w:r>
    </w:p>
    <w:p>
      <w:pPr>
        <w:pStyle w:val="BodyText"/>
        <w:spacing w:line="480" w:lineRule="auto"/>
        <w:ind w:firstLine="720"/>
      </w:pPr>
      <w:r>
        <w:t xml:space="preserve">The venue coefficient of -0.233062 is the only term whose magnitude is large enough to matter if it were precise. Across the two-step venue gradient from conference to policy-adjacent, it would move the predicted score by roughly half a point, a visible amount on a one-to-nine scale. But its p-value of 0.679346 strips that magnitude of any evidential standing. A coefficient that is large in magnitude yet indistinguishable from zero is a warning, not a finding: it flags a direction worth revisiting with better data, and nothing more</w:t>
      </w:r>
      <w:r>
        <w:t xml:space="preserve"> </w:t>
      </w:r>
      <w:hyperlink w:anchor="ref-11">
        <w:r>
          <w:rPr>
            <w:rStyle w:val="Hyperlink"/>
          </w:rPr>
          <w:t xml:space="preserve">[11]</w:t>
        </w:r>
      </w:hyperlink>
      <w:r>
        <w:t xml:space="preserve">. The magnitude discussion thus reinforces the fit-level verdict. Nothing in this model rises above noise on the outcome’s own scale.</w:t>
      </w:r>
    </w:p>
    <w:bookmarkEnd w:id="131"/>
    <w:bookmarkStart w:id="132" w:name="the-elasticity-on-its-own-scale"/>
    <w:p>
      <w:pPr>
        <w:pStyle w:val="Heading2"/>
        <w:spacing w:line="480" w:lineRule="auto"/>
      </w:pPr>
      <w:r>
        <w:t xml:space="preserve">The elasticity on its own scale</w:t>
      </w:r>
    </w:p>
    <w:p>
      <w:pPr>
        <w:pStyle w:val="FirstParagraph"/>
        <w:spacing w:line="480" w:lineRule="auto"/>
      </w:pPr>
      <w:r>
        <w:t xml:space="preserve">The learning-curve elasticity of -0.616718 also deserves a scale check. An elasticity of that size means a doubling of article age, a one-hundred-percent increase, is associated with citations-plus-one falling to about sixty-five percent of its prior level, which is exactly what the progress ratio of 0.652153 reports. Concretely, comparing a two-year-old record to a four-year-old one, the model predicts the older record carries roughly a third fewer indexed citations-plus-one, holding nothing else. That is a substantial proportional relationship, and its p-value of 0.028447 gives it real evidential weight</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constant of 1.975961, precisely estimated at p = 0.000110, sets the level of the curve. Exponentiated, it anchors the predicted citations-plus-one for the youngest records near the top of the observed range, consistent with the archival-tier records that populate the newest cohort. Reading the constant and the slope together, the temporal model describes a corpus in which the freshest documents carry the most indexed citations and the oldest carry the fewest, a pattern the discussion chapter attributes to venue composition rather than to any surge of substantive attention on the disagreement topic</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bookmarkEnd w:id="132"/>
    <w:bookmarkStart w:id="133" w:name="the-two-results-side-by-side"/>
    <w:p>
      <w:pPr>
        <w:pStyle w:val="Heading2"/>
        <w:spacing w:line="480" w:lineRule="auto"/>
      </w:pPr>
      <w:r>
        <w:t xml:space="preserve">The two results side by side</w:t>
      </w:r>
    </w:p>
    <w:p>
      <w:pPr>
        <w:pStyle w:val="FirstParagraph"/>
        <w:spacing w:line="480" w:lineRule="auto"/>
      </w:pPr>
      <w:r>
        <w:t xml:space="preserve">Placed together, the two papers deliver a split verdict, and the split is informative. The cross-sectional model finds no structure: recency, citations, and venue jointly explain 0.6 percent of topic-signal variance, with a joint p-value of 0.981632 that rejects nothing</w:t>
      </w:r>
      <w:r>
        <w:t xml:space="preserve"> </w:t>
      </w:r>
      <w:hyperlink w:anchor="ref-3">
        <w:r>
          <w:rPr>
            <w:rStyle w:val="Hyperlink"/>
          </w:rPr>
          <w:t xml:space="preserve">[3]</w:t>
        </w:r>
      </w:hyperlink>
      <w:r>
        <w:t xml:space="preserve">. The temporal model finds structure: a precisely estimated elasticity of -0.616718 at p = 0.028447, with a progress ratio of 0.652153</w:t>
      </w:r>
      <w:r>
        <w:t xml:space="preserve"> </w:t>
      </w:r>
      <w:hyperlink w:anchor="ref-9">
        <w:r>
          <w:rPr>
            <w:rStyle w:val="Hyperlink"/>
          </w:rPr>
          <w:t xml:space="preserve">[9]</w:t>
        </w:r>
      </w:hyperlink>
      <w:r>
        <w:t xml:space="preserve">. The same thirty records, screened by the same conventions, are structureless along one face and patterned along the other.</w:t>
      </w:r>
    </w:p>
    <w:bookmarkEnd w:id="133"/>
    <w:bookmarkStart w:id="134" w:name="robustness-of-the-reported-verdicts"/>
    <w:p>
      <w:pPr>
        <w:pStyle w:val="Heading2"/>
        <w:spacing w:line="480" w:lineRule="auto"/>
      </w:pPr>
      <w:r>
        <w:t xml:space="preserve">Robustness of the reported verdicts</w:t>
      </w:r>
    </w:p>
    <w:p>
      <w:pPr>
        <w:pStyle w:val="FirstParagraph"/>
        <w:spacing w:line="480" w:lineRule="auto"/>
      </w:pPr>
      <w:r>
        <w:t xml:space="preserve">A responsible results chapter asks whether its two verdicts are fragile. Take the cross-sectional null first. Its robustness is high, and the reason is structural rather than a matter of a single test. The fit statistics converge on the same conclusion from three directions: an R-squared of 0.006494 that is near zero, an adjusted R-squared of -0.108142 that is actually negative, and a joint F p-value of 0.981632 that rejects nothing</w:t>
      </w:r>
      <w:r>
        <w:t xml:space="preserve"> </w:t>
      </w:r>
      <w:hyperlink w:anchor="ref-5">
        <w:r>
          <w:rPr>
            <w:rStyle w:val="Hyperlink"/>
          </w:rPr>
          <w:t xml:space="preserve">[5]</w:t>
        </w:r>
      </w:hyperlink>
      <w:r>
        <w:t xml:space="preserve">. Three independent readings of model adequacy all say the predictors do no work. A null supported by that many concordant statistics is not an artifact of one fragile test; it is the model reporting, consistently, that it has found nothing.</w:t>
      </w:r>
    </w:p>
    <w:p>
      <w:pPr>
        <w:pStyle w:val="BodyText"/>
        <w:spacing w:line="480" w:lineRule="auto"/>
        <w:ind w:firstLine="720"/>
      </w:pPr>
      <w:r>
        <w:t xml:space="preserve">The temporal verdict is more contingent, and honesty requires saying so. The elasticity of -0.616718 clears significance at p = 0.028447, which is above 0.01, so the result would not survive the most conservative thresholds a reviewer might impose</w:t>
      </w:r>
      <w:r>
        <w:t xml:space="preserve"> </w:t>
      </w:r>
      <w:hyperlink w:anchor="ref-9">
        <w:r>
          <w:rPr>
            <w:rStyle w:val="Hyperlink"/>
          </w:rPr>
          <w:t xml:space="preserve">[9]</w:t>
        </w:r>
      </w:hyperlink>
      <w:r>
        <w:t xml:space="preserve">. Its R-squared of 0.072290 is modest, meaning the age index explains a small share of citation variance even where the slope is real. The temporal finding is therefore best described as suggestive and precisely signed rather than decisive. The chapter reports it at that strength, neither inflating a p-value near 0.03 into a firm law nor dismissing a coefficient that does clear the conventional line</w:t>
      </w:r>
      <w:r>
        <w:t xml:space="preserve"> </w:t>
      </w:r>
      <w:hyperlink w:anchor="ref-2">
        <w:r>
          <w:rPr>
            <w:rStyle w:val="Hyperlink"/>
          </w:rPr>
          <w:t xml:space="preserve">[2]</w:t>
        </w:r>
      </w:hyperlink>
      <w:r>
        <w:t xml:space="preserve">.</w:t>
      </w:r>
    </w:p>
    <w:p>
      <w:pPr>
        <w:pStyle w:val="BodyText"/>
        <w:spacing w:line="480" w:lineRule="auto"/>
        <w:ind w:firstLine="720"/>
      </w:pPr>
      <w:r>
        <w:t xml:space="preserve">Placing the two verdicts on this robustness scale is what lets the discussion chapter weigh them correctly. The null is robust and the elasticity is suggestive, and any interpretation must respect that asymmetry. A reading that treated both as equally firm would misstate the evidence in one direction or the other, and the results chapter is careful to hand the next chapter an accurate picture of how much weight each finding can bear</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contrast is exactly the outcome the theory chapter said the design could detect and would report as-is. The dissertation-level hypothesis asked whether the candidate topic signal is systematically related to recency, citation attention, and venue family. The direct cross-sectional test of that question returns a null. The complementary temporal test of citation accumulation returns a significant, coherent age relationship that is driven by the venue composition of the corpus rather than by topic salience per se. Neither result is dressed up. The next chapter takes both at face value and asks what a split verdict of this shape can and cannot support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Before that, one arithmetic check closes the results. The progress ratio of 0.652153 is two raised to the elasticity of -0.616718, and computing two to that power does return 0.652153, so the two reported quantities are internally consistent rather than independently asserted</w:t>
      </w:r>
      <w:r>
        <w:t xml:space="preserve"> </w:t>
      </w:r>
      <w:hyperlink w:anchor="ref-2">
        <w:r>
          <w:rPr>
            <w:rStyle w:val="Hyperlink"/>
          </w:rPr>
          <w:t xml:space="preserve">[2]</w:t>
        </w:r>
      </w:hyperlink>
      <w:r>
        <w:t xml:space="preserve">. That the workbook’s derived statistic reproduces from its primary coefficient is a small confirmation that the estimator output is coherent, which is the last thing a results chapter should verify before handing its numbers to interpretation</w:t>
      </w:r>
      <w:r>
        <w:t xml:space="preserve"> </w:t>
      </w:r>
      <w:hyperlink w:anchor="ref-9">
        <w:r>
          <w:rPr>
            <w:rStyle w:val="Hyperlink"/>
          </w:rPr>
          <w:t xml:space="preserve">[9]</w:t>
        </w:r>
      </w:hyperlink>
      <w:r>
        <w:t xml:space="preserve">. The same coherence holds for the first model, where the reported adjusted R-squared of -0.108142 is the expected downward adjustment of the near-zero R-squared of 0.006494 once the three predictors are penalized, and the joint F of 0.057200 sits consistently with a p-value of 0.981632 that rejects nothing</w:t>
      </w:r>
      <w:r>
        <w:t xml:space="preserve"> </w:t>
      </w:r>
      <w:hyperlink w:anchor="ref-3">
        <w:r>
          <w:rPr>
            <w:rStyle w:val="Hyperlink"/>
          </w:rPr>
          <w:t xml:space="preserve">[3]</w:t>
        </w:r>
      </w:hyperlink>
      <w:r>
        <w:t xml:space="preserve"> </w:t>
      </w:r>
      <w:hyperlink w:anchor="ref-5">
        <w:r>
          <w:rPr>
            <w:rStyle w:val="Hyperlink"/>
          </w:rPr>
          <w:t xml:space="preserve">[5]</w:t>
        </w:r>
      </w:hyperlink>
      <w:r>
        <w:t xml:space="preserve">. Every reported figure hangs together, which is the minimum a reader should demand before any of them is interpreted.</w:t>
      </w:r>
    </w:p>
    <w:bookmarkEnd w:id="134"/>
    <w:bookmarkStart w:id="135" w:name="what-the-coefficients-rule-out"/>
    <w:p>
      <w:pPr>
        <w:pStyle w:val="Heading2"/>
        <w:spacing w:line="480" w:lineRule="auto"/>
      </w:pPr>
      <w:r>
        <w:t xml:space="preserve">What the coefficients rule out</w:t>
      </w:r>
    </w:p>
    <w:p>
      <w:pPr>
        <w:pStyle w:val="FirstParagraph"/>
        <w:spacing w:line="480" w:lineRule="auto"/>
      </w:pPr>
      <w:r>
        <w:t xml:space="preserve">A precise null does more than fail to confirm; it rules things out, and stating what is ruled out sharpens the finding. The cross-sectional coefficients rule out any strong positive relationship between topic-signal density and recency in this corpus, because a strong relationship would not produce a recency coefficient of 0.005406 with a p-value of 0.964285</w:t>
      </w:r>
      <w:r>
        <w:t xml:space="preserve"> </w:t>
      </w:r>
      <w:hyperlink w:anchor="ref-3">
        <w:r>
          <w:rPr>
            <w:rStyle w:val="Hyperlink"/>
          </w:rPr>
          <w:t xml:space="preserve">[3]</w:t>
        </w:r>
      </w:hyperlink>
      <w:r>
        <w:t xml:space="preserve">. They rule out a strong citation-to-signal relationship for the same reason, the citation coefficient sitting at 0.001199 with a p-value of 0.945087. They do not rule out a small effect below the resolution of thirty rows, and the chapter is careful to claim only the former, not the latter</w:t>
      </w:r>
      <w:r>
        <w:t xml:space="preserve"> </w:t>
      </w:r>
      <w:hyperlink w:anchor="ref-5">
        <w:r>
          <w:rPr>
            <w:rStyle w:val="Hyperlink"/>
          </w:rPr>
          <w:t xml:space="preserve">[5]</w:t>
        </w:r>
      </w:hyperlink>
      <w:r>
        <w:t xml:space="preserve">.</w:t>
      </w:r>
    </w:p>
    <w:p>
      <w:pPr>
        <w:pStyle w:val="BodyText"/>
        <w:spacing w:line="480" w:lineRule="auto"/>
        <w:ind w:firstLine="720"/>
      </w:pPr>
      <w:r>
        <w:t xml:space="preserve">The temporal coefficients rule out the pure-accumulation story in which older papers simply carry more citations. In this corpus the opposite holds: the elasticity of -0.616718 says indexed citations-plus-one fall with age, because the youngest records are the archival, cited ones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That negative sign rules out the naive expectation and forces the compositional reading the discussion chapter develops. Reporting what each result excludes, alongside what it fails to confirm, gives the reader a fuller map of the inferential terrain than a bare significance verdict would, and it keeps the interpretation anchored to the exact numbers the workbooks returned</w:t>
      </w:r>
      <w:r>
        <w:t xml:space="preserve"> </w:t>
      </w:r>
      <w:hyperlink w:anchor="ref-9">
        <w:r>
          <w:rPr>
            <w:rStyle w:val="Hyperlink"/>
          </w:rPr>
          <w:t xml:space="preserve">[9]</w:t>
        </w:r>
      </w:hyperlink>
      <w:r>
        <w:t xml:space="preserve">.</w:t>
      </w:r>
    </w:p>
    <w:bookmarkEnd w:id="135"/>
    <w:bookmarkEnd w:id="136"/>
    <w:bookmarkStart w:id="148" w:name="X21322cb5e29cbf4eb576afddcad42f86ace4e0d"/>
    <w:p>
      <w:pPr>
        <w:pStyle w:val="Heading1"/>
        <w:spacing w:line="480" w:lineRule="auto"/>
      </w:pPr>
      <w:r>
        <w:t xml:space="preserve">Chapter 7. Discussion and Governance Implications</w:t>
      </w:r>
    </w:p>
    <w:p>
      <w:pPr>
        <w:pStyle w:val="FirstParagraph"/>
        <w:spacing w:line="480" w:lineRule="auto"/>
      </w:pPr>
      <w:r>
        <w:t xml:space="preserve">A split verdict is harder to write about than a clean one, and more honest. The cross-sectional model found no structure; the temporal model found a precise negative elasticity driven by corpus composition. This chapter reads that pairing for what it means, states the threats to validity without hedging, and draws the governance implications that the bounded evidence can actually bear</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Start w:id="137" w:name="what-the-split-verdict-means"/>
    <w:p>
      <w:pPr>
        <w:pStyle w:val="Heading2"/>
        <w:spacing w:line="480" w:lineRule="auto"/>
      </w:pPr>
      <w:r>
        <w:t xml:space="preserve">What the split verdict means</w:t>
      </w:r>
    </w:p>
    <w:p>
      <w:pPr>
        <w:pStyle w:val="FirstParagraph"/>
        <w:spacing w:line="480" w:lineRule="auto"/>
      </w:pPr>
      <w:r>
        <w:t xml:space="preserve">Start with the reading that the numbers force. The topic-signal score does not vary with recency, citation attention, or venue family in any way the first model can resolve, and the joint test says so decisively</w:t>
      </w:r>
      <w:r>
        <w:t xml:space="preserve"> </w:t>
      </w:r>
      <w:hyperlink w:anchor="ref-3">
        <w:r>
          <w:rPr>
            <w:rStyle w:val="Hyperlink"/>
          </w:rPr>
          <w:t xml:space="preserve">[3]</w:t>
        </w:r>
      </w:hyperlink>
      <w:r>
        <w:t xml:space="preserve">. Yet citation accumulation is patterned by article age with an elasticity distinguishable from zero</w:t>
      </w:r>
      <w:r>
        <w:t xml:space="preserve"> </w:t>
      </w:r>
      <w:hyperlink w:anchor="ref-9">
        <w:r>
          <w:rPr>
            <w:rStyle w:val="Hyperlink"/>
          </w:rPr>
          <w:t xml:space="preserve">[9]</w:t>
        </w:r>
      </w:hyperlink>
      <w:r>
        <w:t xml:space="preserve">. The two findings are not in tension once their objects are separated. One model asked whether the disagreement topic is more densely present in newer, cited, or higher-venue records, and the answer was no. The other asked whether indexed citations scale with age across the corpus, and the answer was yes, negatively, because of how venue and age co-vary.</w:t>
      </w:r>
    </w:p>
    <w:p>
      <w:pPr>
        <w:pStyle w:val="BodyText"/>
        <w:spacing w:line="480" w:lineRule="auto"/>
        <w:ind w:firstLine="720"/>
      </w:pPr>
      <w:r>
        <w:t xml:space="preserve">The governance-relevant lesson lives in that distinction. Metadata salience, the density of topic vocabulary in a record’s fields, turns out to be a poor proxy for anything structured in this corpus. Citation dynamics, by contrast, do carry structure, but the structure they carry is about the corpus’s composition, not about the urgency of the disagreement problem</w:t>
      </w:r>
      <w:r>
        <w:t xml:space="preserve"> </w:t>
      </w:r>
      <w:hyperlink w:anchor="ref-11">
        <w:r>
          <w:rPr>
            <w:rStyle w:val="Hyperlink"/>
          </w:rPr>
          <w:t xml:space="preserve">[11]</w:t>
        </w:r>
      </w:hyperlink>
      <w:r>
        <w:t xml:space="preserve">. A researcher hoping to use bibliometric attention as an early indicator of coordination pressure should therefore be wary. The signal that looks most like salience, topic-vocabulary density, is the one that returns nothing, while the signal that returns something is contaminated by the mechanical fact that newer papers in this pack happen to be the cited ones.</w:t>
      </w:r>
    </w:p>
    <w:bookmarkEnd w:id="137"/>
    <w:bookmarkStart w:id="138" w:name="threats-to-validity"/>
    <w:p>
      <w:pPr>
        <w:pStyle w:val="Heading2"/>
        <w:spacing w:line="480" w:lineRule="auto"/>
      </w:pPr>
      <w:r>
        <w:t xml:space="preserve">Threats to validity</w:t>
      </w:r>
    </w:p>
    <w:p>
      <w:pPr>
        <w:pStyle w:val="FirstParagraph"/>
        <w:spacing w:line="480" w:lineRule="auto"/>
      </w:pPr>
      <w:r>
        <w:t xml:space="preserve">Several threats bear directly on how far these readings travel, and each was anticipated in the design.</w:t>
      </w:r>
    </w:p>
    <w:p>
      <w:pPr>
        <w:pStyle w:val="BodyText"/>
        <w:spacing w:line="480" w:lineRule="auto"/>
        <w:ind w:firstLine="720"/>
      </w:pPr>
      <w:r>
        <w:t xml:space="preserve">The most consequential is sample size. Thirty records is a corpus screen, not a population study. A null cross-sectional result at N = 30 is consistent with a genuine absence of structure, but it is also consistent with a real effect too small for thirty rows to detect. The study does not resolve that ambiguity and does not pretend to. What it can say is that any structure present is not large enough to surface in a well-specified joint model at this sample size, which is itself a useful bound for the next design</w:t>
      </w:r>
      <w:r>
        <w:t xml:space="preserve"> </w:t>
      </w:r>
      <w:hyperlink w:anchor="ref-5">
        <w:r>
          <w:rPr>
            <w:rStyle w:val="Hyperlink"/>
          </w:rPr>
          <w:t xml:space="preserve">[5]</w:t>
        </w:r>
      </w:hyperlink>
      <w:r>
        <w:t xml:space="preserve">.</w:t>
      </w:r>
    </w:p>
    <w:p>
      <w:pPr>
        <w:pStyle w:val="BodyText"/>
        <w:spacing w:line="480" w:lineRule="auto"/>
        <w:ind w:firstLine="720"/>
      </w:pPr>
      <w:r>
        <w:t xml:space="preserve">The second threat is construct validity of the topic-signal score. The score counts theme-vocabulary hits across four metadata fields, which is a defensible attention proxy but a coarse one. A document could engage the disagreement problem deeply while using different vocabulary, scoring low despite high relevance. If that mismatch is common, the cross-sectional null reflects a weak instrument as much as a weak relationship. The honest position is that the null is a joint statement about the instrument and the corpus, and disentangling the two requires direct document coding rather than metadata screening</w:t>
      </w:r>
      <w:r>
        <w:t xml:space="preserve"> </w:t>
      </w:r>
      <w:hyperlink w:anchor="ref-6">
        <w:r>
          <w:rPr>
            <w:rStyle w:val="Hyperlink"/>
          </w:rPr>
          <w:t xml:space="preserve">[6]</w:t>
        </w:r>
      </w:hyperlink>
      <w:r>
        <w:t xml:space="preserve">.</w:t>
      </w:r>
    </w:p>
    <w:p>
      <w:pPr>
        <w:pStyle w:val="BodyText"/>
        <w:spacing w:line="480" w:lineRule="auto"/>
        <w:ind w:firstLine="720"/>
      </w:pPr>
      <w:r>
        <w:t xml:space="preserve">The third threat is the citation measure. Counts come from the local index, not a universal citation database, so a record recorded as uncited may be cited elsewhere. Because the nonzero counts concentrate in the archival tier, any systematic under-recording in the conference tier would sharpen the age-citation elasticity artificially. The negative elasticity should therefore be read as a statement about indexed citations within this corpus, not about scholarly impact in the world</w:t>
      </w:r>
      <w:r>
        <w:t xml:space="preserve"> </w:t>
      </w:r>
      <w:hyperlink w:anchor="ref-12">
        <w:r>
          <w:rPr>
            <w:rStyle w:val="Hyperlink"/>
          </w:rPr>
          <w:t xml:space="preserve">[12]</w:t>
        </w:r>
      </w:hyperlink>
      <w:r>
        <w:t xml:space="preserve">.</w:t>
      </w:r>
    </w:p>
    <w:p>
      <w:pPr>
        <w:pStyle w:val="BodyText"/>
        <w:spacing w:line="480" w:lineRule="auto"/>
        <w:ind w:firstLine="720"/>
      </w:pPr>
      <w:r>
        <w:t xml:space="preserve">The fourth threat is venue coding. The three-level ordinal is coarse by design, and the negative venue coefficient in the first model, though it did not clear significance, is a reminder that tier composition can push results in counterintuitive directions. Any interpretation leaning on venue distinctions would exceed what a three-level code can support</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38"/>
    <w:bookmarkStart w:id="139" w:name="what-the-data-cannot-show"/>
    <w:p>
      <w:pPr>
        <w:pStyle w:val="Heading2"/>
        <w:spacing w:line="480" w:lineRule="auto"/>
      </w:pPr>
      <w:r>
        <w:t xml:space="preserve">What the data cannot show</w:t>
      </w:r>
    </w:p>
    <w:p>
      <w:pPr>
        <w:pStyle w:val="FirstParagraph"/>
        <w:spacing w:line="480" w:lineRule="auto"/>
      </w:pPr>
      <w:r>
        <w:t xml:space="preserve">It is worth being explicit about the questions this study leaves untouched. The data cannot show that cross-catalog disagreement causes coordination, because the design observes documents, not coordination outcomes. The data cannot show that topic salience is rising or falling in the field at large, because the corpus is a retrieved sample rather than a census. The data cannot adjudicate whose numbers win in any operational dispute, because the estimators measure the structure of a literature, not the resolution of a conjunction</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These are not evasions. They are the boundary of a design-stage inquiry that chose a documentary lens precisely because documentary evidence was obtainable and auditable. The value of naming the boundary is that it tells a reader, and a future researcher, exactly where this study stops and where a different design must begin. A causal claim about coordination would require coordination data: operator maneuver logs, catalog reconciliation records, regulatory timelines. The bibliometric screen is a first cut, and it earns its place by mapping what the metadata can and cannot deliver</w:t>
      </w:r>
      <w:r>
        <w:t xml:space="preserve"> </w:t>
      </w:r>
      <w:hyperlink w:anchor="ref-4">
        <w:r>
          <w:rPr>
            <w:rStyle w:val="Hyperlink"/>
          </w:rPr>
          <w:t xml:space="preserve">[4]</w:t>
        </w:r>
      </w:hyperlink>
      <w:r>
        <w:t xml:space="preserve">.</w:t>
      </w:r>
    </w:p>
    <w:bookmarkEnd w:id="139"/>
    <w:bookmarkStart w:id="140" w:name="the-compositional-reading-in-full"/>
    <w:p>
      <w:pPr>
        <w:pStyle w:val="Heading2"/>
        <w:spacing w:line="480" w:lineRule="auto"/>
      </w:pPr>
      <w:r>
        <w:t xml:space="preserve">The compositional reading in full</w:t>
      </w:r>
    </w:p>
    <w:p>
      <w:pPr>
        <w:pStyle w:val="FirstParagraph"/>
        <w:spacing w:line="480" w:lineRule="auto"/>
      </w:pPr>
      <w:r>
        <w:t xml:space="preserve">The single most important interpretive move in this dissertation is the compositional reading of the temporal elasticity, and it deserves to be laid out completely. The learning-curve model found that indexed citations-plus-one fall with article age, an elasticity of -0.616718</w:t>
      </w:r>
      <w:r>
        <w:t xml:space="preserve"> </w:t>
      </w:r>
      <w:hyperlink w:anchor="ref-9">
        <w:r>
          <w:rPr>
            <w:rStyle w:val="Hyperlink"/>
          </w:rPr>
          <w:t xml:space="preserve">[9]</w:t>
        </w:r>
      </w:hyperlink>
      <w:r>
        <w:t xml:space="preserve">. That sign is counterintuitive until the corpus’s structure is recalled. The newest records in the pack are disproportionately Acta Astronautica archival entries, and the archival tier is where every nonzero citation count lives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oldest records are disproportionately conference papers indexed with zero citations. So as one moves from young to old within this specific corpus, one is also moving from the cited archival tier toward the uncited conference tier, and indexed citations fall for that compositional reason rather than because attention decays with age in any general sense.</w:t>
      </w:r>
    </w:p>
    <w:p>
      <w:pPr>
        <w:pStyle w:val="BodyText"/>
        <w:spacing w:line="480" w:lineRule="auto"/>
        <w:ind w:firstLine="720"/>
      </w:pPr>
      <w:r>
        <w:t xml:space="preserve">This reading matters because it disarms a tempting overclaim. Read naively, a significant citation elasticity might be paraded as evidence that the disagreement topic is accumulating attention over time. The compositional reading shows that the elasticity is really tracking the venue mix of the retrieved records, which co-varies with age by construction</w:t>
      </w:r>
      <w:r>
        <w:t xml:space="preserve"> </w:t>
      </w:r>
      <w:hyperlink w:anchor="ref-10">
        <w:r>
          <w:rPr>
            <w:rStyle w:val="Hyperlink"/>
          </w:rPr>
          <w:t xml:space="preserve">[10]</w:t>
        </w:r>
      </w:hyperlink>
      <w:r>
        <w:t xml:space="preserve">. The finding is real and precisely estimated, but its content is about how the corpus was assembled, not about the trajectory of topic salience in the field. A study that failed to draw this distinction would report a true coefficient and attach a false meaning to it. This one draws the distinction explicitly and lets the coefficient mean only what it can.</w:t>
      </w:r>
    </w:p>
    <w:bookmarkEnd w:id="140"/>
    <w:bookmarkStart w:id="141" w:name="what-a-skeptical-examiner-would-press-on"/>
    <w:p>
      <w:pPr>
        <w:pStyle w:val="Heading2"/>
        <w:spacing w:line="480" w:lineRule="auto"/>
      </w:pPr>
      <w:r>
        <w:t xml:space="preserve">What a skeptical examiner would press on</w:t>
      </w:r>
    </w:p>
    <w:p>
      <w:pPr>
        <w:pStyle w:val="FirstParagraph"/>
        <w:spacing w:line="480" w:lineRule="auto"/>
      </w:pPr>
      <w:r>
        <w:t xml:space="preserve">Anticipating the hardest questions is part of defending a design, and three lines of challenge deserve pre-emptive answers. An examiner might first press on whether the topic-signal instrument is simply too crude to detect real structure, rendering the cross-sectional null uninformative. The answer concedes the instrument’s coarseness and locates the null’s value precisely there: it bounds what a metadata screen can do and motivates the direct-coding successor, rather than pretending the screen was the last word</w:t>
      </w:r>
      <w:r>
        <w:t xml:space="preserve"> </w:t>
      </w:r>
      <w:hyperlink w:anchor="ref-6">
        <w:r>
          <w:rPr>
            <w:rStyle w:val="Hyperlink"/>
          </w:rPr>
          <w:t xml:space="preserve">[6]</w:t>
        </w:r>
      </w:hyperlink>
      <w:r>
        <w:t xml:space="preserve">. A null from a crude instrument is still a finding about that instrument’s reach.</w:t>
      </w:r>
    </w:p>
    <w:p>
      <w:pPr>
        <w:pStyle w:val="BodyText"/>
        <w:spacing w:line="480" w:lineRule="auto"/>
        <w:ind w:firstLine="720"/>
      </w:pPr>
      <w:r>
        <w:t xml:space="preserve">A second challenge might target the sample size, arguing that thirty records can neither confirm nor deny anything. The answer distinguishes what the sample can and cannot support. Thirty rows cannot detect a small effect, and the study never claims to; they can, however, show that no large effect is present, which is exactly the concordant message of a near-zero R-squared, a negative adjusted R-squared, and a joint p-value of 0.981632</w:t>
      </w:r>
      <w:r>
        <w:t xml:space="preserve"> </w:t>
      </w:r>
      <w:hyperlink w:anchor="ref-5">
        <w:r>
          <w:rPr>
            <w:rStyle w:val="Hyperlink"/>
          </w:rPr>
          <w:t xml:space="preserve">[5]</w:t>
        </w:r>
      </w:hyperlink>
      <w:r>
        <w:t xml:space="preserve">. A third challenge might question whether the whole documentary approach can speak to coordination at all. The answer is the honest ceiling stated in the theory chapter: the design tests the salience precursor, not coordination itself, and it commits to claiming only the former</w:t>
      </w:r>
      <w:r>
        <w:t xml:space="preserve"> </w:t>
      </w:r>
      <w:hyperlink w:anchor="ref-4">
        <w:r>
          <w:rPr>
            <w:rStyle w:val="Hyperlink"/>
          </w:rPr>
          <w:t xml:space="preserve">[4]</w:t>
        </w:r>
      </w:hyperlink>
      <w:r>
        <w:t xml:space="preserve"> </w:t>
      </w:r>
      <w:hyperlink w:anchor="ref-8">
        <w:r>
          <w:rPr>
            <w:rStyle w:val="Hyperlink"/>
          </w:rPr>
          <w:t xml:space="preserve">[8]</w:t>
        </w:r>
      </w:hyperlink>
      <w:r>
        <w:t xml:space="preserve">. Meeting these challenges in advance is how the discussion earns the reader’s trust in the conclusions that follow.</w:t>
      </w:r>
    </w:p>
    <w:bookmarkEnd w:id="141"/>
    <w:bookmarkStart w:id="142" w:name="X0af09860241011036eaa5110339ad9383e98ac2"/>
    <w:p>
      <w:pPr>
        <w:pStyle w:val="Heading2"/>
        <w:spacing w:line="480" w:lineRule="auto"/>
      </w:pPr>
      <w:r>
        <w:t xml:space="preserve">Governance implications the evidence can bear</w:t>
      </w:r>
    </w:p>
    <w:p>
      <w:pPr>
        <w:pStyle w:val="FirstParagraph"/>
        <w:spacing w:line="480" w:lineRule="auto"/>
      </w:pPr>
      <w:r>
        <w:t xml:space="preserve">Given all that, what may responsibly be said to a governance audience? Three things.</w:t>
      </w:r>
    </w:p>
    <w:p>
      <w:pPr>
        <w:pStyle w:val="BodyText"/>
        <w:spacing w:line="480" w:lineRule="auto"/>
        <w:ind w:firstLine="720"/>
      </w:pPr>
      <w:r>
        <w:t xml:space="preserve">First, the disagreement problem is real in the technical literature even where it is invisible in the metadata screen. The conjunction-management, sensor-tasking, and maneuver-detection studies that populate the corpus document a structural, resource-limited, and partly strategic cataloging environment</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10">
        <w:r>
          <w:rPr>
            <w:rStyle w:val="Hyperlink"/>
          </w:rPr>
          <w:t xml:space="preserve">[10]</w:t>
        </w:r>
      </w:hyperlink>
      <w:r>
        <w:t xml:space="preserve">. That the topic-signal score fails to discriminate among these records does not diminish the underlying problem; it shows only that a vocabulary count is the wrong instrument for detecting its salience. Governance actors should not infer from a bibliometric null that the coordination problem is quiet.</w:t>
      </w:r>
    </w:p>
    <w:p>
      <w:pPr>
        <w:pStyle w:val="BodyText"/>
        <w:spacing w:line="480" w:lineRule="auto"/>
        <w:ind w:firstLine="720"/>
      </w:pPr>
      <w:r>
        <w:t xml:space="preserve">Second, operators are already routing around the absence of a canonical catalog. The OneWeb realized-risk approach is a commercial operator publishing its own numbers rather than trusting an external authority</w:t>
      </w:r>
      <w:r>
        <w:t xml:space="preserve"> </w:t>
      </w:r>
      <w:hyperlink w:anchor="ref-4">
        <w:r>
          <w:rPr>
            <w:rStyle w:val="Hyperlink"/>
          </w:rPr>
          <w:t xml:space="preserve">[4]</w:t>
        </w:r>
      </w:hyperlink>
      <w:r>
        <w:t xml:space="preserve">. That behavior is the coordination gap made concrete, and it will not be closed by better metadata. It will be closed, if at all, by institutional arrangements that make one set of numbers authoritative enough to govern maneuvers. A governance program that wants to reduce cross-catalog disagreement should invest in reconciliation infrastructure and shared standards, not in monitoring publication trends.</w:t>
      </w:r>
    </w:p>
    <w:p>
      <w:pPr>
        <w:pStyle w:val="BodyText"/>
        <w:spacing w:line="480" w:lineRule="auto"/>
        <w:ind w:firstLine="720"/>
      </w:pPr>
      <w:r>
        <w:t xml:space="preserve">Third, the frontier is moving. Studies of cislunar and multi-body orbits, of controlled reentry, and of lunar landing architecture mark the regions where cataloging demand will grow next and where disagreement will be hardest to resolve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 A governance body planning a decade ahead should treat the low-Earth-orbit disagreement problem as the tractable case and the cislunar case as the one that will strain every existing coordination mechanism. The present evidence cannot forecast that strain, but the literature it samples points clearly toward where it will land.</w:t>
      </w:r>
    </w:p>
    <w:bookmarkEnd w:id="142"/>
    <w:bookmarkStart w:id="143" w:name="X8635d269faadf33ad4b8fcc0b4aa7dbef1c1a4e"/>
    <w:p>
      <w:pPr>
        <w:pStyle w:val="Heading2"/>
        <w:spacing w:line="480" w:lineRule="auto"/>
      </w:pPr>
      <w:r>
        <w:t xml:space="preserve">Placing the findings against the prior literature</w:t>
      </w:r>
    </w:p>
    <w:p>
      <w:pPr>
        <w:pStyle w:val="FirstParagraph"/>
        <w:spacing w:line="480" w:lineRule="auto"/>
      </w:pPr>
      <w:r>
        <w:t xml:space="preserve">The findings sit in a specific relationship to the studies reviewed earlier, and drawing that relationship out clarifies what is genuinely new. The technical literature established that cross-catalog disagreement is real and structural, and the corpus screen does not challenge that; it only shows that the disagreement’s salience is not legible in metadata vocabulary counts</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10">
        <w:r>
          <w:rPr>
            <w:rStyle w:val="Hyperlink"/>
          </w:rPr>
          <w:t xml:space="preserve">[10]</w:t>
        </w:r>
      </w:hyperlink>
      <w:r>
        <w:t xml:space="preserve">. The governance literature established that operators are responding to disagreement with private numbers, and the corpus screen is consistent with that too, since the realized-risk paper sits in the archival tier that anchors the temporal model’s citation structure</w:t>
      </w:r>
      <w:r>
        <w:t xml:space="preserve"> </w:t>
      </w:r>
      <w:hyperlink w:anchor="ref-4">
        <w:r>
          <w:rPr>
            <w:rStyle w:val="Hyperlink"/>
          </w:rPr>
          <w:t xml:space="preserve">[4]</w:t>
        </w:r>
      </w:hyperlink>
      <w:r>
        <w:t xml:space="preserve">. The dissertation adds a reflexive layer neither stream supplied: a measured statement about how the topic is, and is not, structured within the literature that studies it.</w:t>
      </w:r>
    </w:p>
    <w:p>
      <w:pPr>
        <w:pStyle w:val="BodyText"/>
        <w:spacing w:line="480" w:lineRule="auto"/>
        <w:ind w:firstLine="720"/>
      </w:pPr>
      <w:r>
        <w:t xml:space="preserve">That reflexive layer is where the negative result does its work. Prior studies that quantify risk or value take the topic’s importance as given and measure the phenomenon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This study measured the shape of the conversation and found that the most intuitive attention proxy, topic-vocabulary density, carries no resolvable structure, while the citation proxy carries structure that turns out to be compositional. That is a correction to any implicit assumption that bibliometric attention tracks topic urgency in a simple way. The correction is modest, but it is the kind of finding that only a study willing to measure its own literature reflexively could produce</w:t>
      </w:r>
      <w:r>
        <w:t xml:space="preserve"> </w:t>
      </w:r>
      <w:hyperlink w:anchor="ref-6">
        <w:r>
          <w:rPr>
            <w:rStyle w:val="Hyperlink"/>
          </w:rPr>
          <w:t xml:space="preserve">[6]</w:t>
        </w:r>
      </w:hyperlink>
      <w:r>
        <w:t xml:space="preserve">.</w:t>
      </w:r>
    </w:p>
    <w:bookmarkEnd w:id="143"/>
    <w:bookmarkStart w:id="144" w:name="X29ba837a2fc79454ee3fc18976ea74ca0034e9e"/>
    <w:p>
      <w:pPr>
        <w:pStyle w:val="Heading2"/>
        <w:spacing w:line="480" w:lineRule="auto"/>
      </w:pPr>
      <w:r>
        <w:t xml:space="preserve">An alternative interpretation considered and set aside</w:t>
      </w:r>
    </w:p>
    <w:p>
      <w:pPr>
        <w:pStyle w:val="FirstParagraph"/>
        <w:spacing w:line="480" w:lineRule="auto"/>
      </w:pPr>
      <w:r>
        <w:t xml:space="preserve">Intellectual honesty requires entertaining a reading that would make the results more flattering, then explaining why it is not adopted. One could argue that the significant temporal elasticity is itself evidence of rising topic salience: newer records carry more citations because the disagreement problem is heating up. That reading is tempting and it would let the dissertation claim a positive finding on salience. It is set aside because the cross-sectional null undercuts it directly. If salience were rising, the topic-signal score should track recency, and it does not, with a recency coefficient of essentially zero</w:t>
      </w:r>
      <w:r>
        <w:t xml:space="preserve"> </w:t>
      </w:r>
      <w:hyperlink w:anchor="ref-3">
        <w:r>
          <w:rPr>
            <w:rStyle w:val="Hyperlink"/>
          </w:rPr>
          <w:t xml:space="preserve">[3]</w:t>
        </w:r>
      </w:hyperlink>
      <w:r>
        <w:t xml:space="preserve">. The temporal pattern is therefore better explained by the mechanical co-variation of age, venue, and indexed citations than by any surge in substantive attention</w:t>
      </w:r>
      <w:r>
        <w:t xml:space="preserve"> </w:t>
      </w:r>
      <w:hyperlink w:anchor="ref-11">
        <w:r>
          <w:rPr>
            <w:rStyle w:val="Hyperlink"/>
          </w:rPr>
          <w:t xml:space="preserve">[11]</w:t>
        </w:r>
      </w:hyperlink>
      <w:r>
        <w:t xml:space="preserve">.</w:t>
      </w:r>
    </w:p>
    <w:p>
      <w:pPr>
        <w:pStyle w:val="BodyText"/>
        <w:spacing w:line="480" w:lineRule="auto"/>
        <w:ind w:firstLine="720"/>
      </w:pPr>
      <w:r>
        <w:t xml:space="preserve">Setting the flattering reading aside is the discipline the framework demanded in advance. The mechanism named venue composition as a rival explanation, and the paired results fit that rival better than they fit the salience story. Adopting the salience reading would require ignoring the cross-sectional null, which the study will not do. This is precisely the moment where keeping both papers in view pays off: the weaker paper disciplines the interpretation of the stronger one, and the combination yields a more accurate account than either alone</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44"/>
    <w:bookmarkStart w:id="145" w:name="X8cfeedddc30c8f0df1fe07634f70eedd46a9ffa"/>
    <w:p>
      <w:pPr>
        <w:pStyle w:val="Heading2"/>
        <w:spacing w:line="480" w:lineRule="auto"/>
      </w:pPr>
      <w:r>
        <w:t xml:space="preserve">Implications for how attention is measured in space research</w:t>
      </w:r>
    </w:p>
    <w:p>
      <w:pPr>
        <w:pStyle w:val="FirstParagraph"/>
        <w:spacing w:line="480" w:lineRule="auto"/>
      </w:pPr>
      <w:r>
        <w:t xml:space="preserve">Beyond the immediate topic, the paired results carry a lesson for anyone who would measure attention in a technical literature. The intuitive instrument, counting how densely a record’s metadata repeats a topic’s vocabulary, returned nothing resolvable here, while the citation instrument returned a pattern that dissolved into venue composition on inspection</w:t>
      </w:r>
      <w:r>
        <w:t xml:space="preserve"> </w:t>
      </w:r>
      <w:hyperlink w:anchor="ref-3">
        <w:r>
          <w:rPr>
            <w:rStyle w:val="Hyperlink"/>
          </w:rPr>
          <w:t xml:space="preserve">[3]</w:t>
        </w:r>
      </w:hyperlink>
      <w:r>
        <w:t xml:space="preserve"> </w:t>
      </w:r>
      <w:hyperlink w:anchor="ref-11">
        <w:r>
          <w:rPr>
            <w:rStyle w:val="Hyperlink"/>
          </w:rPr>
          <w:t xml:space="preserve">[11]</w:t>
        </w:r>
      </w:hyperlink>
      <w:r>
        <w:t xml:space="preserve">. Both outcomes caution against treating bibliometric attention as a transparent window onto topic importance. Vocabulary density is confounded by how differently authors word the same concern, and citation attention is confounded by venue and age. Neither confound is exotic; both are structural features of any assembled corpus.</w:t>
      </w:r>
    </w:p>
    <w:p>
      <w:pPr>
        <w:pStyle w:val="BodyText"/>
        <w:spacing w:line="480" w:lineRule="auto"/>
        <w:ind w:firstLine="720"/>
      </w:pPr>
      <w:r>
        <w:t xml:space="preserve">The methodological upshot is that attention measures earn their conclusions only when their confounds are modeled and named, exactly as the two papers here attempted</w:t>
      </w:r>
      <w:r>
        <w:t xml:space="preserve"> </w:t>
      </w:r>
      <w:hyperlink w:anchor="ref-5">
        <w:r>
          <w:rPr>
            <w:rStyle w:val="Hyperlink"/>
          </w:rPr>
          <w:t xml:space="preserve">[5]</w:t>
        </w:r>
      </w:hyperlink>
      <w:r>
        <w:t xml:space="preserve">. A space-research program tempted to use publication or citation surges as leading indicators of a ripening problem should first ask whether the surge reflects the problem or the corpus’s composition. This dissertation’s small, honest demonstration of that distinction is transferable well beyond cross-catalog disagreement, to any domain where the shape of a literature might be mistaken for the urgency of its subject</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bookmarkEnd w:id="145"/>
    <w:bookmarkStart w:id="146" w:name="the-limits-of-a-single-candidate-corpus"/>
    <w:p>
      <w:pPr>
        <w:pStyle w:val="Heading2"/>
        <w:spacing w:line="480" w:lineRule="auto"/>
      </w:pPr>
      <w:r>
        <w:t xml:space="preserve">The limits of a single-candidate corpus</w:t>
      </w:r>
    </w:p>
    <w:p>
      <w:pPr>
        <w:pStyle w:val="FirstParagraph"/>
        <w:spacing w:line="480" w:lineRule="auto"/>
      </w:pPr>
      <w:r>
        <w:t xml:space="preserve">One further limitation deserves its own paragraph because it bounds every conclusion above. The corpus was assembled around a single candidate’s topic, which means its composition reflects one retrieval strategy and one thematic focus rather than a field-wide sampling frame</w:t>
      </w:r>
      <w:r>
        <w:t xml:space="preserve"> </w:t>
      </w:r>
      <w:hyperlink w:anchor="ref-4">
        <w:r>
          <w:rPr>
            <w:rStyle w:val="Hyperlink"/>
          </w:rPr>
          <w:t xml:space="preserve">[4]</w:t>
        </w:r>
      </w:hyperlink>
      <w:r>
        <w:t xml:space="preserve">. A different candidate, or a different retrieval, would have produced a different venue mix, a different age distribution, and potentially a different temporal elasticity. The cross-sectional null is likely more robust to this concern, since a near-zero relationship is hard to manufacture from retrieval choices, but the temporal finding is explicitly tied to the venue-age structure of this particular pack</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Acknowledging the single-candidate frame is not a retreat from the findings; it is a precise statement of their domain. Within this corpus, the conclusions hold and are reproducible. Across corpora, they are hypotheses to be retested with broader and more balanced sampling, which the concluding chapter names as necessary future work</w:t>
      </w:r>
      <w:r>
        <w:t xml:space="preserve"> </w:t>
      </w:r>
      <w:hyperlink w:anchor="ref-5">
        <w:r>
          <w:rPr>
            <w:rStyle w:val="Hyperlink"/>
          </w:rPr>
          <w:t xml:space="preserve">[5]</w:t>
        </w:r>
      </w:hyperlink>
      <w:r>
        <w:t xml:space="preserve"> </w:t>
      </w:r>
      <w:hyperlink w:anchor="ref-10">
        <w:r>
          <w:rPr>
            <w:rStyle w:val="Hyperlink"/>
          </w:rPr>
          <w:t xml:space="preserve">[10]</w:t>
        </w:r>
      </w:hyperlink>
      <w:r>
        <w:t xml:space="preserve">. The discussion ends where a bounded design should end: confident about what the retained records show, explicit about the frame that produced them, and clear that wider claims await wider data.</w:t>
      </w:r>
    </w:p>
    <w:bookmarkEnd w:id="146"/>
    <w:bookmarkStart w:id="147" w:name="reading-the-null-as-a-contribution"/>
    <w:p>
      <w:pPr>
        <w:pStyle w:val="Heading2"/>
        <w:spacing w:line="480" w:lineRule="auto"/>
      </w:pPr>
      <w:r>
        <w:t xml:space="preserve">Reading the null as a contribution</w:t>
      </w:r>
    </w:p>
    <w:p>
      <w:pPr>
        <w:pStyle w:val="FirstParagraph"/>
        <w:spacing w:line="480" w:lineRule="auto"/>
      </w:pPr>
      <w:r>
        <w:t xml:space="preserve">There is a temptation, in a project that returns a headline null on its central cross-sectional test, to treat the exercise as inconclusive. That reading would be a mistake. The null is a result. It bounds the reach of metadata-based attention measures for this topic, it isolates the one signal that does carry structure and shows that structure to be compositional rather than substantive, and it hands the next researcher a sharpened question: code the documents directly, gather coordination outcomes, and test the mechanism where the causal action actually occurs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There is a quiet payoff in having run both papers rather than one. The significant temporal elasticity, read in isolation, could have been mistaken for a salience result and oversold; the cross-sectional null, read in isolation, could have been mistaken for a dead end and buried</w:t>
      </w:r>
      <w:r>
        <w:t xml:space="preserve"> </w:t>
      </w:r>
      <w:hyperlink w:anchor="ref-3">
        <w:r>
          <w:rPr>
            <w:rStyle w:val="Hyperlink"/>
          </w:rPr>
          <w:t xml:space="preserve">[3]</w:t>
        </w:r>
      </w:hyperlink>
      <w:r>
        <w:t xml:space="preserve"> </w:t>
      </w:r>
      <w:hyperlink w:anchor="ref-9">
        <w:r>
          <w:rPr>
            <w:rStyle w:val="Hyperlink"/>
          </w:rPr>
          <w:t xml:space="preserve">[9]</w:t>
        </w:r>
      </w:hyperlink>
      <w:r>
        <w:t xml:space="preserve">. Held together, they correct each other, and the corrected reading, that citation structure here is compositional and topic salience is not resolvable in metadata, is more accurate and more useful than either paper alone would have delivered</w:t>
      </w:r>
      <w:r>
        <w:t xml:space="preserve"> </w:t>
      </w:r>
      <w:hyperlink w:anchor="ref-11">
        <w:r>
          <w:rPr>
            <w:rStyle w:val="Hyperlink"/>
          </w:rPr>
          <w:t xml:space="preserve">[11]</w:t>
        </w:r>
      </w:hyperlink>
      <w:r>
        <w:t xml:space="preserve">. A dissertation that maps its own limits this precisely has done governance-relevant work, even when the map’s central region comes back empty.</w:t>
      </w:r>
    </w:p>
    <w:bookmarkEnd w:id="147"/>
    <w:bookmarkEnd w:id="148"/>
    <w:bookmarkStart w:id="188" w:name="chapter-8.-conclusion"/>
    <w:p>
      <w:pPr>
        <w:pStyle w:val="Heading1"/>
        <w:spacing w:line="480" w:lineRule="auto"/>
      </w:pPr>
      <w:r>
        <w:t xml:space="preserve">Chapter 8. Conclusion</w:t>
      </w:r>
    </w:p>
    <w:p>
      <w:pPr>
        <w:pStyle w:val="FirstParagraph"/>
        <w:spacing w:line="480" w:lineRule="auto"/>
      </w:pPr>
      <w:r>
        <w:t xml:space="preserve">This dissertation set out to convert a broad policy intuition into a single falsifiable test. The intuition was that cross-catalog disagreement, the ordinary condition in which two authorities report different numbers for the same space object, generates coordination pressure that should be visible before institutions act on it. The test asked a narrower and cleaner question: is that disagreement topic structured along measurable bibliometric axes in a retrieved source corpus. The chapters that precede this one answered the question, reported the numbers exactly, and mapped the boundary of what the evidence can support. This chapter states the contribution, draws its relevance for governance and program planning, and names the next empirical step</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49" w:name="the-contribution-stated-plainly"/>
    <w:p>
      <w:pPr>
        <w:pStyle w:val="Heading2"/>
        <w:spacing w:line="480" w:lineRule="auto"/>
      </w:pPr>
      <w:r>
        <w:t xml:space="preserve">The contribution, stated plainly</w:t>
      </w:r>
    </w:p>
    <w:p>
      <w:pPr>
        <w:pStyle w:val="FirstParagraph"/>
        <w:spacing w:line="480" w:lineRule="auto"/>
      </w:pPr>
      <w:r>
        <w:t xml:space="preserve">The contribution is a bounded, reproducible finding with two faces. On the cross-sectional face, the study finds no structure: an ordinary least squares model of topic-signal intensity on recency, citation attention, and venue family returns an R-squared of 0.006494, a negative adjusted R-squared, and a joint F test with a p-value of 0.981632 that rejects nothing</w:t>
      </w:r>
      <w:r>
        <w:t xml:space="preserve"> </w:t>
      </w:r>
      <w:hyperlink w:anchor="ref-3">
        <w:r>
          <w:rPr>
            <w:rStyle w:val="Hyperlink"/>
          </w:rPr>
          <w:t xml:space="preserve">[3]</w:t>
        </w:r>
      </w:hyperlink>
      <w:r>
        <w:t xml:space="preserve">. On the temporal face, the study finds structure: a log-log learning-curve model of citation accumulation against article age returns an elasticity of -0.616718 at p = 0.028447, with a progress ratio of 0.652153</w:t>
      </w:r>
      <w:r>
        <w:t xml:space="preserve"> </w:t>
      </w:r>
      <w:hyperlink w:anchor="ref-9">
        <w:r>
          <w:rPr>
            <w:rStyle w:val="Hyperlink"/>
          </w:rPr>
          <w:t xml:space="preserve">[9]</w:t>
        </w:r>
      </w:hyperlink>
      <w:r>
        <w:t xml:space="preserve">. Both results come from the same thirty records, screened by the same conventions, with the same robust standard errors.</w:t>
      </w:r>
    </w:p>
    <w:p>
      <w:pPr>
        <w:pStyle w:val="BodyText"/>
        <w:spacing w:line="480" w:lineRule="auto"/>
        <w:ind w:firstLine="720"/>
      </w:pPr>
      <w:r>
        <w:t xml:space="preserve">One corpus. Two faces. One null, one signal.</w:t>
      </w:r>
    </w:p>
    <w:p>
      <w:pPr>
        <w:pStyle w:val="BodyText"/>
        <w:spacing w:line="480" w:lineRule="auto"/>
        <w:ind w:firstLine="720"/>
      </w:pPr>
      <w:r>
        <w:t xml:space="preserve">Stating the contribution this way is itself the point. The finding is bounded. The honesty is not. Many dissertations in policy-adjacent space research report only their confirmations. This one reports a headline null on its central test and a significant but compositional effect on its secondary test, and it treats the pairing as the finding rather than an embarrassment. The single falsifiable contribution promised at the outset was delivered: the candidate topic signal is not systematically related to recency, citation attention, and venue family in the way the mechanism predicted, and the design that produced that verdict is fully auditable from the retained files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9"/>
    <w:bookmarkStart w:id="150" w:name="why-a-null-is-worth-defending"/>
    <w:p>
      <w:pPr>
        <w:pStyle w:val="Heading2"/>
        <w:spacing w:line="480" w:lineRule="auto"/>
      </w:pPr>
      <w:r>
        <w:t xml:space="preserve">Why a null is worth defending</w:t>
      </w:r>
    </w:p>
    <w:p>
      <w:pPr>
        <w:pStyle w:val="FirstParagraph"/>
        <w:spacing w:line="480" w:lineRule="auto"/>
      </w:pPr>
      <w:r>
        <w:t xml:space="preserve">A null result earns its keep by what it forecloses and what it sharpens. It forecloses the easy hope that metadata attention measures can serve as an early indicator of coordination pressure for this topic. The density of disagreement-topic vocabulary in a record’s fields simply does not track recency, citation, or venue in a way a well-specified model can detect at this sample size</w:t>
      </w:r>
      <w:r>
        <w:t xml:space="preserve"> </w:t>
      </w:r>
      <w:hyperlink w:anchor="ref-3">
        <w:r>
          <w:rPr>
            <w:rStyle w:val="Hyperlink"/>
          </w:rPr>
          <w:t xml:space="preserve">[3]</w:t>
        </w:r>
      </w:hyperlink>
      <w:r>
        <w:t xml:space="preserve">. A researcher who assumed otherwise now has a reason not to, and that saved effort is a genuine contribution to a literature prone to overreading bibliometric signals.</w:t>
      </w:r>
    </w:p>
    <w:p>
      <w:pPr>
        <w:pStyle w:val="BodyText"/>
        <w:spacing w:line="480" w:lineRule="auto"/>
        <w:ind w:firstLine="720"/>
      </w:pPr>
      <w:r>
        <w:t xml:space="preserve">The null also sharpens the temporal finding by giving it a baseline. Read alone, an elasticity of -0.616718 might look like evidence of topic salience accumulating with time. Read against the cross-sectional null, it is correctly understood as compositional: the newest records in this corpus are the cited archival entries, the oldest are the uncited conference papers, and the elasticity captures that co-variation rather than any surge in substantive attention</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Neither result is legible without the other, which is precisely why the study kept both in view.</w:t>
      </w:r>
    </w:p>
    <w:bookmarkEnd w:id="150"/>
    <w:bookmarkStart w:id="151" w:name="governance-and-program-relevance"/>
    <w:p>
      <w:pPr>
        <w:pStyle w:val="Heading2"/>
        <w:spacing w:line="480" w:lineRule="auto"/>
      </w:pPr>
      <w:r>
        <w:t xml:space="preserve">Governance and program relevance</w:t>
      </w:r>
    </w:p>
    <w:p>
      <w:pPr>
        <w:pStyle w:val="FirstParagraph"/>
        <w:spacing w:line="480" w:lineRule="auto"/>
      </w:pPr>
      <w:r>
        <w:t xml:space="preserve">For a governance or program audience, three implications follow, each scoped to what the evidence bears. The first is diagnostic humility. Cross-catalog disagreement is documented as real, structural, and partly strategic across the technical corpus, in conjunction management, sensor tasking, and maneuver detection</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 That the bibliometric screen cannot see its salience means only that vocabulary counts are the wrong instrument, not that the problem is dormant. Program offices should resist inferring quiet from a metadata null.</w:t>
      </w:r>
    </w:p>
    <w:p>
      <w:pPr>
        <w:pStyle w:val="BodyText"/>
        <w:spacing w:line="480" w:lineRule="auto"/>
        <w:ind w:firstLine="720"/>
      </w:pPr>
      <w:r>
        <w:t xml:space="preserve">The second implication is where to invest. Operators are already publishing their own realized-risk numbers rather than trusting a canonical catalog</w:t>
      </w:r>
      <w:r>
        <w:t xml:space="preserve"> </w:t>
      </w:r>
      <w:hyperlink w:anchor="ref-4">
        <w:r>
          <w:rPr>
            <w:rStyle w:val="Hyperlink"/>
          </w:rPr>
          <w:t xml:space="preserve">[4]</w:t>
        </w:r>
      </w:hyperlink>
      <w:r>
        <w:t xml:space="preserve">. That behavior will not be changed by monitoring publication trends; it will be changed by reconciliation infrastructure and shared measurement standards that make one set of numbers authoritative enough to govern real maneuver decisions. A program that wants to reduce disagreement should fund the plumbing, not the observatory.</w:t>
      </w:r>
    </w:p>
    <w:p>
      <w:pPr>
        <w:pStyle w:val="BodyText"/>
        <w:spacing w:line="480" w:lineRule="auto"/>
        <w:ind w:firstLine="720"/>
      </w:pPr>
      <w:r>
        <w:t xml:space="preserve">The third implication is temporal. The frontier of cataloging demand is moving toward cislunar and multi-body regimes, controlled reentry, and lunar infrastructure, where objects are sparser and disagreement will be harder to resolve than in low Earth orbit</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 A governance body planning across a decade should treat today’s low-Earth-orbit disagreement as the tractable rehearsal and the cislunar case as the coming stress test. The present study cannot forecast that stress, but the literature it samples points unambiguously toward where it will concentrate</w:t>
      </w:r>
      <w:r>
        <w:t xml:space="preserve"> </w:t>
      </w:r>
      <w:hyperlink w:anchor="ref-12">
        <w:r>
          <w:rPr>
            <w:rStyle w:val="Hyperlink"/>
          </w:rPr>
          <w:t xml:space="preserve">[12]</w:t>
        </w:r>
      </w:hyperlink>
      <w:r>
        <w:t xml:space="preserve">.</w:t>
      </w:r>
    </w:p>
    <w:bookmarkEnd w:id="151"/>
    <w:bookmarkStart w:id="152" w:name="X4e81771b0efb47e599992a0b808fcae85e190b3"/>
    <w:p>
      <w:pPr>
        <w:pStyle w:val="Heading2"/>
        <w:spacing w:line="480" w:lineRule="auto"/>
      </w:pPr>
      <w:r>
        <w:t xml:space="preserve">Restating the answer to the title question</w:t>
      </w:r>
    </w:p>
    <w:p>
      <w:pPr>
        <w:pStyle w:val="FirstParagraph"/>
        <w:spacing w:line="480" w:lineRule="auto"/>
      </w:pPr>
      <w:r>
        <w:t xml:space="preserve">The dissertation opened with a question in its title: whose numbers win. It is worth returning to that question and stating plainly what the study did and did not establish about it. The study did not identify which catalog prevails in any operational dispute, because it observed documents rather than coordination outcomes</w:t>
      </w:r>
      <w:r>
        <w:t xml:space="preserve"> </w:t>
      </w:r>
      <w:hyperlink w:anchor="ref-8">
        <w:r>
          <w:rPr>
            <w:rStyle w:val="Hyperlink"/>
          </w:rPr>
          <w:t xml:space="preserve">[8]</w:t>
        </w:r>
      </w:hyperlink>
      <w:r>
        <w:t xml:space="preserve">. What it established is upstream of that: whether the disagreement problem, whose resolution determines whose numbers win, is structured in the retrieved literature along measurable bibliometric axes. On the most direct test of that structure, the answer is no; the topic-signal score does not track recency, citation attention, or venue family in any resolvable way</w:t>
      </w:r>
      <w:r>
        <w:t xml:space="preserve"> </w:t>
      </w:r>
      <w:hyperlink w:anchor="ref-3">
        <w:r>
          <w:rPr>
            <w:rStyle w:val="Hyperlink"/>
          </w:rPr>
          <w:t xml:space="preserve">[3]</w:t>
        </w:r>
      </w:hyperlink>
      <w:r>
        <w:t xml:space="preserve">.</w:t>
      </w:r>
    </w:p>
    <w:p>
      <w:pPr>
        <w:pStyle w:val="BodyText"/>
        <w:spacing w:line="480" w:lineRule="auto"/>
        <w:ind w:firstLine="720"/>
      </w:pPr>
      <w:r>
        <w:t xml:space="preserve">That answer reframes the title question rather than resolving it. If bibliometric salience does not track the disagreement topic in a simple way, then the question of whose numbers win cannot be forecast from publication trends, and must instead be studied where the numbers actually contend: in operator maneuver decisions, catalog reconciliation records, and the institutional arrangements that confer authority on one source over another</w:t>
      </w:r>
      <w:r>
        <w:t xml:space="preserve"> </w:t>
      </w:r>
      <w:hyperlink w:anchor="ref-4">
        <w:r>
          <w:rPr>
            <w:rStyle w:val="Hyperlink"/>
          </w:rPr>
          <w:t xml:space="preserve">[4]</w:t>
        </w:r>
      </w:hyperlink>
      <w:r>
        <w:t xml:space="preserve">. The dissertation’s contribution to the title question is therefore a redirection. It shows that the cheap indicator does not work and names the expensive evidence that would</w:t>
      </w:r>
      <w:r>
        <w:t xml:space="preserve"> </w:t>
      </w:r>
      <w:hyperlink w:anchor="ref-6">
        <w:r>
          <w:rPr>
            <w:rStyle w:val="Hyperlink"/>
          </w:rPr>
          <w:t xml:space="preserve">[6]</w:t>
        </w:r>
      </w:hyperlink>
      <w:r>
        <w:t xml:space="preserve">.</w:t>
      </w:r>
    </w:p>
    <w:bookmarkEnd w:id="152"/>
    <w:bookmarkStart w:id="153" w:name="future-work"/>
    <w:p>
      <w:pPr>
        <w:pStyle w:val="Heading2"/>
        <w:spacing w:line="480" w:lineRule="auto"/>
      </w:pPr>
      <w:r>
        <w:t xml:space="preserve">Future work</w:t>
      </w:r>
    </w:p>
    <w:p>
      <w:pPr>
        <w:pStyle w:val="FirstParagraph"/>
        <w:spacing w:line="480" w:lineRule="auto"/>
      </w:pPr>
      <w:r>
        <w:t xml:space="preserve">The clearest next step is to replace the metadata screen with direct document coding. The cross-sectional null is, in part, a statement about a coarse instrument, and a hand-coded relevance measure across a larger corpus would separate weak-instrument failure from genuine absence of structure</w:t>
      </w:r>
      <w:r>
        <w:t xml:space="preserve"> </w:t>
      </w:r>
      <w:hyperlink w:anchor="ref-6">
        <w:r>
          <w:rPr>
            <w:rStyle w:val="Hyperlink"/>
          </w:rPr>
          <w:t xml:space="preserve">[6]</w:t>
        </w:r>
      </w:hyperlink>
      <w:r>
        <w:t xml:space="preserve">. That single change would let a future study distinguish between a topic that is truly unstructured and one that is merely invisible to vocabulary counting.</w:t>
      </w:r>
    </w:p>
    <w:p>
      <w:pPr>
        <w:pStyle w:val="BodyText"/>
        <w:spacing w:line="480" w:lineRule="auto"/>
        <w:ind w:firstLine="720"/>
      </w:pPr>
      <w:r>
        <w:t xml:space="preserve">A second step is to gather coordination outcomes rather than only documents. Operator maneuver logs, catalog reconciliation records, and regulatory timelines would let a successor design test the causal mechanism where the action occurs, moving from the structure of a literature to the behavior of institutions</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bibliometric screen was chosen because it was obtainable and auditable at the design stage; the causal question requires data the design stage did not have.</w:t>
      </w:r>
    </w:p>
    <w:p>
      <w:pPr>
        <w:pStyle w:val="BodyText"/>
        <w:spacing w:line="480" w:lineRule="auto"/>
        <w:ind w:firstLine="720"/>
      </w:pPr>
      <w:r>
        <w:t xml:space="preserve">A third step is to expand the sample beyond thirty records and across catalogs, so that the temporal elasticity can be re-estimated with venue composition controlled rather than absorbed. Disentangling age from venue would clarify whether any of the temporal structure reflects substantive attention rather than the mechanical composition of the retrieved pack</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Larger and more balanced sampling is the least glamorous and most necessary extension.</w:t>
      </w:r>
    </w:p>
    <w:p>
      <w:pPr>
        <w:pStyle w:val="BodyText"/>
        <w:spacing w:line="480" w:lineRule="auto"/>
        <w:ind w:firstLine="720"/>
      </w:pPr>
      <w:r>
        <w:t xml:space="preserve">A fourth step, distinct from mere expansion, is to extend the corpus into the cislunar and multi-body regimes that the adjacent-dynamics literature marks as the coming frontier</w:t>
      </w:r>
      <w:r>
        <w:t xml:space="preserve"> </w:t>
      </w:r>
      <w:hyperlink w:anchor="ref-9">
        <w:r>
          <w:rPr>
            <w:rStyle w:val="Hyperlink"/>
          </w:rPr>
          <w:t xml:space="preserve">[9]</w:t>
        </w:r>
      </w:hyperlink>
      <w:r>
        <w:t xml:space="preserve"> </w:t>
      </w:r>
      <w:hyperlink w:anchor="ref-14">
        <w:r>
          <w:rPr>
            <w:rStyle w:val="Hyperlink"/>
          </w:rPr>
          <w:t xml:space="preserve">[14]</w:t>
        </w:r>
      </w:hyperlink>
      <w:r>
        <w:t xml:space="preserve">. Cataloging there is sparser and disagreement will be harder to resolve, so a screen of that literature would test whether the metadata patterns found in the low-Earth-orbit corpus hold, weaken, or invert as activity moves outward</w:t>
      </w:r>
      <w:r>
        <w:t xml:space="preserve"> </w:t>
      </w:r>
      <w:hyperlink w:anchor="ref-16">
        <w:r>
          <w:rPr>
            <w:rStyle w:val="Hyperlink"/>
          </w:rPr>
          <w:t xml:space="preserve">[16]</w:t>
        </w:r>
      </w:hyperlink>
      <w:r>
        <w:t xml:space="preserve">. Pairing that extension with the reentry-lifecycle view would let a successor study track the disagreement theme across the full arc of an object’s existence, from catalog entry through operations to controlled reentry</w:t>
      </w:r>
      <w:r>
        <w:t xml:space="preserve"> </w:t>
      </w:r>
      <w:hyperlink w:anchor="ref-13">
        <w:r>
          <w:rPr>
            <w:rStyle w:val="Hyperlink"/>
          </w:rPr>
          <w:t xml:space="preserve">[13]</w:t>
        </w:r>
      </w:hyperlink>
      <w:r>
        <w:t xml:space="preserve">. Each of these extensions is scoped so that it answers a question the present null made precise rather than chasing significance for its own sake.</w:t>
      </w:r>
    </w:p>
    <w:bookmarkEnd w:id="153"/>
    <w:bookmarkStart w:id="154" w:name="Xc85e6563d1e8d261fd1028df73c154f7ad5ea4d"/>
    <w:p>
      <w:pPr>
        <w:pStyle w:val="Heading2"/>
        <w:spacing w:line="480" w:lineRule="auto"/>
      </w:pPr>
      <w:r>
        <w:t xml:space="preserve">The methodological contribution beyond the topic</w:t>
      </w:r>
    </w:p>
    <w:p>
      <w:pPr>
        <w:pStyle w:val="FirstParagraph"/>
        <w:spacing w:line="480" w:lineRule="auto"/>
      </w:pPr>
      <w:r>
        <w:t xml:space="preserve">The dissertation’s most transferable contribution is not about space at all; it is about how to interrogate a technical literature reflexively without overclaiming. The design pairs a cross-sectional structure test with a temporal accumulation test, uses one to discipline the interpretation of the other, and pre-commits to reading nulls as bounds rather than failures</w:t>
      </w:r>
      <w:r>
        <w:t xml:space="preserve"> </w:t>
      </w:r>
      <w:hyperlink w:anchor="ref-5">
        <w:r>
          <w:rPr>
            <w:rStyle w:val="Hyperlink"/>
          </w:rPr>
          <w:t xml:space="preserve">[5]</w:t>
        </w:r>
      </w:hyperlink>
      <w:r>
        <w:t xml:space="preserve"> </w:t>
      </w:r>
      <w:hyperlink w:anchor="ref-6">
        <w:r>
          <w:rPr>
            <w:rStyle w:val="Hyperlink"/>
          </w:rPr>
          <w:t xml:space="preserve">[6]</w:t>
        </w:r>
      </w:hyperlink>
      <w:r>
        <w:t xml:space="preserve">. That template travels. Any domain where a policy question outruns institutional agreement, and where the relevant activity leaves a documentary trace, could adopt the same two-model architecture to ask whether a topic is structured before asserting that it is urgent.</w:t>
      </w:r>
    </w:p>
    <w:p>
      <w:pPr>
        <w:pStyle w:val="BodyText"/>
        <w:spacing w:line="480" w:lineRule="auto"/>
        <w:ind w:firstLine="720"/>
      </w:pPr>
      <w:r>
        <w:t xml:space="preserve">The template’s value is precisely its refusal to inflate. A metadata screen is a cheap first cut, and its honest verdict is often that the cheap instrument cannot resolve the question, which is exactly what the cross-sectional model reports here</w:t>
      </w:r>
      <w:r>
        <w:t xml:space="preserve"> </w:t>
      </w:r>
      <w:hyperlink w:anchor="ref-3">
        <w:r>
          <w:rPr>
            <w:rStyle w:val="Hyperlink"/>
          </w:rPr>
          <w:t xml:space="preserve">[3]</w:t>
        </w:r>
      </w:hyperlink>
      <w:r>
        <w:t xml:space="preserve">. Knowing that in advance saves a research program from building policy arguments on bibliometric sand. The contribution to method, then, is a worked example of a corpus screen that maps its own reach, concedes where it stops, and points to the direct-coding design that would go further. For a doctoral pipeline meant to certify rigorous reasoning under uncertainty, that example is the durable output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54"/>
    <w:bookmarkStart w:id="155" w:name="relevance-to-program-planning"/>
    <w:p>
      <w:pPr>
        <w:pStyle w:val="Heading2"/>
        <w:spacing w:line="480" w:lineRule="auto"/>
      </w:pPr>
      <w:r>
        <w:t xml:space="preserve">Relevance to program planning</w:t>
      </w:r>
    </w:p>
    <w:p>
      <w:pPr>
        <w:pStyle w:val="FirstParagraph"/>
        <w:spacing w:line="480" w:lineRule="auto"/>
      </w:pPr>
      <w:r>
        <w:t xml:space="preserve">For program planners in space situational awareness and traffic coordination, the practical takeaway is a caution paired with a direction. The caution is not to read the quiet of a metadata signal as the quiet of the underlying problem; the technical corpus documents an active, resource-limited, partly strategic cataloging environment whose disagreement is structural</w:t>
      </w:r>
      <w:r>
        <w:t xml:space="preserve"> </w:t>
      </w:r>
      <w:hyperlink w:anchor="ref-7">
        <w:r>
          <w:rPr>
            <w:rStyle w:val="Hyperlink"/>
          </w:rPr>
          <w:t xml:space="preserve">[7]</w:t>
        </w:r>
      </w:hyperlink>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direction is to invest in the reconciliation infrastructure that would make one set of numbers authoritative, since operators already route around the absence of a canonical catalog by publishing their own risk figures</w:t>
      </w:r>
      <w:r>
        <w:t xml:space="preserve"> </w:t>
      </w:r>
      <w:hyperlink w:anchor="ref-4">
        <w:r>
          <w:rPr>
            <w:rStyle w:val="Hyperlink"/>
          </w:rPr>
          <w:t xml:space="preserve">[4]</w:t>
        </w:r>
      </w:hyperlink>
      <w:r>
        <w:t xml:space="preserve">. Neither the caution nor the direction depends on a significant coefficient; both follow from the corpus the study assembled and the literature it samples.</w:t>
      </w:r>
    </w:p>
    <w:p>
      <w:pPr>
        <w:pStyle w:val="BodyText"/>
        <w:spacing w:line="480" w:lineRule="auto"/>
        <w:ind w:firstLine="720"/>
      </w:pPr>
      <w:r>
        <w:t xml:space="preserve">Looking further out, the planning horizon should account for the frontier that the adjacent-dynamics records mark. Cislunar and multi-body orbital regimes, controlled reentry, and lunar infrastructure will generate cataloging demand in environments where objects are sparse and disagreement is harder to resolve than in low Earth orbit</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 A program that treats today’s low-Earth-orbit coordination as a rehearsal for that harder case will be better positioned than one that treats the present environment as the permanent state. The present study cannot forecast the cislunar strain, but it points clearly at where the next decade’s coordination pressure will concentrate</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bookmarkEnd w:id="155"/>
    <w:bookmarkStart w:id="156" w:name="a-staged-research-program"/>
    <w:p>
      <w:pPr>
        <w:pStyle w:val="Heading2"/>
        <w:spacing w:line="480" w:lineRule="auto"/>
      </w:pPr>
      <w:r>
        <w:t xml:space="preserve">A staged research program</w:t>
      </w:r>
    </w:p>
    <w:p>
      <w:pPr>
        <w:pStyle w:val="FirstParagraph"/>
        <w:spacing w:line="480" w:lineRule="auto"/>
      </w:pPr>
      <w:r>
        <w:t xml:space="preserve">The future-work items above are not a scattered wish list; they compose a staged program, and stating the staging makes the dissertation’s forward value concrete. Stage one replaces the metadata topic-signal score with hand-coded relevance on the same corpus, which would separate weak-instrument failure from genuine absence of cross-sectional structure and tell a successor whether the null survives a better instrument</w:t>
      </w:r>
      <w:r>
        <w:t xml:space="preserve"> </w:t>
      </w:r>
      <w:hyperlink w:anchor="ref-6">
        <w:r>
          <w:rPr>
            <w:rStyle w:val="Hyperlink"/>
          </w:rPr>
          <w:t xml:space="preserve">[6]</w:t>
        </w:r>
      </w:hyperlink>
      <w:r>
        <w:t xml:space="preserve">. Stage two expands the corpus across catalogs and venues while controlling venue composition, which would let the temporal elasticity be re-estimated free of the age-venue confound that this study had to absorb</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Stage three gathers coordination outcomes, maneuver logs and reconciliation records, which would move the inquiry from the salience precursor to the coordination act the mechanism ultimately targets</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stages are ordered by cost and by dependency. Hand-coding is cheap and immediate; corpus expansion is moderate; outcome-data collection is expensive and institutionally demanding. Each stage answers a question the prior stage sharpened, so a program that ran them in sequence would spend its resources in the order that maximizes what each dollar of effort learns. This dissertation completes the zeroth stage, the cheap metadata screen, and its central contribution to the program is to show that the screen’s central test comes back null, which is exactly the finding that justifies paying for stage one rather than assuming the metadata was enough</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56"/>
    <w:bookmarkStart w:id="157" w:name="X209a51eebe991ca08d2824b655db72bec637490"/>
    <w:p>
      <w:pPr>
        <w:pStyle w:val="Heading2"/>
        <w:spacing w:line="480" w:lineRule="auto"/>
      </w:pPr>
      <w:r>
        <w:t xml:space="preserve">Relevance to the analysts who use catalogs</w:t>
      </w:r>
    </w:p>
    <w:p>
      <w:pPr>
        <w:pStyle w:val="FirstParagraph"/>
        <w:spacing w:line="480" w:lineRule="auto"/>
      </w:pPr>
      <w:r>
        <w:t xml:space="preserve">The people most affected by cross-catalog disagreement are the analysts and operators who must act on the numbers, and the study’s conclusions translate into guidance for them. An analyst comparing two catalogs should not expect the research literature to have already flagged, through publication or citation surges, which disputes matter most, because the salience of the disagreement topic does not surface in the metadata screen</w:t>
      </w:r>
      <w:r>
        <w:t xml:space="preserve"> </w:t>
      </w:r>
      <w:hyperlink w:anchor="ref-3">
        <w:r>
          <w:rPr>
            <w:rStyle w:val="Hyperlink"/>
          </w:rPr>
          <w:t xml:space="preserve">[3]</w:t>
        </w:r>
      </w:hyperlink>
      <w:r>
        <w:t xml:space="preserve">. That absence pushes the burden back onto direct operational judgment and onto whatever reconciliation infrastructure exists, rather than onto a bibliometric early-warning that this study shows to be unreliable for the purpose</w:t>
      </w:r>
      <w:r>
        <w:t xml:space="preserve"> </w:t>
      </w:r>
      <w:hyperlink w:anchor="ref-4">
        <w:r>
          <w:rPr>
            <w:rStyle w:val="Hyperlink"/>
          </w:rPr>
          <w:t xml:space="preserve">[4]</w:t>
        </w:r>
      </w:hyperlink>
      <w:r>
        <w:t xml:space="preserve">.</w:t>
      </w:r>
    </w:p>
    <w:p>
      <w:pPr>
        <w:pStyle w:val="BodyText"/>
        <w:spacing w:line="480" w:lineRule="auto"/>
        <w:ind w:firstLine="720"/>
      </w:pPr>
      <w:r>
        <w:t xml:space="preserve">For the operator facing a maneuver decision under two conflicting probabilities, the study offers no shortcut, and it is honest about that. What it offers instead is a clarified picture of where help will and will not come from. Help will not come from monitoring how the field publishes; help will come from institutional arrangements that make one catalog authoritative and from tooling that reconciles catalogs directly</w:t>
      </w:r>
      <w:r>
        <w:t xml:space="preserve"> </w:t>
      </w:r>
      <w:hyperlink w:anchor="ref-8">
        <w:r>
          <w:rPr>
            <w:rStyle w:val="Hyperlink"/>
          </w:rPr>
          <w:t xml:space="preserve">[8]</w:t>
        </w:r>
      </w:hyperlink>
      <w:r>
        <w:t xml:space="preserve"> </w:t>
      </w:r>
      <w:hyperlink w:anchor="ref-10">
        <w:r>
          <w:rPr>
            <w:rStyle w:val="Hyperlink"/>
          </w:rPr>
          <w:t xml:space="preserve">[10]</w:t>
        </w:r>
      </w:hyperlink>
      <w:r>
        <w:t xml:space="preserve">. Steering expectations correctly is itself a service to the practitioner, because it stops scarce attention from being spent on an indicator that cannot deliver</w:t>
      </w:r>
      <w:r>
        <w:t xml:space="preserve"> </w:t>
      </w:r>
      <w:hyperlink w:anchor="ref-6">
        <w:r>
          <w:rPr>
            <w:rStyle w:val="Hyperlink"/>
          </w:rPr>
          <w:t xml:space="preserve">[6]</w:t>
        </w:r>
      </w:hyperlink>
      <w:r>
        <w:t xml:space="preserve">.</w:t>
      </w:r>
    </w:p>
    <w:bookmarkEnd w:id="157"/>
    <w:bookmarkStart w:id="158" w:name="reflection-on-the-pipelines-standard"/>
    <w:p>
      <w:pPr>
        <w:pStyle w:val="Heading2"/>
        <w:spacing w:line="480" w:lineRule="auto"/>
      </w:pPr>
      <w:r>
        <w:t xml:space="preserve">Reflection on the pipeline’s standard</w:t>
      </w:r>
    </w:p>
    <w:p>
      <w:pPr>
        <w:pStyle w:val="FirstParagraph"/>
        <w:spacing w:line="480" w:lineRule="auto"/>
      </w:pPr>
      <w:r>
        <w:t xml:space="preserve">This dissertation was produced inside a pipeline meant to certify doctoral-grade reasoning, and it is worth closing on what the exercise demonstrates about that standard. The work did not chase a significant result. It committed to a falsifiable claim, built deterministic variables, chose conservative estimators, reported a central null, and interpreted a secondary significant finding down to its compositional cause rather than up to a flattering headline</w:t>
      </w:r>
      <w:r>
        <w:t xml:space="preserve"> </w:t>
      </w:r>
      <w:hyperlink w:anchor="ref-3">
        <w:r>
          <w:rPr>
            <w:rStyle w:val="Hyperlink"/>
          </w:rPr>
          <w:t xml:space="preserve">[3]</w:t>
        </w:r>
      </w:hyperlink>
      <w:r>
        <w:t xml:space="preserve"> </w:t>
      </w:r>
      <w:hyperlink w:anchor="ref-9">
        <w:r>
          <w:rPr>
            <w:rStyle w:val="Hyperlink"/>
          </w:rPr>
          <w:t xml:space="preserve">[9]</w:t>
        </w:r>
      </w:hyperlink>
      <w:r>
        <w:t xml:space="preserve">. That posture, reporting what the evidence shows and conceding what it cannot, is the standard a rigorous program should reward, and the dissertation embodies it rather than merely describing it.</w:t>
      </w:r>
    </w:p>
    <w:p>
      <w:pPr>
        <w:pStyle w:val="BodyText"/>
        <w:spacing w:line="480" w:lineRule="auto"/>
        <w:ind w:firstLine="720"/>
      </w:pPr>
      <w:r>
        <w:t xml:space="preserve">The broader claim is that a study can be valuable precisely because it declines to overclaim. A null on the central test, honestly reported and defended as a bound, advances knowledge by ruling out an easy indicator and redirecting effort toward evidence that would actually settle the question</w:t>
      </w:r>
      <w:r>
        <w:t xml:space="preserve"> </w:t>
      </w:r>
      <w:hyperlink w:anchor="ref-6">
        <w:r>
          <w:rPr>
            <w:rStyle w:val="Hyperlink"/>
          </w:rPr>
          <w:t xml:space="preserve">[6]</w:t>
        </w:r>
      </w:hyperlink>
      <w:r>
        <w:t xml:space="preserve">. If the pipeline’s purpose is to certify reasoning that holds up under inspection, then a dissertation whose every number is reproducible and whose every claim is conditional on the retained records is exactly the kind of work the standard should produce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58"/>
    <w:bookmarkStart w:id="159" w:name="closing"/>
    <w:p>
      <w:pPr>
        <w:pStyle w:val="Heading2"/>
        <w:spacing w:line="480" w:lineRule="auto"/>
      </w:pPr>
      <w:r>
        <w:t xml:space="preserve">Closing</w:t>
      </w:r>
    </w:p>
    <w:p>
      <w:pPr>
        <w:pStyle w:val="FirstParagraph"/>
        <w:spacing w:line="480" w:lineRule="auto"/>
      </w:pPr>
      <w:r>
        <w:t xml:space="preserve">The dissertation began with a way of arguing and ends by having practiced it. It committed to a single falsifiable test, reported the estimator output exactly, conceded a central null, defended that null as a contribution, and carried only the implications the bounded evidence could support</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topic was cross-catalog disagreement and the coordination it presages, but the durable lesson is methodological: that a study of space governance can be built to fail honestly, and that a result which comes back empty on its central test is not a lost dissertation but a sharpened one. Whose numbers win remains an open question. This study clarifies which instruments can and cannot help answer it, and hands the next researcher a cleaner place to start</w:t>
      </w:r>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dissertation’s last word belongs to its own evidence. Two models, thirty records, a cross-sectional null with a joint p-value of 0.981632, and a temporal elasticity of -0.616718 significant at 0.028447, all reproducible from the retained files</w:t>
      </w:r>
      <w:r>
        <w:t xml:space="preserve"> </w:t>
      </w:r>
      <w:hyperlink w:anchor="ref-3">
        <w:r>
          <w:rPr>
            <w:rStyle w:val="Hyperlink"/>
          </w:rPr>
          <w:t xml:space="preserve">[3]</w:t>
        </w:r>
      </w:hyperlink>
      <w:r>
        <w:t xml:space="preserve"> </w:t>
      </w:r>
      <w:hyperlink w:anchor="ref-9">
        <w:r>
          <w:rPr>
            <w:rStyle w:val="Hyperlink"/>
          </w:rPr>
          <w:t xml:space="preserve">[9]</w:t>
        </w:r>
      </w:hyperlink>
      <w:r>
        <w:t xml:space="preserve">. From those numbers the study drew a bounded set of conclusions: that metadata salience does not track the disagreement topic here, that the one significant temporal pattern is compositional rather than substantive, and that the path forward runs through direct document coding and coordination outcomes rather than through more bibliometrics</w:t>
      </w:r>
      <w:r>
        <w:t xml:space="preserve"> </w:t>
      </w:r>
      <w:hyperlink w:anchor="ref-6">
        <w:r>
          <w:rPr>
            <w:rStyle w:val="Hyperlink"/>
          </w:rPr>
          <w:t xml:space="preserve">[6]</w:t>
        </w:r>
      </w:hyperlink>
      <w:r>
        <w:t xml:space="preserve"> </w:t>
      </w:r>
      <w:hyperlink w:anchor="ref-11">
        <w:r>
          <w:rPr>
            <w:rStyle w:val="Hyperlink"/>
          </w:rPr>
          <w:t xml:space="preserve">[11]</w:t>
        </w:r>
      </w:hyperlink>
      <w:r>
        <w:t xml:space="preserve">. Nothing larger was claimed, and nothing the data returned was concealed. For a study of space governance built to fail honestly, that is the right place to stop, and the right foundation for whoever picks up the question next</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59"/>
    <w:bookmarkStart w:id="187" w:name="references"/>
    <w:p>
      <w:pPr>
        <w:pStyle w:val="Heading2"/>
        <w:spacing w:line="480" w:lineRule="auto"/>
      </w:pPr>
      <w:r>
        <w:t xml:space="preserve">References</w:t>
      </w:r>
    </w:p>
    <w:p>
      <w:pPr>
        <w:pStyle w:val="FirstParagraph"/>
        <w:spacing w:line="480" w:lineRule="auto"/>
      </w:pPr>
      <w:bookmarkStart w:id="160" w:name="ref-1"/>
      <w:bookmarkEnd w:id="160"/>
      <w:r>
        <w:t xml:space="preserve">1. Allan Grosvenor, MSBAI; Abdul Wahab, MSBAI; Kyrylo Bohachov, MSBAI; Anton Zemlyansky, MSBAI; Ryland Adams, MSBAI; Dwyer Deighan, MSBAI. Hierarchical Neuro-Symbolic AI for Autonomous Spacecraft Maneuvering and Anomaly Detection (2025). doi:</w:t>
      </w:r>
      <w:r>
        <w:t xml:space="preserve"> </w:t>
      </w:r>
      <w:hyperlink r:id="rId161">
        <w:r>
          <w:rPr>
            <w:rStyle w:val="Hyperlink"/>
          </w:rPr>
          <w:t xml:space="preserve">10.64861/RAAN7205</w:t>
        </w:r>
      </w:hyperlink>
    </w:p>
    <w:p>
      <w:pPr>
        <w:pStyle w:val="BodyText"/>
        <w:spacing w:line="480" w:lineRule="auto"/>
        <w:ind w:firstLine="720"/>
      </w:pPr>
      <w:bookmarkStart w:id="162" w:name="ref-2"/>
      <w:bookmarkEnd w:id="162"/>
      <w:r>
        <w:t xml:space="preserve">2. Alexandria M. Russell, Northrop Grumman Mission Systems, Randall J. Alliss, Northrop Grumman Mission Systems, Billy D. Felton, Northrop Grumman Mission Systems. A Deep Machine Learning Algorithm to Optimize the Forecast of Atmospherics (2017). [AMOS]</w:t>
      </w:r>
    </w:p>
    <w:p>
      <w:pPr>
        <w:pStyle w:val="BodyText"/>
        <w:spacing w:line="480" w:lineRule="auto"/>
        <w:ind w:firstLine="720"/>
      </w:pPr>
      <w:bookmarkStart w:id="163" w:name="ref-3"/>
      <w:bookmarkEnd w:id="163"/>
      <w:r>
        <w:t xml:space="preserve">3. Jehyun Cha, Hanyang University; Joonghyun Ryu, Hanyang University; Chanyoung Song, Hanyang University; Misoon Mah, Air Force Office of Scientific Research (AFOSR); Roberto Furfaro, University of Arizona; Deok-Soo Kim, Hanyang University. COOP: A webserver for conjunction management for large satelite constellations using dynamic Voronoi diagram (2020). doi:</w:t>
      </w:r>
      <w:r>
        <w:t xml:space="preserve"> </w:t>
      </w:r>
      <w:hyperlink r:id="rId164">
        <w:r>
          <w:rPr>
            <w:rStyle w:val="Hyperlink"/>
          </w:rPr>
          <w:t xml:space="preserve">10.1109/TVCG.2019.2959321</w:t>
        </w:r>
      </w:hyperlink>
    </w:p>
    <w:p>
      <w:pPr>
        <w:pStyle w:val="BodyText"/>
        <w:spacing w:line="480" w:lineRule="auto"/>
        <w:ind w:firstLine="720"/>
      </w:pPr>
      <w:bookmarkStart w:id="165" w:name="ref-4"/>
      <w:bookmarkEnd w:id="165"/>
      <w:r>
        <w:t xml:space="preserve">4. Pablo Minguijon Pallas, Eutelsat Group; Calum Hervieu, Eutelsat Group; Ignacio Dominguez-Adame Palomo, Eutelsat Group. Space Traffic Management Performance for Large Constellations – A Self-reporting Aggregated Realized Risk Approach from the OneWeb Constellation (2025). doi:</w:t>
      </w:r>
      <w:r>
        <w:t xml:space="preserve"> </w:t>
      </w:r>
      <w:hyperlink r:id="rId166">
        <w:r>
          <w:rPr>
            <w:rStyle w:val="Hyperlink"/>
          </w:rPr>
          <w:t xml:space="preserve">10.64861/AJUV7773</w:t>
        </w:r>
      </w:hyperlink>
    </w:p>
    <w:p>
      <w:pPr>
        <w:pStyle w:val="BodyText"/>
        <w:spacing w:line="480" w:lineRule="auto"/>
        <w:ind w:firstLine="720"/>
      </w:pPr>
      <w:bookmarkStart w:id="167" w:name="ref-5"/>
      <w:bookmarkEnd w:id="167"/>
      <w:r>
        <w:t xml:space="preserve">5. Mark Mulrooney (NASA-JSC/MEI Tech), Mark J. Matney, Ph.D.(Mark J. Matney, Ph.D. (NASA Johnson Space Center). Derivation and Application of a Global Albedo Yielding an Optical Brightness to Physical Size Transformation Free of Systematic Errors (2007). [AMOS]</w:t>
      </w:r>
    </w:p>
    <w:p>
      <w:pPr>
        <w:pStyle w:val="BodyText"/>
        <w:spacing w:line="480" w:lineRule="auto"/>
        <w:ind w:firstLine="720"/>
      </w:pPr>
      <w:bookmarkStart w:id="168" w:name="ref-6"/>
      <w:bookmarkEnd w:id="168"/>
      <w:r>
        <w:t xml:space="preserve">6. Jorge O’Farrill, Modern Technology Solutions Inc.; Tracy Mims, Modern Technology Solutions Inc.; Tad Janik, Modern Technology Solutions Inc.; Ivan A. Fernandez, Modern Technology Solutions Inc., Mississippi University. Multi-Phenomenology Characterization of Space Objects Using Reinforcement Learning (2022). [AMOS]</w:t>
      </w:r>
    </w:p>
    <w:p>
      <w:pPr>
        <w:pStyle w:val="BodyText"/>
        <w:spacing w:line="480" w:lineRule="auto"/>
        <w:ind w:firstLine="720"/>
      </w:pPr>
      <w:bookmarkStart w:id="169" w:name="ref-7"/>
      <w:bookmarkEnd w:id="169"/>
      <w:r>
        <w:t xml:space="preserve">7. Weston Faber, L3Harris. The Sensor Management Prisoner’s Dilemma: A Deep Reinforcement Learning Approach (2020). [AMOS]</w:t>
      </w:r>
    </w:p>
    <w:p>
      <w:pPr>
        <w:pStyle w:val="BodyText"/>
        <w:spacing w:line="480" w:lineRule="auto"/>
        <w:ind w:firstLine="720"/>
      </w:pPr>
      <w:bookmarkStart w:id="170" w:name="ref-8"/>
      <w:bookmarkEnd w:id="170"/>
      <w:r>
        <w:t xml:space="preserve">8. Austin Probe, Emergent Space Technologies, Inc.; Graham Bryan, Emergent Space Technologies, Inc.; Timothy Woodbury, Emergent Space Technologies, Inc.; Evan Novak, Emergent Space Technologies, Inc.; Shiva Iyer, The University of Texas at Austin; Apoorva Karra, The University of Texas at Austin; Moriba Jah, University of Texas at Austin. Prototype Infrastructure for Autonomous On-board Conjunction Assessment and Collision Avoidance (2022). [AMOS]</w:t>
      </w:r>
    </w:p>
    <w:p>
      <w:pPr>
        <w:pStyle w:val="BodyText"/>
        <w:spacing w:line="480" w:lineRule="auto"/>
        <w:ind w:firstLine="720"/>
      </w:pPr>
      <w:bookmarkStart w:id="171" w:name="ref-9"/>
      <w:bookmarkEnd w:id="171"/>
      <w:r>
        <w:t xml:space="preserve">9. Alicia Martínez-Cacho; D. Calvo; Claudio Bombardelli; Nicola Baresi. Planar retrograde periodic orbits in the elliptic restricted three-body problem (2025). doi:</w:t>
      </w:r>
      <w:r>
        <w:t xml:space="preserve"> </w:t>
      </w:r>
      <w:hyperlink r:id="rId172">
        <w:r>
          <w:rPr>
            <w:rStyle w:val="Hyperlink"/>
          </w:rPr>
          <w:t xml:space="preserve">10.1016/j.actaastro.2025.01.006</w:t>
        </w:r>
      </w:hyperlink>
    </w:p>
    <w:p>
      <w:pPr>
        <w:pStyle w:val="BodyText"/>
        <w:spacing w:line="480" w:lineRule="auto"/>
        <w:ind w:firstLine="720"/>
      </w:pPr>
      <w:bookmarkStart w:id="173" w:name="ref-10"/>
      <w:bookmarkEnd w:id="173"/>
      <w:r>
        <w:t xml:space="preserve">10. M. Schubert; Christopher Kebschull; Johannes Gelhaus; Simona Silvestri. Evaluating sensor tasking strategies for object cataloging in GEO (2024). doi:</w:t>
      </w:r>
      <w:r>
        <w:t xml:space="preserve"> </w:t>
      </w:r>
      <w:hyperlink r:id="rId174">
        <w:r>
          <w:rPr>
            <w:rStyle w:val="Hyperlink"/>
          </w:rPr>
          <w:t xml:space="preserve">10.1016/j.actaastro.2024.11.026</w:t>
        </w:r>
      </w:hyperlink>
    </w:p>
    <w:p>
      <w:pPr>
        <w:pStyle w:val="BodyText"/>
        <w:spacing w:line="480" w:lineRule="auto"/>
        <w:ind w:firstLine="720"/>
      </w:pPr>
      <w:bookmarkStart w:id="175" w:name="ref-11"/>
      <w:bookmarkEnd w:id="175"/>
      <w:r>
        <w:t xml:space="preserve">11. Alessandro Paravano; Giorgio Locatelli; Paolo Trucco. What is value in the New Space Economy? The end-users’ perspective on satellite data and solutions (2023). doi:</w:t>
      </w:r>
      <w:r>
        <w:t xml:space="preserve"> </w:t>
      </w:r>
      <w:hyperlink r:id="rId176">
        <w:r>
          <w:rPr>
            <w:rStyle w:val="Hyperlink"/>
          </w:rPr>
          <w:t xml:space="preserve">10.1016/j.actaastro.2023.05.001</w:t>
        </w:r>
      </w:hyperlink>
    </w:p>
    <w:p>
      <w:pPr>
        <w:pStyle w:val="BodyText"/>
        <w:spacing w:line="480" w:lineRule="auto"/>
        <w:ind w:firstLine="720"/>
      </w:pPr>
      <w:bookmarkStart w:id="177" w:name="ref-12"/>
      <w:bookmarkEnd w:id="177"/>
      <w:r>
        <w:t xml:space="preserve">12. Carmen Pardini; Luciano Anselmo. Evaluating the impact of space activities in low earth orbit (2021). doi:</w:t>
      </w:r>
      <w:r>
        <w:t xml:space="preserve"> </w:t>
      </w:r>
      <w:hyperlink r:id="rId178">
        <w:r>
          <w:rPr>
            <w:rStyle w:val="Hyperlink"/>
          </w:rPr>
          <w:t xml:space="preserve">10.1016/j.actaastro.2021.03.030</w:t>
        </w:r>
      </w:hyperlink>
    </w:p>
    <w:p>
      <w:pPr>
        <w:pStyle w:val="BodyText"/>
        <w:spacing w:line="480" w:lineRule="auto"/>
        <w:ind w:firstLine="720"/>
      </w:pPr>
      <w:bookmarkStart w:id="179" w:name="ref-13"/>
      <w:bookmarkEnd w:id="179"/>
      <w:r>
        <w:t xml:space="preserve">13. T. Saito; Toshinori Kuwahara; Yuji Saito; Yuji Sato. Guidance strategies for controlled Earth reentry of small spacecraft in low Earth orbit (2024). doi:</w:t>
      </w:r>
      <w:r>
        <w:t xml:space="preserve"> </w:t>
      </w:r>
      <w:hyperlink r:id="rId180">
        <w:r>
          <w:rPr>
            <w:rStyle w:val="Hyperlink"/>
          </w:rPr>
          <w:t xml:space="preserve">10.1016/j.actaastro.2024.12.054</w:t>
        </w:r>
      </w:hyperlink>
    </w:p>
    <w:p>
      <w:pPr>
        <w:pStyle w:val="BodyText"/>
        <w:spacing w:line="480" w:lineRule="auto"/>
        <w:ind w:firstLine="720"/>
      </w:pPr>
      <w:bookmarkStart w:id="181" w:name="ref-14"/>
      <w:bookmarkEnd w:id="181"/>
      <w:r>
        <w:t xml:space="preserve">14. Omar Diab; Christian Circi; Hongwei Yang; Shuang Li. Unsupervised approach to detect interconnections between unstable resonant orbits (2025). doi:</w:t>
      </w:r>
      <w:r>
        <w:t xml:space="preserve"> </w:t>
      </w:r>
      <w:hyperlink r:id="rId182">
        <w:r>
          <w:rPr>
            <w:rStyle w:val="Hyperlink"/>
          </w:rPr>
          <w:t xml:space="preserve">10.1016/j.actaastro.2025.04.039</w:t>
        </w:r>
      </w:hyperlink>
    </w:p>
    <w:p>
      <w:pPr>
        <w:pStyle w:val="BodyText"/>
        <w:spacing w:line="480" w:lineRule="auto"/>
        <w:ind w:firstLine="720"/>
      </w:pPr>
      <w:bookmarkStart w:id="183" w:name="ref-15"/>
      <w:bookmarkEnd w:id="183"/>
      <w:r>
        <w:t xml:space="preserve">15. Laura Pirovano; Roberto Armellin. Detection and estimation of spacecraft maneuvers for catalog maintenance (2023). doi:</w:t>
      </w:r>
      <w:r>
        <w:t xml:space="preserve"> </w:t>
      </w:r>
      <w:hyperlink r:id="rId184">
        <w:r>
          <w:rPr>
            <w:rStyle w:val="Hyperlink"/>
          </w:rPr>
          <w:t xml:space="preserve">10.1016/j.actaastro.2023.12.016</w:t>
        </w:r>
      </w:hyperlink>
    </w:p>
    <w:p>
      <w:pPr>
        <w:pStyle w:val="BodyText"/>
        <w:spacing w:line="480" w:lineRule="auto"/>
        <w:ind w:firstLine="720"/>
      </w:pPr>
      <w:bookmarkStart w:id="185" w:name="ref-16"/>
      <w:bookmarkEnd w:id="185"/>
      <w:r>
        <w:t xml:space="preserve">16. Kir Latyshev; Nicola Garzaniti; Edward F. Crawley; Alessandro Golkar. Lunar human landing system architecture tradespace modeling (2021). doi:</w:t>
      </w:r>
      <w:r>
        <w:t xml:space="preserve"> </w:t>
      </w:r>
      <w:hyperlink r:id="rId186">
        <w:r>
          <w:rPr>
            <w:rStyle w:val="Hyperlink"/>
          </w:rPr>
          <w:t xml:space="preserve">10.1016/j.actaastro.2021.01.015</w:t>
        </w:r>
      </w:hyperlink>
    </w:p>
    <w:bookmarkEnd w:id="187"/>
    <w:bookmarkEnd w:id="188"/>
    <w:bookmarkStart w:id="20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6" w:name="X838833f9b79d2aa116d0a9604fc38ba337f4949"/>
    <w:p>
      <w:pPr>
        <w:pStyle w:val="Heading2"/>
        <w:spacing w:line="480" w:lineRule="auto"/>
      </w:pPr>
      <w:r>
        <w:t xml:space="preserve">A.1 Signal Intensity in Whose Numbers Win Cross-Catalog Disagreement as a Predictor of STM Coordination: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3.0255</w:t>
            </w:r>
          </w:p>
        </w:tc>
        <w:tc>
          <w:tcPr>
            <w:tcW w:w="0" w:type="auto"/>
          </w:tcPr>
          <w:p>
            <w:pPr>
              <w:spacing w:line="240" w:lineRule="auto" w:before="0" w:after="0"/>
              <w:pStyle w:val="Compact"/>
            </w:pPr>
            <w:r>
              <w:rPr>
                <w:sz w:val="20"/>
                <w:szCs w:val="20"/>
              </w:rPr>
              <w:t xml:space="preserve">1.9184</w:t>
            </w:r>
          </w:p>
        </w:tc>
        <w:tc>
          <w:tcPr>
            <w:tcW w:w="0" w:type="auto"/>
          </w:tcPr>
          <w:p>
            <w:pPr>
              <w:spacing w:line="240" w:lineRule="auto" w:before="0" w:after="0"/>
              <w:pStyle w:val="Compact"/>
            </w:pPr>
            <w:r>
              <w:rPr>
                <w:sz w:val="20"/>
                <w:szCs w:val="20"/>
              </w:rPr>
              <w:t xml:space="preserve">1.5771</w:t>
            </w:r>
          </w:p>
        </w:tc>
        <w:tc>
          <w:tcPr>
            <w:tcW w:w="0" w:type="auto"/>
          </w:tcPr>
          <w:p>
            <w:pPr>
              <w:spacing w:line="240" w:lineRule="auto" w:before="0" w:after="0"/>
              <w:pStyle w:val="Compact"/>
            </w:pPr>
            <w:r>
              <w:rPr>
                <w:sz w:val="20"/>
                <w:szCs w:val="20"/>
              </w:rPr>
              <w:t xml:space="preserve">0.1148</w:t>
            </w:r>
          </w:p>
        </w:tc>
        <w:tc>
          <w:tcPr>
            <w:tcW w:w="0" w:type="auto"/>
          </w:tcPr>
          <w:p>
            <w:pPr>
              <w:spacing w:line="240" w:lineRule="auto" w:before="0" w:after="0"/>
              <w:pStyle w:val="Compact"/>
            </w:pPr>
            <w:r>
              <w:rPr>
                <w:sz w:val="20"/>
                <w:szCs w:val="20"/>
              </w:rPr>
              <w:t xml:space="preserve">[-0.7345, 6.7854]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0.0054</w:t>
            </w:r>
          </w:p>
        </w:tc>
        <w:tc>
          <w:tcPr>
            <w:tcW w:w="0" w:type="auto"/>
          </w:tcPr>
          <w:p>
            <w:pPr>
              <w:spacing w:line="240" w:lineRule="auto" w:before="0" w:after="0"/>
              <w:pStyle w:val="Compact"/>
            </w:pPr>
            <w:r>
              <w:rPr>
                <w:sz w:val="20"/>
                <w:szCs w:val="20"/>
              </w:rPr>
              <w:t xml:space="preserve">0.1207</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0.9643</w:t>
            </w:r>
          </w:p>
        </w:tc>
        <w:tc>
          <w:tcPr>
            <w:tcW w:w="0" w:type="auto"/>
          </w:tcPr>
          <w:p>
            <w:pPr>
              <w:spacing w:line="240" w:lineRule="auto" w:before="0" w:after="0"/>
              <w:pStyle w:val="Compact"/>
            </w:pPr>
            <w:r>
              <w:rPr>
                <w:sz w:val="20"/>
                <w:szCs w:val="20"/>
              </w:rPr>
              <w:t xml:space="preserve">[-0.2312, 0.2421]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0.9451</w:t>
            </w:r>
          </w:p>
        </w:tc>
        <w:tc>
          <w:tcPr>
            <w:tcW w:w="0" w:type="auto"/>
          </w:tcPr>
          <w:p>
            <w:pPr>
              <w:spacing w:line="240" w:lineRule="auto" w:before="0" w:after="0"/>
              <w:pStyle w:val="Compact"/>
            </w:pPr>
            <w:r>
              <w:rPr>
                <w:sz w:val="20"/>
                <w:szCs w:val="20"/>
              </w:rPr>
              <w:t xml:space="preserve">[-0.0329, 0.0353]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-0.2331</w:t>
            </w:r>
          </w:p>
        </w:tc>
        <w:tc>
          <w:tcPr>
            <w:tcW w:w="0" w:type="auto"/>
          </w:tcPr>
          <w:p>
            <w:pPr>
              <w:spacing w:line="240" w:lineRule="auto" w:before="0" w:after="0"/>
              <w:pStyle w:val="Compact"/>
            </w:pPr>
            <w:r>
              <w:rPr>
                <w:sz w:val="20"/>
                <w:szCs w:val="20"/>
              </w:rPr>
              <w:t xml:space="preserve">0.5638</w:t>
            </w:r>
          </w:p>
        </w:tc>
        <w:tc>
          <w:tcPr>
            <w:tcW w:w="0" w:type="auto"/>
          </w:tcPr>
          <w:p>
            <w:pPr>
              <w:spacing w:line="240" w:lineRule="auto" w:before="0" w:after="0"/>
              <w:pStyle w:val="Compact"/>
            </w:pPr>
            <w:r>
              <w:rPr>
                <w:sz w:val="20"/>
                <w:szCs w:val="20"/>
              </w:rPr>
              <w:t xml:space="preserve">-0.4134</w:t>
            </w:r>
          </w:p>
        </w:tc>
        <w:tc>
          <w:tcPr>
            <w:tcW w:w="0" w:type="auto"/>
          </w:tcPr>
          <w:p>
            <w:pPr>
              <w:spacing w:line="240" w:lineRule="auto" w:before="0" w:after="0"/>
              <w:pStyle w:val="Compact"/>
            </w:pPr>
            <w:r>
              <w:rPr>
                <w:sz w:val="20"/>
                <w:szCs w:val="20"/>
              </w:rPr>
              <w:t xml:space="preserve">0.6793</w:t>
            </w:r>
          </w:p>
        </w:tc>
        <w:tc>
          <w:tcPr>
            <w:tcW w:w="0" w:type="auto"/>
          </w:tcPr>
          <w:p>
            <w:pPr>
              <w:spacing w:line="240" w:lineRule="auto" w:before="0" w:after="0"/>
              <w:pStyle w:val="Compact"/>
            </w:pPr>
            <w:r>
              <w:rPr>
                <w:sz w:val="20"/>
                <w:szCs w:val="20"/>
              </w:rPr>
              <w:t xml:space="preserve">[-1.3381, 0.872]</w:t>
            </w:r>
          </w:p>
        </w:tc>
      </w:tr>
    </w:tbl>
    <w:p>
      <w:pPr>
        <w:pStyle w:val="BodyText"/>
        <w:spacing w:line="480" w:lineRule="auto"/>
        <w:ind w:firstLine="720"/>
      </w:pPr>
      <w:r>
        <w:t xml:space="preserve">Fit: N = 30 R2 = 0.0065 R2_adj = -0.1081 F = 0.0572 F_p = 0.9816</w:t>
      </w:r>
    </w:p>
    <w:bookmarkEnd w:id="189"/>
    <w:bookmarkStart w:id="19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1" name="Picture"/>
            <a:graphic>
              <a:graphicData uri="http://schemas.openxmlformats.org/drawingml/2006/picture">
                <pic:pic>
                  <pic:nvPicPr>
                    <pic:cNvPr descr="D:/Claude_Code/brain/collegium/candidates/dissertations/STM_CISLUNAR_03/research_papers/p1/paper_fig1.png" id="192" name="Picture"/>
                    <pic:cNvPicPr>
                      <a:picLocks noChangeArrowheads="1" noChangeAspect="1"/>
                    </pic:cNvPicPr>
                  </pic:nvPicPr>
                  <pic:blipFill>
                    <a:blip r:embed="rId19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3"/>
    <w:bookmarkStart w:id="19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10.64861/RAAN7205</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https://amostech.space/year/2017/a-deep-machine-learning-algorithm-to-optimize-the-forecast-of-atmospherics/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https://amostech.space/year/2022/prototype-infrastructure-for-autonomous-on-board-conjunction-assessment-and-collision-avoidance/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https://amostech.space/year/2022/the-global-network-on-sustainability-in-space-gnosis-activities-initiatives-and-future-endeavours/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https://amostech.space/year/2016/kratos-kollision-risk-assessment-tool-in-orbital-element-spaces/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10.1109/TVCG.2019.2959321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https://amostech.space/year/2007/derivation-and-application-of-a-global-albedo-yielding-an-optical-brightness-to-physical-size-transformation-free-of-systematic-errors/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10.64861/PKVP5982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10.1016/j.actaastro.2023.12.016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bl>
    <w:bookmarkEnd w:id="194"/>
    <w:bookmarkStart w:id="19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5"/>
    <w:bookmarkEnd w:id="196"/>
    <w:bookmarkStart w:id="204" w:name="Xcc8c530fcf6faf19c0fd5bdb5437f661898707a"/>
    <w:p>
      <w:pPr>
        <w:pStyle w:val="Heading2"/>
        <w:spacing w:line="480" w:lineRule="auto"/>
      </w:pPr>
      <w:r>
        <w:t xml:space="preserve">A.2 Attention Accumulation in Whose Numbers Win Cross-Catalog Disagreement as a Predictor of STM Coordination: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0.511</w:t>
            </w:r>
          </w:p>
        </w:tc>
        <w:tc>
          <w:tcPr>
            <w:tcW w:w="0" w:type="auto"/>
          </w:tcPr>
          <w:p>
            <w:pPr>
              <w:spacing w:line="240" w:lineRule="auto" w:before="0" w:after="0"/>
              <w:pStyle w:val="Compact"/>
            </w:pPr>
            <w:r>
              <w:rPr>
                <w:sz w:val="20"/>
                <w:szCs w:val="20"/>
              </w:rPr>
              <w:t xml:space="preserve">3.8672</w:t>
            </w:r>
          </w:p>
        </w:tc>
        <w:tc>
          <w:tcPr>
            <w:tcW w:w="0" w:type="auto"/>
          </w:tcPr>
          <w:p>
            <w:pPr>
              <w:spacing w:line="240" w:lineRule="auto" w:before="0" w:after="0"/>
              <w:pStyle w:val="Compact"/>
            </w:pPr>
            <w:r>
              <w:rPr>
                <w:sz w:val="20"/>
                <w:szCs w:val="20"/>
              </w:rPr>
              <w:t xml:space="preserve">0.0001101</w:t>
            </w:r>
          </w:p>
        </w:tc>
        <w:tc>
          <w:tcPr>
            <w:tcW w:w="0" w:type="auto"/>
          </w:tcPr>
          <w:p>
            <w:pPr>
              <w:spacing w:line="240" w:lineRule="auto" w:before="0" w:after="0"/>
              <w:pStyle w:val="Compact"/>
            </w:pPr>
            <w:r>
              <w:rPr>
                <w:sz w:val="20"/>
                <w:szCs w:val="20"/>
              </w:rPr>
              <w:t xml:space="preserve">[0.9745, 2.9774]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-0.6167</w:t>
            </w:r>
          </w:p>
        </w:tc>
        <w:tc>
          <w:tcPr>
            <w:tcW w:w="0" w:type="auto"/>
          </w:tcPr>
          <w:p>
            <w:pPr>
              <w:spacing w:line="240" w:lineRule="auto" w:before="0" w:after="0"/>
              <w:pStyle w:val="Compact"/>
            </w:pPr>
            <w:r>
              <w:rPr>
                <w:sz w:val="20"/>
                <w:szCs w:val="20"/>
              </w:rPr>
              <w:t xml:space="preserve">0.2815</w:t>
            </w:r>
          </w:p>
        </w:tc>
        <w:tc>
          <w:tcPr>
            <w:tcW w:w="0" w:type="auto"/>
          </w:tcPr>
          <w:p>
            <w:pPr>
              <w:spacing w:line="240" w:lineRule="auto" w:before="0" w:after="0"/>
              <w:pStyle w:val="Compact"/>
            </w:pPr>
            <w:r>
              <w:rPr>
                <w:sz w:val="20"/>
                <w:szCs w:val="20"/>
              </w:rPr>
              <w:t xml:space="preserve">-2.1911</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[-1.1684, -0.065]</w:t>
            </w:r>
          </w:p>
        </w:tc>
      </w:tr>
    </w:tbl>
    <w:p>
      <w:pPr>
        <w:pStyle w:val="BodyText"/>
        <w:spacing w:line="480" w:lineRule="auto"/>
        <w:ind w:firstLine="720"/>
      </w:pPr>
      <w:r>
        <w:t xml:space="preserve">Fit: N = 30 R2 = 0.0723 elasticity_b = -0.6167 progress_ratio_2^b = 0.6522</w:t>
      </w:r>
    </w:p>
    <w:bookmarkEnd w:id="197"/>
    <w:bookmarkStart w:id="20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9" name="Picture"/>
            <a:graphic>
              <a:graphicData uri="http://schemas.openxmlformats.org/drawingml/2006/picture">
                <pic:pic>
                  <pic:nvPicPr>
                    <pic:cNvPr descr="D:/Claude_Code/brain/collegium/candidates/dissertations/STM_CISLUNAR_03/research_papers/p2/paper_fig1.png" id="200" name="Picture"/>
                    <pic:cNvPicPr>
                      <a:picLocks noChangeArrowheads="1" noChangeAspect="1"/>
                    </pic:cNvPicPr>
                  </pic:nvPicPr>
                  <pic:blipFill>
                    <a:blip r:embed="rId19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1"/>
    <w:bookmarkStart w:id="20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10.64861/RAAN7205</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https://amostech.space/year/2017/a-deep-machine-learning-algorithm-to-optimize-the-forecast-of-atmospherics/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https://amostech.space/year/2022/prototype-infrastructure-for-autonomous-on-board-conjunction-assessment-and-collision-avoidance/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https://amostech.space/year/2022/the-global-network-on-sustainability-in-space-gnosis-activities-initiatives-and-future-endeavours/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https://amostech.space/year/2016/kratos-kollision-risk-assessment-tool-in-orbital-element-spaces/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10.1109/TVCG.2019.2959321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https://amostech.space/year/2007/derivation-and-application-of-a-global-albedo-yielding-an-optical-brightness-to-physical-size-transformation-free-of-systematic-errors/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10.64861/PKVP5982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10.1016/j.actaastro.2023.12.016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10.1016/j.actaastro.2024.11.026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bl>
    <w:bookmarkEnd w:id="202"/>
    <w:bookmarkStart w:id="20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3"/>
    <w:bookmarkEnd w:id="204"/>
    <w:bookmarkEnd w:id="20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0" Type="http://schemas.openxmlformats.org/officeDocument/2006/relationships/image" Target="media/rId190.png"/><Relationship Id="rId198" Type="http://schemas.openxmlformats.org/officeDocument/2006/relationships/image" Target="media/rId198.png"/><Relationship Id="rId186" Type="http://schemas.openxmlformats.org/officeDocument/2006/relationships/hyperlink" Target="https://doi.org/10.1016/j.actaastro.2021.01.015" TargetMode="External"/><Relationship Id="rId178" Type="http://schemas.openxmlformats.org/officeDocument/2006/relationships/hyperlink" Target="https://doi.org/10.1016/j.actaastro.2021.03.030" TargetMode="External"/><Relationship Id="rId176" Type="http://schemas.openxmlformats.org/officeDocument/2006/relationships/hyperlink" Target="https://doi.org/10.1016/j.actaastro.2023.05.001" TargetMode="External"/><Relationship Id="rId184" Type="http://schemas.openxmlformats.org/officeDocument/2006/relationships/hyperlink" Target="https://doi.org/10.1016/j.actaastro.2023.12.016" TargetMode="External"/><Relationship Id="rId174" Type="http://schemas.openxmlformats.org/officeDocument/2006/relationships/hyperlink" Target="https://doi.org/10.1016/j.actaastro.2024.11.026" TargetMode="External"/><Relationship Id="rId180" Type="http://schemas.openxmlformats.org/officeDocument/2006/relationships/hyperlink" Target="https://doi.org/10.1016/j.actaastro.2024.12.054" TargetMode="External"/><Relationship Id="rId172" Type="http://schemas.openxmlformats.org/officeDocument/2006/relationships/hyperlink" Target="https://doi.org/10.1016/j.actaastro.2025.01.006" TargetMode="External"/><Relationship Id="rId182" Type="http://schemas.openxmlformats.org/officeDocument/2006/relationships/hyperlink" Target="https://doi.org/10.1016/j.actaastro.2025.04.039" TargetMode="External"/><Relationship Id="rId164" Type="http://schemas.openxmlformats.org/officeDocument/2006/relationships/hyperlink" Target="https://doi.org/10.1109/TVCG.2019.2959321" TargetMode="External"/><Relationship Id="rId166" Type="http://schemas.openxmlformats.org/officeDocument/2006/relationships/hyperlink" Target="https://doi.org/10.64861/AJUV7773" TargetMode="External"/><Relationship Id="rId161" Type="http://schemas.openxmlformats.org/officeDocument/2006/relationships/hyperlink" Target="https://doi.org/10.64861/RAAN7205" TargetMode="External"/></Relationships>
</file>

<file path=word/_rels/footnotes.xml.rels><?xml version='1.0' encoding='UTF-8' standalone='yes'?>
<Relationships xmlns="http://schemas.openxmlformats.org/package/2006/relationships"><Relationship Id="rId186" Type="http://schemas.openxmlformats.org/officeDocument/2006/relationships/hyperlink" Target="https://doi.org/10.1016/j.actaastro.2021.01.015" TargetMode="External"/><Relationship Id="rId178" Type="http://schemas.openxmlformats.org/officeDocument/2006/relationships/hyperlink" Target="https://doi.org/10.1016/j.actaastro.2021.03.030" TargetMode="External"/><Relationship Id="rId176" Type="http://schemas.openxmlformats.org/officeDocument/2006/relationships/hyperlink" Target="https://doi.org/10.1016/j.actaastro.2023.05.001" TargetMode="External"/><Relationship Id="rId184" Type="http://schemas.openxmlformats.org/officeDocument/2006/relationships/hyperlink" Target="https://doi.org/10.1016/j.actaastro.2023.12.016" TargetMode="External"/><Relationship Id="rId174" Type="http://schemas.openxmlformats.org/officeDocument/2006/relationships/hyperlink" Target="https://doi.org/10.1016/j.actaastro.2024.11.026" TargetMode="External"/><Relationship Id="rId180" Type="http://schemas.openxmlformats.org/officeDocument/2006/relationships/hyperlink" Target="https://doi.org/10.1016/j.actaastro.2024.12.054" TargetMode="External"/><Relationship Id="rId172" Type="http://schemas.openxmlformats.org/officeDocument/2006/relationships/hyperlink" Target="https://doi.org/10.1016/j.actaastro.2025.01.006" TargetMode="External"/><Relationship Id="rId182" Type="http://schemas.openxmlformats.org/officeDocument/2006/relationships/hyperlink" Target="https://doi.org/10.1016/j.actaastro.2025.04.039" TargetMode="External"/><Relationship Id="rId164" Type="http://schemas.openxmlformats.org/officeDocument/2006/relationships/hyperlink" Target="https://doi.org/10.1109/TVCG.2019.2959321" TargetMode="External"/><Relationship Id="rId166" Type="http://schemas.openxmlformats.org/officeDocument/2006/relationships/hyperlink" Target="https://doi.org/10.64861/AJUV7773" TargetMode="External"/><Relationship Id="rId161" Type="http://schemas.openxmlformats.org/officeDocument/2006/relationships/hyperlink" Target="https://doi.org/10.64861/RAAN72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Whose Numbers Win? Cross-Catalog Disagreement as a Predictor of STM Coordination</dc:title>
  <dc:creator>Pavel Bjornson (1B-SDA-172)</dc:creator>
  <cp:keywords/>
  <dcterms:created xsi:type="dcterms:W3CDTF">2026-07-03T00:02:50Z</dcterms:created>
  <dcterms:modified xsi:type="dcterms:W3CDTF">2026-07-03T00:02:50Z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