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77.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5" w:name="X721cb6f9d42d06cdbf9f0ec1e3d2b482e066a8d"/>
    <w:p>
      <w:pPr>
        <w:pStyle w:val="Heading1"/>
      </w:pPr>
      <w:r>
        <w:t xml:space="preserve">Catalog Custody Gaps: A Cox Proportional-Hazards Model of the Observability Half-Life of Cislunar Objects</w:t>
      </w:r>
    </w:p>
    <w:bookmarkStart w:id="61" w:name="introduction"/>
    <w:p>
      <w:pPr>
        <w:pStyle w:val="Heading2"/>
      </w:pPr>
      <w:r>
        <w:t xml:space="preserve">1. Introduction</w:t>
      </w:r>
    </w:p>
    <w:p>
      <w:pPr>
        <w:pStyle w:val="FirstParagraph"/>
      </w:pPr>
      <w:r>
        <w:t xml:space="preserve">Custody of resident space objects beyond geosynchronous orbit decays at rates the open literature does not yet quantify. Operational catalogs report custody as a binary state, maintained or lost, and architecture studies size sensor networks against assumed observability rather than measured custody decay. A Lagrange halo target with a known last observation looks, in a catalog, identical to a recently observed lunar transfer object until the moment one is declared lost. This paper estimates the hazard of custody loss as a continuous function of the time elapsed since the initial catalog tag, conditional on orbit family, sensor count, target brightness, and observation density. The estimand is the survival function of custody, and the operational quantity of interest, the observability half-life, is the duration at which the model implies a fifty percent custody-loss probability.</w:t>
      </w:r>
    </w:p>
    <w:p>
      <w:pPr>
        <w:pStyle w:val="BodyText"/>
      </w:pPr>
      <w:r>
        <w:t xml:space="preserve">The motivating gap is both empirical and policy adjacent. Cislunar traffic projections from NASA, JAXA, ISRO, KARI, and CNSA point to an arc of growth that will outpace ground sensor allocation under current postures [1, 2]. The Advanced Maui Optical and Space Surveillance technical proceedings have for several years carried papers framing cislunar custody as the binding constraint on space domain awareness in this regime [3, 4, 5]. Yet the quantitative shape of that constraint, expressed as a hazard rate that an analyst can plug into network sizing or revisit cadence design, remains scattered across mission status reports and closed simulation studies. This paper is a first attempt to bring the question into a single survival framework.</w:t>
      </w:r>
    </w:p>
    <w:bookmarkEnd w:id="61"/>
    <w:bookmarkStart w:id="62" w:name="theory-and-hypotheses"/>
    <w:p>
      <w:pPr>
        <w:pStyle w:val="Heading2"/>
      </w:pPr>
      <w:r>
        <w:t xml:space="preserve">2. Theory and Hypotheses</w:t>
      </w:r>
    </w:p>
    <w:p>
      <w:pPr>
        <w:pStyle w:val="FirstParagraph"/>
      </w:pPr>
      <w:r>
        <w:t xml:space="preserve">The proportional-hazards approach treats each tracked object as an independent unit at risk of an event (custody loss) over the duration its arc is observed. Cislunar literature converges on four covariate families that should shape that hazard. First, orbit family matters because the dynamical environment determines how rapidly uncertainty grows between observations; near-rectilinear halo orbits, distant retrograde orbits, and libration-point families admit favorable geometry that low lunar and lunar-transfer regimes do not [3, 4]. Second, sensor count matters because diversified observation geometry reduces the too-short-arc and weak-observability pathologies that drive filter divergence in cislunar regimes [5, 6]. Third, target brightness matters because dim returns push photon-limited sensors into regimes where false associations and missed detections both rise [4, 5]. Fourth, observation density matters because dense arcs anchor the filter and tighten covariance growth between updates [3, 6].</w:t>
      </w:r>
    </w:p>
    <w:p>
      <w:pPr>
        <w:pStyle w:val="BodyText"/>
      </w:pPr>
      <w:r>
        <w:t xml:space="preserve">H1. The instantaneous hazard of custody loss falls as orbit class shifts from low lunar and lunar-transfer to halo, near-rectilinear, and libration-point families, holding sensor count, brightness, and arc density constant.</w:t>
      </w:r>
    </w:p>
    <w:p>
      <w:pPr>
        <w:pStyle w:val="BodyText"/>
      </w:pPr>
      <w:r>
        <w:t xml:space="preserve">H2. The hazard falls as the number of independent contributing sensor systems rises.</w:t>
      </w:r>
    </w:p>
    <w:p>
      <w:pPr>
        <w:pStyle w:val="BodyText"/>
      </w:pPr>
      <w:r>
        <w:t xml:space="preserve">H3. The hazard rises as target apparent magnitude rises (objects grow dimmer).</w:t>
      </w:r>
    </w:p>
    <w:p>
      <w:pPr>
        <w:pStyle w:val="BodyText"/>
      </w:pPr>
      <w:r>
        <w:t xml:space="preserve">H4. The hazard falls as observation density rises, with arc density expected to be the dominant covariate because it directly determines filter update frequency.</w:t>
      </w:r>
    </w:p>
    <w:bookmarkEnd w:id="62"/>
    <w:bookmarkStart w:id="63" w:name="data"/>
    <w:p>
      <w:pPr>
        <w:pStyle w:val="Heading2"/>
      </w:pPr>
      <w:r>
        <w:t xml:space="preserve">3. Data</w:t>
      </w:r>
    </w:p>
    <w:p>
      <w:pPr>
        <w:pStyle w:val="FirstParagraph"/>
      </w:pPr>
      <w:r>
        <w:t xml:space="preserve">The dataset comprises thirty-five cislunar tracked arcs drawn from operator status reports, NASA NTRS releases, AMOS conference papers, and partner space agency mission summaries published between 2019 and 2024. Each row is one object during one observation window. Sources include CAPSTONE mission updates, the Artemis I CubeSat post-flight assessment, JAXA EQUULEUS and OMOTENASHI reports, KARI Danuri reporting, CNSA Chang’e relays, the DSLWP custody loss case studies, NASA LRO and Gateway status reports, the Hakuto-R Mission 1 anomaly report, the SLIM, Peregrine, IM-1, and LICIACube mission reports, the Embry-Riddle EagleCam release notes, JPL Lunar Flashlight closeout, Goddard’s THEMIS-ARTEMIS status, Astrobotic and Intuitive Machines anomaly statements, and ISRO Chandrayaan-3 propulsion-module reporting. Each row carries the bibliographic source in its final column. Four observations carry an illustrative marker where the published documentation reported the qualitative outcome but not the numerical arc density or magnitude; these account for under fifteen percent of the sample and are not used to anchor the headline finding.</w:t>
      </w:r>
    </w:p>
    <w:p>
      <w:pPr>
        <w:pStyle w:val="BodyText"/>
      </w:pPr>
      <w:r>
        <w:t xml:space="preserve">Duration is recorded in days from the first catalog tag in the arc to either confirmed custody-loss or right-censoring at the close of the reporting window. Twenty of the thirty-five rows record a custody-loss event; fifteen are censored. Orbit class is coded ordinally, sensor count and arc density are continuous, and apparent magnitude is recorded as reported.</w:t>
      </w:r>
    </w:p>
    <w:bookmarkEnd w:id="63"/>
    <w:bookmarkStart w:id="64" w:name="method"/>
    <w:p>
      <w:pPr>
        <w:pStyle w:val="Heading2"/>
      </w:pPr>
      <w:r>
        <w:t xml:space="preserve">4. Method</w:t>
      </w:r>
    </w:p>
    <w:p>
      <w:pPr>
        <w:pStyle w:val="FirstParagraph"/>
      </w:pPr>
      <w:r>
        <w:t xml:space="preserve">Estimation uses the Cox proportional-hazards model. The hazard for object i at duration t is</w:t>
      </w:r>
    </w:p>
    <w:p>
      <w:pPr>
        <w:pStyle w:val="BodyText"/>
      </w:pPr>
      <w:r>
        <w:t xml:space="preserve">h_i(t) = h_0(t) exp(beta_1 orbit_class_i + beta_2 sensor_count_i + beta_3 abs_mag_i + beta_4 arc_density_i)</w:t>
      </w:r>
    </w:p>
    <w:p>
      <w:pPr>
        <w:pStyle w:val="BodyText"/>
      </w:pPr>
      <w:r>
        <w:t xml:space="preserve">where h_0(t) is the unspecified baseline hazard and the betas are the log-hazard coefficients estimated by partial likelihood. The proportional-hazards assumption is plausible across this short observation horizon because none of the included missions changed sensor posture mid-arc. Reported coefficients carry asymptotic standard errors, and tests use the Wald z statistic.</w:t>
      </w:r>
    </w:p>
    <w:bookmarkEnd w:id="64"/>
    <w:bookmarkStart w:id="65" w:name="findings"/>
    <w:p>
      <w:pPr>
        <w:pStyle w:val="Heading2"/>
      </w:pPr>
      <w:r>
        <w:t xml:space="preserve">5. Findings</w:t>
      </w:r>
    </w:p>
    <w:p>
      <w:pPr>
        <w:pStyle w:val="FirstParagraph"/>
      </w:pPr>
      <w:r>
        <w:t xml:space="preserve">The model estimates on thirty-five observations with twenty custody-loss events. Three of the four covariates produce coefficients indistinguishable from zero at conventional thresholds. Orbit class returns a coefficient of approximately negative point zero nine with a p value above point eight, sensor count returns a coefficient of approximately negative point four six with a p value above point seven, and apparent magnitude returns a coefficient of approximately negative point zero five with a p value above point six. The hypothesized direction is consistent with the orbit class and sensor count signs but the data do not isolate those channels in this sample.</w:t>
      </w:r>
    </w:p>
    <w:p>
      <w:pPr>
        <w:pStyle w:val="BodyText"/>
      </w:pPr>
      <w:r>
        <w:t xml:space="preserve">Arc density is the dominant covariate. Its estimated coefficient is approximately negative thirty, with a p value of point zero zero two on the Wald test. Translating to a hazard ratio, each one observation per day increase in arc density is associated with a sharply lower instantaneous hazard of custody loss over the observed range. The signal is strong enough to read past the noise that the other three covariates carry in a sample of this size. Substantively, the result lines up with the long-standing AMOS finding that the binding constraint on cislunar catalog maintenance is the cadence at which a filter receives new information rather than the headline aperture or magnitude budget [3, 4, 5, 6]. A dense arc anchors the filter; a sparse one allows covariance to grow until reassociation becomes ambiguous, at which point the object is dropped.</w:t>
      </w:r>
    </w:p>
    <w:bookmarkEnd w:id="65"/>
    <w:bookmarkStart w:id="66" w:name="discussion"/>
    <w:p>
      <w:pPr>
        <w:pStyle w:val="Heading2"/>
      </w:pPr>
      <w:r>
        <w:t xml:space="preserve">6. Discussion</w:t>
      </w:r>
    </w:p>
    <w:p>
      <w:pPr>
        <w:pStyle w:val="FirstParagraph"/>
      </w:pPr>
      <w:r>
        <w:t xml:space="preserve">The headline finding is that, within this sample, the observability half-life of a cislunar object is governed primarily by how often it is looked at, not by the kind of orbit it occupies or the apparent magnitude it presents. That conclusion would have to survive a larger sample and a more demanding sensitivity analysis before it could anchor architecture sizing. With that caveat in place, it does point at a tractable design lever: revisit cadence is the variable the architect actually controls in network sizing, while orbit family and target brightness are bound by the mission. The model implies that, holding orbit family and brightness fixed, every increment to arc density buys hazard reduction that can be priced against sensor cost.</w:t>
      </w:r>
    </w:p>
    <w:p>
      <w:pPr>
        <w:pStyle w:val="BodyText"/>
      </w:pPr>
      <w:r>
        <w:t xml:space="preserve">Three limitations deserve emphasis. First, the sample is small and skewed toward demonstration-class missions; production catalogs of operational lunar-relay and station-keeping objects are not in the public record at the granularity required. Second, the proportional-hazards assumption was not formally tested with a Schoenfeld residual procedure; that test belongs to a follow-on paper as the sample grows. Third, the four illustrative rows are weak ground truth, and their removal changes the magnitude of the arc-density coefficient without changing its sign or significance.</w:t>
      </w:r>
    </w:p>
    <w:p>
      <w:pPr>
        <w:pStyle w:val="BodyText"/>
      </w:pPr>
      <w:r>
        <w:t xml:space="preserve">The paper’s positive contribution is to put a quantitative shape on a hazard that the operational community has so far described qualitatively, and to specify the architecture lever (arc density) that the empirical record can presently identify with confidence.</w:t>
      </w:r>
    </w:p>
    <w:bookmarkEnd w:id="66"/>
    <w:bookmarkStart w:id="75" w:name="references"/>
    <w:p>
      <w:pPr>
        <w:pStyle w:val="Heading2"/>
      </w:pPr>
      <w:r>
        <w:t xml:space="preserve">References</w:t>
      </w:r>
    </w:p>
    <w:p>
      <w:pPr>
        <w:pStyle w:val="FirstParagraph"/>
      </w:pPr>
      <w:bookmarkStart w:id="67" w:name="ref-1"/>
      <w:bookmarkEnd w:id="67"/>
      <w:r>
        <w:t xml:space="preserve">1. NASA, Artemis I post-flight assessment, NASA-TM-20230002176, 2023.</w:t>
      </w:r>
    </w:p>
    <w:p>
      <w:pPr>
        <w:pStyle w:val="BodyText"/>
      </w:pPr>
      <w:bookmarkStart w:id="68" w:name="ref-2"/>
      <w:bookmarkEnd w:id="68"/>
      <w:r>
        <w:t xml:space="preserve">2. NASA, BioSentinel mission update, Ames Research Center, 2024.</w:t>
      </w:r>
    </w:p>
    <w:p>
      <w:pPr>
        <w:pStyle w:val="BodyText"/>
      </w:pPr>
      <w:bookmarkStart w:id="69" w:name="ref-3"/>
      <w:bookmarkEnd w:id="69"/>
      <w:r>
        <w:t xml:space="preserve">3. Givens, M., Cortiella, A., Marlow, A., et al., Novel Algorithms for Custody Maintenance and Tracking in the Cislunar Environment, Proc. AMOS, 2025, https://amostech.com/TechnicalPapers/2025/Poster/Givens.pdf.</w:t>
      </w:r>
    </w:p>
    <w:p>
      <w:pPr>
        <w:pStyle w:val="BodyText"/>
      </w:pPr>
      <w:bookmarkStart w:id="70" w:name="ref-4"/>
      <w:bookmarkEnd w:id="70"/>
      <w:r>
        <w:t xml:space="preserve">4. Chow, C. C. II, Wetterer, C. J., Baldwin, J., et al., Cislunar Orbit Determination Behavior: Processing Observations of Periodic Orbits with Gaussian Mixture Model Estimation Filters, Proc. AMOS, 2021, https://amostech.com/TechnicalPapers/2021/Poster/Chow.pdf.</w:t>
      </w:r>
    </w:p>
    <w:p>
      <w:pPr>
        <w:pStyle w:val="BodyText"/>
      </w:pPr>
      <w:bookmarkStart w:id="71" w:name="ref-5"/>
      <w:bookmarkEnd w:id="71"/>
      <w:r>
        <w:t xml:space="preserve">5. Bolden, M., Craychee, T., Griggs, E., An Evaluation of Observing Constellation Orbit Stability, Low Signal-to-Noise, and the Too-Short-Arc Challenges in the Cislunar Domain, Proc. AMOS, 2020, https://amostech.com/TechnicalPapers/2020/Cislunar-SSA/Bolden.pdf.</w:t>
      </w:r>
    </w:p>
    <w:p>
      <w:pPr>
        <w:pStyle w:val="BodyText"/>
      </w:pPr>
      <w:bookmarkStart w:id="72" w:name="ref-6"/>
      <w:bookmarkEnd w:id="72"/>
      <w:r>
        <w:t xml:space="preserve">6. Iannamorelli, J., LeGrand, K., Adaptive Filtering for Multi-Sensor Maneuvering Cislunar Space Object Tracking, Proc. AMOS, 2023, https://amostech.com/TechnicalPapers/2023/Cislunar-SSA/Iannamorelli.pdf.</w:t>
      </w:r>
    </w:p>
    <w:p>
      <w:pPr>
        <w:pStyle w:val="BodyText"/>
      </w:pPr>
      <w:bookmarkStart w:id="73" w:name="ref-7"/>
      <w:bookmarkEnd w:id="73"/>
      <w:r>
        <w:t xml:space="preserve">7. Tucker, J., Aguilar Marsillach, D., Montgomery, A., Holzinger, M., Agile Space Object Custody for Electro-Optical Sensors, Proc. AMOS, 2021, https://amostech.com/TechnicalPapers/2021/Poster/Tucker.pdf.</w:t>
      </w:r>
    </w:p>
    <w:p>
      <w:pPr>
        <w:pStyle w:val="BodyText"/>
      </w:pPr>
      <w:bookmarkStart w:id="74" w:name="ref-8"/>
      <w:bookmarkEnd w:id="74"/>
      <w:r>
        <w:t xml:space="preserve">8. Chow, C. C. II, Baldwin, J., Wetterer, C. J., et al., Cislunar Orbit Determination: Improvements in Uncertainty Realism and Data Fusion, Proc. AMOS, 2022, https://amostech.com/TechnicalPapers/2022/Poster/Chow.pdf.</w:t>
      </w:r>
    </w:p>
    <w:bookmarkEnd w:id="75"/>
    <w:bookmarkStart w:id="76" w:name="specification"/>
    <w:p>
      <w:pPr>
        <w:pStyle w:val="Heading2"/>
      </w:pPr>
      <w:r>
        <w:t xml:space="preserve">Specification</w:t>
      </w:r>
    </w:p>
    <w:p>
      <w:pPr>
        <w:pStyle w:val="FirstParagraph"/>
      </w:pPr>
      <m:oMathPara>
        <m:oMathParaPr>
          <m:jc m:val="center"/>
        </m:oMathParaPr>
        <m:oMath>
          <m:r>
            <m:t>h</m:t>
          </m:r>
          <m:r>
            <m:rPr>
              <m:sty m:val="p"/>
            </m:rPr>
            <m:t>(</m:t>
          </m:r>
          <m:r>
            <m:t>t</m:t>
          </m:r>
          <m:r>
            <m:rPr>
              <m:sty m:val="p"/>
            </m:rPr>
            <m:t>∣</m:t>
          </m:r>
          <m:r>
            <m:t>x</m:t>
          </m:r>
          <m:r>
            <m:rPr>
              <m:sty m:val="p"/>
            </m:rPr>
            <m:t>)</m:t>
          </m:r>
          <m:r>
            <m:rPr>
              <m:sty m:val="p"/>
            </m:rPr>
            <m:t>=</m:t>
          </m:r>
          <m:sSub>
            <m:e>
              <m:r>
                <m:t>h</m:t>
              </m:r>
            </m:e>
            <m:sub>
              <m:r>
                <m:t>0</m:t>
              </m:r>
            </m:sub>
          </m:sSub>
          <m:r>
            <m:rPr>
              <m:sty m:val="p"/>
            </m:rPr>
            <m:t>(</m:t>
          </m:r>
          <m:r>
            <m:t>t</m:t>
          </m:r>
          <m:r>
            <m:rPr>
              <m:sty m:val="p"/>
            </m:rPr>
            <m:t>)</m:t>
          </m:r>
          <m:r>
            <m:rPr>
              <m:sty m:val="p"/>
            </m:rPr>
            <m:t>exp</m:t>
          </m:r>
          <m:r>
            <m:rPr>
              <m:sty m:val="p"/>
            </m:rPr>
            <m:t>(</m:t>
          </m:r>
          <m:sSub>
            <m:e>
              <m:r>
                <m:t>β</m:t>
              </m:r>
            </m:e>
            <m:sub>
              <m:r>
                <m:t>1</m:t>
              </m:r>
            </m:sub>
          </m:sSub>
          <m:r>
            <m:t> </m:t>
          </m:r>
          <m:r>
            <m:rPr>
              <m:nor/>
              <m:sty m:val="p"/>
            </m:rPr>
            <m:t>orbit_class</m:t>
          </m:r>
          <m:r>
            <m:rPr>
              <m:sty m:val="p"/>
            </m:rPr>
            <m:t>+</m:t>
          </m:r>
          <m:sSub>
            <m:e>
              <m:r>
                <m:t>β</m:t>
              </m:r>
            </m:e>
            <m:sub>
              <m:r>
                <m:t>2</m:t>
              </m:r>
            </m:sub>
          </m:sSub>
          <m:r>
            <m:t> </m:t>
          </m:r>
          <m:r>
            <m:rPr>
              <m:nor/>
              <m:sty m:val="p"/>
            </m:rPr>
            <m:t>sensor_count</m:t>
          </m:r>
          <m:r>
            <m:rPr>
              <m:sty m:val="p"/>
            </m:rPr>
            <m:t>+</m:t>
          </m:r>
          <m:sSub>
            <m:e>
              <m:r>
                <m:t>β</m:t>
              </m:r>
            </m:e>
            <m:sub>
              <m:r>
                <m:t>3</m:t>
              </m:r>
            </m:sub>
          </m:sSub>
          <m:r>
            <m:t> </m:t>
          </m:r>
          <m:r>
            <m:rPr>
              <m:nor/>
              <m:sty m:val="p"/>
            </m:rPr>
            <m:t>abs_mag</m:t>
          </m:r>
          <m:r>
            <m:rPr>
              <m:sty m:val="p"/>
            </m:rPr>
            <m:t>+</m:t>
          </m:r>
          <m:sSub>
            <m:e>
              <m:r>
                <m:t>β</m:t>
              </m:r>
            </m:e>
            <m:sub>
              <m:r>
                <m:t>4</m:t>
              </m:r>
            </m:sub>
          </m:sSub>
          <m:r>
            <m:t> </m:t>
          </m:r>
          <m:r>
            <m:rPr>
              <m:nor/>
              <m:sty m:val="p"/>
            </m:rPr>
            <m:t>arc_density</m:t>
          </m:r>
          <m:r>
            <m:rPr>
              <m:sty m:val="p"/>
            </m:rPr>
            <m:t>)</m:t>
          </m:r>
        </m:oMath>
      </m:oMathPara>
    </w:p>
    <w:bookmarkEnd w:id="76"/>
    <w:bookmarkStart w:id="80" w:name="results"/>
    <w:p>
      <w:pPr>
        <w:pStyle w:val="Heading2"/>
      </w:pPr>
      <w:r>
        <w:t xml:space="preserve">Results</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c>
          <w:tcPr>
            <w:tcW w:w="0" w:type="auto"/>
          </w:tcPr>
          <w:p>
            <w:pPr>
              <w:spacing w:line="240" w:lineRule="auto" w:before="0" w:after="0"/>
              <w:pStyle w:val="Compact"/>
            </w:pPr>
            <w:r>
              <w:rPr>
                <w:sz w:val="20"/>
                <w:szCs w:val="20"/>
              </w:rPr>
              <w:t xml:space="preserve">Hazard ratio</w:t>
            </w:r>
          </w:p>
        </w:tc>
      </w:tr>
      <w:tr>
        <w:tc>
          <w:tcPr>
            <w:tcW w:w="0" w:type="auto"/>
          </w:tcPr>
          <w:p>
            <w:pPr>
              <w:spacing w:line="240" w:lineRule="auto" w:before="0" w:after="0"/>
              <w:pStyle w:val="Compact"/>
            </w:pPr>
            <w:r>
              <w:rPr>
                <w:sz w:val="20"/>
                <w:szCs w:val="20"/>
              </w:rPr>
              <w:t xml:space="preserve">orbit_class</w:t>
            </w:r>
          </w:p>
        </w:tc>
        <w:tc>
          <w:tcPr>
            <w:tcW w:w="0" w:type="auto"/>
          </w:tcPr>
          <w:p>
            <w:pPr>
              <w:spacing w:line="240" w:lineRule="auto" w:before="0" w:after="0"/>
              <w:pStyle w:val="Compact"/>
            </w:pPr>
            <w:r>
              <w:rPr>
                <w:sz w:val="20"/>
                <w:szCs w:val="20"/>
              </w:rPr>
              <w:t xml:space="preserve">-0.094</w:t>
            </w:r>
          </w:p>
        </w:tc>
        <w:tc>
          <w:tcPr>
            <w:tcW w:w="0" w:type="auto"/>
          </w:tcPr>
          <w:p>
            <w:pPr>
              <w:spacing w:line="240" w:lineRule="auto" w:before="0" w:after="0"/>
              <w:pStyle w:val="Compact"/>
            </w:pPr>
            <w:r>
              <w:rPr>
                <w:sz w:val="20"/>
                <w:szCs w:val="20"/>
              </w:rPr>
              <w:t xml:space="preserve">0.5143</w:t>
            </w:r>
          </w:p>
        </w:tc>
        <w:tc>
          <w:tcPr>
            <w:tcW w:w="0" w:type="auto"/>
          </w:tcPr>
          <w:p>
            <w:pPr>
              <w:spacing w:line="240" w:lineRule="auto" w:before="0" w:after="0"/>
              <w:pStyle w:val="Compact"/>
            </w:pPr>
            <w:r>
              <w:rPr>
                <w:sz w:val="20"/>
                <w:szCs w:val="20"/>
              </w:rPr>
              <w:t xml:space="preserve">-0.1827</w:t>
            </w:r>
          </w:p>
        </w:tc>
        <w:tc>
          <w:tcPr>
            <w:tcW w:w="0" w:type="auto"/>
          </w:tcPr>
          <w:p>
            <w:pPr>
              <w:spacing w:line="240" w:lineRule="auto" w:before="0" w:after="0"/>
              <w:pStyle w:val="Compact"/>
            </w:pPr>
            <w:r>
              <w:rPr>
                <w:sz w:val="20"/>
                <w:szCs w:val="20"/>
              </w:rPr>
              <w:t xml:space="preserve">0.855</w:t>
            </w:r>
          </w:p>
        </w:tc>
        <w:tc>
          <w:tcPr>
            <w:tcW w:w="0" w:type="auto"/>
          </w:tcPr>
          <w:p>
            <w:pPr>
              <w:spacing w:line="240" w:lineRule="auto" w:before="0" w:after="0"/>
              <w:pStyle w:val="Compact"/>
            </w:pPr>
            <w:r>
              <w:rPr>
                <w:sz w:val="20"/>
                <w:szCs w:val="20"/>
              </w:rPr>
              <w:t xml:space="preserve">[-1.102, 0.914]</w:t>
            </w:r>
          </w:p>
        </w:tc>
        <w:tc>
          <w:tcPr>
            <w:tcW w:w="0" w:type="auto"/>
          </w:tcPr>
          <w:p>
            <w:pPr>
              <w:spacing w:line="240" w:lineRule="auto" w:before="0" w:after="0"/>
              <w:pStyle w:val="Compact"/>
            </w:pPr>
            <w:r>
              <w:rPr>
                <w:sz w:val="20"/>
                <w:szCs w:val="20"/>
              </w:rPr>
              <w:t xml:space="preserve">0.9103</w:t>
            </w:r>
          </w:p>
        </w:tc>
      </w:tr>
      <w:tr>
        <w:tc>
          <w:tcPr>
            <w:tcW w:w="0" w:type="auto"/>
          </w:tcPr>
          <w:p>
            <w:pPr>
              <w:spacing w:line="240" w:lineRule="auto" w:before="0" w:after="0"/>
              <w:pStyle w:val="Compact"/>
            </w:pPr>
            <w:r>
              <w:rPr>
                <w:sz w:val="20"/>
                <w:szCs w:val="20"/>
              </w:rPr>
              <w:t xml:space="preserve">sensor_count</w:t>
            </w:r>
          </w:p>
        </w:tc>
        <w:tc>
          <w:tcPr>
            <w:tcW w:w="0" w:type="auto"/>
          </w:tcPr>
          <w:p>
            <w:pPr>
              <w:spacing w:line="240" w:lineRule="auto" w:before="0" w:after="0"/>
              <w:pStyle w:val="Compact"/>
            </w:pPr>
            <w:r>
              <w:rPr>
                <w:sz w:val="20"/>
                <w:szCs w:val="20"/>
              </w:rPr>
              <w:t xml:space="preserve">-0.455</w:t>
            </w:r>
          </w:p>
        </w:tc>
        <w:tc>
          <w:tcPr>
            <w:tcW w:w="0" w:type="auto"/>
          </w:tcPr>
          <w:p>
            <w:pPr>
              <w:spacing w:line="240" w:lineRule="auto" w:before="0" w:after="0"/>
              <w:pStyle w:val="Compact"/>
            </w:pPr>
            <w:r>
              <w:rPr>
                <w:sz w:val="20"/>
                <w:szCs w:val="20"/>
              </w:rPr>
              <w:t xml:space="preserve">1.4345</w:t>
            </w:r>
          </w:p>
        </w:tc>
        <w:tc>
          <w:tcPr>
            <w:tcW w:w="0" w:type="auto"/>
          </w:tcPr>
          <w:p>
            <w:pPr>
              <w:spacing w:line="240" w:lineRule="auto" w:before="0" w:after="0"/>
              <w:pStyle w:val="Compact"/>
            </w:pPr>
            <w:r>
              <w:rPr>
                <w:sz w:val="20"/>
                <w:szCs w:val="20"/>
              </w:rPr>
              <w:t xml:space="preserve">-0.3172</w:t>
            </w:r>
          </w:p>
        </w:tc>
        <w:tc>
          <w:tcPr>
            <w:tcW w:w="0" w:type="auto"/>
          </w:tcPr>
          <w:p>
            <w:pPr>
              <w:spacing w:line="240" w:lineRule="auto" w:before="0" w:after="0"/>
              <w:pStyle w:val="Compact"/>
            </w:pPr>
            <w:r>
              <w:rPr>
                <w:sz w:val="20"/>
                <w:szCs w:val="20"/>
              </w:rPr>
              <w:t xml:space="preserve">0.7511</w:t>
            </w:r>
          </w:p>
        </w:tc>
        <w:tc>
          <w:tcPr>
            <w:tcW w:w="0" w:type="auto"/>
          </w:tcPr>
          <w:p>
            <w:pPr>
              <w:spacing w:line="240" w:lineRule="auto" w:before="0" w:after="0"/>
              <w:pStyle w:val="Compact"/>
            </w:pPr>
            <w:r>
              <w:rPr>
                <w:sz w:val="20"/>
                <w:szCs w:val="20"/>
              </w:rPr>
              <w:t xml:space="preserve">[-3.2667, 2.3566]</w:t>
            </w:r>
          </w:p>
        </w:tc>
        <w:tc>
          <w:tcPr>
            <w:tcW w:w="0" w:type="auto"/>
          </w:tcPr>
          <w:p>
            <w:pPr>
              <w:spacing w:line="240" w:lineRule="auto" w:before="0" w:after="0"/>
              <w:pStyle w:val="Compact"/>
            </w:pPr>
            <w:r>
              <w:rPr>
                <w:sz w:val="20"/>
                <w:szCs w:val="20"/>
              </w:rPr>
              <w:t xml:space="preserve">0.6344</w:t>
            </w:r>
          </w:p>
        </w:tc>
      </w:tr>
      <w:tr>
        <w:tc>
          <w:tcPr>
            <w:tcW w:w="0" w:type="auto"/>
          </w:tcPr>
          <w:p>
            <w:pPr>
              <w:spacing w:line="240" w:lineRule="auto" w:before="0" w:after="0"/>
              <w:pStyle w:val="Compact"/>
            </w:pPr>
            <w:r>
              <w:rPr>
                <w:sz w:val="20"/>
                <w:szCs w:val="20"/>
              </w:rPr>
              <w:t xml:space="preserve">abs_mag</w:t>
            </w:r>
          </w:p>
        </w:tc>
        <w:tc>
          <w:tcPr>
            <w:tcW w:w="0" w:type="auto"/>
          </w:tcPr>
          <w:p>
            <w:pPr>
              <w:spacing w:line="240" w:lineRule="auto" w:before="0" w:after="0"/>
              <w:pStyle w:val="Compact"/>
            </w:pPr>
            <w:r>
              <w:rPr>
                <w:sz w:val="20"/>
                <w:szCs w:val="20"/>
              </w:rPr>
              <w:t xml:space="preserve">-0.0512</w:t>
            </w:r>
          </w:p>
        </w:tc>
        <w:tc>
          <w:tcPr>
            <w:tcW w:w="0" w:type="auto"/>
          </w:tcPr>
          <w:p>
            <w:pPr>
              <w:spacing w:line="240" w:lineRule="auto" w:before="0" w:after="0"/>
              <w:pStyle w:val="Compact"/>
            </w:pPr>
            <w:r>
              <w:rPr>
                <w:sz w:val="20"/>
                <w:szCs w:val="20"/>
              </w:rPr>
              <w:t xml:space="preserve">0.1171</w:t>
            </w:r>
          </w:p>
        </w:tc>
        <w:tc>
          <w:tcPr>
            <w:tcW w:w="0" w:type="auto"/>
          </w:tcPr>
          <w:p>
            <w:pPr>
              <w:spacing w:line="240" w:lineRule="auto" w:before="0" w:after="0"/>
              <w:pStyle w:val="Compact"/>
            </w:pPr>
            <w:r>
              <w:rPr>
                <w:sz w:val="20"/>
                <w:szCs w:val="20"/>
              </w:rPr>
              <w:t xml:space="preserve">-0.4372</w:t>
            </w:r>
          </w:p>
        </w:tc>
        <w:tc>
          <w:tcPr>
            <w:tcW w:w="0" w:type="auto"/>
          </w:tcPr>
          <w:p>
            <w:pPr>
              <w:spacing w:line="240" w:lineRule="auto" w:before="0" w:after="0"/>
              <w:pStyle w:val="Compact"/>
            </w:pPr>
            <w:r>
              <w:rPr>
                <w:sz w:val="20"/>
                <w:szCs w:val="20"/>
              </w:rPr>
              <w:t xml:space="preserve">0.6619</w:t>
            </w:r>
          </w:p>
        </w:tc>
        <w:tc>
          <w:tcPr>
            <w:tcW w:w="0" w:type="auto"/>
          </w:tcPr>
          <w:p>
            <w:pPr>
              <w:spacing w:line="240" w:lineRule="auto" w:before="0" w:after="0"/>
              <w:pStyle w:val="Compact"/>
            </w:pPr>
            <w:r>
              <w:rPr>
                <w:sz w:val="20"/>
                <w:szCs w:val="20"/>
              </w:rPr>
              <w:t xml:space="preserve">[-0.2806, 0.1783]</w:t>
            </w:r>
          </w:p>
        </w:tc>
        <w:tc>
          <w:tcPr>
            <w:tcW w:w="0" w:type="auto"/>
          </w:tcPr>
          <w:p>
            <w:pPr>
              <w:spacing w:line="240" w:lineRule="auto" w:before="0" w:after="0"/>
              <w:pStyle w:val="Compact"/>
            </w:pPr>
            <w:r>
              <w:rPr>
                <w:sz w:val="20"/>
                <w:szCs w:val="20"/>
              </w:rPr>
              <w:t xml:space="preserve">0.9501</w:t>
            </w:r>
          </w:p>
        </w:tc>
      </w:tr>
      <w:tr>
        <w:tc>
          <w:tcPr>
            <w:tcW w:w="0" w:type="auto"/>
          </w:tcPr>
          <w:p>
            <w:pPr>
              <w:spacing w:line="240" w:lineRule="auto" w:before="0" w:after="0"/>
              <w:pStyle w:val="Compact"/>
            </w:pPr>
            <w:r>
              <w:rPr>
                <w:sz w:val="20"/>
                <w:szCs w:val="20"/>
              </w:rPr>
              <w:t xml:space="preserve">arc_density</w:t>
            </w:r>
          </w:p>
        </w:tc>
        <w:tc>
          <w:tcPr>
            <w:tcW w:w="0" w:type="auto"/>
          </w:tcPr>
          <w:p>
            <w:pPr>
              <w:spacing w:line="240" w:lineRule="auto" w:before="0" w:after="0"/>
              <w:pStyle w:val="Compact"/>
            </w:pPr>
            <w:r>
              <w:rPr>
                <w:sz w:val="20"/>
                <w:szCs w:val="20"/>
              </w:rPr>
              <w:t xml:space="preserve">-30.0136</w:t>
            </w:r>
          </w:p>
        </w:tc>
        <w:tc>
          <w:tcPr>
            <w:tcW w:w="0" w:type="auto"/>
          </w:tcPr>
          <w:p>
            <w:pPr>
              <w:spacing w:line="240" w:lineRule="auto" w:before="0" w:after="0"/>
              <w:pStyle w:val="Compact"/>
            </w:pPr>
            <w:r>
              <w:rPr>
                <w:sz w:val="20"/>
                <w:szCs w:val="20"/>
              </w:rPr>
              <w:t xml:space="preserve">9.7233</w:t>
            </w:r>
          </w:p>
        </w:tc>
        <w:tc>
          <w:tcPr>
            <w:tcW w:w="0" w:type="auto"/>
          </w:tcPr>
          <w:p>
            <w:pPr>
              <w:spacing w:line="240" w:lineRule="auto" w:before="0" w:after="0"/>
              <w:pStyle w:val="Compact"/>
            </w:pPr>
            <w:r>
              <w:rPr>
                <w:sz w:val="20"/>
                <w:szCs w:val="20"/>
              </w:rPr>
              <w:t xml:space="preserve">-3.0868</w:t>
            </w:r>
          </w:p>
        </w:tc>
        <w:tc>
          <w:tcPr>
            <w:tcW w:w="0" w:type="auto"/>
          </w:tcPr>
          <w:p>
            <w:pPr>
              <w:spacing w:line="240" w:lineRule="auto" w:before="0" w:after="0"/>
              <w:pStyle w:val="Compact"/>
            </w:pPr>
            <w:r>
              <w:rPr>
                <w:sz w:val="20"/>
                <w:szCs w:val="20"/>
              </w:rPr>
              <w:t xml:space="preserve">0.002</w:t>
            </w:r>
          </w:p>
        </w:tc>
        <w:tc>
          <w:tcPr>
            <w:tcW w:w="0" w:type="auto"/>
          </w:tcPr>
          <w:p>
            <w:pPr>
              <w:spacing w:line="240" w:lineRule="auto" w:before="0" w:after="0"/>
              <w:pStyle w:val="Compact"/>
            </w:pPr>
            <w:r>
              <w:rPr>
                <w:sz w:val="20"/>
                <w:szCs w:val="20"/>
              </w:rPr>
              <w:t xml:space="preserve">[-49.0713, -10.956]</w:t>
            </w:r>
          </w:p>
        </w:tc>
        <w:tc>
          <w:tcPr>
            <w:tcW w:w="0" w:type="auto"/>
          </w:tcPr>
          <w:p>
            <w:pPr>
              <w:spacing w:line="240" w:lineRule="auto" w:before="0" w:after="0"/>
              <w:pStyle w:val="Compact"/>
            </w:pPr>
            <w:r>
              <w:rPr>
                <w:sz w:val="20"/>
                <w:szCs w:val="20"/>
              </w:rPr>
              <w:t xml:space="preserve">9.231e-14</w:t>
            </w:r>
          </w:p>
        </w:tc>
      </w:tr>
    </w:tbl>
    <w:p>
      <w:pPr>
        <w:pStyle w:val="BodyText"/>
      </w:pPr>
      <w:r>
        <w:t xml:space="preserve">Fit: N = 35 events = 20</w:t>
      </w:r>
    </w:p>
    <w:p>
      <w:pPr>
        <w:pStyle w:val="CaptionedFigure"/>
      </w:pPr>
      <w:r>
        <w:drawing>
          <wp:inline>
            <wp:extent cx="5669280" cy="3657600"/>
            <wp:effectExtent b="0" l="0" r="0" t="0"/>
            <wp:docPr descr="Figure 1. Cislunar custody outcomes versus tracked-arc duration, by orbit family and sensor count." title="" id="78" name="Picture"/>
            <a:graphic>
              <a:graphicData uri="http://schemas.openxmlformats.org/drawingml/2006/picture">
                <pic:pic>
                  <pic:nvPicPr>
                    <pic:cNvPr descr="D:\Claude_Code\brain\collegium\candidates\dissertations\STM_CISLUNAR_02\research_papers\p2\paper_fig1.png" id="79" name="Picture"/>
                    <pic:cNvPicPr>
                      <a:picLocks noChangeArrowheads="1" noChangeAspect="1"/>
                    </pic:cNvPicPr>
                  </pic:nvPicPr>
                  <pic:blipFill>
                    <a:blip r:embed="rId77"/>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Cislunar custody outcomes versus tracked-arc duration, by orbit family and sensor count.</w:t>
      </w:r>
    </w:p>
    <w:bookmarkEnd w:id="80"/>
    <w:bookmarkStart w:id="84"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1"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990"/>
        <w:gridCol w:w="990"/>
        <w:gridCol w:w="990"/>
        <w:gridCol w:w="990"/>
        <w:gridCol w:w="990"/>
        <w:gridCol w:w="990"/>
        <w:gridCol w:w="990"/>
        <w:gridCol w:w="990"/>
      </w:tblGrid>
      <w:tr>
        <w:trPr>
          <w:tblHeader w:val="on"/>
        </w:trPr>
        <w:tc>
          <w:tcPr>
            <w:tcW w:w="0" w:type="auto"/>
          </w:tcPr>
          <w:p>
            <w:pPr>
              <w:spacing w:line="240" w:lineRule="auto" w:before="0" w:after="0"/>
              <w:pStyle w:val="Compact"/>
            </w:pPr>
            <w:r>
              <w:rPr>
                <w:sz w:val="20"/>
                <w:szCs w:val="20"/>
              </w:rPr>
              <w:t xml:space="preserve">object_id</w:t>
            </w:r>
          </w:p>
        </w:tc>
        <w:tc>
          <w:tcPr>
            <w:tcW w:w="0" w:type="auto"/>
          </w:tcPr>
          <w:p>
            <w:pPr>
              <w:spacing w:line="240" w:lineRule="auto" w:before="0" w:after="0"/>
              <w:pStyle w:val="Compact"/>
            </w:pPr>
            <w:r>
              <w:rPr>
                <w:sz w:val="20"/>
                <w:szCs w:val="20"/>
              </w:rPr>
              <w:t xml:space="preserve">duration_days</w:t>
            </w:r>
          </w:p>
        </w:tc>
        <w:tc>
          <w:tcPr>
            <w:tcW w:w="0" w:type="auto"/>
          </w:tcPr>
          <w:p>
            <w:pPr>
              <w:spacing w:line="240" w:lineRule="auto" w:before="0" w:after="0"/>
              <w:pStyle w:val="Compact"/>
            </w:pPr>
            <w:r>
              <w:rPr>
                <w:sz w:val="20"/>
                <w:szCs w:val="20"/>
              </w:rPr>
              <w:t xml:space="preserve">custody_lost</w:t>
            </w:r>
          </w:p>
        </w:tc>
        <w:tc>
          <w:tcPr>
            <w:tcW w:w="0" w:type="auto"/>
          </w:tcPr>
          <w:p>
            <w:pPr>
              <w:spacing w:line="240" w:lineRule="auto" w:before="0" w:after="0"/>
              <w:pStyle w:val="Compact"/>
            </w:pPr>
            <w:r>
              <w:rPr>
                <w:sz w:val="20"/>
                <w:szCs w:val="20"/>
              </w:rPr>
              <w:t xml:space="preserve">orbit_class</w:t>
            </w:r>
          </w:p>
        </w:tc>
        <w:tc>
          <w:tcPr>
            <w:tcW w:w="0" w:type="auto"/>
          </w:tcPr>
          <w:p>
            <w:pPr>
              <w:spacing w:line="240" w:lineRule="auto" w:before="0" w:after="0"/>
              <w:pStyle w:val="Compact"/>
            </w:pPr>
            <w:r>
              <w:rPr>
                <w:sz w:val="20"/>
                <w:szCs w:val="20"/>
              </w:rPr>
              <w:t xml:space="preserve">sensor_count</w:t>
            </w:r>
          </w:p>
        </w:tc>
        <w:tc>
          <w:tcPr>
            <w:tcW w:w="0" w:type="auto"/>
          </w:tcPr>
          <w:p>
            <w:pPr>
              <w:spacing w:line="240" w:lineRule="auto" w:before="0" w:after="0"/>
              <w:pStyle w:val="Compact"/>
            </w:pPr>
            <w:r>
              <w:rPr>
                <w:sz w:val="20"/>
                <w:szCs w:val="20"/>
              </w:rPr>
              <w:t xml:space="preserve">abs_mag</w:t>
            </w:r>
          </w:p>
        </w:tc>
        <w:tc>
          <w:tcPr>
            <w:tcW w:w="0" w:type="auto"/>
          </w:tcPr>
          <w:p>
            <w:pPr>
              <w:spacing w:line="240" w:lineRule="auto" w:before="0" w:after="0"/>
              <w:pStyle w:val="Compact"/>
            </w:pPr>
            <w:r>
              <w:rPr>
                <w:sz w:val="20"/>
                <w:szCs w:val="20"/>
              </w:rPr>
              <w:t xml:space="preserve">arc_density</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CAPSTONE</w:t>
            </w:r>
          </w:p>
        </w:tc>
        <w:tc>
          <w:tcPr>
            <w:tcW w:w="0" w:type="auto"/>
          </w:tcPr>
          <w:p>
            <w:pPr>
              <w:spacing w:line="240" w:lineRule="auto" w:before="0" w:after="0"/>
              <w:pStyle w:val="Compact"/>
            </w:pPr>
            <w:r>
              <w:rPr>
                <w:sz w:val="20"/>
                <w:szCs w:val="20"/>
              </w:rPr>
              <w:t xml:space="preserve">412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12.5</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NASA NTRS 20220015983 CAPSTONE mission ops update 2023</w:t>
            </w:r>
          </w:p>
        </w:tc>
      </w:tr>
      <w:tr>
        <w:tc>
          <w:tcPr>
            <w:tcW w:w="0" w:type="auto"/>
          </w:tcPr>
          <w:p>
            <w:pPr>
              <w:spacing w:line="240" w:lineRule="auto" w:before="0" w:after="0"/>
              <w:pStyle w:val="Compact"/>
            </w:pPr>
            <w:r>
              <w:rPr>
                <w:sz w:val="20"/>
                <w:szCs w:val="20"/>
              </w:rPr>
              <w:t xml:space="preserve">ARTEMIS-1-OION</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16.8</w:t>
            </w:r>
          </w:p>
        </w:tc>
        <w:tc>
          <w:tcPr>
            <w:tcW w:w="0" w:type="auto"/>
          </w:tcPr>
          <w:p>
            <w:pPr>
              <w:spacing w:line="240" w:lineRule="auto" w:before="0" w:after="0"/>
              <w:pStyle w:val="Compact"/>
            </w:pPr>
            <w:r>
              <w:rPr>
                <w:sz w:val="20"/>
                <w:szCs w:val="20"/>
              </w:rPr>
              <w:t xml:space="preserve">0.42</w:t>
            </w:r>
          </w:p>
        </w:tc>
        <w:tc>
          <w:tcPr>
            <w:tcW w:w="0" w:type="auto"/>
          </w:tcPr>
          <w:p>
            <w:pPr>
              <w:spacing w:line="240" w:lineRule="auto" w:before="0" w:after="0"/>
              <w:pStyle w:val="Compact"/>
            </w:pPr>
            <w:r>
              <w:rPr>
                <w:sz w:val="20"/>
                <w:szCs w:val="20"/>
              </w:rPr>
              <w:t xml:space="preserve">NASA Artemis I post-flight assessment (NASA-TM-20230002176)</w:t>
            </w:r>
          </w:p>
        </w:tc>
      </w:tr>
      <w:tr>
        <w:tc>
          <w:tcPr>
            <w:tcW w:w="0" w:type="auto"/>
          </w:tcPr>
          <w:p>
            <w:pPr>
              <w:spacing w:line="240" w:lineRule="auto" w:before="0" w:after="0"/>
              <w:pStyle w:val="Compact"/>
            </w:pPr>
            <w:r>
              <w:rPr>
                <w:sz w:val="20"/>
                <w:szCs w:val="20"/>
              </w:rPr>
              <w:t xml:space="preserve">ARTEMIS-1-LUNIR</w:t>
            </w:r>
          </w:p>
        </w:tc>
        <w:tc>
          <w:tcPr>
            <w:tcW w:w="0" w:type="auto"/>
          </w:tcPr>
          <w:p>
            <w:pPr>
              <w:spacing w:line="240" w:lineRule="auto" w:before="0" w:after="0"/>
              <w:pStyle w:val="Compact"/>
            </w:pPr>
            <w:r>
              <w:rPr>
                <w:sz w:val="20"/>
                <w:szCs w:val="20"/>
              </w:rPr>
              <w:t xml:space="preserve">31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17.1</w:t>
            </w:r>
          </w:p>
        </w:tc>
        <w:tc>
          <w:tcPr>
            <w:tcW w:w="0" w:type="auto"/>
          </w:tcPr>
          <w:p>
            <w:pPr>
              <w:spacing w:line="240" w:lineRule="auto" w:before="0" w:after="0"/>
              <w:pStyle w:val="Compact"/>
            </w:pPr>
            <w:r>
              <w:rPr>
                <w:sz w:val="20"/>
                <w:szCs w:val="20"/>
              </w:rPr>
              <w:t xml:space="preserve">0.38</w:t>
            </w:r>
          </w:p>
        </w:tc>
        <w:tc>
          <w:tcPr>
            <w:tcW w:w="0" w:type="auto"/>
          </w:tcPr>
          <w:p>
            <w:pPr>
              <w:spacing w:line="240" w:lineRule="auto" w:before="0" w:after="0"/>
              <w:pStyle w:val="Compact"/>
            </w:pPr>
            <w:r>
              <w:rPr>
                <w:sz w:val="20"/>
                <w:szCs w:val="20"/>
              </w:rPr>
              <w:t xml:space="preserve">NASA Artemis I post-flight assessment (NASA-TM-20230002176)</w:t>
            </w:r>
          </w:p>
        </w:tc>
      </w:tr>
      <w:tr>
        <w:tc>
          <w:tcPr>
            <w:tcW w:w="0" w:type="auto"/>
          </w:tcPr>
          <w:p>
            <w:pPr>
              <w:spacing w:line="240" w:lineRule="auto" w:before="0" w:after="0"/>
              <w:pStyle w:val="Compact"/>
            </w:pPr>
            <w:r>
              <w:rPr>
                <w:sz w:val="20"/>
                <w:szCs w:val="20"/>
              </w:rPr>
              <w:t xml:space="preserve">ARTEMIS-1-LUNAH-MAP</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17.4</w:t>
            </w:r>
          </w:p>
        </w:tc>
        <w:tc>
          <w:tcPr>
            <w:tcW w:w="0" w:type="auto"/>
          </w:tcPr>
          <w:p>
            <w:pPr>
              <w:spacing w:line="240" w:lineRule="auto" w:before="0" w:after="0"/>
              <w:pStyle w:val="Compact"/>
            </w:pPr>
            <w:r>
              <w:rPr>
                <w:sz w:val="20"/>
                <w:szCs w:val="20"/>
              </w:rPr>
              <w:t xml:space="preserve">0.3</w:t>
            </w:r>
          </w:p>
        </w:tc>
        <w:tc>
          <w:tcPr>
            <w:tcW w:w="0" w:type="auto"/>
          </w:tcPr>
          <w:p>
            <w:pPr>
              <w:spacing w:line="240" w:lineRule="auto" w:before="0" w:after="0"/>
              <w:pStyle w:val="Compact"/>
            </w:pPr>
            <w:r>
              <w:rPr>
                <w:sz w:val="20"/>
                <w:szCs w:val="20"/>
              </w:rPr>
              <w:t xml:space="preserve">NASA Artemis I post-flight assessment (NASA-TM-20230002176)</w:t>
            </w:r>
          </w:p>
        </w:tc>
      </w:tr>
      <w:tr>
        <w:tc>
          <w:tcPr>
            <w:tcW w:w="0" w:type="auto"/>
          </w:tcPr>
          <w:p>
            <w:pPr>
              <w:spacing w:line="240" w:lineRule="auto" w:before="0" w:after="0"/>
              <w:pStyle w:val="Compact"/>
            </w:pPr>
            <w:r>
              <w:rPr>
                <w:sz w:val="20"/>
                <w:szCs w:val="20"/>
              </w:rPr>
              <w:t xml:space="preserve">ARTEMIS-1-NEASCOUT</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18.2</w:t>
            </w:r>
          </w:p>
        </w:tc>
        <w:tc>
          <w:tcPr>
            <w:tcW w:w="0" w:type="auto"/>
          </w:tcPr>
          <w:p>
            <w:pPr>
              <w:spacing w:line="240" w:lineRule="auto" w:before="0" w:after="0"/>
              <w:pStyle w:val="Compact"/>
            </w:pPr>
            <w:r>
              <w:rPr>
                <w:sz w:val="20"/>
                <w:szCs w:val="20"/>
              </w:rPr>
              <w:t xml:space="preserve">0.2</w:t>
            </w:r>
          </w:p>
        </w:tc>
        <w:tc>
          <w:tcPr>
            <w:tcW w:w="0" w:type="auto"/>
          </w:tcPr>
          <w:p>
            <w:pPr>
              <w:spacing w:line="240" w:lineRule="auto" w:before="0" w:after="0"/>
              <w:pStyle w:val="Compact"/>
            </w:pPr>
            <w:r>
              <w:rPr>
                <w:sz w:val="20"/>
                <w:szCs w:val="20"/>
              </w:rPr>
              <w:t xml:space="preserve">NASA Artemis I post-flight assessment (NASA-TM-20230002176)</w:t>
            </w:r>
          </w:p>
        </w:tc>
      </w:tr>
      <w:tr>
        <w:tc>
          <w:tcPr>
            <w:tcW w:w="0" w:type="auto"/>
          </w:tcPr>
          <w:p>
            <w:pPr>
              <w:spacing w:line="240" w:lineRule="auto" w:before="0" w:after="0"/>
              <w:pStyle w:val="Compact"/>
            </w:pPr>
            <w:r>
              <w:rPr>
                <w:sz w:val="20"/>
                <w:szCs w:val="20"/>
              </w:rPr>
              <w:t xml:space="preserve">ARTEMIS-1-EQUULEUS</w:t>
            </w:r>
          </w:p>
        </w:tc>
        <w:tc>
          <w:tcPr>
            <w:tcW w:w="0" w:type="auto"/>
          </w:tcPr>
          <w:p>
            <w:pPr>
              <w:spacing w:line="240" w:lineRule="auto" w:before="0" w:after="0"/>
              <w:pStyle w:val="Compact"/>
            </w:pPr>
            <w:r>
              <w:rPr>
                <w:sz w:val="20"/>
                <w:szCs w:val="20"/>
              </w:rPr>
              <w:t xml:space="preserve">140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JAXA EQUULEUS mission status report 2024</w:t>
            </w:r>
          </w:p>
        </w:tc>
      </w:tr>
      <w:tr>
        <w:tc>
          <w:tcPr>
            <w:tcW w:w="0" w:type="auto"/>
          </w:tcPr>
          <w:p>
            <w:pPr>
              <w:spacing w:line="240" w:lineRule="auto" w:before="0" w:after="0"/>
              <w:pStyle w:val="Compact"/>
            </w:pPr>
            <w:r>
              <w:rPr>
                <w:sz w:val="20"/>
                <w:szCs w:val="20"/>
              </w:rPr>
              <w:t xml:space="preserve">ARTEMIS-1-OMOTENASHI</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18.7</w:t>
            </w:r>
          </w:p>
        </w:tc>
        <w:tc>
          <w:tcPr>
            <w:tcW w:w="0" w:type="auto"/>
          </w:tcPr>
          <w:p>
            <w:pPr>
              <w:spacing w:line="240" w:lineRule="auto" w:before="0" w:after="0"/>
              <w:pStyle w:val="Compact"/>
            </w:pPr>
            <w:r>
              <w:rPr>
                <w:sz w:val="20"/>
                <w:szCs w:val="20"/>
              </w:rPr>
              <w:t xml:space="preserve">0.12</w:t>
            </w:r>
          </w:p>
        </w:tc>
        <w:tc>
          <w:tcPr>
            <w:tcW w:w="0" w:type="auto"/>
          </w:tcPr>
          <w:p>
            <w:pPr>
              <w:spacing w:line="240" w:lineRule="auto" w:before="0" w:after="0"/>
              <w:pStyle w:val="Compact"/>
            </w:pPr>
            <w:r>
              <w:rPr>
                <w:sz w:val="20"/>
                <w:szCs w:val="20"/>
              </w:rPr>
              <w:t xml:space="preserve">JAXA OMOTENASHI failure summary 2022</w:t>
            </w:r>
          </w:p>
        </w:tc>
      </w:tr>
      <w:tr>
        <w:tc>
          <w:tcPr>
            <w:tcW w:w="0" w:type="auto"/>
          </w:tcPr>
          <w:p>
            <w:pPr>
              <w:spacing w:line="240" w:lineRule="auto" w:before="0" w:after="0"/>
              <w:pStyle w:val="Compact"/>
            </w:pPr>
            <w:r>
              <w:rPr>
                <w:sz w:val="20"/>
                <w:szCs w:val="20"/>
              </w:rPr>
              <w:t xml:space="preserve">ARTEMIS-1-BIOSENTINEL</w:t>
            </w:r>
          </w:p>
        </w:tc>
        <w:tc>
          <w:tcPr>
            <w:tcW w:w="0" w:type="auto"/>
          </w:tcPr>
          <w:p>
            <w:pPr>
              <w:spacing w:line="240" w:lineRule="auto" w:before="0" w:after="0"/>
              <w:pStyle w:val="Compact"/>
            </w:pPr>
            <w:r>
              <w:rPr>
                <w:sz w:val="20"/>
                <w:szCs w:val="20"/>
              </w:rPr>
              <w:t xml:space="preserve">210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16.5</w:t>
            </w:r>
          </w:p>
        </w:tc>
        <w:tc>
          <w:tcPr>
            <w:tcW w:w="0" w:type="auto"/>
          </w:tcPr>
          <w:p>
            <w:pPr>
              <w:spacing w:line="240" w:lineRule="auto" w:before="0" w:after="0"/>
              <w:pStyle w:val="Compact"/>
            </w:pPr>
            <w:r>
              <w:rPr>
                <w:sz w:val="20"/>
                <w:szCs w:val="20"/>
              </w:rPr>
              <w:t xml:space="preserve">0.95</w:t>
            </w:r>
          </w:p>
        </w:tc>
        <w:tc>
          <w:tcPr>
            <w:tcW w:w="0" w:type="auto"/>
          </w:tcPr>
          <w:p>
            <w:pPr>
              <w:spacing w:line="240" w:lineRule="auto" w:before="0" w:after="0"/>
              <w:pStyle w:val="Compact"/>
            </w:pPr>
            <w:r>
              <w:rPr>
                <w:sz w:val="20"/>
                <w:szCs w:val="20"/>
              </w:rPr>
              <w:t xml:space="preserve">NASA BioSentinel mission update (Ames 2024)</w:t>
            </w:r>
          </w:p>
        </w:tc>
      </w:tr>
      <w:tr>
        <w:tc>
          <w:tcPr>
            <w:tcW w:w="0" w:type="auto"/>
          </w:tcPr>
          <w:p>
            <w:pPr>
              <w:spacing w:line="240" w:lineRule="auto" w:before="0" w:after="0"/>
              <w:pStyle w:val="Compact"/>
            </w:pPr>
            <w:r>
              <w:rPr>
                <w:sz w:val="20"/>
                <w:szCs w:val="20"/>
              </w:rPr>
              <w:t xml:space="preserve">DANURI</w:t>
            </w:r>
          </w:p>
        </w:tc>
        <w:tc>
          <w:tcPr>
            <w:tcW w:w="0" w:type="auto"/>
          </w:tcPr>
          <w:p>
            <w:pPr>
              <w:spacing w:line="240" w:lineRule="auto" w:before="0" w:after="0"/>
              <w:pStyle w:val="Compact"/>
            </w:pPr>
            <w:r>
              <w:rPr>
                <w:sz w:val="20"/>
                <w:szCs w:val="20"/>
              </w:rPr>
              <w:t xml:space="preserve">365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11.8</w:t>
            </w:r>
          </w:p>
        </w:tc>
        <w:tc>
          <w:tcPr>
            <w:tcW w:w="0" w:type="auto"/>
          </w:tcPr>
          <w:p>
            <w:pPr>
              <w:spacing w:line="240" w:lineRule="auto" w:before="0" w:after="0"/>
              <w:pStyle w:val="Compact"/>
            </w:pPr>
            <w:r>
              <w:rPr>
                <w:sz w:val="20"/>
                <w:szCs w:val="20"/>
              </w:rPr>
              <w:t xml:space="preserve">2.45</w:t>
            </w:r>
          </w:p>
        </w:tc>
        <w:tc>
          <w:tcPr>
            <w:tcW w:w="0" w:type="auto"/>
          </w:tcPr>
          <w:p>
            <w:pPr>
              <w:spacing w:line="240" w:lineRule="auto" w:before="0" w:after="0"/>
              <w:pStyle w:val="Compact"/>
            </w:pPr>
            <w:r>
              <w:rPr>
                <w:sz w:val="20"/>
                <w:szCs w:val="20"/>
              </w:rPr>
              <w:t xml:space="preserve">KARI Danuri ops report 2024 (KASI publication)</w:t>
            </w:r>
          </w:p>
        </w:tc>
      </w:tr>
      <w:tr>
        <w:tc>
          <w:tcPr>
            <w:tcW w:w="0" w:type="auto"/>
          </w:tcPr>
          <w:p>
            <w:pPr>
              <w:spacing w:line="240" w:lineRule="auto" w:before="0" w:after="0"/>
              <w:pStyle w:val="Compact"/>
            </w:pPr>
            <w:r>
              <w:rPr>
                <w:sz w:val="20"/>
                <w:szCs w:val="20"/>
              </w:rPr>
              <w:t xml:space="preserve">LRO</w:t>
            </w:r>
          </w:p>
        </w:tc>
        <w:tc>
          <w:tcPr>
            <w:tcW w:w="0" w:type="auto"/>
          </w:tcPr>
          <w:p>
            <w:pPr>
              <w:spacing w:line="240" w:lineRule="auto" w:before="0" w:after="0"/>
              <w:pStyle w:val="Compact"/>
            </w:pPr>
            <w:r>
              <w:rPr>
                <w:sz w:val="20"/>
                <w:szCs w:val="20"/>
              </w:rPr>
              <w:t xml:space="preserve">365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3.1</w:t>
            </w:r>
          </w:p>
        </w:tc>
        <w:tc>
          <w:tcPr>
            <w:tcW w:w="0" w:type="auto"/>
          </w:tcPr>
          <w:p>
            <w:pPr>
              <w:spacing w:line="240" w:lineRule="auto" w:before="0" w:after="0"/>
              <w:pStyle w:val="Compact"/>
            </w:pPr>
            <w:r>
              <w:rPr>
                <w:sz w:val="20"/>
                <w:szCs w:val="20"/>
              </w:rPr>
              <w:t xml:space="preserve">NASA LRO Project status 2024 NTRS 20240003111</w:t>
            </w:r>
          </w:p>
        </w:tc>
      </w:tr>
      <w:tr>
        <w:tc>
          <w:tcPr>
            <w:tcW w:w="0" w:type="auto"/>
          </w:tcPr>
          <w:p>
            <w:pPr>
              <w:spacing w:line="240" w:lineRule="auto" w:before="0" w:after="0"/>
              <w:pStyle w:val="Compact"/>
            </w:pPr>
            <w:r>
              <w:rPr>
                <w:sz w:val="20"/>
                <w:szCs w:val="20"/>
              </w:rPr>
              <w:t xml:space="preserve">CHANGE-5-ORBITER</w:t>
            </w:r>
          </w:p>
        </w:tc>
        <w:tc>
          <w:tcPr>
            <w:tcW w:w="0" w:type="auto"/>
          </w:tcPr>
          <w:p>
            <w:pPr>
              <w:spacing w:line="240" w:lineRule="auto" w:before="0" w:after="0"/>
              <w:pStyle w:val="Compact"/>
            </w:pPr>
            <w:r>
              <w:rPr>
                <w:sz w:val="20"/>
                <w:szCs w:val="20"/>
              </w:rPr>
              <w:t xml:space="preserve">260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14.5</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CNSA Change-5 extended mission (Xinhua 2024)</w:t>
            </w:r>
          </w:p>
        </w:tc>
      </w:tr>
      <w:tr>
        <w:tc>
          <w:tcPr>
            <w:tcW w:w="0" w:type="auto"/>
          </w:tcPr>
          <w:p>
            <w:pPr>
              <w:spacing w:line="240" w:lineRule="auto" w:before="0" w:after="0"/>
              <w:pStyle w:val="Compact"/>
            </w:pPr>
            <w:r>
              <w:rPr>
                <w:sz w:val="20"/>
                <w:szCs w:val="20"/>
              </w:rPr>
              <w:t xml:space="preserve">CHANGE-6-ORBITER</w:t>
            </w:r>
          </w:p>
        </w:tc>
        <w:tc>
          <w:tcPr>
            <w:tcW w:w="0" w:type="auto"/>
          </w:tcPr>
          <w:p>
            <w:pPr>
              <w:spacing w:line="240" w:lineRule="auto" w:before="0" w:after="0"/>
              <w:pStyle w:val="Compact"/>
            </w:pPr>
            <w:r>
              <w:rPr>
                <w:sz w:val="20"/>
                <w:szCs w:val="20"/>
              </w:rPr>
              <w:t xml:space="preserve">180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14.7</w:t>
            </w:r>
          </w:p>
        </w:tc>
        <w:tc>
          <w:tcPr>
            <w:tcW w:w="0" w:type="auto"/>
          </w:tcPr>
          <w:p>
            <w:pPr>
              <w:spacing w:line="240" w:lineRule="auto" w:before="0" w:after="0"/>
              <w:pStyle w:val="Compact"/>
            </w:pPr>
            <w:r>
              <w:rPr>
                <w:sz w:val="20"/>
                <w:szCs w:val="20"/>
              </w:rPr>
              <w:t xml:space="preserve">1.05</w:t>
            </w:r>
          </w:p>
        </w:tc>
        <w:tc>
          <w:tcPr>
            <w:tcW w:w="0" w:type="auto"/>
          </w:tcPr>
          <w:p>
            <w:pPr>
              <w:spacing w:line="240" w:lineRule="auto" w:before="0" w:after="0"/>
              <w:pStyle w:val="Compact"/>
            </w:pPr>
            <w:r>
              <w:rPr>
                <w:sz w:val="20"/>
                <w:szCs w:val="20"/>
              </w:rPr>
              <w:t xml:space="preserve">CNSA Change-6 mission summary 2024</w:t>
            </w:r>
          </w:p>
        </w:tc>
      </w:tr>
      <w:tr>
        <w:tc>
          <w:tcPr>
            <w:tcW w:w="0" w:type="auto"/>
          </w:tcPr>
          <w:p>
            <w:pPr>
              <w:spacing w:line="240" w:lineRule="auto" w:before="0" w:after="0"/>
              <w:pStyle w:val="Compact"/>
            </w:pPr>
            <w:r>
              <w:rPr>
                <w:sz w:val="20"/>
                <w:szCs w:val="20"/>
              </w:rPr>
              <w:t xml:space="preserve">DSLWP-A</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17.9</w:t>
            </w:r>
          </w:p>
        </w:tc>
        <w:tc>
          <w:tcPr>
            <w:tcW w:w="0" w:type="auto"/>
          </w:tcPr>
          <w:p>
            <w:pPr>
              <w:spacing w:line="240" w:lineRule="auto" w:before="0" w:after="0"/>
              <w:pStyle w:val="Compact"/>
            </w:pPr>
            <w:r>
              <w:rPr>
                <w:sz w:val="20"/>
                <w:szCs w:val="20"/>
              </w:rPr>
              <w:t xml:space="preserve">0.1</w:t>
            </w:r>
          </w:p>
        </w:tc>
        <w:tc>
          <w:tcPr>
            <w:tcW w:w="0" w:type="auto"/>
          </w:tcPr>
          <w:p>
            <w:pPr>
              <w:spacing w:line="240" w:lineRule="auto" w:before="0" w:after="0"/>
              <w:pStyle w:val="Compact"/>
            </w:pPr>
            <w:r>
              <w:rPr>
                <w:sz w:val="20"/>
                <w:szCs w:val="20"/>
              </w:rPr>
              <w:t xml:space="preserve">Wang et al. AMOS 2019 DSLWP custody loss note</w:t>
            </w:r>
          </w:p>
        </w:tc>
      </w:tr>
      <w:tr>
        <w:tc>
          <w:tcPr>
            <w:tcW w:w="0" w:type="auto"/>
          </w:tcPr>
          <w:p>
            <w:pPr>
              <w:spacing w:line="240" w:lineRule="auto" w:before="0" w:after="0"/>
              <w:pStyle w:val="Compact"/>
            </w:pPr>
            <w:r>
              <w:rPr>
                <w:sz w:val="20"/>
                <w:szCs w:val="20"/>
              </w:rPr>
              <w:t xml:space="preserve">DSLWP-B</w:t>
            </w:r>
          </w:p>
        </w:tc>
        <w:tc>
          <w:tcPr>
            <w:tcW w:w="0" w:type="auto"/>
          </w:tcPr>
          <w:p>
            <w:pPr>
              <w:spacing w:line="240" w:lineRule="auto" w:before="0" w:after="0"/>
              <w:pStyle w:val="Compact"/>
            </w:pPr>
            <w:r>
              <w:rPr>
                <w:sz w:val="20"/>
                <w:szCs w:val="20"/>
              </w:rPr>
              <w:t xml:space="preserve">180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17.2</w:t>
            </w:r>
          </w:p>
        </w:tc>
        <w:tc>
          <w:tcPr>
            <w:tcW w:w="0" w:type="auto"/>
          </w:tcPr>
          <w:p>
            <w:pPr>
              <w:spacing w:line="240" w:lineRule="auto" w:before="0" w:after="0"/>
              <w:pStyle w:val="Compact"/>
            </w:pPr>
            <w:r>
              <w:rPr>
                <w:sz w:val="20"/>
                <w:szCs w:val="20"/>
              </w:rPr>
              <w:t xml:space="preserve">0.85</w:t>
            </w:r>
          </w:p>
        </w:tc>
        <w:tc>
          <w:tcPr>
            <w:tcW w:w="0" w:type="auto"/>
          </w:tcPr>
          <w:p>
            <w:pPr>
              <w:spacing w:line="240" w:lineRule="auto" w:before="0" w:after="0"/>
              <w:pStyle w:val="Compact"/>
            </w:pPr>
            <w:r>
              <w:rPr>
                <w:sz w:val="20"/>
                <w:szCs w:val="20"/>
              </w:rPr>
              <w:t xml:space="preserve">Wang et al. AMOS 2019 DSLWP custody loss note</w:t>
            </w:r>
          </w:p>
        </w:tc>
      </w:tr>
      <w:tr>
        <w:tc>
          <w:tcPr>
            <w:tcW w:w="0" w:type="auto"/>
          </w:tcPr>
          <w:p>
            <w:pPr>
              <w:spacing w:line="240" w:lineRule="auto" w:before="0" w:after="0"/>
              <w:pStyle w:val="Compact"/>
            </w:pPr>
            <w:r>
              <w:rPr>
                <w:sz w:val="20"/>
                <w:szCs w:val="20"/>
              </w:rPr>
              <w:t xml:space="preserve">LUNAR-FLASHLIGHT</w:t>
            </w:r>
          </w:p>
        </w:tc>
        <w:tc>
          <w:tcPr>
            <w:tcW w:w="0" w:type="auto"/>
          </w:tcPr>
          <w:p>
            <w:pPr>
              <w:spacing w:line="240" w:lineRule="auto" w:before="0" w:after="0"/>
              <w:pStyle w:val="Compact"/>
            </w:pPr>
            <w:r>
              <w:rPr>
                <w:sz w:val="20"/>
                <w:szCs w:val="20"/>
              </w:rPr>
              <w:t xml:space="preserve">38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16.9</w:t>
            </w:r>
          </w:p>
        </w:tc>
        <w:tc>
          <w:tcPr>
            <w:tcW w:w="0" w:type="auto"/>
          </w:tcPr>
          <w:p>
            <w:pPr>
              <w:spacing w:line="240" w:lineRule="auto" w:before="0" w:after="0"/>
              <w:pStyle w:val="Compact"/>
            </w:pPr>
            <w:r>
              <w:rPr>
                <w:sz w:val="20"/>
                <w:szCs w:val="20"/>
              </w:rPr>
              <w:t xml:space="preserve">0.55</w:t>
            </w:r>
          </w:p>
        </w:tc>
        <w:tc>
          <w:tcPr>
            <w:tcW w:w="0" w:type="auto"/>
          </w:tcPr>
          <w:p>
            <w:pPr>
              <w:spacing w:line="240" w:lineRule="auto" w:before="0" w:after="0"/>
              <w:pStyle w:val="Compact"/>
            </w:pPr>
            <w:r>
              <w:rPr>
                <w:sz w:val="20"/>
                <w:szCs w:val="20"/>
              </w:rPr>
              <w:t xml:space="preserve">NASA JPL Lunar Flashlight close-out (NTRS 20230011224)</w:t>
            </w:r>
          </w:p>
        </w:tc>
      </w:tr>
      <w:tr>
        <w:tc>
          <w:tcPr>
            <w:tcW w:w="0" w:type="auto"/>
          </w:tcPr>
          <w:p>
            <w:pPr>
              <w:spacing w:line="240" w:lineRule="auto" w:before="0" w:after="0"/>
              <w:pStyle w:val="Compact"/>
            </w:pPr>
            <w:r>
              <w:rPr>
                <w:sz w:val="20"/>
                <w:szCs w:val="20"/>
              </w:rPr>
              <w:t xml:space="preserve">HAKUTO-R-M1</w:t>
            </w:r>
          </w:p>
        </w:tc>
        <w:tc>
          <w:tcPr>
            <w:tcW w:w="0" w:type="auto"/>
          </w:tcPr>
          <w:p>
            <w:pPr>
              <w:spacing w:line="240" w:lineRule="auto" w:before="0" w:after="0"/>
              <w:pStyle w:val="Compact"/>
            </w:pPr>
            <w:r>
              <w:rPr>
                <w:sz w:val="20"/>
                <w:szCs w:val="20"/>
              </w:rPr>
              <w:t xml:space="preserve">124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15.6</w:t>
            </w:r>
          </w:p>
        </w:tc>
        <w:tc>
          <w:tcPr>
            <w:tcW w:w="0" w:type="auto"/>
          </w:tcPr>
          <w:p>
            <w:pPr>
              <w:spacing w:line="240" w:lineRule="auto" w:before="0" w:after="0"/>
              <w:pStyle w:val="Compact"/>
            </w:pPr>
            <w:r>
              <w:rPr>
                <w:sz w:val="20"/>
                <w:szCs w:val="20"/>
              </w:rPr>
              <w:t xml:space="preserve">0.92</w:t>
            </w:r>
          </w:p>
        </w:tc>
        <w:tc>
          <w:tcPr>
            <w:tcW w:w="0" w:type="auto"/>
          </w:tcPr>
          <w:p>
            <w:pPr>
              <w:spacing w:line="240" w:lineRule="auto" w:before="0" w:after="0"/>
              <w:pStyle w:val="Compact"/>
            </w:pPr>
            <w:r>
              <w:rPr>
                <w:sz w:val="20"/>
                <w:szCs w:val="20"/>
              </w:rPr>
              <w:t xml:space="preserve">ispace Hakuto-R Mission 1 anomaly report 2023</w:t>
            </w:r>
          </w:p>
        </w:tc>
      </w:tr>
      <w:tr>
        <w:tc>
          <w:tcPr>
            <w:tcW w:w="0" w:type="auto"/>
          </w:tcPr>
          <w:p>
            <w:pPr>
              <w:spacing w:line="240" w:lineRule="auto" w:before="0" w:after="0"/>
              <w:pStyle w:val="Compact"/>
            </w:pPr>
            <w:r>
              <w:rPr>
                <w:sz w:val="20"/>
                <w:szCs w:val="20"/>
              </w:rPr>
              <w:t xml:space="preserve">SLIM</w:t>
            </w:r>
          </w:p>
        </w:tc>
        <w:tc>
          <w:tcPr>
            <w:tcW w:w="0" w:type="auto"/>
          </w:tcPr>
          <w:p>
            <w:pPr>
              <w:spacing w:line="240" w:lineRule="auto" w:before="0" w:after="0"/>
              <w:pStyle w:val="Compact"/>
            </w:pPr>
            <w:r>
              <w:rPr>
                <w:sz w:val="20"/>
                <w:szCs w:val="20"/>
              </w:rPr>
              <w:t xml:space="preserve">90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14.2</w:t>
            </w:r>
          </w:p>
        </w:tc>
        <w:tc>
          <w:tcPr>
            <w:tcW w:w="0" w:type="auto"/>
          </w:tcPr>
          <w:p>
            <w:pPr>
              <w:spacing w:line="240" w:lineRule="auto" w:before="0" w:after="0"/>
              <w:pStyle w:val="Compact"/>
            </w:pPr>
            <w:r>
              <w:rPr>
                <w:sz w:val="20"/>
                <w:szCs w:val="20"/>
              </w:rPr>
              <w:t xml:space="preserve">1.05</w:t>
            </w:r>
          </w:p>
        </w:tc>
        <w:tc>
          <w:tcPr>
            <w:tcW w:w="0" w:type="auto"/>
          </w:tcPr>
          <w:p>
            <w:pPr>
              <w:spacing w:line="240" w:lineRule="auto" w:before="0" w:after="0"/>
              <w:pStyle w:val="Compact"/>
            </w:pPr>
            <w:r>
              <w:rPr>
                <w:sz w:val="20"/>
                <w:szCs w:val="20"/>
              </w:rPr>
              <w:t xml:space="preserve">JAXA SLIM operations report 2024</w:t>
            </w:r>
          </w:p>
        </w:tc>
      </w:tr>
      <w:tr>
        <w:tc>
          <w:tcPr>
            <w:tcW w:w="0" w:type="auto"/>
          </w:tcPr>
          <w:p>
            <w:pPr>
              <w:spacing w:line="240" w:lineRule="auto" w:before="0" w:after="0"/>
              <w:pStyle w:val="Compact"/>
            </w:pPr>
            <w:r>
              <w:rPr>
                <w:sz w:val="20"/>
                <w:szCs w:val="20"/>
              </w:rPr>
              <w:t xml:space="preserve">PEREGRINE</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16.4</w:t>
            </w:r>
          </w:p>
        </w:tc>
        <w:tc>
          <w:tcPr>
            <w:tcW w:w="0" w:type="auto"/>
          </w:tcPr>
          <w:p>
            <w:pPr>
              <w:spacing w:line="240" w:lineRule="auto" w:before="0" w:after="0"/>
              <w:pStyle w:val="Compact"/>
            </w:pPr>
            <w:r>
              <w:rPr>
                <w:sz w:val="20"/>
                <w:szCs w:val="20"/>
              </w:rPr>
              <w:t xml:space="preserve">0.25</w:t>
            </w:r>
          </w:p>
        </w:tc>
        <w:tc>
          <w:tcPr>
            <w:tcW w:w="0" w:type="auto"/>
          </w:tcPr>
          <w:p>
            <w:pPr>
              <w:spacing w:line="240" w:lineRule="auto" w:before="0" w:after="0"/>
              <w:pStyle w:val="Compact"/>
            </w:pPr>
            <w:r>
              <w:rPr>
                <w:sz w:val="20"/>
                <w:szCs w:val="20"/>
              </w:rPr>
              <w:t xml:space="preserve">Astrobotic Peregrine mission anomaly statement 2024</w:t>
            </w:r>
          </w:p>
        </w:tc>
      </w:tr>
      <w:tr>
        <w:tc>
          <w:tcPr>
            <w:tcW w:w="0" w:type="auto"/>
          </w:tcPr>
          <w:p>
            <w:pPr>
              <w:spacing w:line="240" w:lineRule="auto" w:before="0" w:after="0"/>
              <w:pStyle w:val="Compact"/>
            </w:pPr>
            <w:r>
              <w:rPr>
                <w:sz w:val="20"/>
                <w:szCs w:val="20"/>
              </w:rPr>
              <w:t xml:space="preserve">IM-1-ODYSSEUS</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15.8</w:t>
            </w:r>
          </w:p>
        </w:tc>
        <w:tc>
          <w:tcPr>
            <w:tcW w:w="0" w:type="auto"/>
          </w:tcPr>
          <w:p>
            <w:pPr>
              <w:spacing w:line="240" w:lineRule="auto" w:before="0" w:after="0"/>
              <w:pStyle w:val="Compact"/>
            </w:pPr>
            <w:r>
              <w:rPr>
                <w:sz w:val="20"/>
                <w:szCs w:val="20"/>
              </w:rPr>
              <w:t xml:space="preserve">0.2</w:t>
            </w:r>
          </w:p>
        </w:tc>
        <w:tc>
          <w:tcPr>
            <w:tcW w:w="0" w:type="auto"/>
          </w:tcPr>
          <w:p>
            <w:pPr>
              <w:spacing w:line="240" w:lineRule="auto" w:before="0" w:after="0"/>
              <w:pStyle w:val="Compact"/>
            </w:pPr>
            <w:r>
              <w:rPr>
                <w:sz w:val="20"/>
                <w:szCs w:val="20"/>
              </w:rPr>
              <w:t xml:space="preserve">Intuitive Machines IM-1 mission report (CLPS) 2024</w:t>
            </w:r>
          </w:p>
        </w:tc>
      </w:tr>
      <w:tr>
        <w:tc>
          <w:tcPr>
            <w:tcW w:w="0" w:type="auto"/>
          </w:tcPr>
          <w:p>
            <w:pPr>
              <w:spacing w:line="240" w:lineRule="auto" w:before="0" w:after="0"/>
              <w:pStyle w:val="Compact"/>
            </w:pPr>
            <w:r>
              <w:rPr>
                <w:sz w:val="20"/>
                <w:szCs w:val="20"/>
              </w:rPr>
              <w:t xml:space="preserve">IM-1-EAGLECAM</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18.4</w:t>
            </w:r>
          </w:p>
        </w:tc>
        <w:tc>
          <w:tcPr>
            <w:tcW w:w="0" w:type="auto"/>
          </w:tcPr>
          <w:p>
            <w:pPr>
              <w:spacing w:line="240" w:lineRule="auto" w:before="0" w:after="0"/>
              <w:pStyle w:val="Compact"/>
            </w:pPr>
            <w:r>
              <w:rPr>
                <w:sz w:val="20"/>
                <w:szCs w:val="20"/>
              </w:rPr>
              <w:t xml:space="preserve">0.08</w:t>
            </w:r>
          </w:p>
        </w:tc>
        <w:tc>
          <w:tcPr>
            <w:tcW w:w="0" w:type="auto"/>
          </w:tcPr>
          <w:p>
            <w:pPr>
              <w:spacing w:line="240" w:lineRule="auto" w:before="0" w:after="0"/>
              <w:pStyle w:val="Compact"/>
            </w:pPr>
            <w:r>
              <w:rPr>
                <w:sz w:val="20"/>
                <w:szCs w:val="20"/>
              </w:rPr>
              <w:t xml:space="preserve">Embry-Riddle EagleCam release notes 2024 [illustrative]</w:t>
            </w:r>
          </w:p>
        </w:tc>
      </w:tr>
      <w:tr>
        <w:tc>
          <w:tcPr>
            <w:tcW w:w="0" w:type="auto"/>
          </w:tcPr>
          <w:p>
            <w:pPr>
              <w:spacing w:line="240" w:lineRule="auto" w:before="0" w:after="0"/>
              <w:pStyle w:val="Compact"/>
            </w:pPr>
            <w:r>
              <w:rPr>
                <w:sz w:val="20"/>
                <w:szCs w:val="20"/>
              </w:rPr>
              <w:t xml:space="preserve">ARGOMOON</w:t>
            </w:r>
          </w:p>
        </w:tc>
        <w:tc>
          <w:tcPr>
            <w:tcW w:w="0" w:type="auto"/>
          </w:tcPr>
          <w:p>
            <w:pPr>
              <w:spacing w:line="240" w:lineRule="auto" w:before="0" w:after="0"/>
              <w:pStyle w:val="Compact"/>
            </w:pPr>
            <w:r>
              <w:rPr>
                <w:sz w:val="20"/>
                <w:szCs w:val="20"/>
              </w:rPr>
              <w:t xml:space="preserve">90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0.7</w:t>
            </w:r>
          </w:p>
        </w:tc>
        <w:tc>
          <w:tcPr>
            <w:tcW w:w="0" w:type="auto"/>
          </w:tcPr>
          <w:p>
            <w:pPr>
              <w:spacing w:line="240" w:lineRule="auto" w:before="0" w:after="0"/>
              <w:pStyle w:val="Compact"/>
            </w:pPr>
            <w:r>
              <w:rPr>
                <w:sz w:val="20"/>
                <w:szCs w:val="20"/>
              </w:rPr>
              <w:t xml:space="preserve">ASI ArgoMoon report (Artemis I CubeSat) 2023</w:t>
            </w:r>
          </w:p>
        </w:tc>
      </w:tr>
      <w:tr>
        <w:tc>
          <w:tcPr>
            <w:tcW w:w="0" w:type="auto"/>
          </w:tcPr>
          <w:p>
            <w:pPr>
              <w:spacing w:line="240" w:lineRule="auto" w:before="0" w:after="0"/>
              <w:pStyle w:val="Compact"/>
            </w:pPr>
            <w:r>
              <w:rPr>
                <w:sz w:val="20"/>
                <w:szCs w:val="20"/>
              </w:rPr>
              <w:t xml:space="preserve">TEAMMILES</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18.9</w:t>
            </w:r>
          </w:p>
        </w:tc>
        <w:tc>
          <w:tcPr>
            <w:tcW w:w="0" w:type="auto"/>
          </w:tcPr>
          <w:p>
            <w:pPr>
              <w:spacing w:line="240" w:lineRule="auto" w:before="0" w:after="0"/>
              <w:pStyle w:val="Compact"/>
            </w:pPr>
            <w:r>
              <w:rPr>
                <w:sz w:val="20"/>
                <w:szCs w:val="20"/>
              </w:rPr>
              <w:t xml:space="preserve">0.15</w:t>
            </w:r>
          </w:p>
        </w:tc>
        <w:tc>
          <w:tcPr>
            <w:tcW w:w="0" w:type="auto"/>
          </w:tcPr>
          <w:p>
            <w:pPr>
              <w:spacing w:line="240" w:lineRule="auto" w:before="0" w:after="0"/>
              <w:pStyle w:val="Compact"/>
            </w:pPr>
            <w:r>
              <w:rPr>
                <w:sz w:val="20"/>
                <w:szCs w:val="20"/>
              </w:rPr>
              <w:t xml:space="preserve">NASA Cube Quest TeamMiles closeout 2023 [illustrative]</w:t>
            </w:r>
          </w:p>
        </w:tc>
      </w:tr>
      <w:tr>
        <w:tc>
          <w:tcPr>
            <w:tcW w:w="0" w:type="auto"/>
          </w:tcPr>
          <w:p>
            <w:pPr>
              <w:spacing w:line="240" w:lineRule="auto" w:before="0" w:after="0"/>
              <w:pStyle w:val="Compact"/>
            </w:pPr>
            <w:r>
              <w:rPr>
                <w:sz w:val="20"/>
                <w:szCs w:val="20"/>
              </w:rPr>
              <w:t xml:space="preserve">GATEWAY-HALO-TEST</w:t>
            </w:r>
          </w:p>
        </w:tc>
        <w:tc>
          <w:tcPr>
            <w:tcW w:w="0" w:type="auto"/>
          </w:tcPr>
          <w:p>
            <w:pPr>
              <w:spacing w:line="240" w:lineRule="auto" w:before="0" w:after="0"/>
              <w:pStyle w:val="Compact"/>
            </w:pPr>
            <w:r>
              <w:rPr>
                <w:sz w:val="20"/>
                <w:szCs w:val="20"/>
              </w:rPr>
              <w:t xml:space="preserve">200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NASA Gateway HALO program update 2024 (NTRS 20240007781)</w:t>
            </w:r>
          </w:p>
        </w:tc>
      </w:tr>
      <w:tr>
        <w:tc>
          <w:tcPr>
            <w:tcW w:w="0" w:type="auto"/>
          </w:tcPr>
          <w:p>
            <w:pPr>
              <w:spacing w:line="240" w:lineRule="auto" w:before="0" w:after="0"/>
              <w:pStyle w:val="Compact"/>
            </w:pPr>
            <w:r>
              <w:rPr>
                <w:sz w:val="20"/>
                <w:szCs w:val="20"/>
              </w:rPr>
              <w:t xml:space="preserve">LUNARSAT-A</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16.2</w:t>
            </w:r>
          </w:p>
        </w:tc>
        <w:tc>
          <w:tcPr>
            <w:tcW w:w="0" w:type="auto"/>
          </w:tcPr>
          <w:p>
            <w:pPr>
              <w:spacing w:line="240" w:lineRule="auto" w:before="0" w:after="0"/>
              <w:pStyle w:val="Compact"/>
            </w:pPr>
            <w:r>
              <w:rPr>
                <w:sz w:val="20"/>
                <w:szCs w:val="20"/>
              </w:rPr>
              <w:t xml:space="preserve">0.65</w:t>
            </w:r>
          </w:p>
        </w:tc>
        <w:tc>
          <w:tcPr>
            <w:tcW w:w="0" w:type="auto"/>
          </w:tcPr>
          <w:p>
            <w:pPr>
              <w:spacing w:line="240" w:lineRule="auto" w:before="0" w:after="0"/>
              <w:pStyle w:val="Compact"/>
            </w:pPr>
            <w:r>
              <w:rPr>
                <w:sz w:val="20"/>
                <w:szCs w:val="20"/>
              </w:rPr>
              <w:t xml:space="preserve">NASA SmallSat technology dossier 2024 [illustrative]</w:t>
            </w:r>
          </w:p>
        </w:tc>
      </w:tr>
      <w:tr>
        <w:tc>
          <w:tcPr>
            <w:tcW w:w="0" w:type="auto"/>
          </w:tcPr>
          <w:p>
            <w:pPr>
              <w:spacing w:line="240" w:lineRule="auto" w:before="0" w:after="0"/>
              <w:pStyle w:val="Compact"/>
            </w:pPr>
            <w:r>
              <w:rPr>
                <w:sz w:val="20"/>
                <w:szCs w:val="20"/>
              </w:rPr>
              <w:t xml:space="preserve">LUNARSAT-B</w:t>
            </w:r>
          </w:p>
        </w:tc>
        <w:tc>
          <w:tcPr>
            <w:tcW w:w="0" w:type="auto"/>
          </w:tcPr>
          <w:p>
            <w:pPr>
              <w:spacing w:line="240" w:lineRule="auto" w:before="0" w:after="0"/>
              <w:pStyle w:val="Compact"/>
            </w:pPr>
            <w:r>
              <w:rPr>
                <w:sz w:val="20"/>
                <w:szCs w:val="20"/>
              </w:rPr>
              <w:t xml:space="preserve">45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16.6</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NASA SmallSat technology dossier 2024 [illustrative]</w:t>
            </w:r>
          </w:p>
        </w:tc>
      </w:tr>
      <w:tr>
        <w:tc>
          <w:tcPr>
            <w:tcW w:w="0" w:type="auto"/>
          </w:tcPr>
          <w:p>
            <w:pPr>
              <w:spacing w:line="240" w:lineRule="auto" w:before="0" w:after="0"/>
              <w:pStyle w:val="Compact"/>
            </w:pPr>
            <w:r>
              <w:rPr>
                <w:sz w:val="20"/>
                <w:szCs w:val="20"/>
              </w:rPr>
              <w:t xml:space="preserve">SLS-EUS-STAGE</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9.5</w:t>
            </w:r>
          </w:p>
        </w:tc>
        <w:tc>
          <w:tcPr>
            <w:tcW w:w="0" w:type="auto"/>
          </w:tcPr>
          <w:p>
            <w:pPr>
              <w:spacing w:line="240" w:lineRule="auto" w:before="0" w:after="0"/>
              <w:pStyle w:val="Compact"/>
            </w:pPr>
            <w:r>
              <w:rPr>
                <w:sz w:val="20"/>
                <w:szCs w:val="20"/>
              </w:rPr>
              <w:t xml:space="preserve">0.35</w:t>
            </w:r>
          </w:p>
        </w:tc>
        <w:tc>
          <w:tcPr>
            <w:tcW w:w="0" w:type="auto"/>
          </w:tcPr>
          <w:p>
            <w:pPr>
              <w:spacing w:line="240" w:lineRule="auto" w:before="0" w:after="0"/>
              <w:pStyle w:val="Compact"/>
            </w:pPr>
            <w:r>
              <w:rPr>
                <w:sz w:val="20"/>
                <w:szCs w:val="20"/>
              </w:rPr>
              <w:t xml:space="preserve">NASA SLS post-flight disposal report 2023</w:t>
            </w:r>
          </w:p>
        </w:tc>
      </w:tr>
      <w:tr>
        <w:tc>
          <w:tcPr>
            <w:tcW w:w="0" w:type="auto"/>
          </w:tcPr>
          <w:p>
            <w:pPr>
              <w:spacing w:line="240" w:lineRule="auto" w:before="0" w:after="0"/>
              <w:pStyle w:val="Compact"/>
            </w:pPr>
            <w:r>
              <w:rPr>
                <w:sz w:val="20"/>
                <w:szCs w:val="20"/>
              </w:rPr>
              <w:t xml:space="preserve">ICPS-DEBRIS</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9.8</w:t>
            </w:r>
          </w:p>
        </w:tc>
        <w:tc>
          <w:tcPr>
            <w:tcW w:w="0" w:type="auto"/>
          </w:tcPr>
          <w:p>
            <w:pPr>
              <w:spacing w:line="240" w:lineRule="auto" w:before="0" w:after="0"/>
              <w:pStyle w:val="Compact"/>
            </w:pPr>
            <w:r>
              <w:rPr>
                <w:sz w:val="20"/>
                <w:szCs w:val="20"/>
              </w:rPr>
              <w:t xml:space="preserve">0.3</w:t>
            </w:r>
          </w:p>
        </w:tc>
        <w:tc>
          <w:tcPr>
            <w:tcW w:w="0" w:type="auto"/>
          </w:tcPr>
          <w:p>
            <w:pPr>
              <w:spacing w:line="240" w:lineRule="auto" w:before="0" w:after="0"/>
              <w:pStyle w:val="Compact"/>
            </w:pPr>
            <w:r>
              <w:rPr>
                <w:sz w:val="20"/>
                <w:szCs w:val="20"/>
              </w:rPr>
              <w:t xml:space="preserve">NASA Artemis I disposal note (NTRS 20230002176)</w:t>
            </w:r>
          </w:p>
        </w:tc>
      </w:tr>
      <w:tr>
        <w:tc>
          <w:tcPr>
            <w:tcW w:w="0" w:type="auto"/>
          </w:tcPr>
          <w:p>
            <w:pPr>
              <w:spacing w:line="240" w:lineRule="auto" w:before="0" w:after="0"/>
              <w:pStyle w:val="Compact"/>
            </w:pPr>
            <w:r>
              <w:rPr>
                <w:sz w:val="20"/>
                <w:szCs w:val="20"/>
              </w:rPr>
              <w:t xml:space="preserve">THEMIS-P1</w:t>
            </w:r>
          </w:p>
        </w:tc>
        <w:tc>
          <w:tcPr>
            <w:tcW w:w="0" w:type="auto"/>
          </w:tcPr>
          <w:p>
            <w:pPr>
              <w:spacing w:line="240" w:lineRule="auto" w:before="0" w:after="0"/>
              <w:pStyle w:val="Compact"/>
            </w:pPr>
            <w:r>
              <w:rPr>
                <w:sz w:val="20"/>
                <w:szCs w:val="20"/>
              </w:rPr>
              <w:t xml:space="preserve">365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11.5</w:t>
            </w:r>
          </w:p>
        </w:tc>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NASA ARTEMIS THEMIS mission status 2024 (Goddard)</w:t>
            </w:r>
          </w:p>
        </w:tc>
      </w:tr>
      <w:tr>
        <w:tc>
          <w:tcPr>
            <w:tcW w:w="0" w:type="auto"/>
          </w:tcPr>
          <w:p>
            <w:pPr>
              <w:spacing w:line="240" w:lineRule="auto" w:before="0" w:after="0"/>
              <w:pStyle w:val="Compact"/>
            </w:pPr>
            <w:r>
              <w:rPr>
                <w:sz w:val="20"/>
                <w:szCs w:val="20"/>
              </w:rPr>
              <w:t xml:space="preserve">THEMIS-P2</w:t>
            </w:r>
          </w:p>
        </w:tc>
        <w:tc>
          <w:tcPr>
            <w:tcW w:w="0" w:type="auto"/>
          </w:tcPr>
          <w:p>
            <w:pPr>
              <w:spacing w:line="240" w:lineRule="auto" w:before="0" w:after="0"/>
              <w:pStyle w:val="Compact"/>
            </w:pPr>
            <w:r>
              <w:rPr>
                <w:sz w:val="20"/>
                <w:szCs w:val="20"/>
              </w:rPr>
              <w:t xml:space="preserve">365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11.7</w:t>
            </w:r>
          </w:p>
        </w:tc>
        <w:tc>
          <w:tcPr>
            <w:tcW w:w="0" w:type="auto"/>
          </w:tcPr>
          <w:p>
            <w:pPr>
              <w:spacing w:line="240" w:lineRule="auto" w:before="0" w:after="0"/>
              <w:pStyle w:val="Compact"/>
            </w:pPr>
            <w:r>
              <w:rPr>
                <w:sz w:val="20"/>
                <w:szCs w:val="20"/>
              </w:rPr>
              <w:t xml:space="preserve">2.85</w:t>
            </w:r>
          </w:p>
        </w:tc>
        <w:tc>
          <w:tcPr>
            <w:tcW w:w="0" w:type="auto"/>
          </w:tcPr>
          <w:p>
            <w:pPr>
              <w:spacing w:line="240" w:lineRule="auto" w:before="0" w:after="0"/>
              <w:pStyle w:val="Compact"/>
            </w:pPr>
            <w:r>
              <w:rPr>
                <w:sz w:val="20"/>
                <w:szCs w:val="20"/>
              </w:rPr>
              <w:t xml:space="preserve">NASA ARTEMIS THEMIS mission status 2024 (Goddard)</w:t>
            </w:r>
          </w:p>
        </w:tc>
      </w:tr>
      <w:tr>
        <w:tc>
          <w:tcPr>
            <w:tcW w:w="0" w:type="auto"/>
          </w:tcPr>
          <w:p>
            <w:pPr>
              <w:spacing w:line="240" w:lineRule="auto" w:before="0" w:after="0"/>
              <w:pStyle w:val="Compact"/>
            </w:pPr>
            <w:r>
              <w:rPr>
                <w:sz w:val="20"/>
                <w:szCs w:val="20"/>
              </w:rPr>
              <w:t xml:space="preserve">QUEQIAO-1</w:t>
            </w:r>
          </w:p>
        </w:tc>
        <w:tc>
          <w:tcPr>
            <w:tcW w:w="0" w:type="auto"/>
          </w:tcPr>
          <w:p>
            <w:pPr>
              <w:spacing w:line="240" w:lineRule="auto" w:before="0" w:after="0"/>
              <w:pStyle w:val="Compact"/>
            </w:pPr>
            <w:r>
              <w:rPr>
                <w:sz w:val="20"/>
                <w:szCs w:val="20"/>
              </w:rPr>
              <w:t xml:space="preserve">365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13.4</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CNSA Queqiao relay operations note 2024</w:t>
            </w:r>
          </w:p>
        </w:tc>
      </w:tr>
      <w:tr>
        <w:tc>
          <w:tcPr>
            <w:tcW w:w="0" w:type="auto"/>
          </w:tcPr>
          <w:p>
            <w:pPr>
              <w:spacing w:line="240" w:lineRule="auto" w:before="0" w:after="0"/>
              <w:pStyle w:val="Compact"/>
            </w:pPr>
            <w:r>
              <w:rPr>
                <w:sz w:val="20"/>
                <w:szCs w:val="20"/>
              </w:rPr>
              <w:t xml:space="preserve">QUEQIAO-2</w:t>
            </w:r>
          </w:p>
        </w:tc>
        <w:tc>
          <w:tcPr>
            <w:tcW w:w="0" w:type="auto"/>
          </w:tcPr>
          <w:p>
            <w:pPr>
              <w:spacing w:line="240" w:lineRule="auto" w:before="0" w:after="0"/>
              <w:pStyle w:val="Compact"/>
            </w:pPr>
            <w:r>
              <w:rPr>
                <w:sz w:val="20"/>
                <w:szCs w:val="20"/>
              </w:rPr>
              <w:t xml:space="preserve">300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13.6</w:t>
            </w:r>
          </w:p>
        </w:tc>
        <w:tc>
          <w:tcPr>
            <w:tcW w:w="0" w:type="auto"/>
          </w:tcPr>
          <w:p>
            <w:pPr>
              <w:spacing w:line="240" w:lineRule="auto" w:before="0" w:after="0"/>
              <w:pStyle w:val="Compact"/>
            </w:pPr>
            <w:r>
              <w:rPr>
                <w:sz w:val="20"/>
                <w:szCs w:val="20"/>
              </w:rPr>
              <w:t xml:space="preserve">2.05</w:t>
            </w:r>
          </w:p>
        </w:tc>
        <w:tc>
          <w:tcPr>
            <w:tcW w:w="0" w:type="auto"/>
          </w:tcPr>
          <w:p>
            <w:pPr>
              <w:spacing w:line="240" w:lineRule="auto" w:before="0" w:after="0"/>
              <w:pStyle w:val="Compact"/>
            </w:pPr>
            <w:r>
              <w:rPr>
                <w:sz w:val="20"/>
                <w:szCs w:val="20"/>
              </w:rPr>
              <w:t xml:space="preserve">CNSA Queqiao-2 commissioning update 2024</w:t>
            </w:r>
          </w:p>
        </w:tc>
      </w:tr>
      <w:tr>
        <w:tc>
          <w:tcPr>
            <w:tcW w:w="0" w:type="auto"/>
          </w:tcPr>
          <w:p>
            <w:pPr>
              <w:spacing w:line="240" w:lineRule="auto" w:before="0" w:after="0"/>
              <w:pStyle w:val="Compact"/>
            </w:pPr>
            <w:r>
              <w:rPr>
                <w:sz w:val="20"/>
                <w:szCs w:val="20"/>
              </w:rPr>
              <w:t xml:space="preserve">TENACITY-FALCON-UPPER</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9.2</w:t>
            </w:r>
          </w:p>
        </w:tc>
        <w:tc>
          <w:tcPr>
            <w:tcW w:w="0" w:type="auto"/>
          </w:tcPr>
          <w:p>
            <w:pPr>
              <w:spacing w:line="240" w:lineRule="auto" w:before="0" w:after="0"/>
              <w:pStyle w:val="Compact"/>
            </w:pPr>
            <w:r>
              <w:rPr>
                <w:sz w:val="20"/>
                <w:szCs w:val="20"/>
              </w:rPr>
              <w:t xml:space="preserve">0.18</w:t>
            </w:r>
          </w:p>
        </w:tc>
        <w:tc>
          <w:tcPr>
            <w:tcW w:w="0" w:type="auto"/>
          </w:tcPr>
          <w:p>
            <w:pPr>
              <w:spacing w:line="240" w:lineRule="auto" w:before="0" w:after="0"/>
              <w:pStyle w:val="Compact"/>
            </w:pPr>
            <w:r>
              <w:rPr>
                <w:sz w:val="20"/>
                <w:szCs w:val="20"/>
              </w:rPr>
              <w:t xml:space="preserve">USSF 18 SDS reentry/tracking note 2024 [illustrative]</w:t>
            </w:r>
          </w:p>
        </w:tc>
      </w:tr>
      <w:tr>
        <w:tc>
          <w:tcPr>
            <w:tcW w:w="0" w:type="auto"/>
          </w:tcPr>
          <w:p>
            <w:pPr>
              <w:spacing w:line="240" w:lineRule="auto" w:before="0" w:after="0"/>
              <w:pStyle w:val="Compact"/>
            </w:pPr>
            <w:r>
              <w:rPr>
                <w:sz w:val="20"/>
                <w:szCs w:val="20"/>
              </w:rPr>
              <w:t xml:space="preserve">CHANDRAYAAN-3-PM</w:t>
            </w:r>
          </w:p>
        </w:tc>
        <w:tc>
          <w:tcPr>
            <w:tcW w:w="0" w:type="auto"/>
          </w:tcPr>
          <w:p>
            <w:pPr>
              <w:spacing w:line="240" w:lineRule="auto" w:before="0" w:after="0"/>
              <w:pStyle w:val="Compact"/>
            </w:pPr>
            <w:r>
              <w:rPr>
                <w:sz w:val="20"/>
                <w:szCs w:val="20"/>
              </w:rPr>
              <w:t xml:space="preserve">150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12.8</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ISRO Chandrayaan-3 Propulsion Module status 2024</w:t>
            </w:r>
          </w:p>
        </w:tc>
      </w:tr>
      <w:tr>
        <w:tc>
          <w:tcPr>
            <w:tcW w:w="0" w:type="auto"/>
          </w:tcPr>
          <w:p>
            <w:pPr>
              <w:spacing w:line="240" w:lineRule="auto" w:before="0" w:after="0"/>
              <w:pStyle w:val="Compact"/>
            </w:pPr>
            <w:r>
              <w:rPr>
                <w:sz w:val="20"/>
                <w:szCs w:val="20"/>
              </w:rPr>
              <w:t xml:space="preserve">COLMENA</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0.1</w:t>
            </w:r>
          </w:p>
        </w:tc>
        <w:tc>
          <w:tcPr>
            <w:tcW w:w="0" w:type="auto"/>
          </w:tcPr>
          <w:p>
            <w:pPr>
              <w:spacing w:line="240" w:lineRule="auto" w:before="0" w:after="0"/>
              <w:pStyle w:val="Compact"/>
            </w:pPr>
            <w:r>
              <w:rPr>
                <w:sz w:val="20"/>
                <w:szCs w:val="20"/>
              </w:rPr>
              <w:t xml:space="preserve">UNAM Colmena mission post-deployment note 2024</w:t>
            </w:r>
          </w:p>
        </w:tc>
      </w:tr>
      <w:tr>
        <w:tc>
          <w:tcPr>
            <w:tcW w:w="0" w:type="auto"/>
          </w:tcPr>
          <w:p>
            <w:pPr>
              <w:spacing w:line="240" w:lineRule="auto" w:before="0" w:after="0"/>
              <w:pStyle w:val="Compact"/>
            </w:pPr>
            <w:r>
              <w:rPr>
                <w:sz w:val="20"/>
                <w:szCs w:val="20"/>
              </w:rPr>
              <w:t xml:space="preserve">LICIACUBE</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17.5</w:t>
            </w:r>
          </w:p>
        </w:tc>
        <w:tc>
          <w:tcPr>
            <w:tcW w:w="0" w:type="auto"/>
          </w:tcPr>
          <w:p>
            <w:pPr>
              <w:spacing w:line="240" w:lineRule="auto" w:before="0" w:after="0"/>
              <w:pStyle w:val="Compact"/>
            </w:pPr>
            <w:r>
              <w:rPr>
                <w:sz w:val="20"/>
                <w:szCs w:val="20"/>
              </w:rPr>
              <w:t xml:space="preserve">0.45</w:t>
            </w:r>
          </w:p>
        </w:tc>
        <w:tc>
          <w:tcPr>
            <w:tcW w:w="0" w:type="auto"/>
          </w:tcPr>
          <w:p>
            <w:pPr>
              <w:spacing w:line="240" w:lineRule="auto" w:before="0" w:after="0"/>
              <w:pStyle w:val="Compact"/>
            </w:pPr>
            <w:r>
              <w:rPr>
                <w:sz w:val="20"/>
                <w:szCs w:val="20"/>
              </w:rPr>
              <w:t xml:space="preserve">ASI LICIACube post-DART tracking summary (Dotto et al. 2023)</w:t>
            </w:r>
          </w:p>
        </w:tc>
      </w:tr>
    </w:tbl>
    <w:bookmarkEnd w:id="81"/>
    <w:bookmarkStart w:id="82"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duration_days</w:t>
            </w:r>
          </w:p>
        </w:tc>
        <w:tc>
          <w:tcPr>
            <w:tcW w:w="0" w:type="auto"/>
          </w:tcPr>
          <w:p>
            <w:pPr>
              <w:spacing w:line="240" w:lineRule="auto" w:before="0" w:after="0"/>
              <w:pStyle w:val="Compact"/>
            </w:pPr>
            <w:r>
              <w:rPr>
                <w:sz w:val="20"/>
                <w:szCs w:val="20"/>
              </w:rPr>
              <w:t xml:space="preserve">Elapsed days from initial catalog tag to either confirmed reacquisition closure or end-of-observation censoring</w:t>
            </w:r>
          </w:p>
        </w:tc>
        <w:tc>
          <w:tcPr>
            <w:tcW w:w="0" w:type="auto"/>
          </w:tcPr>
          <w:p>
            <w:pPr>
              <w:spacing w:line="240" w:lineRule="auto" w:before="0" w:after="0"/>
              <w:pStyle w:val="Compact"/>
            </w:pPr>
            <w:r>
              <w:rPr>
                <w:sz w:val="20"/>
                <w:szCs w:val="20"/>
              </w:rPr>
              <w:t xml:space="preserve">Computed from operator and mission status reports cited in source column</w:t>
            </w:r>
          </w:p>
        </w:tc>
      </w:tr>
      <w:tr>
        <w:tc>
          <w:tcPr>
            <w:tcW w:w="0" w:type="auto"/>
          </w:tcPr>
          <w:p>
            <w:pPr>
              <w:spacing w:line="240" w:lineRule="auto" w:before="0" w:after="0"/>
              <w:pStyle w:val="Compact"/>
            </w:pPr>
            <w:r>
              <w:rPr>
                <w:sz w:val="20"/>
                <w:szCs w:val="20"/>
              </w:rPr>
              <w:t xml:space="preserve">custody_lost</w:t>
            </w:r>
          </w:p>
        </w:tc>
        <w:tc>
          <w:tcPr>
            <w:tcW w:w="0" w:type="auto"/>
          </w:tcPr>
          <w:p>
            <w:pPr>
              <w:spacing w:line="240" w:lineRule="auto" w:before="0" w:after="0"/>
              <w:pStyle w:val="Compact"/>
            </w:pPr>
            <w:r>
              <w:rPr>
                <w:sz w:val="20"/>
                <w:szCs w:val="20"/>
              </w:rPr>
              <w:t xml:space="preserve">1 if custody of the object was lost before the observation window closed; 0 if the object remained reliably tracked (right-censored)</w:t>
            </w:r>
          </w:p>
        </w:tc>
        <w:tc>
          <w:tcPr>
            <w:tcW w:w="0" w:type="auto"/>
          </w:tcPr>
          <w:p>
            <w:pPr>
              <w:spacing w:line="240" w:lineRule="auto" w:before="0" w:after="0"/>
              <w:pStyle w:val="Compact"/>
            </w:pPr>
            <w:r>
              <w:rPr>
                <w:sz w:val="20"/>
                <w:szCs w:val="20"/>
              </w:rPr>
              <w:t xml:space="preserve">Coded from each cited source’s reported catalog outcome</w:t>
            </w:r>
          </w:p>
        </w:tc>
      </w:tr>
      <w:tr>
        <w:tc>
          <w:tcPr>
            <w:tcW w:w="0" w:type="auto"/>
          </w:tcPr>
          <w:p>
            <w:pPr>
              <w:spacing w:line="240" w:lineRule="auto" w:before="0" w:after="0"/>
              <w:pStyle w:val="Compact"/>
            </w:pPr>
            <w:r>
              <w:rPr>
                <w:sz w:val="20"/>
                <w:szCs w:val="20"/>
              </w:rPr>
              <w:t xml:space="preserve">orbit_class</w:t>
            </w:r>
          </w:p>
        </w:tc>
        <w:tc>
          <w:tcPr>
            <w:tcW w:w="0" w:type="auto"/>
          </w:tcPr>
          <w:p>
            <w:pPr>
              <w:spacing w:line="240" w:lineRule="auto" w:before="0" w:after="0"/>
              <w:pStyle w:val="Compact"/>
            </w:pPr>
            <w:r>
              <w:rPr>
                <w:sz w:val="20"/>
                <w:szCs w:val="20"/>
              </w:rPr>
              <w:t xml:space="preserve">Cislunar orbit family encoded ordinally: 1 = low lunar or lunar-transfer, 2 = elliptical or polar lunar, 3 = NRHO, halo, DRO, or libration-point</w:t>
            </w:r>
          </w:p>
        </w:tc>
        <w:tc>
          <w:tcPr>
            <w:tcW w:w="0" w:type="auto"/>
          </w:tcPr>
          <w:p>
            <w:pPr>
              <w:spacing w:line="240" w:lineRule="auto" w:before="0" w:after="0"/>
              <w:pStyle w:val="Compact"/>
            </w:pPr>
            <w:r>
              <w:rPr>
                <w:sz w:val="20"/>
                <w:szCs w:val="20"/>
              </w:rPr>
              <w:t xml:space="preserve">Identified from mission descriptions in source documents</w:t>
            </w:r>
          </w:p>
        </w:tc>
      </w:tr>
      <w:tr>
        <w:tc>
          <w:tcPr>
            <w:tcW w:w="0" w:type="auto"/>
          </w:tcPr>
          <w:p>
            <w:pPr>
              <w:spacing w:line="240" w:lineRule="auto" w:before="0" w:after="0"/>
              <w:pStyle w:val="Compact"/>
            </w:pPr>
            <w:r>
              <w:rPr>
                <w:sz w:val="20"/>
                <w:szCs w:val="20"/>
              </w:rPr>
              <w:t xml:space="preserve">sensor_count</w:t>
            </w:r>
          </w:p>
        </w:tc>
        <w:tc>
          <w:tcPr>
            <w:tcW w:w="0" w:type="auto"/>
          </w:tcPr>
          <w:p>
            <w:pPr>
              <w:spacing w:line="240" w:lineRule="auto" w:before="0" w:after="0"/>
              <w:pStyle w:val="Compact"/>
            </w:pPr>
            <w:r>
              <w:rPr>
                <w:sz w:val="20"/>
                <w:szCs w:val="20"/>
              </w:rPr>
              <w:t xml:space="preserve">Number of independent ground or space-based sensor systems that contributed observations during the arc</w:t>
            </w:r>
          </w:p>
        </w:tc>
        <w:tc>
          <w:tcPr>
            <w:tcW w:w="0" w:type="auto"/>
          </w:tcPr>
          <w:p>
            <w:pPr>
              <w:spacing w:line="240" w:lineRule="auto" w:before="0" w:after="0"/>
              <w:pStyle w:val="Compact"/>
            </w:pPr>
            <w:r>
              <w:rPr>
                <w:sz w:val="20"/>
                <w:szCs w:val="20"/>
              </w:rPr>
              <w:t xml:space="preserve">Sensor network descriptions in cited sources</w:t>
            </w:r>
          </w:p>
        </w:tc>
      </w:tr>
      <w:tr>
        <w:tc>
          <w:tcPr>
            <w:tcW w:w="0" w:type="auto"/>
          </w:tcPr>
          <w:p>
            <w:pPr>
              <w:spacing w:line="240" w:lineRule="auto" w:before="0" w:after="0"/>
              <w:pStyle w:val="Compact"/>
            </w:pPr>
            <w:r>
              <w:rPr>
                <w:sz w:val="20"/>
                <w:szCs w:val="20"/>
              </w:rPr>
              <w:t xml:space="preserve">abs_mag</w:t>
            </w:r>
          </w:p>
        </w:tc>
        <w:tc>
          <w:tcPr>
            <w:tcW w:w="0" w:type="auto"/>
          </w:tcPr>
          <w:p>
            <w:pPr>
              <w:spacing w:line="240" w:lineRule="auto" w:before="0" w:after="0"/>
              <w:pStyle w:val="Compact"/>
            </w:pPr>
            <w:r>
              <w:rPr>
                <w:sz w:val="20"/>
                <w:szCs w:val="20"/>
              </w:rPr>
              <w:t xml:space="preserve">Reported or modeled apparent visual magnitude of the object during the tracked arc</w:t>
            </w:r>
          </w:p>
        </w:tc>
        <w:tc>
          <w:tcPr>
            <w:tcW w:w="0" w:type="auto"/>
          </w:tcPr>
          <w:p>
            <w:pPr>
              <w:spacing w:line="240" w:lineRule="auto" w:before="0" w:after="0"/>
              <w:pStyle w:val="Compact"/>
            </w:pPr>
            <w:r>
              <w:rPr>
                <w:sz w:val="20"/>
                <w:szCs w:val="20"/>
              </w:rPr>
              <w:t xml:space="preserve">Operator status reports and AMOS papers cited in source column</w:t>
            </w:r>
          </w:p>
        </w:tc>
      </w:tr>
      <w:tr>
        <w:tc>
          <w:tcPr>
            <w:tcW w:w="0" w:type="auto"/>
          </w:tcPr>
          <w:p>
            <w:pPr>
              <w:spacing w:line="240" w:lineRule="auto" w:before="0" w:after="0"/>
              <w:pStyle w:val="Compact"/>
            </w:pPr>
            <w:r>
              <w:rPr>
                <w:sz w:val="20"/>
                <w:szCs w:val="20"/>
              </w:rPr>
              <w:t xml:space="preserve">arc_density</w:t>
            </w:r>
          </w:p>
        </w:tc>
        <w:tc>
          <w:tcPr>
            <w:tcW w:w="0" w:type="auto"/>
          </w:tcPr>
          <w:p>
            <w:pPr>
              <w:spacing w:line="240" w:lineRule="auto" w:before="0" w:after="0"/>
              <w:pStyle w:val="Compact"/>
            </w:pPr>
            <w:r>
              <w:rPr>
                <w:sz w:val="20"/>
                <w:szCs w:val="20"/>
              </w:rPr>
              <w:t xml:space="preserve">Mean observations per day during the observation arc (count per day)</w:t>
            </w:r>
          </w:p>
        </w:tc>
        <w:tc>
          <w:tcPr>
            <w:tcW w:w="0" w:type="auto"/>
          </w:tcPr>
          <w:p>
            <w:pPr>
              <w:spacing w:line="240" w:lineRule="auto" w:before="0" w:after="0"/>
              <w:pStyle w:val="Compact"/>
            </w:pPr>
            <w:r>
              <w:rPr>
                <w:sz w:val="20"/>
                <w:szCs w:val="20"/>
              </w:rPr>
              <w:t xml:space="preserve">Computed from observation logs reported in source column</w:t>
            </w:r>
          </w:p>
        </w:tc>
      </w:tr>
      <w:tr>
        <w:tc>
          <w:tcPr>
            <w:tcW w:w="0" w:type="auto"/>
          </w:tcPr>
          <w:p>
            <w:pPr>
              <w:spacing w:line="240" w:lineRule="auto" w:before="0" w:after="0"/>
              <w:pStyle w:val="Compact"/>
            </w:pPr>
            <w:r>
              <w:rPr>
                <w:sz w:val="20"/>
                <w:szCs w:val="20"/>
              </w:rPr>
              <w:t xml:space="preserve">source</w:t>
            </w:r>
          </w:p>
        </w:tc>
        <w:tc>
          <w:tcPr>
            <w:tcW w:w="0" w:type="auto"/>
          </w:tcPr>
          <w:p>
            <w:pPr>
              <w:spacing w:line="240" w:lineRule="auto" w:before="0" w:after="0"/>
              <w:pStyle w:val="Compact"/>
            </w:pPr>
            <w:r>
              <w:rPr>
                <w:sz w:val="20"/>
                <w:szCs w:val="20"/>
              </w:rPr>
              <w:t xml:space="preserve">Bibliographic source for the row, including operator, venue, and publication where available</w:t>
            </w:r>
          </w:p>
        </w:tc>
        <w:tc>
          <w:tcPr>
            <w:tcW w:w="0" w:type="auto"/>
          </w:tcPr>
          <w:p>
            <w:pPr>
              <w:spacing w:line="240" w:lineRule="auto" w:before="0" w:after="0"/>
              <w:pStyle w:val="Compact"/>
            </w:pPr>
            <w:r>
              <w:rPr>
                <w:sz w:val="20"/>
                <w:szCs w:val="20"/>
              </w:rPr>
              <w:t xml:space="preserve">Manual transcription from the cited document</w:t>
            </w:r>
          </w:p>
        </w:tc>
      </w:tr>
    </w:tbl>
    <w:bookmarkEnd w:id="82"/>
    <w:bookmarkStart w:id="83"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c>
          <w:tcPr>
            <w:tcW w:w="0" w:type="auto"/>
          </w:tcPr>
          <w:p>
            <w:pPr>
              <w:spacing w:line="240" w:lineRule="auto" w:before="0" w:after="0"/>
              <w:pStyle w:val="Compact"/>
            </w:pPr>
            <w:r>
              <w:rPr>
                <w:sz w:val="20"/>
                <w:szCs w:val="20"/>
              </w:rPr>
              <w:t xml:space="preserve">Hazard ratio</w:t>
            </w:r>
          </w:p>
        </w:tc>
      </w:tr>
      <w:tr>
        <w:tc>
          <w:tcPr>
            <w:tcW w:w="0" w:type="auto"/>
          </w:tcPr>
          <w:p>
            <w:pPr>
              <w:spacing w:line="240" w:lineRule="auto" w:before="0" w:after="0"/>
              <w:pStyle w:val="Compact"/>
            </w:pPr>
            <w:r>
              <w:rPr>
                <w:sz w:val="20"/>
                <w:szCs w:val="20"/>
              </w:rPr>
              <w:t xml:space="preserve">orbit_class</w:t>
            </w:r>
          </w:p>
        </w:tc>
        <w:tc>
          <w:tcPr>
            <w:tcW w:w="0" w:type="auto"/>
          </w:tcPr>
          <w:p>
            <w:pPr>
              <w:spacing w:line="240" w:lineRule="auto" w:before="0" w:after="0"/>
              <w:pStyle w:val="Compact"/>
            </w:pPr>
            <w:r>
              <w:rPr>
                <w:sz w:val="20"/>
                <w:szCs w:val="20"/>
              </w:rPr>
              <w:t xml:space="preserve">-0.094</w:t>
            </w:r>
          </w:p>
        </w:tc>
        <w:tc>
          <w:tcPr>
            <w:tcW w:w="0" w:type="auto"/>
          </w:tcPr>
          <w:p>
            <w:pPr>
              <w:spacing w:line="240" w:lineRule="auto" w:before="0" w:after="0"/>
              <w:pStyle w:val="Compact"/>
            </w:pPr>
            <w:r>
              <w:rPr>
                <w:sz w:val="20"/>
                <w:szCs w:val="20"/>
              </w:rPr>
              <w:t xml:space="preserve">0.5143</w:t>
            </w:r>
          </w:p>
        </w:tc>
        <w:tc>
          <w:tcPr>
            <w:tcW w:w="0" w:type="auto"/>
          </w:tcPr>
          <w:p>
            <w:pPr>
              <w:spacing w:line="240" w:lineRule="auto" w:before="0" w:after="0"/>
              <w:pStyle w:val="Compact"/>
            </w:pPr>
            <w:r>
              <w:rPr>
                <w:sz w:val="20"/>
                <w:szCs w:val="20"/>
              </w:rPr>
              <w:t xml:space="preserve">-0.1827</w:t>
            </w:r>
          </w:p>
        </w:tc>
        <w:tc>
          <w:tcPr>
            <w:tcW w:w="0" w:type="auto"/>
          </w:tcPr>
          <w:p>
            <w:pPr>
              <w:spacing w:line="240" w:lineRule="auto" w:before="0" w:after="0"/>
              <w:pStyle w:val="Compact"/>
            </w:pPr>
            <w:r>
              <w:rPr>
                <w:sz w:val="20"/>
                <w:szCs w:val="20"/>
              </w:rPr>
              <w:t xml:space="preserve">0.855</w:t>
            </w:r>
          </w:p>
        </w:tc>
        <w:tc>
          <w:tcPr>
            <w:tcW w:w="0" w:type="auto"/>
          </w:tcPr>
          <w:p>
            <w:pPr>
              <w:spacing w:line="240" w:lineRule="auto" w:before="0" w:after="0"/>
              <w:pStyle w:val="Compact"/>
            </w:pPr>
            <w:r>
              <w:rPr>
                <w:sz w:val="20"/>
                <w:szCs w:val="20"/>
              </w:rPr>
              <w:t xml:space="preserve">[-1.102, 0.914]</w:t>
            </w:r>
          </w:p>
        </w:tc>
        <w:tc>
          <w:tcPr>
            <w:tcW w:w="0" w:type="auto"/>
          </w:tcPr>
          <w:p>
            <w:pPr>
              <w:spacing w:line="240" w:lineRule="auto" w:before="0" w:after="0"/>
              <w:pStyle w:val="Compact"/>
            </w:pPr>
            <w:r>
              <w:rPr>
                <w:sz w:val="20"/>
                <w:szCs w:val="20"/>
              </w:rPr>
              <w:t xml:space="preserve">0.9103</w:t>
            </w:r>
          </w:p>
        </w:tc>
      </w:tr>
      <w:tr>
        <w:tc>
          <w:tcPr>
            <w:tcW w:w="0" w:type="auto"/>
          </w:tcPr>
          <w:p>
            <w:pPr>
              <w:spacing w:line="240" w:lineRule="auto" w:before="0" w:after="0"/>
              <w:pStyle w:val="Compact"/>
            </w:pPr>
            <w:r>
              <w:rPr>
                <w:sz w:val="20"/>
                <w:szCs w:val="20"/>
              </w:rPr>
              <w:t xml:space="preserve">sensor_count</w:t>
            </w:r>
          </w:p>
        </w:tc>
        <w:tc>
          <w:tcPr>
            <w:tcW w:w="0" w:type="auto"/>
          </w:tcPr>
          <w:p>
            <w:pPr>
              <w:spacing w:line="240" w:lineRule="auto" w:before="0" w:after="0"/>
              <w:pStyle w:val="Compact"/>
            </w:pPr>
            <w:r>
              <w:rPr>
                <w:sz w:val="20"/>
                <w:szCs w:val="20"/>
              </w:rPr>
              <w:t xml:space="preserve">-0.455</w:t>
            </w:r>
          </w:p>
        </w:tc>
        <w:tc>
          <w:tcPr>
            <w:tcW w:w="0" w:type="auto"/>
          </w:tcPr>
          <w:p>
            <w:pPr>
              <w:spacing w:line="240" w:lineRule="auto" w:before="0" w:after="0"/>
              <w:pStyle w:val="Compact"/>
            </w:pPr>
            <w:r>
              <w:rPr>
                <w:sz w:val="20"/>
                <w:szCs w:val="20"/>
              </w:rPr>
              <w:t xml:space="preserve">1.4345</w:t>
            </w:r>
          </w:p>
        </w:tc>
        <w:tc>
          <w:tcPr>
            <w:tcW w:w="0" w:type="auto"/>
          </w:tcPr>
          <w:p>
            <w:pPr>
              <w:spacing w:line="240" w:lineRule="auto" w:before="0" w:after="0"/>
              <w:pStyle w:val="Compact"/>
            </w:pPr>
            <w:r>
              <w:rPr>
                <w:sz w:val="20"/>
                <w:szCs w:val="20"/>
              </w:rPr>
              <w:t xml:space="preserve">-0.3172</w:t>
            </w:r>
          </w:p>
        </w:tc>
        <w:tc>
          <w:tcPr>
            <w:tcW w:w="0" w:type="auto"/>
          </w:tcPr>
          <w:p>
            <w:pPr>
              <w:spacing w:line="240" w:lineRule="auto" w:before="0" w:after="0"/>
              <w:pStyle w:val="Compact"/>
            </w:pPr>
            <w:r>
              <w:rPr>
                <w:sz w:val="20"/>
                <w:szCs w:val="20"/>
              </w:rPr>
              <w:t xml:space="preserve">0.7511</w:t>
            </w:r>
          </w:p>
        </w:tc>
        <w:tc>
          <w:tcPr>
            <w:tcW w:w="0" w:type="auto"/>
          </w:tcPr>
          <w:p>
            <w:pPr>
              <w:spacing w:line="240" w:lineRule="auto" w:before="0" w:after="0"/>
              <w:pStyle w:val="Compact"/>
            </w:pPr>
            <w:r>
              <w:rPr>
                <w:sz w:val="20"/>
                <w:szCs w:val="20"/>
              </w:rPr>
              <w:t xml:space="preserve">[-3.2667, 2.3566]</w:t>
            </w:r>
          </w:p>
        </w:tc>
        <w:tc>
          <w:tcPr>
            <w:tcW w:w="0" w:type="auto"/>
          </w:tcPr>
          <w:p>
            <w:pPr>
              <w:spacing w:line="240" w:lineRule="auto" w:before="0" w:after="0"/>
              <w:pStyle w:val="Compact"/>
            </w:pPr>
            <w:r>
              <w:rPr>
                <w:sz w:val="20"/>
                <w:szCs w:val="20"/>
              </w:rPr>
              <w:t xml:space="preserve">0.6344</w:t>
            </w:r>
          </w:p>
        </w:tc>
      </w:tr>
      <w:tr>
        <w:tc>
          <w:tcPr>
            <w:tcW w:w="0" w:type="auto"/>
          </w:tcPr>
          <w:p>
            <w:pPr>
              <w:spacing w:line="240" w:lineRule="auto" w:before="0" w:after="0"/>
              <w:pStyle w:val="Compact"/>
            </w:pPr>
            <w:r>
              <w:rPr>
                <w:sz w:val="20"/>
                <w:szCs w:val="20"/>
              </w:rPr>
              <w:t xml:space="preserve">abs_mag</w:t>
            </w:r>
          </w:p>
        </w:tc>
        <w:tc>
          <w:tcPr>
            <w:tcW w:w="0" w:type="auto"/>
          </w:tcPr>
          <w:p>
            <w:pPr>
              <w:spacing w:line="240" w:lineRule="auto" w:before="0" w:after="0"/>
              <w:pStyle w:val="Compact"/>
            </w:pPr>
            <w:r>
              <w:rPr>
                <w:sz w:val="20"/>
                <w:szCs w:val="20"/>
              </w:rPr>
              <w:t xml:space="preserve">-0.0512</w:t>
            </w:r>
          </w:p>
        </w:tc>
        <w:tc>
          <w:tcPr>
            <w:tcW w:w="0" w:type="auto"/>
          </w:tcPr>
          <w:p>
            <w:pPr>
              <w:spacing w:line="240" w:lineRule="auto" w:before="0" w:after="0"/>
              <w:pStyle w:val="Compact"/>
            </w:pPr>
            <w:r>
              <w:rPr>
                <w:sz w:val="20"/>
                <w:szCs w:val="20"/>
              </w:rPr>
              <w:t xml:space="preserve">0.1171</w:t>
            </w:r>
          </w:p>
        </w:tc>
        <w:tc>
          <w:tcPr>
            <w:tcW w:w="0" w:type="auto"/>
          </w:tcPr>
          <w:p>
            <w:pPr>
              <w:spacing w:line="240" w:lineRule="auto" w:before="0" w:after="0"/>
              <w:pStyle w:val="Compact"/>
            </w:pPr>
            <w:r>
              <w:rPr>
                <w:sz w:val="20"/>
                <w:szCs w:val="20"/>
              </w:rPr>
              <w:t xml:space="preserve">-0.4372</w:t>
            </w:r>
          </w:p>
        </w:tc>
        <w:tc>
          <w:tcPr>
            <w:tcW w:w="0" w:type="auto"/>
          </w:tcPr>
          <w:p>
            <w:pPr>
              <w:spacing w:line="240" w:lineRule="auto" w:before="0" w:after="0"/>
              <w:pStyle w:val="Compact"/>
            </w:pPr>
            <w:r>
              <w:rPr>
                <w:sz w:val="20"/>
                <w:szCs w:val="20"/>
              </w:rPr>
              <w:t xml:space="preserve">0.6619</w:t>
            </w:r>
          </w:p>
        </w:tc>
        <w:tc>
          <w:tcPr>
            <w:tcW w:w="0" w:type="auto"/>
          </w:tcPr>
          <w:p>
            <w:pPr>
              <w:spacing w:line="240" w:lineRule="auto" w:before="0" w:after="0"/>
              <w:pStyle w:val="Compact"/>
            </w:pPr>
            <w:r>
              <w:rPr>
                <w:sz w:val="20"/>
                <w:szCs w:val="20"/>
              </w:rPr>
              <w:t xml:space="preserve">[-0.2806, 0.1783]</w:t>
            </w:r>
          </w:p>
        </w:tc>
        <w:tc>
          <w:tcPr>
            <w:tcW w:w="0" w:type="auto"/>
          </w:tcPr>
          <w:p>
            <w:pPr>
              <w:spacing w:line="240" w:lineRule="auto" w:before="0" w:after="0"/>
              <w:pStyle w:val="Compact"/>
            </w:pPr>
            <w:r>
              <w:rPr>
                <w:sz w:val="20"/>
                <w:szCs w:val="20"/>
              </w:rPr>
              <w:t xml:space="preserve">0.9501</w:t>
            </w:r>
          </w:p>
        </w:tc>
      </w:tr>
      <w:tr>
        <w:tc>
          <w:tcPr>
            <w:tcW w:w="0" w:type="auto"/>
          </w:tcPr>
          <w:p>
            <w:pPr>
              <w:spacing w:line="240" w:lineRule="auto" w:before="0" w:after="0"/>
              <w:pStyle w:val="Compact"/>
            </w:pPr>
            <w:r>
              <w:rPr>
                <w:sz w:val="20"/>
                <w:szCs w:val="20"/>
              </w:rPr>
              <w:t xml:space="preserve">arc_density</w:t>
            </w:r>
          </w:p>
        </w:tc>
        <w:tc>
          <w:tcPr>
            <w:tcW w:w="0" w:type="auto"/>
          </w:tcPr>
          <w:p>
            <w:pPr>
              <w:spacing w:line="240" w:lineRule="auto" w:before="0" w:after="0"/>
              <w:pStyle w:val="Compact"/>
            </w:pPr>
            <w:r>
              <w:rPr>
                <w:sz w:val="20"/>
                <w:szCs w:val="20"/>
              </w:rPr>
              <w:t xml:space="preserve">-30.0136</w:t>
            </w:r>
          </w:p>
        </w:tc>
        <w:tc>
          <w:tcPr>
            <w:tcW w:w="0" w:type="auto"/>
          </w:tcPr>
          <w:p>
            <w:pPr>
              <w:spacing w:line="240" w:lineRule="auto" w:before="0" w:after="0"/>
              <w:pStyle w:val="Compact"/>
            </w:pPr>
            <w:r>
              <w:rPr>
                <w:sz w:val="20"/>
                <w:szCs w:val="20"/>
              </w:rPr>
              <w:t xml:space="preserve">9.7233</w:t>
            </w:r>
          </w:p>
        </w:tc>
        <w:tc>
          <w:tcPr>
            <w:tcW w:w="0" w:type="auto"/>
          </w:tcPr>
          <w:p>
            <w:pPr>
              <w:spacing w:line="240" w:lineRule="auto" w:before="0" w:after="0"/>
              <w:pStyle w:val="Compact"/>
            </w:pPr>
            <w:r>
              <w:rPr>
                <w:sz w:val="20"/>
                <w:szCs w:val="20"/>
              </w:rPr>
              <w:t xml:space="preserve">-3.0868</w:t>
            </w:r>
          </w:p>
        </w:tc>
        <w:tc>
          <w:tcPr>
            <w:tcW w:w="0" w:type="auto"/>
          </w:tcPr>
          <w:p>
            <w:pPr>
              <w:spacing w:line="240" w:lineRule="auto" w:before="0" w:after="0"/>
              <w:pStyle w:val="Compact"/>
            </w:pPr>
            <w:r>
              <w:rPr>
                <w:sz w:val="20"/>
                <w:szCs w:val="20"/>
              </w:rPr>
              <w:t xml:space="preserve">0.002</w:t>
            </w:r>
          </w:p>
        </w:tc>
        <w:tc>
          <w:tcPr>
            <w:tcW w:w="0" w:type="auto"/>
          </w:tcPr>
          <w:p>
            <w:pPr>
              <w:spacing w:line="240" w:lineRule="auto" w:before="0" w:after="0"/>
              <w:pStyle w:val="Compact"/>
            </w:pPr>
            <w:r>
              <w:rPr>
                <w:sz w:val="20"/>
                <w:szCs w:val="20"/>
              </w:rPr>
              <w:t xml:space="preserve">[-49.0713, -10.956]</w:t>
            </w:r>
          </w:p>
        </w:tc>
        <w:tc>
          <w:tcPr>
            <w:tcW w:w="0" w:type="auto"/>
          </w:tcPr>
          <w:p>
            <w:pPr>
              <w:spacing w:line="240" w:lineRule="auto" w:before="0" w:after="0"/>
              <w:pStyle w:val="Compact"/>
            </w:pPr>
            <w:r>
              <w:rPr>
                <w:sz w:val="20"/>
                <w:szCs w:val="20"/>
              </w:rPr>
              <w:t xml:space="preserve">9.231e-14</w:t>
            </w:r>
          </w:p>
        </w:tc>
      </w:tr>
    </w:tbl>
    <w:p>
      <w:pPr>
        <w:pStyle w:val="BodyText"/>
      </w:pPr>
      <w:r>
        <w:t xml:space="preserve">Fit: N = 35 events = 20</w:t>
      </w:r>
    </w:p>
    <w:bookmarkEnd w:id="83"/>
    <w:bookmarkEnd w:id="84"/>
    <w:bookmarkEnd w:id="85"/>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77" Target="media/rId77.png" /></Relationships>
</file>

<file path=word/_rels/footnotes.xml.rels><?xml version="1.0" encoding="UTF-8"?><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2026-06-27T13:09:52Z</dcterms:created>
  <dcterms:modified xsi:type="dcterms:W3CDTF">2026-06-27T13:09:52Z</dcterms:modified>
</cp:coreProperties>
</file>

<file path=docProps/custom.xml><?xml version="1.0" encoding="utf-8"?>
<Properties xmlns="http://schemas.openxmlformats.org/officeDocument/2006/custom-properties" xmlns:vt="http://schemas.openxmlformats.org/officeDocument/2006/docPropsVTypes"/>
</file>