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CATALOG CUSTODY GAPS: QUANTIFYING THE OBSERVABILITY HALF-LIFE OF CISLUNAR OBJECTS</w:t>
      </w:r>
    </w:p>
    <w:p>
      <w:pPr>
        <w:jc w:val="center"/>
      </w:pPr>
    </w:p>
    <w:p>
      <w:pPr>
        <w:jc w:val="center"/>
      </w:pPr>
      <w:r>
        <w:rPr>
          <w:rFonts w:ascii="Times New Roman" w:hAnsi="Times New Roman"/>
          <w:sz w:val="24"/>
        </w:rPr>
        <w:t>by</w:t>
      </w:r>
    </w:p>
    <w:p>
      <w:pPr>
        <w:jc w:val="center"/>
      </w:pPr>
      <w:r>
        <w:rPr>
          <w:rFonts w:ascii="Times New Roman" w:hAnsi="Times New Roman"/>
          <w:b/>
          <w:sz w:val="28"/>
        </w:rPr>
        <w:t>Idris Lund</w:t>
      </w:r>
    </w:p>
    <w:p>
      <w:pPr>
        <w:jc w:val="center"/>
      </w:pPr>
      <w:r>
        <w:rPr>
          <w:rFonts w:ascii="Times New Roman" w:hAnsi="Times New Roman"/>
          <w:sz w:val="24"/>
        </w:rPr>
        <w:t>1B-SDA-094</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The cislunar regime, defined here as the volume of space extending from geosynchronous altitude outward through the Earth-Moon Lagrange points and the lunar vicinity, is in the process of becoming an operational theater for civil exploration, scientific instrumentation, commercial logistics, and a still-emerging set of national-security activities. The Space Domain Awareness (SDA) architecture that the United States and its partners inherit from the Cold War and the geosynchronous era was not designed for this volume. Legacy ground-based optical and radar networks were sized against near-Earth revisit cadences measured in hours and against target brightnesses several orders of magnitude greater than those typical of objects beyond geosynchronous orbit [1, 3]. As cislunar traffic expands, the SDA enterprise is being asked to maintain custody of cooperative and noncooperative objects across a regime where dynamical sensitivity, illumination geometry, and sensor capacity all degrade simultaneously [2, 3, 5].</w:t>
      </w:r>
    </w:p>
    <w:p>
      <w:pPr>
        <w:pStyle w:val="BodyText"/>
        <w:spacing w:line="480" w:lineRule="auto"/>
        <w:ind w:firstLine="720"/>
      </w:pPr>
      <w:r>
        <w:t xml:space="preserve">The operational consequence is a custody problem rather than a detection problem. A cislunar resident space object can be detected and cataloged, and yet the elapsed time between the tagging fix and the next reacquisition can be long enough that the propagated uncertainty volume exceeds any plausible search field of regard. When this happens, custody is lost in fact even though the object remains in the catalog as a nominal entry. Operational catalogs report custody as a binary state, maintained or lost, while architecture studies size sensor networks against assumed observability rather than measured custody decay. A Lagrange halo target with a known last observation looks, in a catalog, identical to a recently observed lunar-transfer object until the moment one is declared lost. The interval between fix and effective loss is the quantity that determines whether a sensor architecture is adequate to a mission, and it is precisely the quantity that the current literature does not measure.</w:t>
      </w:r>
    </w:p>
    <w:p>
      <w:pPr>
        <w:pStyle w:val="BodyText"/>
        <w:spacing w:line="480" w:lineRule="auto"/>
        <w:ind w:firstLine="720"/>
      </w:pPr>
      <w:r>
        <w:t xml:space="preserve">For NASA and for the Jet Propulsion Laboratory (JPL), the stakes of this gap are immediate. NASA’s Artemis campaign places crewed and uncrewed assets in near-rectilinear halo orbits (NRHO), L1 and L2 halo vicinities, distant retrograde orbits (DRO), and on ballistic lunar transfers, each of which presents a distinct dynamical regime with its own observability signature [11, 16]. The CAPSTONE precursor mission, the Artemis I CubeSat campaign, and the Gateway program have each, in their published status records, identified custody and revisit cadence as binding constraints rather than as comfort variables [11, 13]. JPL’s role as the architect and operator of a substantial fraction of NASA’s deep-space tracking and navigation infrastructure means that any quantified estimate of custody decay translates directly into a requirement on the Deep Space Network successor architecture, on the sizing of any cislunar-dedicated optical asset, and on the prioritization of partner contributions from commercial and allied sensor providers. JPL also faces the recompete pressure that NASA announced in 2026, which sharpens the institutional incentive to anchor architecture trades in measurable empirical parameters rather than in assumed observability budgets.</w:t>
      </w:r>
    </w:p>
    <w:p>
      <w:pPr>
        <w:pStyle w:val="BodyText"/>
        <w:spacing w:line="480" w:lineRule="auto"/>
        <w:ind w:firstLine="720"/>
      </w:pPr>
      <w:r>
        <w:t xml:space="preserve">The stakes extend beyond civil exploration. Behavioral and strategic treatments of L1 and L2 SDA have begun to model the cislunar environment as a Bayesian game in which actor incentives depend on detection probabilities and revisit cadences</w:t>
      </w:r>
      <w:r>
        <w:t xml:space="preserve"> </w:t>
      </w:r>
      <w:hyperlink w:anchor="ref-8">
        <w:r>
          <w:rPr>
            <w:rStyle w:val="Hyperlink"/>
          </w:rPr>
          <w:t xml:space="preserve">[8]</w:t>
        </w:r>
      </w:hyperlink>
      <w:r>
        <w:t xml:space="preserve">. Those models cannot be calibrated without empirical detection-likelihood parameters. International coordination on cislunar space traffic management, including the Moon-to-Mars framework developed under IAA auspices</w:t>
      </w:r>
      <w:r>
        <w:t xml:space="preserve"> </w:t>
      </w:r>
      <w:hyperlink w:anchor="ref-38">
        <w:r>
          <w:rPr>
            <w:rStyle w:val="Hyperlink"/>
          </w:rPr>
          <w:t xml:space="preserve">[38]</w:t>
        </w:r>
      </w:hyperlink>
      <w:r>
        <w:t xml:space="preserve">, similarly depends on a shared empirical vocabulary for custody risk. In the absence of measured custody decay, each actor proceeds on the basis of an assumed observability budget that the others cannot verify, and the conditions for cooperative catalog sharing erode. The empirical question, then, is not merely an engineering question. It is the question on which architecture, doctrine, and treaty verification all depend.</w:t>
      </w:r>
    </w:p>
    <w:bookmarkEnd w:id="61"/>
    <w:bookmarkStart w:id="62" w:name="X68d02ad7a5e1fef9fcd6b89471dd20e7a093eba"/>
    <w:p>
      <w:pPr>
        <w:pStyle w:val="Heading2"/>
        <w:spacing w:line="480" w:lineRule="auto"/>
      </w:pPr>
      <w:r>
        <w:t xml:space="preserve">1.2 The Two Literatures and the Gap Between Them</w:t>
      </w:r>
    </w:p>
    <w:p>
      <w:pPr>
        <w:pStyle w:val="FirstParagraph"/>
        <w:spacing w:line="480" w:lineRule="auto"/>
      </w:pPr>
      <w:r>
        <w:t xml:space="preserve">This dissertation sits at the intersection of two technical literatures that have, so far, developed largely in parallel without speaking to one another in a common quantitative idiom.</w:t>
      </w:r>
    </w:p>
    <w:p>
      <w:pPr>
        <w:pStyle w:val="BodyText"/>
        <w:spacing w:line="480" w:lineRule="auto"/>
        <w:ind w:firstLine="720"/>
      </w:pPr>
      <w:r>
        <w:t xml:space="preserve">The first is the cislunar SDA and orbit determination literature, anchored by the Advanced Maui Optical and Space Surveillance Technologies (AMOS) conference series and supplemented by Acta Astronautica articles on space situational awareness. This literature has produced strong, technically detailed treatments of the dynamical and sensor-side challenges that distinguish cislunar custody from its near-Earth analogue. The Chang’e-5 tracking case documented by Furfaro and colleagues established that real cislunar optical arcs can be obtained through ground-based assets but that observation epochs and residuals constrain reachable orbit-determination accuracy in ways that near-Earth tracking does not</w:t>
      </w:r>
      <w:r>
        <w:t xml:space="preserve"> </w:t>
      </w:r>
      <w:hyperlink w:anchor="ref-1">
        <w:r>
          <w:rPr>
            <w:rStyle w:val="Hyperlink"/>
          </w:rPr>
          <w:t xml:space="preserve">[1]</w:t>
        </w:r>
      </w:hyperlink>
      <w:r>
        <w:t xml:space="preserve">. Adaptive filtering work has shown that maneuvering objects in this regime require treatment beyond standard extended Kalman approaches</w:t>
      </w:r>
      <w:r>
        <w:t xml:space="preserve"> </w:t>
      </w:r>
      <w:hyperlink w:anchor="ref-2">
        <w:r>
          <w:rPr>
            <w:rStyle w:val="Hyperlink"/>
          </w:rPr>
          <w:t xml:space="preserve">[2]</w:t>
        </w:r>
      </w:hyperlink>
      <w:r>
        <w:t xml:space="preserve">. Capacity-based architecture optimization has framed the sizing of cislunar sensor networks in terms of objects tracked per unit time and coverage maps that assume idealized tasking</w:t>
      </w:r>
      <w:r>
        <w:t xml:space="preserve"> </w:t>
      </w:r>
      <w:hyperlink w:anchor="ref-3">
        <w:r>
          <w:rPr>
            <w:rStyle w:val="Hyperlink"/>
          </w:rPr>
          <w:t xml:space="preserve">[3]</w:t>
        </w:r>
      </w:hyperlink>
      <w:r>
        <w:t xml:space="preserve">. Custody prediction work has framed custody as a binary fusion outcome [4, 29]. Initial orbit determination using the Constrained Admissible Region with multiple-hypothesis filtering has been developed for the case of newly detected cislunar objects</w:t>
      </w:r>
      <w:r>
        <w:t xml:space="preserve"> </w:t>
      </w:r>
      <w:hyperlink w:anchor="ref-5">
        <w:r>
          <w:rPr>
            <w:rStyle w:val="Hyperlink"/>
          </w:rPr>
          <w:t xml:space="preserve">[5]</w:t>
        </w:r>
      </w:hyperlink>
      <w:r>
        <w:t xml:space="preserve">. Custody maintenance algorithms have been benchmarked on representative scenarios [6, 31]. Gaussian-mixture-model filters for periodic orbits, data-fusion improvements, multi-fidelity propagation, pole-sitter geometries, and visibility-informed covariance analyses have all been advanced as components of a maturing cislunar SDA toolkit [10, 11, 13, 14, 16]. The too-short-arc and weak-observability pathologies that distinguish cislunar OD have been catalogued</w:t>
      </w:r>
      <w:r>
        <w:t xml:space="preserve"> </w:t>
      </w:r>
      <w:hyperlink w:anchor="ref-27">
        <w:r>
          <w:rPr>
            <w:rStyle w:val="Hyperlink"/>
          </w:rPr>
          <w:t xml:space="preserve">[27]</w:t>
        </w:r>
      </w:hyperlink>
      <w:r>
        <w:t xml:space="preserve">. Sensor tasking for catalog maintenance, in adjacent regimes, has been treated as an optimization problem</w:t>
      </w:r>
      <w:r>
        <w:t xml:space="preserve"> </w:t>
      </w:r>
      <w:hyperlink w:anchor="ref-40">
        <w:r>
          <w:rPr>
            <w:rStyle w:val="Hyperlink"/>
          </w:rPr>
          <w:t xml:space="preserve">[40]</w:t>
        </w:r>
      </w:hyperlink>
      <w:r>
        <w:t xml:space="preserve">.</w:t>
      </w:r>
    </w:p>
    <w:p>
      <w:pPr>
        <w:pStyle w:val="BodyText"/>
        <w:spacing w:line="480" w:lineRule="auto"/>
        <w:ind w:firstLine="720"/>
      </w:pPr>
      <w:r>
        <w:t xml:space="preserve">What this literature does not provide is an empirical, regime-stratified estimate of the time-evolution of custody risk. The survey by Kazemi and colleagues, the most comprehensive recent synthesis of orbit determination methods for SDA, catalogs methods but does not deliver a regime-stratified empirical custody-decay function for the cislunar volume [7, 34]. Givens and colleagues, in the most recent Advanced Space contribution, introduce uncertainty-management primitives for cislunar catalog maintenance but report algorithmic performance metrics rather than a time-to-loss distribution conditioned on regime and sensor architecture [6, 31]. O’Neil’s MITRE work treats custody as a binary fusion outcome rather than as a continuous survival function [4, 29]. Evans and colleagues advance visibility-informed covariance analysis for periodic orbits, but the analysis is forward-looking from a sensor-tasking perspective rather than backward-looking from a custody-survival perspective</w:t>
      </w:r>
      <w:r>
        <w:t xml:space="preserve"> </w:t>
      </w:r>
      <w:hyperlink w:anchor="ref-16">
        <w:r>
          <w:rPr>
            <w:rStyle w:val="Hyperlink"/>
          </w:rPr>
          <w:t xml:space="preserve">[16]</w:t>
        </w:r>
      </w:hyperlink>
      <w:r>
        <w:t xml:space="preserve">. The community has, in short, produced the algorithmic ingredients for measuring custody decay without yet producing the measurement itself.</w:t>
      </w:r>
    </w:p>
    <w:p>
      <w:pPr>
        <w:pStyle w:val="BodyText"/>
        <w:spacing w:line="480" w:lineRule="auto"/>
        <w:ind w:firstLine="720"/>
      </w:pPr>
      <w:r>
        <w:t xml:space="preserve">The second literature is the econometric and survival-analysis methodological tradition. This tradition supplies the tools that are well-matched to the empirical question at hand. Survival analysis with right-censoring, the Kaplan-Meier estimator, the log-rank test, and the Cox proportional-hazards model are mature instruments for analyzing time-to-event data in which the event of interest is not always observed within the study window. Panel-style ordinary least squares regression with heteroskedasticity-consistent standard errors is the standard instrument for pooling observations across heterogeneous studies and recovering first-order leverage on a dependent variable. These tools are routine in biostatistics, in industrial reliability analysis, and in the social sciences. They have not, to my knowledge, been brought to bear on the cislunar custody question in the published record. The cislunar SDA literature reports event counts and algorithmic outputs; it does not report hazard ratios, survival curves, or pooled regression coefficients with quantified standard errors and explicit identification strategies.</w:t>
      </w:r>
    </w:p>
    <w:p>
      <w:pPr>
        <w:pStyle w:val="BodyText"/>
        <w:spacing w:line="480" w:lineRule="auto"/>
        <w:ind w:firstLine="720"/>
      </w:pPr>
      <w:r>
        <w:t xml:space="preserve">The gap is therefore not a gap in either literature taken alone. It is a gap between them. The cislunar literature has the data and the dynamical models. The econometric and survival-analysis literature has the estimators and the identification logic. No published work has yet combined the two to produce a regime-stratified empirical estimate of the observability half-life of cataloged cislunar objects, with quantified uncertainty bounds, an explicit sensor-tier conditioning, and a falsifiable null hypothesis. This dissertation is an attempt to close that gap.</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contribution of this dissertation can be stated precisely. The dissertation defines the observability half-life of a cataloged cislunar object as the elapsed time after the last optical fix at which the marginal probability of reacquisition within a defined search volume falls below one half. The half-life is a property of a population of objects within a regime stratum, conditioned on a reference sensor tier, and is estimated from data as the median of a fitted survival distribution.</w:t>
      </w:r>
    </w:p>
    <w:p>
      <w:pPr>
        <w:pStyle w:val="BodyText"/>
        <w:spacing w:line="480" w:lineRule="auto"/>
        <w:ind w:firstLine="720"/>
      </w:pPr>
      <w:r>
        <w:t xml:space="preserve">The null and alternative hypotheses are stated as follows.</w:t>
      </w:r>
    </w:p>
    <w:p>
      <w:pPr>
        <w:pStyle w:val="BodyText"/>
        <w:spacing w:line="480" w:lineRule="auto"/>
        <w:ind w:firstLine="720"/>
      </w:pPr>
      <w:r>
        <w:rPr>
          <w:b/>
          <w:bCs/>
        </w:rPr>
        <w:t xml:space="preserve">H0 (null).</w:t>
      </w:r>
      <w:r>
        <w:t xml:space="preserve"> </w:t>
      </w:r>
      <w:r>
        <w:t xml:space="preserve">The observability half-life of cataloged cislunar objects is invariant across regime strata, comprising low lunar orbit (LLO), near-rectilinear halo orbits (NRHO), the L1 and L2 halo vicinity, and ballistic lunar transfer, when conditioned on a fixed reference sensor tier drawn from the capacity-based architecture taxonomy</w:t>
      </w:r>
      <w:r>
        <w:t xml:space="preserve"> </w:t>
      </w:r>
      <w:hyperlink w:anchor="ref-3">
        <w:r>
          <w:rPr>
            <w:rStyle w:val="Hyperlink"/>
          </w:rPr>
          <w:t xml:space="preserve">[3]</w:t>
        </w:r>
      </w:hyperlink>
      <w:r>
        <w:t xml:space="preserve">.</w:t>
      </w:r>
    </w:p>
    <w:p>
      <w:pPr>
        <w:pStyle w:val="BodyText"/>
        <w:spacing w:line="480" w:lineRule="auto"/>
        <w:ind w:firstLine="720"/>
      </w:pPr>
      <w:r>
        <w:rPr>
          <w:b/>
          <w:bCs/>
        </w:rPr>
        <w:t xml:space="preserve">H1 (alternative).</w:t>
      </w:r>
      <w:r>
        <w:t xml:space="preserve"> </w:t>
      </w:r>
      <w:r>
        <w:t xml:space="preserve">The observability half-life varies by at least a factor of three across regime strata under the same reference sensor tier, with the L1 and L2 vicinity exhibiting the shortest half-life at the 95 percent confidence level.</w:t>
      </w:r>
    </w:p>
    <w:p>
      <w:pPr>
        <w:pStyle w:val="BodyText"/>
        <w:spacing w:line="480" w:lineRule="auto"/>
        <w:ind w:firstLine="720"/>
      </w:pPr>
      <w:r>
        <w:t xml:space="preserve">Rejecting H0 in favor of H1 supplies the empirical parameter that current capacity-based architecture optimizations assume but do not measure</w:t>
      </w:r>
      <w:r>
        <w:t xml:space="preserve"> </w:t>
      </w:r>
      <w:hyperlink w:anchor="ref-3">
        <w:r>
          <w:rPr>
            <w:rStyle w:val="Hyperlink"/>
          </w:rPr>
          <w:t xml:space="preserve">[3]</w:t>
        </w:r>
      </w:hyperlink>
      <w:r>
        <w:t xml:space="preserve">, that custody-maintenance algorithm benchmarks treat as a scenario constant rather than as a population property [6, 31], and that Bayesian-game treatments of L1 and L2 SDA take as an exogenous input rather than as a calibrated quantity</w:t>
      </w:r>
      <w:r>
        <w:t xml:space="preserve"> </w:t>
      </w:r>
      <w:hyperlink w:anchor="ref-8">
        <w:r>
          <w:rPr>
            <w:rStyle w:val="Hyperlink"/>
          </w:rPr>
          <w:t xml:space="preserve">[8]</w:t>
        </w:r>
      </w:hyperlink>
      <w:r>
        <w:t xml:space="preserve">. The contribution is a single regime-stratified custody decay curve, with Greenwood confidence bands, a stratified log-rank test result, and a Cox proportional-hazards estimate of the marginal contributions of orbit family, sensor count, target apparent magnitude, and observation density to the instantaneous hazard of custody loss. Two companion analyses, an OLS panel regression of end-of-arc position uncertainty on observable design choices and a Cox proportional-hazards model of custody loss across a cross-agency arc panel, sit in the dissertation as supporting empirical exercises that triangulate the headline survival estimate.</w:t>
      </w:r>
    </w:p>
    <w:p>
      <w:pPr>
        <w:pStyle w:val="BodyText"/>
        <w:spacing w:line="480" w:lineRule="auto"/>
        <w:ind w:firstLine="720"/>
      </w:pPr>
      <w:r>
        <w:t xml:space="preserve">The contribution is falsifiable in the strict Popperian sense. If the half-life is statistically indistinguishable across strata at the chosen sensor tier, H0 is retained and the qualitative claim that the L1 and L2 vicinity is the binding regime for cislunar custody loses its empirical anchor in this dataset. If the variation runs in the opposite direction, with LLO or lunar transfer exhibiting the shortest half-life, the architectural priorities implied by current capacity-based optimization studies require revision. The pre-registered log-rank threshold and the pre-specified Cox specification close off the principal degrees of freedom that would otherwise permit retrospective rationalization of either outcome.</w:t>
      </w:r>
    </w:p>
    <w:bookmarkEnd w:id="63"/>
    <w:bookmarkStart w:id="64" w:name="why-nasa-and-jpl-specifically"/>
    <w:p>
      <w:pPr>
        <w:pStyle w:val="Heading2"/>
        <w:spacing w:line="480" w:lineRule="auto"/>
      </w:pPr>
      <w:r>
        <w:t xml:space="preserve">1.4 Why NASA and JPL Specifically</w:t>
      </w:r>
    </w:p>
    <w:p>
      <w:pPr>
        <w:pStyle w:val="FirstParagraph"/>
        <w:spacing w:line="480" w:lineRule="auto"/>
      </w:pPr>
      <w:r>
        <w:t xml:space="preserve">The framing of the contribution as one anchored to NASA and JPL is not incidental. NASA is the principal civil operator of cislunar assets in the public record. The Artemis I post-flight assessment, the BioSentinel mission update, the CAPSTONE status reports, the Gateway program documentation, and the Lunar Reconnaissance Orbiter and THEMIS-ARTEMIS status records constitute the largest publicly retrievable corpus of cislunar tracking and custody information available to a doctoral candidate working without access to operational or classified holdings [18, 19]. The partner agency record, including JAXA’s EQUULEUS and OMOTENASHI, KARI’s Danuri, CNSA’s Chang’e relays, the DSLWP custody-loss case studies, Hakuto-R Mission 1, SLIM, Peregrine, IM-1, LICIACube, EagleCam, JPL’s Lunar Flashlight closeout, and ISRO’s Chandrayaan-3 propulsion-module reporting, extends the corpus internationally and provides the variation across regimes and sensor architectures that the survival-analysis identification strategy requires.</w:t>
      </w:r>
    </w:p>
    <w:p>
      <w:pPr>
        <w:pStyle w:val="BodyText"/>
        <w:spacing w:line="480" w:lineRule="auto"/>
        <w:ind w:firstLine="720"/>
      </w:pPr>
      <w:r>
        <w:t xml:space="preserve">JPL’s institutional position sharpens the relevance further. JPL is the architect and operator of the Deep Space Network, the principal United States deep-space tracking and navigation asset, and is the recompete-relevant FFRDC for NASA’s cislunar architecture going forward. Any quantified custody-decay parameter feeds directly into JPL’s architecture-trade studies, into its sensor-tasking optimizations, and into its negotiation with commercial and allied partners over contributed observations. The dissertation’s framing is therefore not an exercise in stakeholder courtesy. It is a recognition that the empirical question has a small number of operational consumers and that the doctoral product is most useful when those consumers can take it up directly.</w:t>
      </w:r>
    </w:p>
    <w:bookmarkEnd w:id="64"/>
    <w:bookmarkStart w:id="65" w:name="what-this-dissertation-does-not-claim"/>
    <w:p>
      <w:pPr>
        <w:pStyle w:val="Heading2"/>
        <w:spacing w:line="480" w:lineRule="auto"/>
      </w:pPr>
      <w:r>
        <w:t xml:space="preserve">1.5 What This Dissertation Does Not Claim</w:t>
      </w:r>
    </w:p>
    <w:p>
      <w:pPr>
        <w:pStyle w:val="FirstParagraph"/>
        <w:spacing w:line="480" w:lineRule="auto"/>
      </w:pPr>
      <w:r>
        <w:t xml:space="preserve">It is important, at the outset, to bound the claim. The dissertation does not claim to deliver the operational custody-decay parameter that production catalogs require. The sample of publicly documented cislunar arcs is modest, the partner-agency reporting is heterogeneous, and the regime strata of greatest strategic interest, the L1 and L2 halo vicinity in particular, are under-represented in real tracking arcs and must be augmented with Monte Carlo synthetic arcs generated under a circular restricted three-body problem (CR3BP) propagation model consistent with the Chang’e-5 case</w:t>
      </w:r>
      <w:r>
        <w:t xml:space="preserve"> </w:t>
      </w:r>
      <w:hyperlink w:anchor="ref-1">
        <w:r>
          <w:rPr>
            <w:rStyle w:val="Hyperlink"/>
          </w:rPr>
          <w:t xml:space="preserve">[1]</w:t>
        </w:r>
      </w:hyperlink>
      <w:r>
        <w:t xml:space="preserve"> </w:t>
      </w:r>
      <w:r>
        <w:t xml:space="preserve">and the CAR-MHF initial orbit determination methodology</w:t>
      </w:r>
      <w:r>
        <w:t xml:space="preserve"> </w:t>
      </w:r>
      <w:hyperlink w:anchor="ref-5">
        <w:r>
          <w:rPr>
            <w:rStyle w:val="Hyperlink"/>
          </w:rPr>
          <w:t xml:space="preserve">[5]</w:t>
        </w:r>
      </w:hyperlink>
      <w:r>
        <w:t xml:space="preserve">. Synthetic arcs are clearly flagged throughout, and the headline finding is reported separately for the real-data and synthetic-augmented subsamples.</w:t>
      </w:r>
    </w:p>
    <w:p>
      <w:pPr>
        <w:pStyle w:val="BodyText"/>
        <w:spacing w:line="480" w:lineRule="auto"/>
        <w:ind w:firstLine="720"/>
      </w:pPr>
      <w:r>
        <w:t xml:space="preserve">The dissertation also does not claim to settle the architecture trade for cislunar SDA. Capacity-based optimization, mission-oriented evaluation frameworks</w:t>
      </w:r>
      <w:r>
        <w:t xml:space="preserve"> </w:t>
      </w:r>
      <w:hyperlink w:anchor="ref-33">
        <w:r>
          <w:rPr>
            <w:rStyle w:val="Hyperlink"/>
          </w:rPr>
          <w:t xml:space="preserve">[33]</w:t>
        </w:r>
      </w:hyperlink>
      <w:r>
        <w:t xml:space="preserve">, and game-theoretic deterrence models</w:t>
      </w:r>
      <w:r>
        <w:t xml:space="preserve"> </w:t>
      </w:r>
      <w:hyperlink w:anchor="ref-8">
        <w:r>
          <w:rPr>
            <w:rStyle w:val="Hyperlink"/>
          </w:rPr>
          <w:t xml:space="preserve">[8]</w:t>
        </w:r>
      </w:hyperlink>
      <w:r>
        <w:t xml:space="preserve"> </w:t>
      </w:r>
      <w:r>
        <w:t xml:space="preserve">each rest on assumptions about utility, threat, and policy that the empirical custody-decay estimate cannot adjudicate. The dissertation’s contribution is the empirical parameter. The architectural and policy implications, while sketched in the discussion chapters, are explicitly handed off to the operational community as the next consumers of the result.</w:t>
      </w:r>
    </w:p>
    <w:p>
      <w:pPr>
        <w:pStyle w:val="BodyText"/>
        <w:spacing w:line="480" w:lineRule="auto"/>
        <w:ind w:firstLine="720"/>
      </w:pPr>
      <w:r>
        <w:t xml:space="preserve">Finally, the dissertation does not claim to displace the algorithmic contributions of the cislunar SDA literature. The Gaussian-mixture filtering, adaptive multi-sensor tracking, multi-fidelity propagation, and visibility-informed covariance analysis advanced in that literature are the algorithmic substrate on which the empirical estimate rests [2, 10, 11, 13, 16]. The dissertation’s complement to that literature is methodological in a different direction. It supplies the population-level empirical estimator that the algorithmic work has not, so far, produced.</w:t>
      </w:r>
    </w:p>
    <w:bookmarkEnd w:id="65"/>
    <w:bookmarkStart w:id="66" w:name="roadmap"/>
    <w:p>
      <w:pPr>
        <w:pStyle w:val="Heading2"/>
        <w:spacing w:line="480" w:lineRule="auto"/>
      </w:pPr>
      <w:r>
        <w:t xml:space="preserve">1.6 Roadmap</w:t>
      </w:r>
    </w:p>
    <w:p>
      <w:pPr>
        <w:pStyle w:val="FirstParagraph"/>
        <w:spacing w:line="480" w:lineRule="auto"/>
      </w:pPr>
      <w:r>
        <w:t xml:space="preserve">The dissertation proceeds in seven chapters.</w:t>
      </w:r>
    </w:p>
    <w:p>
      <w:pPr>
        <w:pStyle w:val="BodyText"/>
        <w:spacing w:line="480" w:lineRule="auto"/>
        <w:ind w:firstLine="720"/>
      </w:pPr>
      <w:r>
        <w:t xml:space="preserve">Chapter 2 surveys the two literatures in detail. It treats the cislunar SDA and orbit determination literature first, organizing the survey around the dynamical regimes, the sensor architectures, and the custody algorithms that the field has developed [1, 2, 3, 4, 5, 6, 10, 11, 13, 14, 16, 27, 29, 34]. It then turns to the econometric and survival-analysis methodological tradition that the dissertation imports, and it closes by stating the gap between the two literatures in the precise terms that the empirical chapters will address.</w:t>
      </w:r>
    </w:p>
    <w:p>
      <w:pPr>
        <w:pStyle w:val="BodyText"/>
        <w:spacing w:line="480" w:lineRule="auto"/>
        <w:ind w:firstLine="720"/>
      </w:pPr>
      <w:r>
        <w:t xml:space="preserve">Chapter 3 develops the theoretical framework. It defines the observability half-life formally, derives the survival function under a CR3BP propagation model, and states the proportional-hazards specification that the Cox model will estimate. It also develops the panel-style OLS specification used in the companion end-of-arc uncertainty analysis and discusses the identification assumptions that each estimator requires.</w:t>
      </w:r>
    </w:p>
    <w:p>
      <w:pPr>
        <w:pStyle w:val="BodyText"/>
        <w:spacing w:line="480" w:lineRule="auto"/>
        <w:ind w:firstLine="720"/>
      </w:pPr>
      <w:r>
        <w:t xml:space="preserve">Chapter 4 describes the data. It documents the primary Chang’e-5 optical tracking arc dataset</w:t>
      </w:r>
      <w:r>
        <w:t xml:space="preserve"> </w:t>
      </w:r>
      <w:hyperlink w:anchor="ref-1">
        <w:r>
          <w:rPr>
            <w:rStyle w:val="Hyperlink"/>
          </w:rPr>
          <w:t xml:space="preserve">[1]</w:t>
        </w:r>
      </w:hyperlink>
      <w:r>
        <w:t xml:space="preserve">, the secondary custody-maintenance benchmarks from Advanced Space [6, 31], the cross-agency arc panel assembled from NASA, JAXA, KARI, CNSA, and ISRO public records [18, 19], and the Monte Carlo synthetic augmentation used for under-represented strata. Provenance is maintained in a per-arc manifest recording source, epoch, sensor class, and propagation model version. No internal or classified data is used.</w:t>
      </w:r>
    </w:p>
    <w:p>
      <w:pPr>
        <w:pStyle w:val="BodyText"/>
        <w:spacing w:line="480" w:lineRule="auto"/>
        <w:ind w:firstLine="720"/>
      </w:pPr>
      <w:r>
        <w:t xml:space="preserve">Chapter 5 presents the OLS panel analysis of end-of-arc position uncertainty as a function of arc length, sensor count, target apparent magnitude, and a space-based-observer indicator, drawing on the pooled cislunar OD literature [1, 2, 3, 4, 5, 9, 10, 11, 12, 13, 14, 16, 17]. The analysis reports heteroskedasticity-consistent standard errors and addresses the multicollinearity between arc length and sensor count that the pooled record exhibits.</w:t>
      </w:r>
    </w:p>
    <w:p>
      <w:pPr>
        <w:pStyle w:val="BodyText"/>
        <w:spacing w:line="480" w:lineRule="auto"/>
        <w:ind w:firstLine="720"/>
      </w:pPr>
      <w:r>
        <w:t xml:space="preserve">Chapter 6 presents the survival analysis and the Cox proportional-hazards model. It reports the Kaplan-Meier survival functions by stratum, the stratified log-rank test of H0, the proportional-hazards coefficients on orbit family, sensor count, apparent magnitude, and observation density, and the regime-stratified observability half-life estimates with Greenwood confidence bands.</w:t>
      </w:r>
    </w:p>
    <w:p>
      <w:pPr>
        <w:pStyle w:val="BodyText"/>
        <w:spacing w:line="480" w:lineRule="auto"/>
        <w:ind w:firstLine="720"/>
      </w:pPr>
      <w:r>
        <w:t xml:space="preserve">Chapter 7 returns to the policy and architectural questions. It traces the implications of the empirical result for NASA architecture trades, for JPL’s recompete-relevant Deep Space Network successor planning, for international coordination on cislunar space traffic management</w:t>
      </w:r>
      <w:r>
        <w:t xml:space="preserve"> </w:t>
      </w:r>
      <w:hyperlink w:anchor="ref-38">
        <w:r>
          <w:rPr>
            <w:rStyle w:val="Hyperlink"/>
          </w:rPr>
          <w:t xml:space="preserve">[38]</w:t>
        </w:r>
      </w:hyperlink>
      <w:r>
        <w:t xml:space="preserve">, and for Bayesian-game treatments of L1 and L2 SDA</w:t>
      </w:r>
      <w:r>
        <w:t xml:space="preserve"> </w:t>
      </w:r>
      <w:hyperlink w:anchor="ref-8">
        <w:r>
          <w:rPr>
            <w:rStyle w:val="Hyperlink"/>
          </w:rPr>
          <w:t xml:space="preserve">[8]</w:t>
        </w:r>
      </w:hyperlink>
      <w:r>
        <w:t xml:space="preserve">. It states the threats to external validity explicitly, identifies the replication target on the 2026 to 2027 generation of cislunar tracking arcs, and closes with the conditions under which the empirical estimate would be expected to require revision.</w:t>
      </w:r>
    </w:p>
    <w:p>
      <w:pPr>
        <w:pStyle w:val="BodyText"/>
        <w:spacing w:line="480" w:lineRule="auto"/>
        <w:ind w:firstLine="720"/>
      </w:pPr>
      <w:r>
        <w:t xml:space="preserve">The contribution that the dissertation aims to deliver is, in the end, a single parameter, regime-stratified, sensor-tier-conditioned, and reported with quantified uncertainty bounds. The qualitative claim that cislunar custody is hard is now well established in the literature. The dissertation’s task is to convert that claim into a number that an architect can use, an operator can verify, and a partner can negotiate over.</w:t>
      </w:r>
    </w:p>
    <w:bookmarkEnd w:id="66"/>
    <w:bookmarkEnd w:id="67"/>
    <w:bookmarkStart w:id="88" w:name="chapter-2.-literature-review"/>
    <w:p>
      <w:pPr>
        <w:pStyle w:val="Heading1"/>
        <w:spacing w:line="480" w:lineRule="auto"/>
      </w:pPr>
      <w:r>
        <w:t xml:space="preserve">Chapter 2. Literature Review</w:t>
      </w:r>
    </w:p>
    <w:bookmarkStart w:id="68" w:name="purpose-and-organization-of-the-review"/>
    <w:p>
      <w:pPr>
        <w:pStyle w:val="Heading2"/>
        <w:spacing w:line="480" w:lineRule="auto"/>
      </w:pPr>
      <w:r>
        <w:t xml:space="preserve">2.1 Purpose and Organization of the Review</w:t>
      </w:r>
    </w:p>
    <w:p>
      <w:pPr>
        <w:pStyle w:val="FirstParagraph"/>
        <w:spacing w:line="480" w:lineRule="auto"/>
      </w:pPr>
      <w:r>
        <w:t xml:space="preserve">This chapter surveys the two bodies of scholarship that the dissertation joins for the first time. The first is the cislunar Space Domain Awareness (SDA) technical literature, which has matured rapidly across the Advanced Maui Optical and Space Surveillance Technologies (AMOS) conference proceedings and the Acta Astronautica record since approximately 2019 [1, 3, 4, 5, 6, 10, 11, 12, 13, 15, 22, 27, 28, 29, 30, 32, 34, 36, 37, 38]. The second is the cliometric and econometric methodology literature pertinent to event-history analysis, panel regression with heteroskedasticity-consistent inference, and survival modeling of right-censored duration data, as it has been imported into the catalog-maintenance and sensor-tasking corner of the space domain [7, 33, 34, 35, 39, 40, 41]. The two have so far evolved on parallel tracks. Technical papers on cislunar custody report covariance growth, filter divergence, and reacquisition probabilities using engineering metrics and simulation-conditioned point estimates [4, 5, 6, 10, 11, 13, 16, 22, 28, 32]. Methodological papers on catalog maintenance treat the custody decision either as a binary fusion outcome</w:t>
      </w:r>
      <w:r>
        <w:t xml:space="preserve"> </w:t>
      </w:r>
      <w:hyperlink w:anchor="ref-4">
        <w:r>
          <w:rPr>
            <w:rStyle w:val="Hyperlink"/>
          </w:rPr>
          <w:t xml:space="preserve">[4]</w:t>
        </w:r>
      </w:hyperlink>
      <w:r>
        <w:t xml:space="preserve"> </w:t>
      </w:r>
      <w:r>
        <w:t xml:space="preserve">or as an abstract sensor-tasking optimization</w:t>
      </w:r>
      <w:r>
        <w:t xml:space="preserve"> </w:t>
      </w:r>
      <w:hyperlink w:anchor="ref-40">
        <w:r>
          <w:rPr>
            <w:rStyle w:val="Hyperlink"/>
          </w:rPr>
          <w:t xml:space="preserve">[40]</w:t>
        </w:r>
      </w:hyperlink>
      <w:r>
        <w:t xml:space="preserve">, without estimating the continuous duration distribution that operational architects actually require. The review proceeds in five sections. Section 2.2 maps the cislunar SDA technical literature and the dynamical, photometric, and observability mechanisms it identifies. Section 2.3 surveys orbit determination behaviour and custody algorithms specifically. Section 2.4 turns to the cliometric and econometric methodology literature relevant to time-to-event estimation. Section 2.5 synthesizes the two and identifies the joint gap. Section 2.6 states the contribution of the dissertation in terms of that gap.</w:t>
      </w:r>
    </w:p>
    <w:bookmarkEnd w:id="68"/>
    <w:bookmarkStart w:id="72" w:name="the-cislunar-sda-technical-literature"/>
    <w:p>
      <w:pPr>
        <w:pStyle w:val="Heading2"/>
        <w:spacing w:line="480" w:lineRule="auto"/>
      </w:pPr>
      <w:r>
        <w:t xml:space="preserve">2.2 The Cislunar SDA Technical Literature</w:t>
      </w:r>
    </w:p>
    <w:bookmarkStart w:id="69" w:name="the-dynamical-and-observational-regime"/>
    <w:p>
      <w:pPr>
        <w:pStyle w:val="Heading3"/>
        <w:spacing w:line="480" w:lineRule="auto"/>
      </w:pPr>
      <w:r>
        <w:t xml:space="preserve">2.2.1 The dynamical and observational regime</w:t>
      </w:r>
    </w:p>
    <w:p>
      <w:pPr>
        <w:pStyle w:val="FirstParagraph"/>
        <w:spacing w:line="480" w:lineRule="auto"/>
      </w:pPr>
      <w:r>
        <w:t xml:space="preserve">A first cluster of work establishes why the cislunar regime resists the cataloging templates that succeed in the near-Earth domain. Machuca, Rosengren, and Ross</w:t>
      </w:r>
      <w:r>
        <w:t xml:space="preserve"> </w:t>
      </w:r>
      <w:hyperlink w:anchor="ref-12">
        <w:r>
          <w:rPr>
            <w:rStyle w:val="Hyperlink"/>
          </w:rPr>
          <w:t xml:space="preserve">[12]</w:t>
        </w:r>
      </w:hyperlink>
      <w:r>
        <w:t xml:space="preserve"> </w:t>
      </w:r>
      <w:r>
        <w:t xml:space="preserve">offered an early parameterization of cislunar phase space for SDA purposes, demonstrating that observability metrics inherited from the geosynchronous and low Earth orbit communities fail to capture the dynamical structure of the Earth-Moon system. Their parametric study established the now-standard practice of stratifying cislunar SDA analysis by orbit family, identifying near-rectilinear halo orbits, libration-point halos, distant retrograde orbits, low lunar orbits, and ballistic lunar transfers as dynamically distinct regimes that warrant separate observability budgets. Subsequent work has reinforced this stratification. Evans, Holzinger, and Scheeres</w:t>
      </w:r>
      <w:r>
        <w:t xml:space="preserve"> </w:t>
      </w:r>
      <w:hyperlink w:anchor="ref-16">
        <w:r>
          <w:rPr>
            <w:rStyle w:val="Hyperlink"/>
          </w:rPr>
          <w:t xml:space="preserve">[16]</w:t>
        </w:r>
      </w:hyperlink>
      <w:r>
        <w:t xml:space="preserve"> </w:t>
      </w:r>
      <w:r>
        <w:t xml:space="preserve">showed through a visibility-informed covariance analysis that the spatial geometry of cislunar periodic orbits drives anisotropic uncertainty growth in directions that ground-based observers resolve poorly. Their finding tightens the case for treating orbit family as a first-order covariate in any empirical model of custody decay.</w:t>
      </w:r>
    </w:p>
    <w:p>
      <w:pPr>
        <w:pStyle w:val="BodyText"/>
        <w:spacing w:line="480" w:lineRule="auto"/>
        <w:ind w:firstLine="720"/>
      </w:pPr>
      <w:r>
        <w:t xml:space="preserve">The dynamical difficulty is compounded by photometric and signal-to-noise constraints. Bolden, Craychee, and Griggs [22, 27] documented the joint difficulty of low signal-to-noise returns and the too-short-arc problem in cislunar contexts, showing that observing constellation orbit stability does not eliminate the underlying observability deficit when arcs are too brief to triangulate dynamically. Thomas and Cobb</w:t>
      </w:r>
      <w:r>
        <w:t xml:space="preserve"> </w:t>
      </w:r>
      <w:hyperlink w:anchor="ref-28">
        <w:r>
          <w:rPr>
            <w:rStyle w:val="Hyperlink"/>
          </w:rPr>
          <w:t xml:space="preserve">[28]</w:t>
        </w:r>
      </w:hyperlink>
      <w:r>
        <w:t xml:space="preserve"> </w:t>
      </w:r>
      <w:r>
        <w:t xml:space="preserve">explored ground-based daytime modeling and observations in the short-wavelength infrared as an avenue for extending custody beyond the optical window, while George and Ash</w:t>
      </w:r>
      <w:r>
        <w:t xml:space="preserve"> </w:t>
      </w:r>
      <w:hyperlink w:anchor="ref-30">
        <w:r>
          <w:rPr>
            <w:rStyle w:val="Hyperlink"/>
          </w:rPr>
          <w:t xml:space="preserve">[30]</w:t>
        </w:r>
      </w:hyperlink>
      <w:r>
        <w:t xml:space="preserve"> </w:t>
      </w:r>
      <w:r>
        <w:t xml:space="preserve">anticipated that on-orbit spacecraft technologies will themselves alter the SSA problem as cooperative actors become more numerous. Tucker, Aguilar Marsillach, Montgomery, and Holzinger [15, 24] proposed agile custody concepts for electro-optical sensors that exploit short-notice retasking to recover threatened custody. Ewart, Plotke, and Lai</w:t>
      </w:r>
      <w:r>
        <w:t xml:space="preserve"> </w:t>
      </w:r>
      <w:hyperlink w:anchor="ref-14">
        <w:r>
          <w:rPr>
            <w:rStyle w:val="Hyperlink"/>
          </w:rPr>
          <w:t xml:space="preserve">[14]</w:t>
        </w:r>
      </w:hyperlink>
      <w:r>
        <w:t xml:space="preserve"> </w:t>
      </w:r>
      <w:r>
        <w:t xml:space="preserve">argued in turn that pole-sitter based space domain awareness offers a continuous geometry advantage that ground assets cannot match. The composite picture from this strand of the literature is that cislunar custody is jointly limited by orbit-family dynamics, sensor geometry, and target brightness, and that no single design lever dominates across all regime strata.</w:t>
      </w:r>
    </w:p>
    <w:bookmarkEnd w:id="69"/>
    <w:bookmarkStart w:id="70" w:name="the-architectural-and-policy-framing"/>
    <w:p>
      <w:pPr>
        <w:pStyle w:val="Heading3"/>
        <w:spacing w:line="480" w:lineRule="auto"/>
      </w:pPr>
      <w:r>
        <w:t xml:space="preserve">2.2.2 The architectural and policy framing</w:t>
      </w:r>
    </w:p>
    <w:p>
      <w:pPr>
        <w:pStyle w:val="FirstParagraph"/>
        <w:spacing w:line="480" w:lineRule="auto"/>
      </w:pPr>
      <w:r>
        <w:t xml:space="preserve">A second cluster of work places these mechanisms inside an architecture-optimization and policy framing. Owens Fahrner, Correa, and Wysack</w:t>
      </w:r>
      <w:r>
        <w:t xml:space="preserve"> </w:t>
      </w:r>
      <w:hyperlink w:anchor="ref-3">
        <w:r>
          <w:rPr>
            <w:rStyle w:val="Hyperlink"/>
          </w:rPr>
          <w:t xml:space="preserve">[3]</w:t>
        </w:r>
      </w:hyperlink>
      <w:r>
        <w:t xml:space="preserve"> </w:t>
      </w:r>
      <w:r>
        <w:t xml:space="preserve">articulated a capacity-based optimization formulation for cislunar SDA architectures, treating the architecture as a network whose sizing is driven by aggregate capacity metrics such as objects-tracked-per-unit-time and coverage maps under idealized tasking assumptions. The capacity framing has been productive because it disciplines tradespace analysis and ties sensor procurement to measurable throughput. It also exposes the field’s reliance on capacity proxies rather than on directly measured custody outcomes. Schmedeman, Gerber, and Herber</w:t>
      </w:r>
      <w:r>
        <w:t xml:space="preserve"> </w:t>
      </w:r>
      <w:hyperlink w:anchor="ref-33">
        <w:r>
          <w:rPr>
            <w:rStyle w:val="Hyperlink"/>
          </w:rPr>
          <w:t xml:space="preserve">[33]</w:t>
        </w:r>
      </w:hyperlink>
      <w:r>
        <w:t xml:space="preserve"> </w:t>
      </w:r>
      <w:r>
        <w:t xml:space="preserve">extended the architecture conversation with a mission-oriented framework for evaluating SSA data, arguing that mission utility, rather than data volume, should anchor the evaluation. Anilkumar and colleagues</w:t>
      </w:r>
      <w:r>
        <w:t xml:space="preserve"> </w:t>
      </w:r>
      <w:hyperlink w:anchor="ref-38">
        <w:r>
          <w:rPr>
            <w:rStyle w:val="Hyperlink"/>
          </w:rPr>
          <w:t xml:space="preserve">[38]</w:t>
        </w:r>
      </w:hyperlink>
      <w:r>
        <w:t xml:space="preserve"> </w:t>
      </w:r>
      <w:r>
        <w:t xml:space="preserve">surveyed the broader Moon-to-Mars policy environment and identified cislunar and cismartian space traffic management as the binding constraint on safe expansion, situating SDA technical work inside a governance frame that requires defensible quantitative parameters.</w:t>
      </w:r>
    </w:p>
    <w:p>
      <w:pPr>
        <w:pStyle w:val="BodyText"/>
        <w:spacing w:line="480" w:lineRule="auto"/>
        <w:ind w:firstLine="720"/>
      </w:pPr>
      <w:r>
        <w:t xml:space="preserve">The capacity and mission-utility framings do not, however, deliver an empirical time-to-loss distribution that an architect can plug into a survival or revisit-cadence model. They specify what should be optimized but leave the underlying custody-decay function as an assumed input. This is the structural opening that the dissertation enters.</w:t>
      </w:r>
    </w:p>
    <w:bookmarkEnd w:id="70"/>
    <w:bookmarkStart w:id="71" w:name="Xcc672839b30ef616ac86519742add5fbe60a9a7"/>
    <w:p>
      <w:pPr>
        <w:pStyle w:val="Heading3"/>
        <w:spacing w:line="480" w:lineRule="auto"/>
      </w:pPr>
      <w:r>
        <w:t xml:space="preserve">2.2.3 The cislunar object population and fragmentation risk</w:t>
      </w:r>
    </w:p>
    <w:p>
      <w:pPr>
        <w:pStyle w:val="FirstParagraph"/>
        <w:spacing w:line="480" w:lineRule="auto"/>
      </w:pPr>
      <w:r>
        <w:t xml:space="preserve">A third cluster of work has begun to characterize the cislunar object population itself. Gambarotto, Grattagliano, De Maria, and Montaruli [17, 36] modeled the monitoring of cislunar fragmentation events using a constellation of space-based observers, showing that fragmentation in this regime distributes uncertainty across orbit families in ways that ground sensors cannot fully recover. Kilduff, Machuca, and Rosengren</w:t>
      </w:r>
      <w:r>
        <w:t xml:space="preserve"> </w:t>
      </w:r>
      <w:hyperlink w:anchor="ref-37">
        <w:r>
          <w:rPr>
            <w:rStyle w:val="Hyperlink"/>
          </w:rPr>
          <w:t xml:space="preserve">[37]</w:t>
        </w:r>
      </w:hyperlink>
      <w:r>
        <w:t xml:space="preserve"> </w:t>
      </w:r>
      <w:r>
        <w:t xml:space="preserve">examined crater-based optical navigation as an autonomous custody complement for cislunar transit phases, characterizing the parametric error envelope that constrains autonomous navigation in this regime. Furfaro, Reddy, Campbell, and Gray</w:t>
      </w:r>
      <w:r>
        <w:t xml:space="preserve"> </w:t>
      </w:r>
      <w:hyperlink w:anchor="ref-1">
        <w:r>
          <w:rPr>
            <w:rStyle w:val="Hyperlink"/>
          </w:rPr>
          <w:t xml:space="preserve">[1]</w:t>
        </w:r>
      </w:hyperlink>
      <w:r>
        <w:t xml:space="preserve"> </w:t>
      </w:r>
      <w:r>
        <w:t xml:space="preserve">published the Chang’e 5 tracking case that has since become a touchstone for any empirical study of cislunar custody, because it is one of the few public records of real optical tracking arcs with documented residuals and observation epochs. The Chang’e 5 case anchors the dissertation’s primary dataset.</w:t>
      </w:r>
    </w:p>
    <w:bookmarkEnd w:id="71"/>
    <w:bookmarkEnd w:id="72"/>
    <w:bookmarkStart w:id="77" w:name="Xf144e067c9ba6f6d19c156a2e331fa53df5ae96"/>
    <w:p>
      <w:pPr>
        <w:pStyle w:val="Heading2"/>
        <w:spacing w:line="480" w:lineRule="auto"/>
      </w:pPr>
      <w:r>
        <w:t xml:space="preserve">2.3 Orbit Determination Behaviour and Custody Algorithms</w:t>
      </w:r>
    </w:p>
    <w:bookmarkStart w:id="73" w:name="od-behaviour-in-cislunar-regimes"/>
    <w:p>
      <w:pPr>
        <w:pStyle w:val="Heading3"/>
        <w:spacing w:line="480" w:lineRule="auto"/>
      </w:pPr>
      <w:r>
        <w:t xml:space="preserve">2.3.1 OD behaviour in cislunar regimes</w:t>
      </w:r>
    </w:p>
    <w:p>
      <w:pPr>
        <w:pStyle w:val="FirstParagraph"/>
        <w:spacing w:line="480" w:lineRule="auto"/>
      </w:pPr>
      <w:r>
        <w:t xml:space="preserve">A central strand of AMOS papers has examined orbit determination behaviour in cislunar regimes directly. Chow and colleagues [10, 11, 21, 25, 32] processed observations of periodic orbits using Gaussian mixture model estimation filters and documented systematic deviations from the uncertainty-realism assumptions that hold in Earth orbit. Their 2021 paper [10, 21, 32] established that filter divergence in cislunar contexts is driven by under-modeled non-Gaussian uncertainty structure as much as by raw measurement noise. Their 2022 follow-on [11, 25] introduced data-fusion treatments that recover uncertainty realism by combining heterogeneous observers. Thompson, Parrish, Meek, and Cheetham</w:t>
      </w:r>
      <w:r>
        <w:t xml:space="preserve"> </w:t>
      </w:r>
      <w:hyperlink w:anchor="ref-9">
        <w:r>
          <w:rPr>
            <w:rStyle w:val="Hyperlink"/>
          </w:rPr>
          <w:t xml:space="preserve">[9]</w:t>
        </w:r>
      </w:hyperlink>
      <w:r>
        <w:t xml:space="preserve"> </w:t>
      </w:r>
      <w:r>
        <w:t xml:space="preserve">complemented this work with a simulation of space-based measurement geometries that supplied an early quantitative anchor for the value of in-regime observers. Reifler and Jones</w:t>
      </w:r>
      <w:r>
        <w:t xml:space="preserve"> </w:t>
      </w:r>
      <w:hyperlink w:anchor="ref-13">
        <w:r>
          <w:rPr>
            <w:rStyle w:val="Hyperlink"/>
          </w:rPr>
          <w:t xml:space="preserve">[13]</w:t>
        </w:r>
      </w:hyperlink>
      <w:r>
        <w:t xml:space="preserve"> </w:t>
      </w:r>
      <w:r>
        <w:t xml:space="preserve">subsequently demonstrated adaptive multi-fidelity propagation as a tractable approach to multi-target cislunar tracking, balancing computational cost against propagation fidelity at a scale that reaches realistic catalog sizes. Iannamorelli and LeGrand [2, 23] extended the filtering literature to maneuvering objects, formulating an adaptive multi-sensor filter that treats unmodeled accelerations as a covariate of the custody process rather than as a nuisance.</w:t>
      </w:r>
    </w:p>
    <w:bookmarkEnd w:id="73"/>
    <w:bookmarkStart w:id="74" w:name="Xb613fae7904faf590dba3438ad4e2a6879aa0e6"/>
    <w:p>
      <w:pPr>
        <w:pStyle w:val="Heading3"/>
        <w:spacing w:line="480" w:lineRule="auto"/>
      </w:pPr>
      <w:r>
        <w:t xml:space="preserve">2.3.2 Initial orbit determination and association</w:t>
      </w:r>
    </w:p>
    <w:p>
      <w:pPr>
        <w:pStyle w:val="FirstParagraph"/>
        <w:spacing w:line="480" w:lineRule="auto"/>
      </w:pPr>
      <w:r>
        <w:t xml:space="preserve">Initial orbit determination (IOD) and tracklet association have received parallel treatment. Billings, Baldwin, Wetterer, Gaebler, Craft, Dilley, and Bruer</w:t>
      </w:r>
      <w:r>
        <w:t xml:space="preserve"> </w:t>
      </w:r>
      <w:hyperlink w:anchor="ref-5">
        <w:r>
          <w:rPr>
            <w:rStyle w:val="Hyperlink"/>
          </w:rPr>
          <w:t xml:space="preserve">[5]</w:t>
        </w:r>
      </w:hyperlink>
      <w:r>
        <w:t xml:space="preserve"> </w:t>
      </w:r>
      <w:r>
        <w:t xml:space="preserve">introduced a Constrained Admissible Region multiple hypothesis filter (CAR-MHF) approach to cislunar IOD that delivers candidate orbit hypotheses from limited optical detections under explicit dynamical constraints. Serra, Yáñez, and Frueh</w:t>
      </w:r>
      <w:r>
        <w:t xml:space="preserve"> </w:t>
      </w:r>
      <w:hyperlink w:anchor="ref-39">
        <w:r>
          <w:rPr>
            <w:rStyle w:val="Hyperlink"/>
          </w:rPr>
          <w:t xml:space="preserve">[39]</w:t>
        </w:r>
      </w:hyperlink>
      <w:r>
        <w:t xml:space="preserve"> </w:t>
      </w:r>
      <w:r>
        <w:t xml:space="preserve">developed an optimal control formulation for tracklet-to-orbit association in the presence of maneuvering objects that generalizes association beyond the ballistic case. Cai, Yang, Gehly, Hé, and Jah</w:t>
      </w:r>
      <w:r>
        <w:t xml:space="preserve"> </w:t>
      </w:r>
      <w:hyperlink w:anchor="ref-40">
        <w:r>
          <w:rPr>
            <w:rStyle w:val="Hyperlink"/>
          </w:rPr>
          <w:t xml:space="preserve">[40]</w:t>
        </w:r>
      </w:hyperlink>
      <w:r>
        <w:t xml:space="preserve"> </w:t>
      </w:r>
      <w:r>
        <w:t xml:space="preserve">formulated sensor tasking for search and catalog maintenance of geosynchronous objects in a way whose mathematical scaffolding extends naturally to cislunar maintenance, even though the operating regime differs.</w:t>
      </w:r>
    </w:p>
    <w:bookmarkEnd w:id="74"/>
    <w:bookmarkStart w:id="75" w:name="custody-algorithms-and-prediction"/>
    <w:p>
      <w:pPr>
        <w:pStyle w:val="Heading3"/>
        <w:spacing w:line="480" w:lineRule="auto"/>
      </w:pPr>
      <w:r>
        <w:t xml:space="preserve">2.3.3 Custody algorithms and prediction</w:t>
      </w:r>
    </w:p>
    <w:p>
      <w:pPr>
        <w:pStyle w:val="FirstParagraph"/>
        <w:spacing w:line="480" w:lineRule="auto"/>
      </w:pPr>
      <w:r>
        <w:t xml:space="preserve">The most direct precursors to the dissertation are the explicit custody papers. O’Neil [4, 29] introduced a custody-prediction framework that treats custody as a binary fusion outcome computed from sensor coverage and uncertainty propagation. The O’Neil treatment is the closest published analog to a custody-decay function, but it stops at the binary outcome and does not estimate a continuous survival distribution. Givens, Cortiella, Marlow, Rankowicz, Koehler, Liao, Spurbeck, Cain, and Miga [6, 20, 31] published a 2025 set of custody-maintenance algorithms that introduce uncertainty-management primitives suited to cislunar regimes. Their work reports algorithmic performance across simulated scenarios and supplies benchmarks against which an empirical decay function can be validated. It does not, however, deliver a regime-stratified empirical time-to-loss distribution. Bhatia and Mehta</w:t>
      </w:r>
      <w:r>
        <w:t xml:space="preserve"> </w:t>
      </w:r>
      <w:hyperlink w:anchor="ref-26">
        <w:r>
          <w:rPr>
            <w:rStyle w:val="Hyperlink"/>
          </w:rPr>
          <w:t xml:space="preserve">[26]</w:t>
        </w:r>
      </w:hyperlink>
      <w:r>
        <w:t xml:space="preserve"> </w:t>
      </w:r>
      <w:r>
        <w:t xml:space="preserve">characterized realistic uncertainty in the dynamic low Earth orbit environment, contributing methods that translate to cislunar contexts once the dynamics are substituted. Across this group, custody is consistently treated either as a binary state or as an algorithmic-performance metric, with no published estimate of the continuous custody-decay function that would let an architect price revisit cadence against survival probability.</w:t>
      </w:r>
    </w:p>
    <w:bookmarkEnd w:id="75"/>
    <w:bookmarkStart w:id="76" w:name="surveys-and-consolidation"/>
    <w:p>
      <w:pPr>
        <w:pStyle w:val="Heading3"/>
        <w:spacing w:line="480" w:lineRule="auto"/>
      </w:pPr>
      <w:r>
        <w:t xml:space="preserve">2.3.4 Surveys and consolidation</w:t>
      </w:r>
    </w:p>
    <w:p>
      <w:pPr>
        <w:pStyle w:val="FirstParagraph"/>
        <w:spacing w:line="480" w:lineRule="auto"/>
      </w:pPr>
      <w:r>
        <w:t xml:space="preserve">Kazemi, Azad, Kuindersma, Oqab, and Dietrich [7, 34] published the most recent survey of orbit determination methods for SSA, cataloging the dominant filter families, initialization strategies, and uncertainty propagation techniques. The survey is comprehensive at the method level and confirms two relevant absences. Empirical estimates of the continuous custody-decay function are missing from the surveyed corpus, and the survey itself does not propose an econometric or survival framework to close that absence. The survey thus marks the maturation of the technical literature without bridging it to the methodological literature that could deliver an empirical custody half-life.</w:t>
      </w:r>
    </w:p>
    <w:bookmarkEnd w:id="76"/>
    <w:bookmarkEnd w:id="77"/>
    <w:bookmarkStart w:id="82" w:name="X07fe73e594277fc276c6392b9242153367417e1"/>
    <w:p>
      <w:pPr>
        <w:pStyle w:val="Heading2"/>
        <w:spacing w:line="480" w:lineRule="auto"/>
      </w:pPr>
      <w:r>
        <w:t xml:space="preserve">2.4 The Cliometric and Econometric Methodology Literature</w:t>
      </w:r>
    </w:p>
    <w:bookmarkStart w:id="78" w:name="why-a-cliometric-framing-is-appropriate"/>
    <w:p>
      <w:pPr>
        <w:pStyle w:val="Heading3"/>
        <w:spacing w:line="480" w:lineRule="auto"/>
      </w:pPr>
      <w:r>
        <w:t xml:space="preserve">2.4.1 Why a cliometric framing is appropriate</w:t>
      </w:r>
    </w:p>
    <w:p>
      <w:pPr>
        <w:pStyle w:val="FirstParagraph"/>
        <w:spacing w:line="480" w:lineRule="auto"/>
      </w:pPr>
      <w:r>
        <w:t xml:space="preserve">The dissertation’s methodological framing is cliometric in the broad sense established by the application of econometric techniques to historical and observational records where experimental control is unavailable. Catalog custody data share with cliometric data a common structural property: the analyst observes outcomes (custody losses) at irregular intervals across heterogeneous units (objects) under conditions the analyst cannot manipulate. The cliometric tradition responds to this structure with three families of estimators that map directly onto the cislunar custody problem. Panel regression with heteroskedasticity-consistent standard errors handles pooled observational records where the variance of the outcome scales with its level. Survival analysis with right-censoring handles duration outcomes where some units have not yet experienced the event by the close of the observation window. Proportional-hazards estimation handles the joint estimation of covariate effects on the hazard rate without committing to a parametric baseline. Each of the three is applied in the dissertation, and each has a substantial precedent in adjacent space-domain work.</w:t>
      </w:r>
    </w:p>
    <w:bookmarkEnd w:id="78"/>
    <w:bookmarkStart w:id="79" w:name="Xea3ef9d232795a3ff3b78fd7698ab22d2093dbc"/>
    <w:p>
      <w:pPr>
        <w:pStyle w:val="Heading3"/>
        <w:spacing w:line="480" w:lineRule="auto"/>
      </w:pPr>
      <w:r>
        <w:t xml:space="preserve">2.4.2 Panel regression and heteroskedasticity-consistent inference</w:t>
      </w:r>
    </w:p>
    <w:p>
      <w:pPr>
        <w:pStyle w:val="FirstParagraph"/>
        <w:spacing w:line="480" w:lineRule="auto"/>
      </w:pPr>
      <w:r>
        <w:t xml:space="preserve">The panel estimator used in the companion OLS paper draws on a long econometric tradition of heteroskedasticity-consistent (HC) standard errors. The substantive case for HC1 inference in pooled cislunar OD data is identical to the case in cliometric labor and growth panels: the variance of the dependent variable plainly scales with its level, and the panel mixes structurally heterogeneous units (here, ground-only and mixed-observer campaigns). Cai, Yang, Gehly, Hé, and Jah</w:t>
      </w:r>
      <w:r>
        <w:t xml:space="preserve"> </w:t>
      </w:r>
      <w:hyperlink w:anchor="ref-40">
        <w:r>
          <w:rPr>
            <w:rStyle w:val="Hyperlink"/>
          </w:rPr>
          <w:t xml:space="preserve">[40]</w:t>
        </w:r>
      </w:hyperlink>
      <w:r>
        <w:t xml:space="preserve"> </w:t>
      </w:r>
      <w:r>
        <w:t xml:space="preserve">is the closest space-domain precedent for a pooled regression treatment of sensor tasking outcomes. Their formulation regresses catalog maintenance performance on tasking covariates and treats the panel structure explicitly, although their application is to geosynchronous rather than cislunar objects. Pardini and Anselmo</w:t>
      </w:r>
      <w:r>
        <w:t xml:space="preserve"> </w:t>
      </w:r>
      <w:hyperlink w:anchor="ref-41">
        <w:r>
          <w:rPr>
            <w:rStyle w:val="Hyperlink"/>
          </w:rPr>
          <w:t xml:space="preserve">[41]</w:t>
        </w:r>
      </w:hyperlink>
      <w:r>
        <w:t xml:space="preserve"> </w:t>
      </w:r>
      <w:r>
        <w:t xml:space="preserve">supply a related pooled empirical treatment of space activities in low Earth orbit that has long served as a methodological template for population-level empirical work in the space-debris literature, demonstrating that pooled covariate-effect estimation across heterogeneous space objects yields interpretable parameters when the variance structure is handled.</w:t>
      </w:r>
    </w:p>
    <w:p>
      <w:pPr>
        <w:pStyle w:val="BodyText"/>
        <w:spacing w:line="480" w:lineRule="auto"/>
        <w:ind w:firstLine="720"/>
      </w:pPr>
      <w:r>
        <w:t xml:space="preserve">The methodological survey by Kazemi and colleagues [7, 34] notes that orbit determination performance is regularly reported as scenario-specific point estimates rather than as parameters of a pooled estimator, leaving the panel-level structure of the published record under-exploited. The companion OLS paper of the dissertation is, to the candidate’s knowledge, the first pooled cislunar OLS panel that draws end-of-arc covariance summaries from across the AMOS and Acta Astronautica record and estimates the marginal contribution of sensor count, arc length, target brightness, and space-based observer participation under HC1 inference [9, 10, 11, 12, 13, 14, 15, 16, 17].</w:t>
      </w:r>
    </w:p>
    <w:bookmarkEnd w:id="79"/>
    <w:bookmarkStart w:id="80" w:name="event-history-and-survival-modeling"/>
    <w:p>
      <w:pPr>
        <w:pStyle w:val="Heading3"/>
        <w:spacing w:line="480" w:lineRule="auto"/>
      </w:pPr>
      <w:r>
        <w:t xml:space="preserve">2.4.3 Event-history and survival modeling</w:t>
      </w:r>
    </w:p>
    <w:p>
      <w:pPr>
        <w:pStyle w:val="FirstParagraph"/>
        <w:spacing w:line="480" w:lineRule="auto"/>
      </w:pPr>
      <w:r>
        <w:t xml:space="preserve">Survival analysis enters the dissertation through the Cox proportional-hazards estimator applied to custody-loss durations. The proportional-hazards model is the canonical tool of cliometric event-history analysis because it estimates covariate effects on the hazard function without specifying a baseline, accommodates right-censoring directly through partial likelihood, and produces hazard ratios that translate cleanly into policy parameters. The survival framing is unusual in the cislunar SDA literature but not absent from the adjacent record. Cai and colleagues</w:t>
      </w:r>
      <w:r>
        <w:t xml:space="preserve"> </w:t>
      </w:r>
      <w:hyperlink w:anchor="ref-40">
        <w:r>
          <w:rPr>
            <w:rStyle w:val="Hyperlink"/>
          </w:rPr>
          <w:t xml:space="preserve">[40]</w:t>
        </w:r>
      </w:hyperlink>
      <w:r>
        <w:t xml:space="preserve"> </w:t>
      </w:r>
      <w:r>
        <w:t xml:space="preserve">formulate catalog-maintenance objectives in terms that admit survival reinterpretation. Walsh, Gorman, and Castaño</w:t>
      </w:r>
      <w:r>
        <w:t xml:space="preserve"> </w:t>
      </w:r>
      <w:hyperlink w:anchor="ref-35">
        <w:r>
          <w:rPr>
            <w:rStyle w:val="Hyperlink"/>
          </w:rPr>
          <w:t xml:space="preserve">[35]</w:t>
        </w:r>
      </w:hyperlink>
      <w:r>
        <w:t xml:space="preserve"> </w:t>
      </w:r>
      <w:r>
        <w:t xml:space="preserve">applied chain-of-custody reasoning to a different space-domain question (the post-orbital discard and processing of artifacts returning from the International Space Station), demonstrating that custody itself is a tractable analytic category when treated as a continuous process rather than as a binary state. Walsh and colleagues’ treatment is sociological rather than econometric, but the chain-of-custody framing they articulate provides a useful conceptual anchor for treating SDA custody as a process with measurable duration rather than as a binary fusion outcome.</w:t>
      </w:r>
    </w:p>
    <w:p>
      <w:pPr>
        <w:pStyle w:val="BodyText"/>
        <w:spacing w:line="480" w:lineRule="auto"/>
        <w:ind w:firstLine="720"/>
      </w:pPr>
      <w:r>
        <w:t xml:space="preserve">The companion Cox paper of the dissertation operationalizes this framing by estimating the hazard of custody loss as a continuous function of time since first catalog tag, conditional on orbit class, sensor count, target apparent magnitude, and observation density. The Schmedeman, Gerber, and Herber</w:t>
      </w:r>
      <w:r>
        <w:t xml:space="preserve"> </w:t>
      </w:r>
      <w:hyperlink w:anchor="ref-33">
        <w:r>
          <w:rPr>
            <w:rStyle w:val="Hyperlink"/>
          </w:rPr>
          <w:t xml:space="preserve">[33]</w:t>
        </w:r>
      </w:hyperlink>
      <w:r>
        <w:t xml:space="preserve"> </w:t>
      </w:r>
      <w:r>
        <w:t xml:space="preserve">mission-oriented framework supplies the policy-relevance anchor: the hazard ratio on observation density translates directly into a mission-utility statement that can be priced against sensor cost. The model identifies arc density as the dominant covariate, consistent with the long-running AMOS finding that the binding constraint on cislunar catalog maintenance is the cadence at which a filter receives new information rather than the headline aperture or magnitude budget [3, 4, 5, 6, 22].</w:t>
      </w:r>
    </w:p>
    <w:bookmarkEnd w:id="80"/>
    <w:bookmarkStart w:id="81" w:name="Xeee91de5118643098dd4d71b97a4a5c26ab9e80"/>
    <w:p>
      <w:pPr>
        <w:pStyle w:val="Heading3"/>
        <w:spacing w:line="480" w:lineRule="auto"/>
      </w:pPr>
      <w:r>
        <w:t xml:space="preserve">2.4.4 Initial orbit determination and information geometry as methodological precedents</w:t>
      </w:r>
    </w:p>
    <w:p>
      <w:pPr>
        <w:pStyle w:val="FirstParagraph"/>
        <w:spacing w:line="480" w:lineRule="auto"/>
      </w:pPr>
      <w:r>
        <w:t xml:space="preserve">Billings and colleagues</w:t>
      </w:r>
      <w:r>
        <w:t xml:space="preserve"> </w:t>
      </w:r>
      <w:hyperlink w:anchor="ref-5">
        <w:r>
          <w:rPr>
            <w:rStyle w:val="Hyperlink"/>
          </w:rPr>
          <w:t xml:space="preserve">[5]</w:t>
        </w:r>
      </w:hyperlink>
      <w:r>
        <w:t xml:space="preserve"> </w:t>
      </w:r>
      <w:r>
        <w:t xml:space="preserve">and Serra, Yáñez, and Frueh</w:t>
      </w:r>
      <w:r>
        <w:t xml:space="preserve"> </w:t>
      </w:r>
      <w:hyperlink w:anchor="ref-39">
        <w:r>
          <w:rPr>
            <w:rStyle w:val="Hyperlink"/>
          </w:rPr>
          <w:t xml:space="preserve">[39]</w:t>
        </w:r>
      </w:hyperlink>
      <w:r>
        <w:t xml:space="preserve"> </w:t>
      </w:r>
      <w:r>
        <w:t xml:space="preserve">supply methodological precedent on the IOD and association side of the survival problem. The CAR-MHF approach</w:t>
      </w:r>
      <w:r>
        <w:t xml:space="preserve"> </w:t>
      </w:r>
      <w:hyperlink w:anchor="ref-5">
        <w:r>
          <w:rPr>
            <w:rStyle w:val="Hyperlink"/>
          </w:rPr>
          <w:t xml:space="preserve">[5]</w:t>
        </w:r>
      </w:hyperlink>
      <w:r>
        <w:t xml:space="preserve"> </w:t>
      </w:r>
      <w:r>
        <w:t xml:space="preserve">is the conditioning operation that produces the catalog tag whose survival the dissertation models, and the optimal control formulation</w:t>
      </w:r>
      <w:r>
        <w:t xml:space="preserve"> </w:t>
      </w:r>
      <w:hyperlink w:anchor="ref-39">
        <w:r>
          <w:rPr>
            <w:rStyle w:val="Hyperlink"/>
          </w:rPr>
          <w:t xml:space="preserve">[39]</w:t>
        </w:r>
      </w:hyperlink>
      <w:r>
        <w:t xml:space="preserve"> </w:t>
      </w:r>
      <w:r>
        <w:t xml:space="preserve">handles the maneuver-included sub-sample that violates ballistic propagation. Both are imported into the dissertation’s identification strategy as conditioning steps that produce the unit of analysis (the cataloged arc) on which the survival estimator operates.</w:t>
      </w:r>
    </w:p>
    <w:bookmarkEnd w:id="81"/>
    <w:bookmarkEnd w:id="82"/>
    <w:bookmarkStart w:id="86" w:name="synthesis-and-the-joint-gap"/>
    <w:p>
      <w:pPr>
        <w:pStyle w:val="Heading2"/>
        <w:spacing w:line="480" w:lineRule="auto"/>
      </w:pPr>
      <w:r>
        <w:t xml:space="preserve">2.5 Synthesis and the Joint Gap</w:t>
      </w:r>
    </w:p>
    <w:bookmarkStart w:id="83" w:name="what-each-literature-delivers"/>
    <w:p>
      <w:pPr>
        <w:pStyle w:val="Heading3"/>
        <w:spacing w:line="480" w:lineRule="auto"/>
      </w:pPr>
      <w:r>
        <w:t xml:space="preserve">2.5.1 What each literature delivers</w:t>
      </w:r>
    </w:p>
    <w:p>
      <w:pPr>
        <w:pStyle w:val="FirstParagraph"/>
        <w:spacing w:line="480" w:lineRule="auto"/>
      </w:pPr>
      <w:r>
        <w:t xml:space="preserve">The cislunar SDA technical literature delivers a thorough mechanistic account of why custody is hard in the cislunar regime [1, 2, 3, 4, 5, 6, 9, 10, 11, 12, 13, 14, 15, 16, 17, 22, 27, 28, 29, 30, 32, 36, 37, 38]. It identifies orbit-family stratification [12, 16], photometric limits [22, 27, 28], filter divergence under non-Gaussian uncertainty [10, 11, 32], the value of sensor diversity [3, 9, 11, 13, 14], and the operational decisiveness of revisit cadence [3, 4, 5, 6, 22] as the mechanisms that shape custody outcomes. It supplies algorithmic benchmarks for custody maintenance [4, 6, 29, 31] and tractable propagation schemes for multi-target tracking</w:t>
      </w:r>
      <w:r>
        <w:t xml:space="preserve"> </w:t>
      </w:r>
      <w:hyperlink w:anchor="ref-13">
        <w:r>
          <w:rPr>
            <w:rStyle w:val="Hyperlink"/>
          </w:rPr>
          <w:t xml:space="preserve">[13]</w:t>
        </w:r>
      </w:hyperlink>
      <w:r>
        <w:t xml:space="preserve">. Its outputs are reported, by long-standing convention, as scenario-conditioned point estimates of covariance growth, reacquisition probabilities, or algorithmic performance.</w:t>
      </w:r>
    </w:p>
    <w:p>
      <w:pPr>
        <w:pStyle w:val="BodyText"/>
        <w:spacing w:line="480" w:lineRule="auto"/>
        <w:ind w:firstLine="720"/>
      </w:pPr>
      <w:r>
        <w:t xml:space="preserve">The cliometric and econometric methodology literature delivers the estimators required to convert scenario-conditioned point estimates into pooled covariate-effect estimates and continuous survival functions [7, 33, 34, 35, 39, 40, 41]. It supplies the HC1 panel regression machinery [40, 41], the Cox proportional-hazards framework, the chain-of-custody framing for treating custody as a continuous process</w:t>
      </w:r>
      <w:r>
        <w:t xml:space="preserve"> </w:t>
      </w:r>
      <w:hyperlink w:anchor="ref-35">
        <w:r>
          <w:rPr>
            <w:rStyle w:val="Hyperlink"/>
          </w:rPr>
          <w:t xml:space="preserve">[35]</w:t>
        </w:r>
      </w:hyperlink>
      <w:r>
        <w:t xml:space="preserve">, and the survey-level consolidation of orbit determination methods that confirms the absence of pooled empirical work in the cislunar corpus [7, 34].</w:t>
      </w:r>
    </w:p>
    <w:bookmarkEnd w:id="83"/>
    <w:bookmarkStart w:id="84" w:name="what-neither-delivers"/>
    <w:p>
      <w:pPr>
        <w:pStyle w:val="Heading3"/>
        <w:spacing w:line="480" w:lineRule="auto"/>
      </w:pPr>
      <w:r>
        <w:t xml:space="preserve">2.5.2 What neither delivers</w:t>
      </w:r>
    </w:p>
    <w:p>
      <w:pPr>
        <w:pStyle w:val="FirstParagraph"/>
        <w:spacing w:line="480" w:lineRule="auto"/>
      </w:pPr>
      <w:r>
        <w:t xml:space="preserve">Neither literature, taken alone, delivers an empirical, regime-stratified, continuous custody-decay function for cislunar objects with quantified uncertainty bounds. The technical literature reports the mechanisms but stops at scenario-specific covariance growth and binary custody outcomes [3, 4, 5, 6, 22, 32]. The methodological literature supplies the estimators but has not been applied to a pooled cislunar custody dataset. The closest precursors illustrate the gap rather than close it. Owens Fahrner and colleagues</w:t>
      </w:r>
      <w:r>
        <w:t xml:space="preserve"> </w:t>
      </w:r>
      <w:hyperlink w:anchor="ref-3">
        <w:r>
          <w:rPr>
            <w:rStyle w:val="Hyperlink"/>
          </w:rPr>
          <w:t xml:space="preserve">[3]</w:t>
        </w:r>
      </w:hyperlink>
      <w:r>
        <w:t xml:space="preserve"> </w:t>
      </w:r>
      <w:r>
        <w:t xml:space="preserve">optimize an architecture against an assumed observability budget. O’Neil [4, 29] predicts a binary custody outcome. Givens and colleagues [6, 20, 31] benchmark algorithms against simulated scenarios. Kazemi and colleagues [7, 34] survey the methods without proposing an econometric synthesis. Cai and colleagues</w:t>
      </w:r>
      <w:r>
        <w:t xml:space="preserve"> </w:t>
      </w:r>
      <w:hyperlink w:anchor="ref-40">
        <w:r>
          <w:rPr>
            <w:rStyle w:val="Hyperlink"/>
          </w:rPr>
          <w:t xml:space="preserve">[40]</w:t>
        </w:r>
      </w:hyperlink>
      <w:r>
        <w:t xml:space="preserve"> </w:t>
      </w:r>
      <w:r>
        <w:t xml:space="preserve">regress catalog maintenance performance in the geosynchronous regime without extending to cislunar dynamics. Walsh and colleagues</w:t>
      </w:r>
      <w:r>
        <w:t xml:space="preserve"> </w:t>
      </w:r>
      <w:hyperlink w:anchor="ref-35">
        <w:r>
          <w:rPr>
            <w:rStyle w:val="Hyperlink"/>
          </w:rPr>
          <w:t xml:space="preserve">[35]</w:t>
        </w:r>
      </w:hyperlink>
      <w:r>
        <w:t xml:space="preserve"> </w:t>
      </w:r>
      <w:r>
        <w:t xml:space="preserve">articulate chain-of-custody reasoning in a non-SDA setting.</w:t>
      </w:r>
    </w:p>
    <w:p>
      <w:pPr>
        <w:pStyle w:val="BodyText"/>
        <w:spacing w:line="480" w:lineRule="auto"/>
        <w:ind w:firstLine="720"/>
      </w:pPr>
      <w:r>
        <w:t xml:space="preserve">The joint gap is therefore not a gap in either literature alone. It is the absence of a study that imports the cliometric and econometric estimators into the cislunar technical record and uses them to produce the parameter that capacity-based architecture optimization assumes but does not measure</w:t>
      </w:r>
      <w:r>
        <w:t xml:space="preserve"> </w:t>
      </w:r>
      <w:hyperlink w:anchor="ref-3">
        <w:r>
          <w:rPr>
            <w:rStyle w:val="Hyperlink"/>
          </w:rPr>
          <w:t xml:space="preserve">[3]</w:t>
        </w:r>
      </w:hyperlink>
      <w:r>
        <w:t xml:space="preserve">, that game-theoretic deterrence treatments assume as an exogenous detection likelihood</w:t>
      </w:r>
      <w:r>
        <w:t xml:space="preserve"> </w:t>
      </w:r>
      <w:hyperlink w:anchor="ref-8">
        <w:r>
          <w:rPr>
            <w:rStyle w:val="Hyperlink"/>
          </w:rPr>
          <w:t xml:space="preserve">[8]</w:t>
        </w:r>
      </w:hyperlink>
      <w:r>
        <w:t xml:space="preserve">, and that mission-oriented evaluation frameworks require as a quantitative input [33, 38].</w:t>
      </w:r>
    </w:p>
    <w:bookmarkEnd w:id="84"/>
    <w:bookmarkStart w:id="85" w:name="X4d6a6b7198b497ee03e91bfc7b85ccade246ada"/>
    <w:p>
      <w:pPr>
        <w:pStyle w:val="Heading3"/>
        <w:spacing w:line="480" w:lineRule="auto"/>
      </w:pPr>
      <w:r>
        <w:t xml:space="preserve">2.5.3 The shape of the parameter that is missing</w:t>
      </w:r>
    </w:p>
    <w:p>
      <w:pPr>
        <w:pStyle w:val="FirstParagraph"/>
        <w:spacing w:line="480" w:lineRule="auto"/>
      </w:pPr>
      <w:r>
        <w:t xml:space="preserve">The missing parameter is a regime-stratified observability half-life, T_{1/2}, defined as the median of the survival distribution for cataloged cislunar objects under a reference sensor tier. Its inputs are the dynamical regime (LLO, NRHO, L1/L2 halo vicinity, ballistic lunar transfer), the sensor architecture tier, the target brightness, and the arc density, as identified by the technical literature. Its estimator is a Kaplan-Meier estimator per stratum combined with a Cox proportional-hazards model on the pooled record, as identified by the methodological literature. Its uncertainty is quantified by Greenwood confidence bands and Wald inference on the hazard coefficients. The parameter is reported as a function of stratum and sensor tier, not as a single scalar, in line with the construct-validity discipline established by the architecture literature [3, 33].</w:t>
      </w:r>
    </w:p>
    <w:bookmarkEnd w:id="85"/>
    <w:bookmarkEnd w:id="86"/>
    <w:bookmarkStart w:id="87" w:name="position-of-the-dissertation"/>
    <w:p>
      <w:pPr>
        <w:pStyle w:val="Heading2"/>
        <w:spacing w:line="480" w:lineRule="auto"/>
      </w:pPr>
      <w:r>
        <w:t xml:space="preserve">2.6 Position of the Dissertation</w:t>
      </w:r>
    </w:p>
    <w:p>
      <w:pPr>
        <w:pStyle w:val="FirstParagraph"/>
        <w:spacing w:line="480" w:lineRule="auto"/>
      </w:pPr>
      <w:r>
        <w:t xml:space="preserve">The dissertation closes the joint gap by jointly executing the panel and survival estimators on a single, citable cislunar custody dataset and reporting the regime-stratified observability half-life that neither literature has yet produced. The OLS panel paper estimates the marginal contribution of sensor count, arc length, target brightness, and space-based observer participation to end-of-arc position uncertainty across the published AMOS and Acta Astronautica record [9, 10, 11, 12, 13, 14, 15, 16, 17], with HC1 inference that respects the variance structure of the pooled cislunar OD literature. The Cox proportional-hazards paper estimates the hazard of custody loss as a continuous function of time since first catalog tag, conditional on orbit class, sensor count, brightness, and arc density [1, 18, 19, 20, 21, 22, 23, 24, 25], and isolates arc density as the dominant covariate. The two together identify the design lever that the architect actually controls (revisit cadence) and price it against the survival probability that the capacity literature has so far assumed [3, 4, 5, 6].</w:t>
      </w:r>
    </w:p>
    <w:p>
      <w:pPr>
        <w:pStyle w:val="BodyText"/>
        <w:spacing w:line="480" w:lineRule="auto"/>
        <w:ind w:firstLine="720"/>
      </w:pPr>
      <w:r>
        <w:t xml:space="preserve">Three caveats inherited from the reviewed literature constrain the contribution. First, real cislunar tracking arcs remain sparse [1, 5], and synthetic augmentation under the circular restricted three-body problem is required for NRHO and L1/L2 strata. Synthetic strata are reported separately and read as model-conditional. Second, the proportional-hazards assumption is not formally tested with a Schoenfeld residual procedure in the present sample [7, 34] and is deferred to a follow-on paper as the sample grows. Third, the photometric and observability mechanisms identified by Bolden, Craychee, and Griggs [22, 27], Thomas and Cobb</w:t>
      </w:r>
      <w:r>
        <w:t xml:space="preserve"> </w:t>
      </w:r>
      <w:hyperlink w:anchor="ref-28">
        <w:r>
          <w:rPr>
            <w:rStyle w:val="Hyperlink"/>
          </w:rPr>
          <w:t xml:space="preserve">[28]</w:t>
        </w:r>
      </w:hyperlink>
      <w:r>
        <w:t xml:space="preserve">, and Machuca, Rosengren, and Ross</w:t>
      </w:r>
      <w:r>
        <w:t xml:space="preserve"> </w:t>
      </w:r>
      <w:hyperlink w:anchor="ref-12">
        <w:r>
          <w:rPr>
            <w:rStyle w:val="Hyperlink"/>
          </w:rPr>
          <w:t xml:space="preserve">[12]</w:t>
        </w:r>
      </w:hyperlink>
      <w:r>
        <w:t xml:space="preserve"> </w:t>
      </w:r>
      <w:r>
        <w:t xml:space="preserve">mean that any half-life estimate is conditional on the reference sensor tier; the dissertation reports half-life as a function of tier rather than as a single number, consistent with the construct-validity discipline established by Owens Fahrner, Correa, and Wysack</w:t>
      </w:r>
      <w:r>
        <w:t xml:space="preserve"> </w:t>
      </w:r>
      <w:hyperlink w:anchor="ref-3">
        <w:r>
          <w:rPr>
            <w:rStyle w:val="Hyperlink"/>
          </w:rPr>
          <w:t xml:space="preserve">[3]</w:t>
        </w:r>
      </w:hyperlink>
      <w:r>
        <w:t xml:space="preserve">.</w:t>
      </w:r>
    </w:p>
    <w:p>
      <w:pPr>
        <w:pStyle w:val="BodyText"/>
        <w:spacing w:line="480" w:lineRule="auto"/>
        <w:ind w:firstLine="720"/>
      </w:pPr>
      <w:r>
        <w:t xml:space="preserve">The dissertation’s contribution is therefore neither a new SDA technique nor a new econometric estimator. It is the bridging of two mature literatures around a single empirical parameter that the operational community requires and that neither literature has so far produced.</w:t>
      </w:r>
    </w:p>
    <w:bookmarkEnd w:id="87"/>
    <w:bookmarkEnd w:id="88"/>
    <w:bookmarkStart w:id="103" w:name="Xcfcc00a3ded59aed0c781c16bfc121f2a509603"/>
    <w:p>
      <w:pPr>
        <w:pStyle w:val="Heading1"/>
        <w:spacing w:line="480" w:lineRule="auto"/>
      </w:pPr>
      <w:r>
        <w:t xml:space="preserve">Chapter 3. Theoretical Framework and Hypotheses</w:t>
      </w:r>
    </w:p>
    <w:bookmarkStart w:id="89" w:name="purpose-and-position-of-the-chapter"/>
    <w:p>
      <w:pPr>
        <w:pStyle w:val="Heading2"/>
        <w:spacing w:line="480" w:lineRule="auto"/>
      </w:pPr>
      <w:r>
        <w:t xml:space="preserve">3.1 Purpose and Position of the Chapter</w:t>
      </w:r>
    </w:p>
    <w:p>
      <w:pPr>
        <w:pStyle w:val="FirstParagraph"/>
        <w:spacing w:line="480" w:lineRule="auto"/>
      </w:pPr>
      <w:r>
        <w:t xml:space="preserve">This chapter specifies the theoretical apparatus that supports the empirical estimands carried by the dissertation. The animating empirical question, set out in Chapter 1 and given preliminary quantitative treatment in the two companion papers, is how rapidly the marginal probability of reacquiring a cataloged cislunar object falls as a function of the time elapsed since its last fix. The companion OLS panel paper established that, across the open record, sensor count is the dominant lever shaping end-of-arc covariance, with apparent magnitude as a secondary photometric channel and arc length absorbed by collinearity with sensor count. The companion Cox proportional-hazards paper, working on a different unit of analysis (object-arcs in operational mission reports rather than reported covariance ellipsoids), found that arc density was the only covariate the data identified with confidence, and that the hypothesized orbit-class channel was directionally consistent but not separable in that small sample. Those two empirical results bracket the theoretical work this chapter must do. The OLS panel offers a snapshot view of orbit-determination quality at a single moment, the end of an arc. The Cox model offers a temporal view of custody loss but treats orbit family as one ordinal covariate among several. Neither isolates the parameter that architecture sizing actually requires: a regime-stratified, time-resolved decay function from which a half-life can be read.</w:t>
      </w:r>
    </w:p>
    <w:p>
      <w:pPr>
        <w:pStyle w:val="BodyText"/>
        <w:spacing w:line="480" w:lineRule="auto"/>
        <w:ind w:firstLine="720"/>
      </w:pPr>
      <w:r>
        <w:t xml:space="preserve">The purpose of this chapter is therefore to specify, in formal terms, the theoretical mechanism that links cislunar dynamics, sensor architecture, and the resulting time-to-loss distribution; to set out the causal logic by which that mechanism implies a measurable observability half-life; and to register the falsifiable null and alternative hypotheses that the empirical chapters will test.</w:t>
      </w:r>
    </w:p>
    <w:bookmarkEnd w:id="89"/>
    <w:bookmarkStart w:id="90" w:name="X5b1ee9bcad95d6faf72e86e20d14a732eb405bd"/>
    <w:p>
      <w:pPr>
        <w:pStyle w:val="Heading2"/>
        <w:spacing w:line="480" w:lineRule="auto"/>
      </w:pPr>
      <w:r>
        <w:t xml:space="preserve">3.2 Construct of Interest: The Observability Half-Life</w:t>
      </w:r>
    </w:p>
    <w:p>
      <w:pPr>
        <w:pStyle w:val="FirstParagraph"/>
        <w:spacing w:line="480" w:lineRule="auto"/>
      </w:pPr>
      <w:r>
        <w:t xml:space="preserve">The construct of interest is the observability half-life, denoted T_{1/2}, of a cataloged cislunar object conditional on regime stratum and reference sensor tier. T_{1/2} is the median of the survival distribution of custody, where the survival function S(t) records the probability that an object remains in custody at time t after its last fix. Custody, in turn, is a binary state derived from a continuous quantity: an object is in custody at time t if the propagated positional uncertainty, expressed as a one-sigma ellipsoid in an inertial Earth-Moon barycentric frame, projects onto the reference sensor’s instantaneous field-of-regard search volume with sufficient compactness that the marginal probability of reacquisition within a defined search budget exceeds one-half. When the projected uncertainty exceeds that volume, custody is declared lost.</w:t>
      </w:r>
    </w:p>
    <w:p>
      <w:pPr>
        <w:pStyle w:val="BodyText"/>
        <w:spacing w:line="480" w:lineRule="auto"/>
        <w:ind w:firstLine="720"/>
      </w:pPr>
      <w:r>
        <w:t xml:space="preserve">This construct deliberately bridges three distinct framings present in the open literature. The first is the continuous-covariance framing dominant in the cislunar OD literature, in which uncertainty is reported as a covariance matrix or as a three-sigma position scalar at the end of an arc [10, 11, 25]. The second is the binary fusion framing carried by the operational custody-prediction literature, in which custody is treated as a downstream classification problem [4, 29]. The third is the algorithmic-performance framing of the custody-maintenance literature, in which a candidate algorithm is scored against a baseline within a closed simulation environment [6, 31]. The observability half-life construct unifies these three by treating custody as a survival quantity whose hazard is a deterministic transformation of the propagated covariance and the reference sensor’s reacquisition geometry. The covariance framing supplies the time-dependent input, the binary framing supplies the event definition, and the algorithmic framing supplies the reacquisition-budget calibration.</w:t>
      </w:r>
    </w:p>
    <w:p>
      <w:pPr>
        <w:pStyle w:val="BodyText"/>
        <w:spacing w:line="480" w:lineRule="auto"/>
        <w:ind w:firstLine="720"/>
      </w:pPr>
      <w:r>
        <w:t xml:space="preserve">The choice of one-half as the threshold is not strategic. It is the median of the survival function and therefore the most robust summary statistic available under heavy right-censoring, which is the dominant statistical pathology of cislunar custody data. The mean residence time is unstable when censoring is heavy and when the underlying hazard is non-constant in time, both of which obtain in this regime [4, 22]. Quartiles other than the median compound those instabilities. The half-life therefore inherits the standard properties of a Kaplan-Meier median and supports nonparametric inference under the same assumptions that govern survival estimation elsewhere in the SDA literature</w:t>
      </w:r>
      <w:r>
        <w:t xml:space="preserve"> </w:t>
      </w:r>
      <w:hyperlink w:anchor="ref-40">
        <w:r>
          <w:rPr>
            <w:rStyle w:val="Hyperlink"/>
          </w:rPr>
          <w:t xml:space="preserve">[40]</w:t>
        </w:r>
      </w:hyperlink>
      <w:r>
        <w:t xml:space="preserve">.</w:t>
      </w:r>
    </w:p>
    <w:bookmarkEnd w:id="90"/>
    <w:bookmarkStart w:id="95" w:name="theoretical-mechanism"/>
    <w:p>
      <w:pPr>
        <w:pStyle w:val="Heading2"/>
        <w:spacing w:line="480" w:lineRule="auto"/>
      </w:pPr>
      <w:r>
        <w:t xml:space="preserve">3.3 Theoretical Mechanism</w:t>
      </w:r>
    </w:p>
    <w:p>
      <w:pPr>
        <w:pStyle w:val="FirstParagraph"/>
        <w:spacing w:line="480" w:lineRule="auto"/>
      </w:pPr>
      <w:r>
        <w:t xml:space="preserve">The theoretical mechanism that connects cislunar dynamics to T_{1/2} runs in four linked stages. The chapter sets each out in turn, because each stage is a load-bearing element of the falsifiable claim that follows.</w:t>
      </w:r>
    </w:p>
    <w:bookmarkStart w:id="91" w:name="X7c0f13b739e2104f9730afcb6a6383e0c191dad"/>
    <w:p>
      <w:pPr>
        <w:pStyle w:val="Heading3"/>
        <w:spacing w:line="480" w:lineRule="auto"/>
      </w:pPr>
      <w:r>
        <w:t xml:space="preserve">3.3.1 Stage One: Dynamical Sensitivity in the Earth-Moon Three-Body Regime</w:t>
      </w:r>
    </w:p>
    <w:p>
      <w:pPr>
        <w:pStyle w:val="FirstParagraph"/>
        <w:spacing w:line="480" w:lineRule="auto"/>
      </w:pPr>
      <w:r>
        <w:t xml:space="preserve">The first stage is dynamical sensitivity. The cislunar regime is governed at first order by the circular restricted three-body problem (CR3BP), and at higher fidelity by ephemeris-driven n-body propagation. Within the CR3BP, the local Lyapunov spectrum varies sharply across regime strata. Low lunar orbit (LLO) and ballistic lunar transfer arcs sit close to the Earth-Moon two-body regime in their stability properties, and small position-velocity perturbations grow at rates that, while non-trivial, remain bounded over the days-to-weeks horizons relevant to catalog maintenance. Near-rectilinear halo orbits (NRHOs) are quasi-stable, with center-manifold directions that propagate small perturbations slowly and unstable-manifold directions that amplify them at characteristic timescales on the order of the synodic period. The L1 and L2 halo families, including the southern L2 vicinity exploited by Chinese relay assets</w:t>
      </w:r>
      <w:r>
        <w:t xml:space="preserve"> </w:t>
      </w:r>
      <w:hyperlink w:anchor="ref-1">
        <w:r>
          <w:rPr>
            <w:rStyle w:val="Hyperlink"/>
          </w:rPr>
          <w:t xml:space="preserve">[1]</w:t>
        </w:r>
      </w:hyperlink>
      <w:r>
        <w:t xml:space="preserve">, occupy phase-space regions in which the Lyapunov exponent along the unstable direction is comparatively large, so that a small initial covariance ellipsoid stretches rapidly into a long thin object aligned with the unstable manifold.</w:t>
      </w:r>
    </w:p>
    <w:p>
      <w:pPr>
        <w:pStyle w:val="BodyText"/>
        <w:spacing w:line="480" w:lineRule="auto"/>
        <w:ind w:firstLine="720"/>
      </w:pPr>
      <w:r>
        <w:t xml:space="preserve">The theoretical implication is that the covariance growth rate, governed at first order by the state-transition matrix of the CR3BP linearized about the local reference trajectory, is regime-dependent. The covariance growth is not a single number per regime, because direction matters: the same initial covariance ellipsoid grows along different principal axes at different rates depending on where in the synodic cycle the last fix was taken [12, 16]. The construct T_{1/2} therefore inherits regime dependence by construction: it is computed by integrating the local state-transition behavior forward and asking when the propagated ellipsoid first violates the reacquisition criterion. The conjectured ordering of regimes by T_{1/2}, with L1 and L2 vicinity exhibiting the shortest half-lives, follows directly from the Lyapunov-exponent ordering imposed by the underlying dynamics.</w:t>
      </w:r>
    </w:p>
    <w:bookmarkEnd w:id="91"/>
    <w:bookmarkStart w:id="92" w:name="X22b626a22a8e8366b80433f2e9c1f4a664852ca"/>
    <w:p>
      <w:pPr>
        <w:pStyle w:val="Heading3"/>
        <w:spacing w:line="480" w:lineRule="auto"/>
      </w:pPr>
      <w:r>
        <w:t xml:space="preserve">3.3.2 Stage Two: Sensor Geometry and Reacquisition Volume</w:t>
      </w:r>
    </w:p>
    <w:p>
      <w:pPr>
        <w:pStyle w:val="FirstParagraph"/>
        <w:spacing w:line="480" w:lineRule="auto"/>
      </w:pPr>
      <w:r>
        <w:t xml:space="preserve">The second stage is sensor-geometry-driven reacquisition. A propagated ellipsoid does not by itself constitute custody loss. The operational criterion is whether the projected uncertainty can be searched within a finite tasking budget by an available sensor. The companion OLS paper established empirically that sensor count is the dominant lever on end-of-arc covariance, a finding that the cislunar literature interprets as a geometric statement: each independent observer breaks an underdetermined direction in the OD problem [2, 3, 23]. The same logic applies in reverse for the reacquisition stage. A network with more independent observation geometries can search a larger projected ellipsoid in finite time, because the search volume scales with the number of fields-of-regard available per unit time and because diversified geometries reduce the in-track degeneracy that ground-only networks struggle with [7, 9, 14].</w:t>
      </w:r>
    </w:p>
    <w:p>
      <w:pPr>
        <w:pStyle w:val="BodyText"/>
        <w:spacing w:line="480" w:lineRule="auto"/>
        <w:ind w:firstLine="720"/>
      </w:pPr>
      <w:r>
        <w:t xml:space="preserve">The reference sensor tier in this dissertation is therefore not a single number. It is a structured tuple of (number of independent observers, aperture distribution, ground-versus-space split, and tasking budget per orbital period) drawn from the architecture taxonomy of Owens Fahrner and colleagues</w:t>
      </w:r>
      <w:r>
        <w:t xml:space="preserve"> </w:t>
      </w:r>
      <w:hyperlink w:anchor="ref-3">
        <w:r>
          <w:rPr>
            <w:rStyle w:val="Hyperlink"/>
          </w:rPr>
          <w:t xml:space="preserve">[3]</w:t>
        </w:r>
      </w:hyperlink>
      <w:r>
        <w:t xml:space="preserve"> </w:t>
      </w:r>
      <w:r>
        <w:t xml:space="preserve">and extended where necessary by the pole-sitter and space-based-observer constructions of Ewart and colleagues</w:t>
      </w:r>
      <w:r>
        <w:t xml:space="preserve"> </w:t>
      </w:r>
      <w:hyperlink w:anchor="ref-14">
        <w:r>
          <w:rPr>
            <w:rStyle w:val="Hyperlink"/>
          </w:rPr>
          <w:t xml:space="preserve">[14]</w:t>
        </w:r>
      </w:hyperlink>
      <w:r>
        <w:t xml:space="preserve"> </w:t>
      </w:r>
      <w:r>
        <w:t xml:space="preserve">and Thompson and colleagues</w:t>
      </w:r>
      <w:r>
        <w:t xml:space="preserve"> </w:t>
      </w:r>
      <w:hyperlink w:anchor="ref-9">
        <w:r>
          <w:rPr>
            <w:rStyle w:val="Hyperlink"/>
          </w:rPr>
          <w:t xml:space="preserve">[9]</w:t>
        </w:r>
      </w:hyperlink>
      <w:r>
        <w:t xml:space="preserve">. The half-life construct must be reported as a function of sensor tier, not as a single point estimate, because the same propagated ellipsoid can be either in custody or lost depending on which tier is held as the reference.</w:t>
      </w:r>
    </w:p>
    <w:bookmarkEnd w:id="92"/>
    <w:bookmarkStart w:id="93" w:name="X764d572858a63740feb91fdcd1ab9db18b0d082"/>
    <w:p>
      <w:pPr>
        <w:pStyle w:val="Heading3"/>
        <w:spacing w:line="480" w:lineRule="auto"/>
      </w:pPr>
      <w:r>
        <w:t xml:space="preserve">3.3.3 Stage Three: Initial Orbit Determination and the Constrained Admissible Region</w:t>
      </w:r>
    </w:p>
    <w:p>
      <w:pPr>
        <w:pStyle w:val="FirstParagraph"/>
        <w:spacing w:line="480" w:lineRule="auto"/>
      </w:pPr>
      <w:r>
        <w:t xml:space="preserve">The third stage is the IOD stage, which sets the initial conditions for the survival clock. When a new cislunar object is detected, the IOD problem is acute: short arcs yield poorly constrained orbit solutions, and the Constrained Admissible Region (CAR) approach of Billings and colleagues</w:t>
      </w:r>
      <w:r>
        <w:t xml:space="preserve"> </w:t>
      </w:r>
      <w:hyperlink w:anchor="ref-5">
        <w:r>
          <w:rPr>
            <w:rStyle w:val="Hyperlink"/>
          </w:rPr>
          <w:t xml:space="preserve">[5]</w:t>
        </w:r>
      </w:hyperlink>
      <w:r>
        <w:t xml:space="preserve"> </w:t>
      </w:r>
      <w:r>
        <w:t xml:space="preserve">becomes the natural framework for representing the post-detection state as a distribution of admissible candidates rather than as a point estimate with a Gaussian covariance. The CAR multiple-hypothesis filter formulation that Billings and colleagues develop produces an initial covariance whose effective volume depends both on the strength of the IOD constraint imposed by the geometry of detection and on the orbit family being instantiated [5, 10].</w:t>
      </w:r>
    </w:p>
    <w:p>
      <w:pPr>
        <w:pStyle w:val="BodyText"/>
        <w:spacing w:line="480" w:lineRule="auto"/>
        <w:ind w:firstLine="720"/>
      </w:pPr>
      <w:r>
        <w:t xml:space="preserve">The theoretical implication is that the survival clock does not start from a regime-independent initial uncertainty. Two objects detected at the same instant in different regimes inherit different initial ellipsoid volumes, and the difference is sometimes order-of-magnitude. The half-life construct must therefore account for the regime-dependence of the initial covariance as well as the regime-dependence of the propagation. The chapter treats both effects in series: the initial covariance is set by the IOD methodology of</w:t>
      </w:r>
      <w:r>
        <w:t xml:space="preserve"> </w:t>
      </w:r>
      <w:hyperlink w:anchor="ref-5">
        <w:r>
          <w:rPr>
            <w:rStyle w:val="Hyperlink"/>
          </w:rPr>
          <w:t xml:space="preserve">[5]</w:t>
        </w:r>
      </w:hyperlink>
      <w:r>
        <w:t xml:space="preserve">, and the propagation is set by the CR3BP-with-perturbations machinery of [10, 11, 25].</w:t>
      </w:r>
    </w:p>
    <w:bookmarkEnd w:id="93"/>
    <w:bookmarkStart w:id="94" w:name="Xb49e598dbfba576dcee0dceb2df3f5422cca91c"/>
    <w:p>
      <w:pPr>
        <w:pStyle w:val="Heading3"/>
        <w:spacing w:line="480" w:lineRule="auto"/>
      </w:pPr>
      <w:r>
        <w:t xml:space="preserve">3.3.4 Stage Four: Maneuvering Objects and the Adaptive-Filter Correction</w:t>
      </w:r>
    </w:p>
    <w:p>
      <w:pPr>
        <w:pStyle w:val="FirstParagraph"/>
        <w:spacing w:line="480" w:lineRule="auto"/>
      </w:pPr>
      <w:r>
        <w:t xml:space="preserve">The fourth stage handles the maneuvering-object case. Cooperative and noncooperative cislunar objects perform station-keeping and translational maneuvers that violate the ballistic propagation assumption underpinning stages one and three. Iannamorelli and LeGrand develop the adaptive multi-sensor filter that is the closest open-record treatment of this problem [2, 23], and the AMOS literature converges on the position that the maneuvering case is a categorically distinct regime within the cislunar custody problem rather than a perturbation of the ballistic case</w:t>
      </w:r>
      <w:r>
        <w:t xml:space="preserve"> </w:t>
      </w:r>
      <w:hyperlink w:anchor="ref-39">
        <w:r>
          <w:rPr>
            <w:rStyle w:val="Hyperlink"/>
          </w:rPr>
          <w:t xml:space="preserve">[39]</w:t>
        </w:r>
      </w:hyperlink>
      <w:r>
        <w:t xml:space="preserve">. The theoretical framework therefore stratifies the survival analysis into ballistic-only and maneuver-included sub-samples and reports T_{1/2} separately. The maneuvering case is not a confound to be controlled away. It is a substantive stratum in its own right, because the relevant policy question of how long custody survives in the presence of maneuvers is distinct from the question of how long it survives under ballistic propagation.</w:t>
      </w:r>
    </w:p>
    <w:bookmarkEnd w:id="94"/>
    <w:bookmarkEnd w:id="95"/>
    <w:bookmarkStart w:id="96" w:name="causal-logic-and-identification"/>
    <w:p>
      <w:pPr>
        <w:pStyle w:val="Heading2"/>
        <w:spacing w:line="480" w:lineRule="auto"/>
      </w:pPr>
      <w:r>
        <w:t xml:space="preserve">3.4 Causal Logic and Identification</w:t>
      </w:r>
    </w:p>
    <w:p>
      <w:pPr>
        <w:pStyle w:val="FirstParagraph"/>
        <w:spacing w:line="480" w:lineRule="auto"/>
      </w:pPr>
      <w:r>
        <w:t xml:space="preserve">The causal logic that supports the falsifiable claim runs as follows. Holding the reference sensor tier fixed, the only systematic source of variation in T_{1/2} across regime strata is the regime-dependent compounding of (i) the initial covariance volume induced by the IOD methodology and (ii) the local CR3BP propagation behavior. Other potential sources of variation, including target brightness, network configuration, and maneuver state, are either held fixed by the reference-tier construction or stratified in the analysis. The stratified comparison therefore identifies the dynamical-sensitivity contribution to T_{1/2} cleanly.</w:t>
      </w:r>
    </w:p>
    <w:p>
      <w:pPr>
        <w:pStyle w:val="BodyText"/>
        <w:spacing w:line="480" w:lineRule="auto"/>
        <w:ind w:firstLine="720"/>
      </w:pPr>
      <w:r>
        <w:t xml:space="preserve">This identification strategy is conservative in one important sense. It does not claim that the four stages above are the only causal channels through which regime can affect T_{1/2}. There are plausible secondary channels, including illumination-geometry effects on the realized photometric SNR distribution across regimes, and tasking-policy effects that may correlate with regime in operational catalogs. The strategy controls for the first by holding the photometric regime fixed via the reference sensor tier construction. It controls for the second by drawing the empirical sample from open scientific tracking records rather than from operational catalogs, where tasking policy is heterogeneous across regimes in unobservable ways [33, 40]. What remains is the dynamical channel, and that is the channel the hypotheses target.</w:t>
      </w:r>
    </w:p>
    <w:p>
      <w:pPr>
        <w:pStyle w:val="BodyText"/>
        <w:spacing w:line="480" w:lineRule="auto"/>
        <w:ind w:firstLine="720"/>
      </w:pPr>
      <w:r>
        <w:t xml:space="preserve">The companion OLS paper supports this identification strategy at the snapshot level by demonstrating that sensor count, magnitude, and arc length account for most of the variation in reported end-of-arc covariance, leaving regime as a stratification dimension rather than a confound. The companion Cox paper supports it at the temporal level by demonstrating that arc density carries the dominant time-resolved signal in operational data, leaving orbit family as a directionally consistent but statistically under-identified covariate that the present design is constructed to identify.</w:t>
      </w:r>
    </w:p>
    <w:bookmarkEnd w:id="96"/>
    <w:bookmarkStart w:id="97" w:name="scope-conditions"/>
    <w:p>
      <w:pPr>
        <w:pStyle w:val="Heading2"/>
        <w:spacing w:line="480" w:lineRule="auto"/>
      </w:pPr>
      <w:r>
        <w:t xml:space="preserve">3.5 Scope Conditions</w:t>
      </w:r>
    </w:p>
    <w:p>
      <w:pPr>
        <w:pStyle w:val="FirstParagraph"/>
        <w:spacing w:line="480" w:lineRule="auto"/>
      </w:pPr>
      <w:r>
        <w:t xml:space="preserve">The theoretical framework applies within four scope conditions that the empirical chapters will respect. First, the framework is restricted to the cislunar regime as defined by the xGEO parametrization of Machuca and colleagues</w:t>
      </w:r>
      <w:r>
        <w:t xml:space="preserve"> </w:t>
      </w:r>
      <w:hyperlink w:anchor="ref-12">
        <w:r>
          <w:rPr>
            <w:rStyle w:val="Hyperlink"/>
          </w:rPr>
          <w:t xml:space="preserve">[12]</w:t>
        </w:r>
      </w:hyperlink>
      <w:r>
        <w:t xml:space="preserve">, excluding deep-space and heliocentric arcs. Second, it is restricted to the optical observation modality, since the open record on cislunar custody is overwhelmingly optical [1, 9, 14, 22]; SWIR and radar custody, where the relevant comparator is closer to GEO custody [28, 40], is left to extension. Third, it is restricted to the days-to-weeks observation horizon over which the proportional-hazards assumption of the companion Cox paper is plausible and over which mission posture does not change. Fourth, it is restricted to the publicly retrievable data record, both because reproducibility requires it and because no internal or classified data is used at any stage of the dissertation.</w:t>
      </w:r>
    </w:p>
    <w:bookmarkEnd w:id="97"/>
    <w:bookmarkStart w:id="98" w:name="hypotheses"/>
    <w:p>
      <w:pPr>
        <w:pStyle w:val="Heading2"/>
        <w:spacing w:line="480" w:lineRule="auto"/>
      </w:pPr>
      <w:r>
        <w:t xml:space="preserve">3.6 Hypotheses</w:t>
      </w:r>
    </w:p>
    <w:p>
      <w:pPr>
        <w:pStyle w:val="FirstParagraph"/>
        <w:spacing w:line="480" w:lineRule="auto"/>
      </w:pPr>
      <w:r>
        <w:t xml:space="preserve">The hypotheses are stated formally below. They are pre-registered against the analytic plan set out in Chapter 4, and they are written in the form required for a stratified log-rank test against a fixed reference sensor tier.</w:t>
      </w:r>
    </w:p>
    <w:p>
      <w:pPr>
        <w:pStyle w:val="BodyText"/>
        <w:spacing w:line="480" w:lineRule="auto"/>
        <w:ind w:firstLine="720"/>
      </w:pPr>
      <w:r>
        <w:rPr>
          <w:b/>
          <w:bCs/>
        </w:rPr>
        <w:t xml:space="preserve">H0 (null hypothesis).</w:t>
      </w:r>
      <w:r>
        <w:t xml:space="preserve"> </w:t>
      </w:r>
      <w:r>
        <w:t xml:space="preserve">The observability half-life T_{1/2} of cataloged cislunar objects is invariant across regime strata when conditioned on a fixed reference sensor tier. Formally, for regime strata indexed r in {LLO, NRHO, L1/L2 halo vicinity, ballistic lunar transfer} and reference sensor tier s,</w:t>
      </w:r>
    </w:p>
    <w:p>
      <w:pPr>
        <w:pStyle w:val="BodyText"/>
        <w:spacing w:line="480" w:lineRule="auto"/>
        <w:ind w:firstLine="720"/>
      </w:pPr>
      <w:r>
        <w:t xml:space="preserve">T_{1/2}(r = LLO | s) = T_{1/2}(r = NRHO | s) = T_{1/2}(r = L1/L2 | s) = T_{1/2}(r = transfer | s).</w:t>
      </w:r>
    </w:p>
    <w:p>
      <w:pPr>
        <w:pStyle w:val="BodyText"/>
        <w:spacing w:line="480" w:lineRule="auto"/>
        <w:ind w:firstLine="720"/>
      </w:pPr>
      <w:r>
        <w:rPr>
          <w:b/>
          <w:bCs/>
        </w:rPr>
        <w:t xml:space="preserve">H1 (alternative hypothesis).</w:t>
      </w:r>
      <w:r>
        <w:t xml:space="preserve"> </w:t>
      </w:r>
      <w:r>
        <w:t xml:space="preserve">The observability half-life varies by at least a factor of three across regime strata under the same reference sensor tier, with the L1/L2 halo vicinity exhibiting the shortest half-life at the 95 percent confidence level. Formally,</w:t>
      </w:r>
    </w:p>
    <w:p>
      <w:pPr>
        <w:pStyle w:val="BodyText"/>
        <w:spacing w:line="480" w:lineRule="auto"/>
        <w:ind w:firstLine="720"/>
      </w:pPr>
      <w:r>
        <w:t xml:space="preserve">max_r T_{1/2}(r | s) / min_r T_{1/2}(r | s) &gt;= 3, with argmin_r T_{1/2}(r | s) = L1/L2 halo vicinity.</w:t>
      </w:r>
    </w:p>
    <w:p>
      <w:pPr>
        <w:pStyle w:val="BodyText"/>
        <w:spacing w:line="480" w:lineRule="auto"/>
        <w:ind w:firstLine="720"/>
      </w:pPr>
      <w:r>
        <w:t xml:space="preserve">The factor-of-three effect size is not arbitrary. It is the smallest separation that the open architecture-optimization literature treats as policy-actionable</w:t>
      </w:r>
      <w:r>
        <w:t xml:space="preserve"> </w:t>
      </w:r>
      <w:hyperlink w:anchor="ref-3">
        <w:r>
          <w:rPr>
            <w:rStyle w:val="Hyperlink"/>
          </w:rPr>
          <w:t xml:space="preserve">[3]</w:t>
        </w:r>
      </w:hyperlink>
      <w:r>
        <w:t xml:space="preserve">, it sits above the noise floor implied by the residual variance in the companion OLS paper, and it is below the largest separation that the dynamical-sensitivity argument predicts when one compares the LLO regime, where the local Lyapunov exponent is near-Keplerian, against the L1/L2 halo vicinity, where the unstable manifold dominates covariance growth on the synodic timescale. The directional pre-specification of L1/L2 as the argmin is similarly principled: it is the direct prediction of the Lyapunov-exponent ordering set out in stage one of the mechanism, and it is the regime that the operational community has consistently identified as the most challenging for sustained custody [4, 6, 17, 22].</w:t>
      </w:r>
    </w:p>
    <w:bookmarkEnd w:id="98"/>
    <w:bookmarkStart w:id="99" w:name="auxiliary-empirical-implications"/>
    <w:p>
      <w:pPr>
        <w:pStyle w:val="Heading2"/>
        <w:spacing w:line="480" w:lineRule="auto"/>
      </w:pPr>
      <w:r>
        <w:t xml:space="preserve">3.7 Auxiliary Empirical Implications</w:t>
      </w:r>
    </w:p>
    <w:p>
      <w:pPr>
        <w:pStyle w:val="FirstParagraph"/>
        <w:spacing w:line="480" w:lineRule="auto"/>
      </w:pPr>
      <w:r>
        <w:t xml:space="preserve">Rejection of H0 in favor of H1 carries three auxiliary empirical implications that the dissertation will report but that are not themselves the headline test. The first auxiliary implication is that the same regime ordering should appear, with attenuated magnitude, in the secondary algorithmic baseline derived from the Advanced Space custody-maintenance benchmarks [6, 20, 31]. The second auxiliary implication is that the regime ordering should be robust to the choice among the three reference sensor tiers reported in</w:t>
      </w:r>
      <w:r>
        <w:t xml:space="preserve"> </w:t>
      </w:r>
      <w:hyperlink w:anchor="ref-3">
        <w:r>
          <w:rPr>
            <w:rStyle w:val="Hyperlink"/>
          </w:rPr>
          <w:t xml:space="preserve">[3]</w:t>
        </w:r>
      </w:hyperlink>
      <w:r>
        <w:t xml:space="preserve">, in the sense that the argmin should remain at L1/L2 across tiers even though the absolute half-life values shift. The third auxiliary implication is that the regime ordering should be approximately preserved when the survival analysis is rerun on the maneuver-included sub-sample, because the dynamical-sensitivity argument applies to maneuvering as well as ballistic objects with the additional perturbation that maneuvers introduce an exogenous shock to the covariance whose magnitude is approximately regime-independent at leading order. Failure of any of these three auxiliary implications would not falsify H1 but would qualify it, and the dissertation will report each as a robustness diagnostic rather than as a primary test.</w:t>
      </w:r>
    </w:p>
    <w:bookmarkEnd w:id="99"/>
    <w:bookmarkStart w:id="100" w:name="X770c974b8bbe4f6ca457dbbc070ed478d6369bc"/>
    <w:p>
      <w:pPr>
        <w:pStyle w:val="Heading2"/>
        <w:spacing w:line="480" w:lineRule="auto"/>
      </w:pPr>
      <w:r>
        <w:t xml:space="preserve">3.8 Connection to Adjacent Theoretical Literatures</w:t>
      </w:r>
    </w:p>
    <w:p>
      <w:pPr>
        <w:pStyle w:val="FirstParagraph"/>
        <w:spacing w:line="480" w:lineRule="auto"/>
      </w:pPr>
      <w:r>
        <w:t xml:space="preserve">Two adjacent literatures shape the way the empirical estimate of T_{1/2} should be cited and used. The first is the game-theoretic SSA literature exemplified by Boh and colleagues</w:t>
      </w:r>
      <w:r>
        <w:t xml:space="preserve"> </w:t>
      </w:r>
      <w:hyperlink w:anchor="ref-8">
        <w:r>
          <w:rPr>
            <w:rStyle w:val="Hyperlink"/>
          </w:rPr>
          <w:t xml:space="preserve">[8]</w:t>
        </w:r>
      </w:hyperlink>
      <w:r>
        <w:t xml:space="preserve">, in which detection likelihoods at L1 and L2 are treated as exogenous parameters of a Bayesian game between observer and observed. The dissertation’s estimate of T_{1/2} for the L1/L2 regime is an empirical candidate for those exogenous parameters; the chapter records this connection explicitly so that downstream strategic models can take T_{1/2} as a measured input rather than as an assumed one. The second is the cislunar STM literature exemplified by the Moon-to-Mars strategic-framework paper</w:t>
      </w:r>
      <w:r>
        <w:t xml:space="preserve"> </w:t>
      </w:r>
      <w:hyperlink w:anchor="ref-38">
        <w:r>
          <w:rPr>
            <w:rStyle w:val="Hyperlink"/>
          </w:rPr>
          <w:t xml:space="preserve">[38]</w:t>
        </w:r>
      </w:hyperlink>
      <w:r>
        <w:t xml:space="preserve">, in which the architectural sizing of the cislunar SDA enterprise is presented as a coordination problem across space agencies. T_{1/2} enters that literature as the parameter that sets the floor on revisit cadence required to maintain any chosen custody probability, and the dissertation’s regime-stratified estimate gives that literature the parameter it currently assumes.</w:t>
      </w:r>
    </w:p>
    <w:bookmarkEnd w:id="100"/>
    <w:bookmarkStart w:id="101" w:name="what-this-chapter-does-not-claim"/>
    <w:p>
      <w:pPr>
        <w:pStyle w:val="Heading2"/>
        <w:spacing w:line="480" w:lineRule="auto"/>
      </w:pPr>
      <w:r>
        <w:t xml:space="preserve">3.9 What This Chapter Does Not Claim</w:t>
      </w:r>
    </w:p>
    <w:p>
      <w:pPr>
        <w:pStyle w:val="FirstParagraph"/>
        <w:spacing w:line="480" w:lineRule="auto"/>
      </w:pPr>
      <w:r>
        <w:t xml:space="preserve">Three claims that a reader might expect this chapter to make are deliberately withheld. The chapter does not claim that T_{1/2} is the right scalar summary of custody risk for every policy use; for some uses, the 90th-percentile residence time or the full survival curve carries more decision-relevant information [33, 40]. The chapter does not claim that the CR3BP-with-perturbations propagation model captures all dynamical sensitivity relevant to the regime; the ephemeris-driven n-body environment introduces second-order effects that the construct treats as additional uncertainty rather than as systematic bias [12, 16]. The chapter does not claim that the regime-stratified result generalizes beyond the optical, days-to-weeks, publicly observable cislunar tracking record from which the empirical sample is drawn; the scope conditions in section 3.5 are binding.</w:t>
      </w:r>
    </w:p>
    <w:bookmarkEnd w:id="101"/>
    <w:bookmarkStart w:id="102" w:name="summary"/>
    <w:p>
      <w:pPr>
        <w:pStyle w:val="Heading2"/>
        <w:spacing w:line="480" w:lineRule="auto"/>
      </w:pPr>
      <w:r>
        <w:t xml:space="preserve">3.10 Summary</w:t>
      </w:r>
    </w:p>
    <w:p>
      <w:pPr>
        <w:pStyle w:val="FirstParagraph"/>
        <w:spacing w:line="480" w:lineRule="auto"/>
      </w:pPr>
      <w:r>
        <w:t xml:space="preserve">The chapter has specified the construct of interest as the regime-stratified, sensor-tier-conditioned observability half-life T_{1/2} of cataloged cislunar objects; identified a four-stage theoretical mechanism that links cislunar dynamics, sensor geometry, IOD methodology, and the maneuvering-object case to that construct; set out a stratified identification strategy that isolates the dynamical-sensitivity channel under fixed sensor tier; registered the scope conditions under which the framework applies; and stated the formal null and alternative hypotheses, with H1 specifying a factor-of-three separation and an L1/L2 argmin. Chapter 4 turns to the analytic plan and pre-registration that operationalize these hypotheses against the data sources catalogued in Chapter 2.</w:t>
      </w:r>
    </w:p>
    <w:bookmarkEnd w:id="102"/>
    <w:bookmarkEnd w:id="103"/>
    <w:bookmarkStart w:id="113" w:name="chapter-4.-data-and-measurement"/>
    <w:p>
      <w:pPr>
        <w:pStyle w:val="Heading1"/>
        <w:spacing w:line="480" w:lineRule="auto"/>
      </w:pPr>
      <w:r>
        <w:t xml:space="preserve">Chapter 4. Data and Measurement</w:t>
      </w:r>
    </w:p>
    <w:bookmarkStart w:id="104" w:name="purpose-and-scope"/>
    <w:p>
      <w:pPr>
        <w:pStyle w:val="Heading2"/>
        <w:spacing w:line="480" w:lineRule="auto"/>
      </w:pPr>
      <w:r>
        <w:t xml:space="preserve">4.1 Purpose and Scope</w:t>
      </w:r>
    </w:p>
    <w:p>
      <w:pPr>
        <w:pStyle w:val="FirstParagraph"/>
        <w:spacing w:line="480" w:lineRule="auto"/>
      </w:pPr>
      <w:r>
        <w:t xml:space="preserve">This chapter specifies the empirical foundation on which the two analytical papers of the dissertation rest. Paper 1 estimates an ordinary least squares panel of end-of-arc three-sigma position uncertainty against four observable design covariates. Paper 2 estimates a Cox proportional-hazards model of custody loss against orbit family, sensor count, target brightness, and observation density. Both estimators draw from a deliberately narrow population of cislunar tracking arcs in the public technical record, principally papers in the Cislunar Space Domain Awareness track of the Advanced Maui Optical and Space Surveillance Technologies (AMOS) conference between 2020 and 2025 [1, 2, 3, 5, 6, 9, 10, 11, 12, 13, 14, 15, 16, 22], with selected entries from Acta Astronautica [7, 17] and a small set of NASA technical records and mission status documents that anchor the duration and event-coding rules used in the survival sample [18, 19]. The chapter describes the authoritative sources, the unit of analysis adopted in each paper, the rules for variable construction from primary records, the treatment of missing or qualitatively reported quantities, and the provenance discipline that allows every row in either dataset to be traced back to a single retrievable document.</w:t>
      </w:r>
    </w:p>
    <w:p>
      <w:pPr>
        <w:pStyle w:val="BodyText"/>
        <w:spacing w:line="480" w:lineRule="auto"/>
        <w:ind w:firstLine="720"/>
      </w:pPr>
      <w:r>
        <w:t xml:space="preserve">The choice to anchor the empirical record on AMOS proceedings reflects three features of the published literature. First, the AMOS Cislunar SSA track is the venue in which operator, university, and laboratory authors most consistently report orbit-determination scenarios with the level of scenario detail required to extract numerical covariates, including sensor counts, arc lengths, target magnitudes, and end-of-arc covariance summaries [2, 3, 5, 10, 11, 13, 15, 22]. Second, the AMOS technical paper repository is publicly retrievable, which preserves replication value. Third, Acta Astronautica supplies the small number of peer-reviewed cislunar contributions that supplement the AMOS sample without altering its dominant character [7, 17]. The chapter therefore treats AMOS and Acta as the primary documentary sources; NASA mission documents and partner-agency status releases are used in Paper 2 to ground the start and end of observation windows and to support the binary custody-loss event code, not to invent numerical covariates.</w:t>
      </w:r>
    </w:p>
    <w:bookmarkEnd w:id="104"/>
    <w:bookmarkStart w:id="105" w:name="authoritative-sources"/>
    <w:p>
      <w:pPr>
        <w:pStyle w:val="Heading2"/>
        <w:spacing w:line="480" w:lineRule="auto"/>
      </w:pPr>
      <w:r>
        <w:t xml:space="preserve">4.2 Authoritative Sources</w:t>
      </w:r>
    </w:p>
    <w:p>
      <w:pPr>
        <w:pStyle w:val="FirstParagraph"/>
        <w:spacing w:line="480" w:lineRule="auto"/>
      </w:pPr>
      <w:r>
        <w:t xml:space="preserve">The primary source set for Paper 1 is a curated subset of AMOS Cislunar SSA technical papers in which the authors report an end-of-arc three-sigma position uncertainty or an equivalent covariance summary alongside enough scenario description to recover arc length in hours, the number of contributing sensors, the target’s apparent magnitude, and whether any space-based observer participated. The base sources are the Thompson space-based measurements study</w:t>
      </w:r>
      <w:r>
        <w:t xml:space="preserve"> </w:t>
      </w:r>
      <w:hyperlink w:anchor="ref-9">
        <w:r>
          <w:rPr>
            <w:rStyle w:val="Hyperlink"/>
          </w:rPr>
          <w:t xml:space="preserve">[9]</w:t>
        </w:r>
      </w:hyperlink>
      <w:r>
        <w:t xml:space="preserve">, the two Chow et al. Gaussian-mixture and uncertainty-realism papers [10, 11], the Iannamorelli and LeGrand adaptive multi-sensor filter paper</w:t>
      </w:r>
      <w:r>
        <w:t xml:space="preserve"> </w:t>
      </w:r>
      <w:hyperlink w:anchor="ref-2">
        <w:r>
          <w:rPr>
            <w:rStyle w:val="Hyperlink"/>
          </w:rPr>
          <w:t xml:space="preserve">[2]</w:t>
        </w:r>
      </w:hyperlink>
      <w:r>
        <w:t xml:space="preserve">, the Machuca et al. parametrization of cislunar space</w:t>
      </w:r>
      <w:r>
        <w:t xml:space="preserve"> </w:t>
      </w:r>
      <w:hyperlink w:anchor="ref-12">
        <w:r>
          <w:rPr>
            <w:rStyle w:val="Hyperlink"/>
          </w:rPr>
          <w:t xml:space="preserve">[12]</w:t>
        </w:r>
      </w:hyperlink>
      <w:r>
        <w:t xml:space="preserve">, the Reifler and Jones multi-fidelity propagation paper</w:t>
      </w:r>
      <w:r>
        <w:t xml:space="preserve"> </w:t>
      </w:r>
      <w:hyperlink w:anchor="ref-13">
        <w:r>
          <w:rPr>
            <w:rStyle w:val="Hyperlink"/>
          </w:rPr>
          <w:t xml:space="preserve">[13]</w:t>
        </w:r>
      </w:hyperlink>
      <w:r>
        <w:t xml:space="preserve">, the Ewart et al. pole-sitter observer study</w:t>
      </w:r>
      <w:r>
        <w:t xml:space="preserve"> </w:t>
      </w:r>
      <w:hyperlink w:anchor="ref-14">
        <w:r>
          <w:rPr>
            <w:rStyle w:val="Hyperlink"/>
          </w:rPr>
          <w:t xml:space="preserve">[14]</w:t>
        </w:r>
      </w:hyperlink>
      <w:r>
        <w:t xml:space="preserve">, the Givens et al. Advanced Space custody maintenance work [6, 20], and the Evans et al. visibility-informed covariance analysis</w:t>
      </w:r>
      <w:r>
        <w:t xml:space="preserve"> </w:t>
      </w:r>
      <w:hyperlink w:anchor="ref-16">
        <w:r>
          <w:rPr>
            <w:rStyle w:val="Hyperlink"/>
          </w:rPr>
          <w:t xml:space="preserve">[16]</w:t>
        </w:r>
      </w:hyperlink>
      <w:r>
        <w:t xml:space="preserve">. One observation comes from the Gambarotto et al. Acta Astronautica paper on cislunar fragmentation monitoring</w:t>
      </w:r>
      <w:r>
        <w:t xml:space="preserve"> </w:t>
      </w:r>
      <w:hyperlink w:anchor="ref-17">
        <w:r>
          <w:rPr>
            <w:rStyle w:val="Hyperlink"/>
          </w:rPr>
          <w:t xml:space="preserve">[17]</w:t>
        </w:r>
      </w:hyperlink>
      <w:r>
        <w:t xml:space="preserve">. Where the same author team published a poster and a later expanded paper covering the same scenario, only the most recent and most fully reported instance is admitted to the panel to prevent within-team scenario duplication. The Furfaro et al. Chang’e-5 paper</w:t>
      </w:r>
      <w:r>
        <w:t xml:space="preserve"> </w:t>
      </w:r>
      <w:hyperlink w:anchor="ref-1">
        <w:r>
          <w:rPr>
            <w:rStyle w:val="Hyperlink"/>
          </w:rPr>
          <w:t xml:space="preserve">[1]</w:t>
        </w:r>
      </w:hyperlink>
      <w:r>
        <w:t xml:space="preserve"> </w:t>
      </w:r>
      <w:r>
        <w:t xml:space="preserve">is treated as the calibrating real-data anchor described in the dissertation prospectus and is used to set defensible bounds on the cadence and magnitude variables in the panel, not as a row.</w:t>
      </w:r>
    </w:p>
    <w:p>
      <w:pPr>
        <w:pStyle w:val="BodyText"/>
        <w:spacing w:line="480" w:lineRule="auto"/>
        <w:ind w:firstLine="720"/>
      </w:pPr>
      <w:r>
        <w:t xml:space="preserve">The primary source set for Paper 2 is broader because the survival framework requires both events and right-censored arcs, and because custody-loss outcomes are most reliably read from operator and mission status documentation rather than from filter-performance simulations. Operator and mission documents include the NASA Artemis I post-flight assessment</w:t>
      </w:r>
      <w:r>
        <w:t xml:space="preserve"> </w:t>
      </w:r>
      <w:hyperlink w:anchor="ref-18">
        <w:r>
          <w:rPr>
            <w:rStyle w:val="Hyperlink"/>
          </w:rPr>
          <w:t xml:space="preserve">[18]</w:t>
        </w:r>
      </w:hyperlink>
      <w:r>
        <w:t xml:space="preserve">, the NASA BioSentinel mission update</w:t>
      </w:r>
      <w:r>
        <w:t xml:space="preserve"> </w:t>
      </w:r>
      <w:hyperlink w:anchor="ref-19">
        <w:r>
          <w:rPr>
            <w:rStyle w:val="Hyperlink"/>
          </w:rPr>
          <w:t xml:space="preserve">[19]</w:t>
        </w:r>
      </w:hyperlink>
      <w:r>
        <w:t xml:space="preserve">, CAPSTONE mission updates, JAXA EQUULEUS and OMOTENASHI reports, KARI Danuri reporting, CNSA Chang’e relay reporting, the DSLWP custody loss case studies, NASA LRO and Gateway status releases, the Hakuto-R Mission 1 anomaly report, SLIM, Peregrine, IM-1, LICIACube, Embry-Riddle EagleCam, JPL Lunar Flashlight closeout, Goddard’s THEMIS-ARTEMIS status, Astrobotic and Intuitive Machines anomaly statements, and ISRO Chandrayaan-3 propulsion-module reporting. These documents establish the observation window for each arc, the catalog tag epoch, and whether custody was confirmed lost or merely ended at the close of the reporting window. They are not used to assign numerical sensor counts or magnitudes from invented values; where a document reports the qualitative outcome but does not supply arc density or magnitude, the row is flagged as illustrative and excluded from the headline coefficient interpretation, per the rule stated in the Paper 2 data section.</w:t>
      </w:r>
    </w:p>
    <w:p>
      <w:pPr>
        <w:pStyle w:val="BodyText"/>
        <w:spacing w:line="480" w:lineRule="auto"/>
        <w:ind w:firstLine="720"/>
      </w:pPr>
      <w:r>
        <w:t xml:space="preserve">A small set of AMOS papers and one Acta Astronautica paper supply the substantive prior knowledge that underwrites the covariate structure in both papers: the Chow et al. studies on uncertainty realism and Gaussian-mixture filtering [10, 11], the Bolden et al. evaluation of too-short-arc challenges [22, 27], the Iannamorelli and LeGrand adaptive filtering paper</w:t>
      </w:r>
      <w:r>
        <w:t xml:space="preserve"> </w:t>
      </w:r>
      <w:hyperlink w:anchor="ref-2">
        <w:r>
          <w:rPr>
            <w:rStyle w:val="Hyperlink"/>
          </w:rPr>
          <w:t xml:space="preserve">[2]</w:t>
        </w:r>
      </w:hyperlink>
      <w:r>
        <w:t xml:space="preserve">, the Givens et al. Advanced Space custody maintenance contributions [6, 20, 31], the Tucker et al. agile custody paper</w:t>
      </w:r>
      <w:r>
        <w:t xml:space="preserve"> </w:t>
      </w:r>
      <w:hyperlink w:anchor="ref-15">
        <w:r>
          <w:rPr>
            <w:rStyle w:val="Hyperlink"/>
          </w:rPr>
          <w:t xml:space="preserve">[15]</w:t>
        </w:r>
      </w:hyperlink>
      <w:r>
        <w:t xml:space="preserve">, and the Kazemi et al. Acta Astronautica orbit determination survey [7, 34]. These sources establish that arc length, sensor count, target magnitude, and observation cadence are the variables practitioners report most consistently, which in turn makes them the right candidates for cross-paper pooling.</w:t>
      </w:r>
    </w:p>
    <w:bookmarkEnd w:id="105"/>
    <w:bookmarkStart w:id="106" w:name="unit-of-analysis"/>
    <w:p>
      <w:pPr>
        <w:pStyle w:val="Heading2"/>
        <w:spacing w:line="480" w:lineRule="auto"/>
      </w:pPr>
      <w:r>
        <w:t xml:space="preserve">4.3 Unit of Analysis</w:t>
      </w:r>
    </w:p>
    <w:p>
      <w:pPr>
        <w:pStyle w:val="FirstParagraph"/>
        <w:spacing w:line="480" w:lineRule="auto"/>
      </w:pPr>
      <w:r>
        <w:t xml:space="preserve">The unit of analysis in Paper 1 is one reported end-of-arc orbit-determination scenario. A scenario is a tuple of a target object, an observation campaign, a filter run, and a reported covariance summary at the end of the arc. A single source paper may contribute more than one row when it reports multiple scenarios that differ in sensor topology, orbit family, or arc length. The same scenario from the same author team is not admitted twice, even when reported in two venues. This rule keeps the panel from being dominated by a small number of prolific groups and preserves the assumption of independence across rows.</w:t>
      </w:r>
    </w:p>
    <w:p>
      <w:pPr>
        <w:pStyle w:val="BodyText"/>
        <w:spacing w:line="480" w:lineRule="auto"/>
        <w:ind w:firstLine="720"/>
      </w:pPr>
      <w:r>
        <w:t xml:space="preserve">The unit of analysis in Paper 2 is one cislunar arc, where an arc is one tracked object during one observation window bounded at the start by an initial catalog tag epoch and at the end by either a confirmed custody-loss event or the close of the reporting window. An object that appears in two distinct reporting windows separated by a re-tag enters the dataset as two arcs. Duration is measured in days from the initial catalog tag to either the event or the right-censoring epoch. Twenty of the thirty-five arcs in the working dataset record a custody-loss event; fifteen are right-censored at the reporting boundary.</w:t>
      </w:r>
    </w:p>
    <w:p>
      <w:pPr>
        <w:pStyle w:val="BodyText"/>
        <w:spacing w:line="480" w:lineRule="auto"/>
        <w:ind w:firstLine="720"/>
      </w:pPr>
      <w:r>
        <w:t xml:space="preserve">These two units of analysis are deliberately different. Paper 1 reads cross-sectional design choices off the published filter-performance literature, where the most reliable quantity is a covariance summary at the end of a defined arc. Paper 2 reads custody outcomes off the operator and mission record, where the most reliable quantity is the duration from catalog tag to confirmed loss or to the report’s end. Each unit is the appropriate level of resolution for its estimator and would be inappropriate for the other.</w:t>
      </w:r>
    </w:p>
    <w:bookmarkEnd w:id="106"/>
    <w:bookmarkStart w:id="107" w:name="variable-construction-in-paper-1"/>
    <w:p>
      <w:pPr>
        <w:pStyle w:val="Heading2"/>
        <w:spacing w:line="480" w:lineRule="auto"/>
      </w:pPr>
      <w:r>
        <w:t xml:space="preserve">4.4 Variable Construction in Paper 1</w:t>
      </w:r>
    </w:p>
    <w:p>
      <w:pPr>
        <w:pStyle w:val="FirstParagraph"/>
        <w:spacing w:line="480" w:lineRule="auto"/>
      </w:pPr>
      <w:r>
        <w:t xml:space="preserve">Five variables are constructed for each row in the Paper 1 panel.</w:t>
      </w:r>
    </w:p>
    <w:p>
      <w:pPr>
        <w:pStyle w:val="BodyText"/>
        <w:spacing w:line="480" w:lineRule="auto"/>
        <w:ind w:firstLine="720"/>
      </w:pPr>
      <w:r>
        <w:t xml:space="preserve">The dependent variable, position_3sigma_km, is the end-of-arc three-sigma position uncertainty in kilometers. It is read from the source paper’s reported position covariance at the close of the simulated or executed orbit-determination arc. Where the source reports the radial, in-track, and cross-track components separately, the three-sigma magnitude is constructed as the root-sum-square of the three reported one-sigma components multiplied by three. Where the source reports a single position uncertainty figure, that figure is used directly. Where a source reports a time series and the closing value is unambiguous, the closing value is used. No row is admitted whose dependent variable must be inferred from a chart by visual reading alone; if the value is not stated in text, table, or numerical legend, the scenario is excluded.</w:t>
      </w:r>
    </w:p>
    <w:p>
      <w:pPr>
        <w:pStyle w:val="BodyText"/>
        <w:spacing w:line="480" w:lineRule="auto"/>
        <w:ind w:firstLine="720"/>
      </w:pPr>
      <w:r>
        <w:t xml:space="preserve">The first covariate, arc_hours, is the duration of the observation campaign in hours, read from the scenario description. When the source describes the arc in days, the value is converted by multiplying by twenty-four. When the source describes the arc by an inclusive epoch range, the value is computed as the difference between the closing and opening epochs. Multi-segment arcs, where observations are interrupted by gaps, are recorded by the total span between the first and last observation rather than by summing on-target time, because the OD covariance at the end of the arc reflects the full information accumulated since the opening epoch and is not invariant to the gap structure.</w:t>
      </w:r>
    </w:p>
    <w:p>
      <w:pPr>
        <w:pStyle w:val="BodyText"/>
        <w:spacing w:line="480" w:lineRule="auto"/>
        <w:ind w:firstLine="720"/>
      </w:pPr>
      <w:r>
        <w:t xml:space="preserve">The second covariate, n_sensors, is the number of distinct contributing sensor systems that supplied measurements during the arc. The count includes any ground-based observatory, any space-based observer, and any combined-aperture system that the source identifies as a distinct contributor. A network of identical telescopes operated as a single tasking unit by a single sponsor is counted as one sensor unless the source explicitly treats them as independent measurement nodes. Two sensors operated by different sponsors at different sites are counted as two even when their apertures are identical. This rule follows the practice of the Chow et al. uncertainty-realism studies and the Iannamorelli and LeGrand multi-sensor adaptive filter paper [10, 11, 2].</w:t>
      </w:r>
    </w:p>
    <w:p>
      <w:pPr>
        <w:pStyle w:val="BodyText"/>
        <w:spacing w:line="480" w:lineRule="auto"/>
        <w:ind w:firstLine="720"/>
      </w:pPr>
      <w:r>
        <w:t xml:space="preserve">The third covariate, apparent_mag, is the target’s reported apparent magnitude during the arc. When the source reports a fixed nominal magnitude for the scenario, that value is used. When the source reports a range, the midpoint of the range is used. When the source reports a varying magnitude as a function of phase angle and observation geometry, the value used is the magnitude at the closing epoch, because the photon-limited noise that drives end-of-arc covariance is most sensitive to the late-arc photometric regime. The Machuca et al. cislunar parametrization and the Reifler and Jones multi-fidelity paper supply the convention for reporting target magnitude in the regime [12, 13].</w:t>
      </w:r>
    </w:p>
    <w:p>
      <w:pPr>
        <w:pStyle w:val="BodyText"/>
        <w:spacing w:line="480" w:lineRule="auto"/>
        <w:ind w:firstLine="720"/>
      </w:pPr>
      <w:r>
        <w:t xml:space="preserve">The fourth covariate, space_based, is a binary indicator equal to one when at least one space-based observer participated in the arc and zero otherwise. The Thompson et al. space-based measurements paper and the Ewart et al. pole-sitter paper supply the reference taxonomy for what counts as a space-based observer [9, 14]. Co-orbital relay assets that participated in tracking are coded as space-based even when the source uses a different label, provided the source establishes that the asset contributed astrometric measurements.</w:t>
      </w:r>
    </w:p>
    <w:p>
      <w:pPr>
        <w:pStyle w:val="BodyText"/>
        <w:spacing w:line="480" w:lineRule="auto"/>
        <w:ind w:firstLine="720"/>
      </w:pPr>
      <w:r>
        <w:t xml:space="preserve">A fifth variable, orbit_family, is retained in the dataset as a stratification dimension but is not entered into the OLS specification reported in Paper 1. The categories are NRHO, L1 halo, L2 halo, DRO, and lunar transfer. The Chow et al. uncertainty-realism paper</w:t>
      </w:r>
      <w:r>
        <w:t xml:space="preserve"> </w:t>
      </w:r>
      <w:hyperlink w:anchor="ref-11">
        <w:r>
          <w:rPr>
            <w:rStyle w:val="Hyperlink"/>
          </w:rPr>
          <w:t xml:space="preserve">[11]</w:t>
        </w:r>
      </w:hyperlink>
      <w:r>
        <w:t xml:space="preserve">, the Machuca et al. parametrization</w:t>
      </w:r>
      <w:r>
        <w:t xml:space="preserve"> </w:t>
      </w:r>
      <w:hyperlink w:anchor="ref-12">
        <w:r>
          <w:rPr>
            <w:rStyle w:val="Hyperlink"/>
          </w:rPr>
          <w:t xml:space="preserve">[12]</w:t>
        </w:r>
      </w:hyperlink>
      <w:r>
        <w:t xml:space="preserve">, and the Evans et al. visibility-informed covariance analysis</w:t>
      </w:r>
      <w:r>
        <w:t xml:space="preserve"> </w:t>
      </w:r>
      <w:hyperlink w:anchor="ref-16">
        <w:r>
          <w:rPr>
            <w:rStyle w:val="Hyperlink"/>
          </w:rPr>
          <w:t xml:space="preserve">[16]</w:t>
        </w:r>
      </w:hyperlink>
      <w:r>
        <w:t xml:space="preserve"> </w:t>
      </w:r>
      <w:r>
        <w:t xml:space="preserve">supply the family conventions used when source authors do not adopt a single label.</w:t>
      </w:r>
    </w:p>
    <w:bookmarkEnd w:id="107"/>
    <w:bookmarkStart w:id="108" w:name="variable-construction-in-paper-2"/>
    <w:p>
      <w:pPr>
        <w:pStyle w:val="Heading2"/>
        <w:spacing w:line="480" w:lineRule="auto"/>
      </w:pPr>
      <w:r>
        <w:t xml:space="preserve">4.5 Variable Construction in Paper 2</w:t>
      </w:r>
    </w:p>
    <w:p>
      <w:pPr>
        <w:pStyle w:val="FirstParagraph"/>
        <w:spacing w:line="480" w:lineRule="auto"/>
      </w:pPr>
      <w:r>
        <w:t xml:space="preserve">Six variables are constructed for each arc in the Paper 2 sample.</w:t>
      </w:r>
    </w:p>
    <w:p>
      <w:pPr>
        <w:pStyle w:val="BodyText"/>
        <w:spacing w:line="480" w:lineRule="auto"/>
        <w:ind w:firstLine="720"/>
      </w:pPr>
      <w:r>
        <w:t xml:space="preserve">The duration variable, duration_days, is the elapsed time in days from the initial catalog tag to either a confirmed custody-loss event or the close of the reporting window. Catalog tag epochs are read from operator status documents, NASA technical memoranda, and partner-agency mission summaries. Where the source records the tag epoch to the minute, the duration is computed at that resolution and reported in days. Where the source records the tag epoch only to the day, the duration is reported to the day and a tie-breaking rule places the tag at the start of the reporting day.</w:t>
      </w:r>
    </w:p>
    <w:p>
      <w:pPr>
        <w:pStyle w:val="BodyText"/>
        <w:spacing w:line="480" w:lineRule="auto"/>
        <w:ind w:firstLine="720"/>
      </w:pPr>
      <w:r>
        <w:t xml:space="preserve">The event variable, custody_loss, is a binary indicator equal to one when the source confirms that custody was lost during the observation window and zero when the arc is right-censored at the report’s close. Confirmed custody loss requires a textual statement in the source document that the object’s track was dropped, that reassociation failed, or that the object was declared lost. Operational silence at the end of a reporting window without a custody statement is coded as right-censoring, not as an event. The Artemis I post-flight assessment supplies the canonical example of explicit custody-state language for the CubeSat secondary payloads</w:t>
      </w:r>
      <w:r>
        <w:t xml:space="preserve"> </w:t>
      </w:r>
      <w:hyperlink w:anchor="ref-18">
        <w:r>
          <w:rPr>
            <w:rStyle w:val="Hyperlink"/>
          </w:rPr>
          <w:t xml:space="preserve">[18]</w:t>
        </w:r>
      </w:hyperlink>
      <w:r>
        <w:t xml:space="preserve">, and the BioSentinel update supplies the language used for confirmed loss</w:t>
      </w:r>
      <w:r>
        <w:t xml:space="preserve"> </w:t>
      </w:r>
      <w:hyperlink w:anchor="ref-19">
        <w:r>
          <w:rPr>
            <w:rStyle w:val="Hyperlink"/>
          </w:rPr>
          <w:t xml:space="preserve">[19]</w:t>
        </w:r>
      </w:hyperlink>
      <w:r>
        <w:t xml:space="preserve">.</w:t>
      </w:r>
    </w:p>
    <w:p>
      <w:pPr>
        <w:pStyle w:val="BodyText"/>
        <w:spacing w:line="480" w:lineRule="auto"/>
        <w:ind w:firstLine="720"/>
      </w:pPr>
      <w:r>
        <w:t xml:space="preserve">The covariate orbit_class is an ordinal code over five categories: lunar transfer, low lunar, halo, near-rectilinear, and libration-point family. The ordering is chosen so that higher values correspond to dynamical regimes that the published literature treats as more favorable to filter stability over short arcs [10, 11, 12]. Source authors are not consistent in their labeling, and the Machuca et al. parametrization is used as the reference taxonomy when a source’s description is ambiguous</w:t>
      </w:r>
      <w:r>
        <w:t xml:space="preserve"> </w:t>
      </w:r>
      <w:hyperlink w:anchor="ref-12">
        <w:r>
          <w:rPr>
            <w:rStyle w:val="Hyperlink"/>
          </w:rPr>
          <w:t xml:space="preserve">[12]</w:t>
        </w:r>
      </w:hyperlink>
      <w:r>
        <w:t xml:space="preserve">.</w:t>
      </w:r>
    </w:p>
    <w:p>
      <w:pPr>
        <w:pStyle w:val="BodyText"/>
        <w:spacing w:line="480" w:lineRule="auto"/>
        <w:ind w:firstLine="720"/>
      </w:pPr>
      <w:r>
        <w:t xml:space="preserve">The covariate sensor_count is the number of distinct contributing sensor systems that produced measurements anywhere in the observation window. The counting convention is identical to that adopted in Paper 1 to permit cross-paper comparison.</w:t>
      </w:r>
    </w:p>
    <w:p>
      <w:pPr>
        <w:pStyle w:val="BodyText"/>
        <w:spacing w:line="480" w:lineRule="auto"/>
        <w:ind w:firstLine="720"/>
      </w:pPr>
      <w:r>
        <w:t xml:space="preserve">The covariate abs_mag is the reported apparent magnitude of the target during the window. When the source reports a fixed nominal value, that value is used. When the source reports a varying value, the median over the window is used, because the survival framework is concerned with the full window rather than with the closing epoch alone. Sources that do not report a magnitude but do report aperture and detection limits are not assigned an imputed magnitude; the row is flagged as illustrative and excluded from the headline coefficient.</w:t>
      </w:r>
    </w:p>
    <w:p>
      <w:pPr>
        <w:pStyle w:val="BodyText"/>
        <w:spacing w:line="480" w:lineRule="auto"/>
        <w:ind w:firstLine="720"/>
      </w:pPr>
      <w:r>
        <w:t xml:space="preserve">The covariate arc_density is the average number of independent observation events per day across the observation window. An observation event is one set of astrometric measurements collected on the target by one sensor at one epoch. When the source reports a total number of measurements but not a temporal distribution, arc_density is computed as the total divided by the window length in days. When the source reports a tasking schedule with a specified revisit cadence, the cadence is used directly. The Givens et al. custody maintenance paper [6, 20, 31] and the Iannamorelli and LeGrand adaptive filter paper</w:t>
      </w:r>
      <w:r>
        <w:t xml:space="preserve"> </w:t>
      </w:r>
      <w:hyperlink w:anchor="ref-2">
        <w:r>
          <w:rPr>
            <w:rStyle w:val="Hyperlink"/>
          </w:rPr>
          <w:t xml:space="preserve">[2]</w:t>
        </w:r>
      </w:hyperlink>
      <w:r>
        <w:t xml:space="preserve"> </w:t>
      </w:r>
      <w:r>
        <w:t xml:space="preserve">supply the convention that a tasking-driven cadence reading is preferred over a mean computed from a total measurement count, because the latter can be inflated by burst observations that contribute little to filter stability between updates.</w:t>
      </w:r>
    </w:p>
    <w:bookmarkEnd w:id="108"/>
    <w:bookmarkStart w:id="109" w:name="Xa529542f21e61273bd1ca1b1b58e47b4728d74e"/>
    <w:p>
      <w:pPr>
        <w:pStyle w:val="Heading2"/>
        <w:spacing w:line="480" w:lineRule="auto"/>
      </w:pPr>
      <w:r>
        <w:t xml:space="preserve">4.6 Treatment of Missing and Qualitatively Reported Quantities</w:t>
      </w:r>
    </w:p>
    <w:p>
      <w:pPr>
        <w:pStyle w:val="FirstParagraph"/>
        <w:spacing w:line="480" w:lineRule="auto"/>
      </w:pPr>
      <w:r>
        <w:t xml:space="preserve">A row in either dataset is admitted only when its dependent variable is explicitly stated in the source. Covariates that are missing from a source but plausibly inferable from neighboring scenarios in the same paper are not imputed. The four illustrative rows in the Paper 2 sample mentioned in the paper’s data section correspond to arcs whose custody outcome is clearly stated but whose arc_density or abs_mag is not numerically reported. These rows are kept in the dataset because the survival framework benefits from the qualitative pattern of event and censoring across them, but they are excluded from the headline arc-density coefficient interpretation. The fraction is under fifteen percent of the sample and is acknowledged in the discussion of limits.</w:t>
      </w:r>
    </w:p>
    <w:p>
      <w:pPr>
        <w:pStyle w:val="BodyText"/>
        <w:spacing w:line="480" w:lineRule="auto"/>
        <w:ind w:firstLine="720"/>
      </w:pPr>
      <w:r>
        <w:t xml:space="preserve">Conversion conventions are documented per row in the per-arc manifest. Unit conversions are explicit. Apparent magnitude is recorded as reported even when the source uses a non-Johnson reference, because the dispersion across reference systems in the cislunar literature is small relative to the spread of the variable. Where the photometric reference is unstated, the row carries a flag, and a sensitivity analysis described in Chapter 6 re-runs the OLS with these rows excluded.</w:t>
      </w:r>
    </w:p>
    <w:bookmarkEnd w:id="109"/>
    <w:bookmarkStart w:id="110" w:name="provenance-discipline"/>
    <w:p>
      <w:pPr>
        <w:pStyle w:val="Heading2"/>
        <w:spacing w:line="480" w:lineRule="auto"/>
      </w:pPr>
      <w:r>
        <w:t xml:space="preserve">4.7 Provenance Discipline</w:t>
      </w:r>
    </w:p>
    <w:p>
      <w:pPr>
        <w:pStyle w:val="FirstParagraph"/>
        <w:spacing w:line="480" w:lineRule="auto"/>
      </w:pPr>
      <w:r>
        <w:t xml:space="preserve">Every row in both datasets carries a final column with a bibliographic citation traceable to a single document in the project’s references pool. The per-arc manifest records the source identifier, the page or section from which each quantity was read, the conversion applied, and the model version of the propagation tool used when the source’s covariance was reconstructed rather than read directly. No internal, classified, or non-public source is used. No row is admitted whose source is not retrievable. The manifest is preserved as a flat file alongside the analysis scripts so that any future replication can re-execute the variable construction step from the same primary records.</w:t>
      </w:r>
    </w:p>
    <w:p>
      <w:pPr>
        <w:pStyle w:val="BodyText"/>
        <w:spacing w:line="480" w:lineRule="auto"/>
        <w:ind w:firstLine="720"/>
      </w:pPr>
      <w:r>
        <w:t xml:space="preserve">The provenance rule has an additional consequence for the panel. Author teams who publish multiple cislunar SSA papers over several years often refine the same family of scenarios across publications [10, 11, 6, 20, 31]. The dataset admits the most recent and most fully reported instance of each scenario family. When a later paper supersedes an earlier one with the same target and sensor configuration, only the later row is kept. This rule reduces effective sample size but protects independence across rows.</w:t>
      </w:r>
    </w:p>
    <w:bookmarkEnd w:id="110"/>
    <w:bookmarkStart w:id="111" w:name="reconciliation-with-the-prospectus"/>
    <w:p>
      <w:pPr>
        <w:pStyle w:val="Heading2"/>
        <w:spacing w:line="480" w:lineRule="auto"/>
      </w:pPr>
      <w:r>
        <w:t xml:space="preserve">4.8 Reconciliation with the Prospectus</w:t>
      </w:r>
    </w:p>
    <w:p>
      <w:pPr>
        <w:pStyle w:val="FirstParagraph"/>
        <w:spacing w:line="480" w:lineRule="auto"/>
      </w:pPr>
      <w:r>
        <w:t xml:space="preserve">The dissertation prospectus framed the empirical strategy around the Chang’e-5 tracking case as a real-data calibration anchor and the Advanced Space custody maintenance work as a secondary validation source [1, 6]. The two papers in this dissertation realize that framing differently than the prospectus initially anticipated. Paper 1 does not enter the Chang’e-5 arc as a single row in the panel because the source paper reports its scenario in a form that is not commensurate with the closing-covariance convention adopted across the rest of the AMOS panel. Instead, the Chang’e-5 case sets defensible bounds on the cadence and magnitude variables and provides a reference point against which the panel’s coefficient signs can be sanity-checked. Paper 2 likewise treats the Advanced Space custody maintenance work as a methodological reference for the arc-density convention rather than as a row source [6, 20, 31].</w:t>
      </w:r>
    </w:p>
    <w:p>
      <w:pPr>
        <w:pStyle w:val="BodyText"/>
        <w:spacing w:line="480" w:lineRule="auto"/>
        <w:ind w:firstLine="720"/>
      </w:pPr>
      <w:r>
        <w:t xml:space="preserve">The synthetic augmentation step described in the prospectus for under-represented strata in the survival sample is deferred to Chapter 6. The Paper 2 dataset reported in this dissertation is the real-data sample without synthetic rows, and the chapter is explicit about the right-censoring this implies for the L1 and L2 vicinity strata. The deferred synthetic step is appropriate as a sensitivity exercise rather than as part of the headline estimation, because the structural claim of the dissertation is that the public record alone supports identification of the arc-density channel as the dominant lever on custody loss.</w:t>
      </w:r>
    </w:p>
    <w:bookmarkEnd w:id="111"/>
    <w:bookmarkStart w:id="112" w:name="summary-1"/>
    <w:p>
      <w:pPr>
        <w:pStyle w:val="Heading2"/>
        <w:spacing w:line="480" w:lineRule="auto"/>
      </w:pPr>
      <w:r>
        <w:t xml:space="preserve">4.9 Summary</w:t>
      </w:r>
    </w:p>
    <w:p>
      <w:pPr>
        <w:pStyle w:val="FirstParagraph"/>
        <w:spacing w:line="480" w:lineRule="auto"/>
      </w:pPr>
      <w:r>
        <w:t xml:space="preserve">The empirical foundation of the dissertation is two narrow, fully traceable datasets read from the public technical record on cislunar tracking. Paper 1 uses a thirty-row OLS panel of end-of-arc orbit-determination scenarios drawn from the AMOS Cislunar SSA track and one Acta Astronautica paper [9, 10, 11, 2, 12, 13, 14, 6, 16, 17]. Paper 2 uses a thirty-five-arc Cox proportional-hazards sample drawn from operator and mission status documents anchored by NASA technical records [18, 19] and supported by the AMOS uncertainty-realism, custody-maintenance, and adaptive-filtering literature [10, 11, 6, 2, 22]. Every row carries a single retrievable source. Variable construction follows explicit rules for closing covariance, arc length, sensor counting, magnitude reading, space-based participation, and arc density. Missing or qualitative quantities are flagged, not imputed. Author-team scenario duplication is prevented. The resulting datasets are small but defensible, and they are the right scale for the analytical questions posed in Chapter 3.</w:t>
      </w:r>
    </w:p>
    <w:bookmarkEnd w:id="112"/>
    <w:bookmarkEnd w:id="113"/>
    <w:bookmarkStart w:id="123" w:name="chapter-5.-methods-and-identification"/>
    <w:p>
      <w:pPr>
        <w:pStyle w:val="Heading1"/>
        <w:spacing w:line="480" w:lineRule="auto"/>
      </w:pPr>
      <w:r>
        <w:t xml:space="preserve">Chapter 5. Methods and Identification</w:t>
      </w:r>
    </w:p>
    <w:bookmarkStart w:id="114" w:name="X64cdc780fdcdd2915d4d31d007ae88f9e103aab"/>
    <w:p>
      <w:pPr>
        <w:pStyle w:val="Heading2"/>
        <w:spacing w:line="480" w:lineRule="auto"/>
      </w:pPr>
      <w:r>
        <w:t xml:space="preserve">5.1 Overview of the Joint Identification Strategy</w:t>
      </w:r>
    </w:p>
    <w:p>
      <w:pPr>
        <w:pStyle w:val="FirstParagraph"/>
        <w:spacing w:line="480" w:lineRule="auto"/>
      </w:pPr>
      <w:r>
        <w:t xml:space="preserve">This chapter specifies the estimators that translate the conceptual model of cislunar custody decay into quantities recoverable from the public record. The dissertation pursues two complementary identification strategies bound to a single dependent construct, the loss of catalog custody, and a single operational quantity of interest, the observability half-life. The first strategy is a cross-sectional ordinary least squares (OLS) panel of reported end-of-arc position uncertainty drawn from the published cislunar orbit determination (OD) literature, used to characterize the design levers that move three-sigma covariance at the close of a tracked arc [10, 11, 12, 13]. The second strategy is a semiparametric Cox proportional-hazards model of time-to-loss, supplemented by stratified Kaplan-Meier survival curves and a log-rank test, used to recover the median custody duration per regime stratum and to test the central hypothesis that the half-life varies by at least a factor of three across cislunar regimes [4, 6, 31].</w:t>
      </w:r>
    </w:p>
    <w:p>
      <w:pPr>
        <w:pStyle w:val="BodyText"/>
        <w:spacing w:line="480" w:lineRule="auto"/>
        <w:ind w:firstLine="720"/>
      </w:pPr>
      <w:r>
        <w:t xml:space="preserve">The two estimators are not redundant. The OLS panel identifies the marginal contribution of architecture-controlled covariates to the post-fit covariance that defines the search volume at the moment custody is at risk [12, 13, 25]. The survival estimator then takes that search volume as a boundary condition and identifies the rate at which propagated uncertainty crosses it. The OLS coefficients enter the survival model only through the search-volume threshold; they are not re-estimated within the hazard partial likelihood. The chapter develops the two estimators, the assumptions on which their identification rests, and the design choices made to bound the threats to validity that each carries.</w:t>
      </w:r>
    </w:p>
    <w:bookmarkEnd w:id="114"/>
    <w:bookmarkStart w:id="115" w:name="Xb318d2180b47c8625a33ecb7979bf9001cfacc0"/>
    <w:p>
      <w:pPr>
        <w:pStyle w:val="Heading2"/>
        <w:spacing w:line="480" w:lineRule="auto"/>
      </w:pPr>
      <w:r>
        <w:t xml:space="preserve">5.2 The Cross-Sectional OLS Estimator for End-of-Arc Uncertainty</w:t>
      </w:r>
    </w:p>
    <w:p>
      <w:pPr>
        <w:pStyle w:val="FirstParagraph"/>
        <w:spacing w:line="480" w:lineRule="auto"/>
      </w:pPr>
      <w:r>
        <w:t xml:space="preserve">The first estimator is a heteroskedasticity-robust OLS regression of reported three-sigma end-of-arc position uncertainty on four covariates that the cislunar OD literature treats as the principal design levers. The specification is</w:t>
      </w:r>
    </w:p>
    <w:p>
      <w:pPr>
        <w:pStyle w:val="BodyText"/>
        <w:spacing w:line="480" w:lineRule="auto"/>
        <w:ind w:firstLine="720"/>
      </w:pPr>
      <w:r>
        <w:t xml:space="preserve">P_{3 sigma, i} = beta_0 + beta_1 arc_hours_i + beta_2 n_sensors_i + beta_3 app_mag_i + beta_4 space_based_i + epsilon_i</w:t>
      </w:r>
    </w:p>
    <w:p>
      <w:pPr>
        <w:pStyle w:val="BodyText"/>
        <w:spacing w:line="480" w:lineRule="auto"/>
        <w:ind w:firstLine="720"/>
      </w:pPr>
      <w:r>
        <w:t xml:space="preserve">estimated over a pooled panel of cislunar OD campaigns published between 2020 and 2025 [9, 10, 11, 12, 13, 14, 15, 16, 17]. The dependent variable P_{3 sigma} is the reported three-sigma position uncertainty in kilometers at the close of the tracked arc, as reported in the source paper. Arc length is recorded in hours from the first observation of the arc to the final included observation. Sensor count is the number of distinct contributing ground or space-based optical assets. Apparent magnitude is taken from the source paper at the geometry stated for the reported uncertainty. The space-based indicator is unity when at least one contributing sensor is on orbit and zero otherwise.</w:t>
      </w:r>
    </w:p>
    <w:p>
      <w:pPr>
        <w:pStyle w:val="BodyText"/>
        <w:spacing w:line="480" w:lineRule="auto"/>
        <w:ind w:firstLine="720"/>
      </w:pPr>
      <w:r>
        <w:t xml:space="preserve">OLS is the appropriate estimator for this panel because the dependent variable is continuous, the cross-sectional unit is a single OD campaign, and the source papers report the right-hand variables as design choices rather than as endogenous outcomes of a joint optimization. The principal departure from textbook OLS is the heteroskedasticity of the residual. Reported uncertainty grows roughly proportionally with its level, and the pooled sample mixes short ground-only arcs reported in the low tens of kilometers with mixed-observer halo arcs reported in the hundreds. Heteroskedasticity-consistent (HC1) standard errors are reported throughout, which preserves the consistency of the point estimates while delivering inference that does not depend on the homoscedasticity assumption.</w:t>
      </w:r>
    </w:p>
    <w:p>
      <w:pPr>
        <w:pStyle w:val="BodyText"/>
        <w:spacing w:line="480" w:lineRule="auto"/>
        <w:ind w:firstLine="720"/>
      </w:pPr>
      <w:r>
        <w:t xml:space="preserve">Identification rests on three conditions. First, the four covariates must be observed without systematic measurement error; the design choices are recorded in the source paper, which satisfies this condition by construction. Second, the residual must be mean-independent of the covariates conditional on the included controls. The pooled cislunar OD literature contains both short arcs with high sensor counts (typically space-based campaigns reported with one or two orbital observers) and long arcs with low sensor counts (typically ground-only campaigns over a single observatory), which provides the off-diagonal variation that separates the arc-length and sensor-count channels. Third, the model is required to capture the first-order linear relationship between reported uncertainty and the covariates. The specification is deliberately linear and additive; the dissertation does not claim that the photon-budget physics of the underlying OD problem is linear in apparent magnitude, but the linear coefficient on apparent magnitude does provide a first-order summary of the elasticity in the observed range, which is what the architecture-trade literature requires [3, 12].</w:t>
      </w:r>
    </w:p>
    <w:p>
      <w:pPr>
        <w:pStyle w:val="BodyText"/>
        <w:spacing w:line="480" w:lineRule="auto"/>
        <w:ind w:firstLine="720"/>
      </w:pPr>
      <w:r>
        <w:t xml:space="preserve">The fitted residuals are inspected for leverage and influence, and the heteroskedasticity-consistent F-statistic on the joint nullity of the four slope coefficients is reported alongside the individual t-statistics. The orbit family of the target is preserved in the panel as a stratification dimension but is not entered as a covariate in the headline specification. The reason is that family appears in the published record as a categorical label with only four to six distinct values across the available rows, and entering the family as a set of fixed effects exhausts the residual degrees of freedom. The OLS panel therefore identifies the regime-pooled marginal effect of each design lever, and the regime-specific behavior is reserved to the survival estimator and to its Kaplan-Meier stratification.</w:t>
      </w:r>
    </w:p>
    <w:bookmarkEnd w:id="115"/>
    <w:bookmarkStart w:id="116" w:name="Xa60b8cfd80002f5cb9956b40544c9a1033dd44c"/>
    <w:p>
      <w:pPr>
        <w:pStyle w:val="Heading2"/>
        <w:spacing w:line="480" w:lineRule="auto"/>
      </w:pPr>
      <w:r>
        <w:t xml:space="preserve">5.3 The Survival Estimator for Observability Half-Life</w:t>
      </w:r>
    </w:p>
    <w:p>
      <w:pPr>
        <w:pStyle w:val="FirstParagraph"/>
        <w:spacing w:line="480" w:lineRule="auto"/>
      </w:pPr>
      <w:r>
        <w:t xml:space="preserve">The second estimator is a Cox proportional-hazards model fit to a panel of cislunar tracked arcs in which the event of interest is the loss of catalog custody. The hazard for object i at duration t is specified as</w:t>
      </w:r>
    </w:p>
    <w:p>
      <w:pPr>
        <w:pStyle w:val="BodyText"/>
        <w:spacing w:line="480" w:lineRule="auto"/>
        <w:ind w:firstLine="720"/>
      </w:pPr>
      <w:r>
        <w:t xml:space="preserve">h_i(t) = h_0(t) exp(beta_1 orbit_class_i + beta_2 sensor_count_i + beta_3 app_mag_i + beta_4 arc_density_i)</w:t>
      </w:r>
    </w:p>
    <w:p>
      <w:pPr>
        <w:pStyle w:val="BodyText"/>
        <w:spacing w:line="480" w:lineRule="auto"/>
        <w:ind w:firstLine="720"/>
      </w:pPr>
      <w:r>
        <w:t xml:space="preserve">where h_0(t) is the unspecified baseline hazard and the betas are recovered by partial likelihood. The model is paired with a Kaplan-Meier estimator for the marginal survival function within each regime stratum and a stratified log-rank test of equality across strata.</w:t>
      </w:r>
    </w:p>
    <w:p>
      <w:pPr>
        <w:pStyle w:val="BodyText"/>
        <w:spacing w:line="480" w:lineRule="auto"/>
        <w:ind w:firstLine="720"/>
      </w:pPr>
      <w:r>
        <w:t xml:space="preserve">The dependent quantity, custody loss, is operationalized as the first time after the last in-arc observation at which the one-sigma position uncertainty propagated under the circular restricted three-body problem exceeds the search volume of the reference sensor tier defined for the row. The search-volume threshold is taken from the OLS panel: it is the fitted P_{3 sigma} value implied by the covariate vector of the source campaign, scaled to the instantaneous field-of-regard of the reference sensor. The survival estimator is therefore conditional on the OLS calibration of the search volume and inherits the OLS specification error as a first-order bound on the threshold.</w:t>
      </w:r>
    </w:p>
    <w:p>
      <w:pPr>
        <w:pStyle w:val="BodyText"/>
        <w:spacing w:line="480" w:lineRule="auto"/>
        <w:ind w:firstLine="720"/>
      </w:pPr>
      <w:r>
        <w:t xml:space="preserve">Duration is recorded in days from the first catalog tag in the arc to either confirmed custody loss or right-censoring at the close of the published reporting window. The Kaplan-Meier estimator is preferred to a parametric Weibull or log-normal fit because the cislunar custody hazard has not yet been shown to follow a particular parametric family in the published record, and the nonparametric estimator preserves the shape of the survival function without imposing a functional form. The Cox model is preferred to a fully parametric survival regression because the partial likelihood is robust to misspecification of the baseline hazard, which is precisely the quantity that the literature does not yet pin down [29, 31]. The trade is that the Cox model identifies hazard ratios rather than absolute hazards; the absolute half-life is recovered from the Kaplan-Meier curve within each stratum, and the Cox model identifies the covariate-adjusted shift in the survival function.</w:t>
      </w:r>
    </w:p>
    <w:p>
      <w:pPr>
        <w:pStyle w:val="BodyText"/>
        <w:spacing w:line="480" w:lineRule="auto"/>
        <w:ind w:firstLine="720"/>
      </w:pPr>
      <w:r>
        <w:t xml:space="preserve">The proportional-hazards assumption requires that the ratio of hazards for any two covariate values is constant in time. Over the observation horizons used in this dissertation, none of the included missions changed sensor posture or filter configuration mid-arc, which makes the assumption plausible at first reading. The assumption is tested formally with a Schoenfeld residual procedure run on the fitted model; departures from proportionality are reported and a stratified Cox specification is run as a robustness alternative.</w:t>
      </w:r>
    </w:p>
    <w:p>
      <w:pPr>
        <w:pStyle w:val="BodyText"/>
        <w:spacing w:line="480" w:lineRule="auto"/>
        <w:ind w:firstLine="720"/>
      </w:pPr>
      <w:r>
        <w:t xml:space="preserve">Identification of the Cox coefficients rests on two conditions beyond the standard partial-likelihood regularity assumptions. First, the censoring mechanism must be independent of the latent custody-loss process conditional on the included covariates. The published record provides reporting-window censoring (the campaign ends, the paper closes, the data drop) and reacquisition censoring (the object is reacquired before the propagated uncertainty crosses the threshold). Both mechanisms are taken to be independent of the latent hazard conditional on the orbit class and arc density, which is the standard non-informative-censoring assumption. The assumption is bounded by reporting back the rate of each censoring mechanism within each stratum. Second, the covariates must not themselves be functions of the latent duration. Orbit class is exogenous; sensor count and apparent magnitude are fixed at the start of the arc; arc density is recorded as the per-day cadence over the observed arc and is therefore predetermined relative to the censoring window. The model is identified.</w:t>
      </w:r>
    </w:p>
    <w:bookmarkEnd w:id="116"/>
    <w:bookmarkStart w:id="117" w:name="Xd19277f5264b1ca56275ea14a58f55cc0570f44"/>
    <w:p>
      <w:pPr>
        <w:pStyle w:val="Heading2"/>
        <w:spacing w:line="480" w:lineRule="auto"/>
      </w:pPr>
      <w:r>
        <w:t xml:space="preserve">5.4 The Constrained Admissible Region Step for Initial Orbit Determination</w:t>
      </w:r>
    </w:p>
    <w:p>
      <w:pPr>
        <w:pStyle w:val="FirstParagraph"/>
        <w:spacing w:line="480" w:lineRule="auto"/>
      </w:pPr>
      <w:r>
        <w:t xml:space="preserve">A subsidiary identification problem arises for objects entering the panel without an initial catalog tag. The Constrained Admissible Region multiple hypothesis filter (CAR-MHF) approach of</w:t>
      </w:r>
      <w:r>
        <w:t xml:space="preserve"> </w:t>
      </w:r>
      <w:hyperlink w:anchor="ref-5">
        <w:r>
          <w:rPr>
            <w:rStyle w:val="Hyperlink"/>
          </w:rPr>
          <w:t xml:space="preserve">[5]</w:t>
        </w:r>
      </w:hyperlink>
      <w:r>
        <w:t xml:space="preserve"> </w:t>
      </w:r>
      <w:r>
        <w:t xml:space="preserve">is adopted as the initial orbit determination (IOD) step. Each newly detected angle-only track is mapped into the admissible region in range and range-rate, the region is partitioned into a Gaussian mixture, and the mixture is propagated under the CR3BP until a second tracklet is associated or until the mixture spreads beyond a configured admissibility bound. The IOD step is not re-estimated within the dissertation; the CAR-MHF outputs are taken as given and used to define the first epoch of each arc. The choice is recorded explicitly because it embeds a prior on the dynamical regime, and the survival estimator is conditional on that prior.</w:t>
      </w:r>
    </w:p>
    <w:bookmarkEnd w:id="117"/>
    <w:bookmarkStart w:id="118" w:name="X47e2ac8600dccf349ffe4a00cd09207d4e317cb"/>
    <w:p>
      <w:pPr>
        <w:pStyle w:val="Heading2"/>
        <w:spacing w:line="480" w:lineRule="auto"/>
      </w:pPr>
      <w:r>
        <w:t xml:space="preserve">5.5 Operational Definitions of the Regime Strata</w:t>
      </w:r>
    </w:p>
    <w:p>
      <w:pPr>
        <w:pStyle w:val="FirstParagraph"/>
        <w:spacing w:line="480" w:lineRule="auto"/>
      </w:pPr>
      <w:r>
        <w:t xml:space="preserve">The regime stratification is fixed before estimation. Four strata are defined: low lunar orbit (LLO), near-rectilinear halo orbit (NRHO), the L1 and L2 halo vicinity, and ballistic lunar transfer. The strata correspond to the dynamical environments enumerated in the AMOS cislunar SSA track and the Acta Astronautica space traffic management review [12, 16, 38]. Strata are assigned per object by inspecting the published trajectory description in the source paper; ambiguous cases (for example, a halo insertion arc that begins as a transfer) are assigned by the trajectory state at the midpoint of the tracked arc and re-tested as a robustness check by assignment at the first and final observation epochs.</w:t>
      </w:r>
    </w:p>
    <w:p>
      <w:pPr>
        <w:pStyle w:val="BodyText"/>
        <w:spacing w:line="480" w:lineRule="auto"/>
        <w:ind w:firstLine="720"/>
      </w:pPr>
      <w:r>
        <w:t xml:space="preserve">The sensor tier stratification is fixed before estimation as well. Three tiers are defined: a ground-only tier, a ground-plus-pole-sitter tier consistent with the architecture in</w:t>
      </w:r>
      <w:r>
        <w:t xml:space="preserve"> </w:t>
      </w:r>
      <w:hyperlink w:anchor="ref-14">
        <w:r>
          <w:rPr>
            <w:rStyle w:val="Hyperlink"/>
          </w:rPr>
          <w:t xml:space="preserve">[14]</w:t>
        </w:r>
      </w:hyperlink>
      <w:r>
        <w:t xml:space="preserve">, and a mixed ground-plus-cislunar-relay tier consistent with the architecture in [9, 14]. The reference tier for the headline half-life estimates is the ground-only tier; the other two tiers are reported as parallel estimates rather than as a single combined number, which makes the architectural assumption explicit at the level of the reported number.</w:t>
      </w:r>
    </w:p>
    <w:bookmarkEnd w:id="118"/>
    <w:bookmarkStart w:id="119" w:name="X1d189e0776bd0a9225211f020d00b109bd29bed"/>
    <w:p>
      <w:pPr>
        <w:pStyle w:val="Heading2"/>
        <w:spacing w:line="480" w:lineRule="auto"/>
      </w:pPr>
      <w:r>
        <w:t xml:space="preserve">5.6 Threats to Validity and How Each Is Bounded</w:t>
      </w:r>
    </w:p>
    <w:p>
      <w:pPr>
        <w:pStyle w:val="FirstParagraph"/>
        <w:spacing w:line="480" w:lineRule="auto"/>
      </w:pPr>
      <w:r>
        <w:t xml:space="preserve">The dissertation faces five families of threat to validity. Each is named, located in the estimator that carries it, and bounded by a stated design choice.</w:t>
      </w:r>
    </w:p>
    <w:p>
      <w:pPr>
        <w:pStyle w:val="BodyText"/>
        <w:spacing w:line="480" w:lineRule="auto"/>
        <w:ind w:firstLine="720"/>
      </w:pPr>
      <w:r>
        <w:rPr>
          <w:b/>
          <w:bCs/>
        </w:rPr>
        <w:t xml:space="preserve">Construct validity.</w:t>
      </w:r>
      <w:r>
        <w:t xml:space="preserve"> </w:t>
      </w:r>
      <w:r>
        <w:t xml:space="preserve">The dependent construct is loss of catalog custody, operationalized as the first time at which propagated one-sigma uncertainty exceeds a reference search volume. The operationalization embeds two construct choices: the sensor model that defines the search volume, and the dynamical model that propagates the covariance. The sensor model is varied across the three tiers of Section 5.5, and the half-life is reported as a function of tier rather than as a single number. The dynamical model is the CR3BP, which neglects solar radiation pressure and lunar gravitational harmonics. The neglect is bounded by reporting the half-life under both the CR3BP and a higher-fidelity propagator anchored on the Chang’e-5 tracking arcs of</w:t>
      </w:r>
      <w:r>
        <w:t xml:space="preserve"> </w:t>
      </w:r>
      <w:hyperlink w:anchor="ref-1">
        <w:r>
          <w:rPr>
            <w:rStyle w:val="Hyperlink"/>
          </w:rPr>
          <w:t xml:space="preserve">[1]</w:t>
        </w:r>
      </w:hyperlink>
      <w:r>
        <w:t xml:space="preserve">, with the difference between the two reported as a construct-sensitivity band rather than smoothed into a single point estimate.</w:t>
      </w:r>
    </w:p>
    <w:p>
      <w:pPr>
        <w:pStyle w:val="BodyText"/>
        <w:spacing w:line="480" w:lineRule="auto"/>
        <w:ind w:firstLine="720"/>
      </w:pPr>
      <w:r>
        <w:rPr>
          <w:b/>
          <w:bCs/>
        </w:rPr>
        <w:t xml:space="preserve">Internal validity.</w:t>
      </w:r>
      <w:r>
        <w:t xml:space="preserve"> </w:t>
      </w:r>
      <w:r>
        <w:t xml:space="preserve">The estimators identify hazard ratios and uncertainty elasticities conditional on the recorded covariates. Two threats to internal validity remain. First, maneuvering objects violate the ballistic propagation assumption embedded in the CR3BP propagator and in the Cox model’s implicit assumption that the hazard depends on the covariates rather than on a hidden control input. The threat is bounded by reporting the half-life separately for a ballistic-only sub-sample and for a maneuver-included sub-sample, where the maneuver-included sub-sample uses the adaptive multi-sensor filter formulation of</w:t>
      </w:r>
      <w:r>
        <w:t xml:space="preserve"> </w:t>
      </w:r>
      <w:hyperlink w:anchor="ref-2">
        <w:r>
          <w:rPr>
            <w:rStyle w:val="Hyperlink"/>
          </w:rPr>
          <w:t xml:space="preserve">[2]</w:t>
        </w:r>
      </w:hyperlink>
      <w:r>
        <w:t xml:space="preserve"> </w:t>
      </w:r>
      <w:r>
        <w:t xml:space="preserve">to absorb the unmodeled acceleration. The tracklet-to-orbit association approach of</w:t>
      </w:r>
      <w:r>
        <w:t xml:space="preserve"> </w:t>
      </w:r>
      <w:hyperlink w:anchor="ref-39">
        <w:r>
          <w:rPr>
            <w:rStyle w:val="Hyperlink"/>
          </w:rPr>
          <w:t xml:space="preserve">[39]</w:t>
        </w:r>
      </w:hyperlink>
      <w:r>
        <w:t xml:space="preserve"> </w:t>
      </w:r>
      <w:r>
        <w:t xml:space="preserve">is adopted as a sensitivity check on the maneuver-included partition because the optimal-control formulation provides an independent test of the association decisions on which the Cox at-risk set depends. Second, the OLS panel mixes ground-only short arcs with mixed-observer long arcs, which generates a multicollinearity between arc length and sensor count that absorbs the marginal coefficient on arc length in the regression of Paper 1. The threat is bounded by reporting the variance inflation factors alongside the coefficients and by noting that the survival estimator identifies the cadence channel (arc density) directly rather than through the OLS arc-length coefficient.</w:t>
      </w:r>
    </w:p>
    <w:p>
      <w:pPr>
        <w:pStyle w:val="BodyText"/>
        <w:spacing w:line="480" w:lineRule="auto"/>
        <w:ind w:firstLine="720"/>
      </w:pPr>
      <w:r>
        <w:rPr>
          <w:b/>
          <w:bCs/>
        </w:rPr>
        <w:t xml:space="preserve">External validity.</w:t>
      </w:r>
      <w:r>
        <w:t xml:space="preserve"> </w:t>
      </w:r>
      <w:r>
        <w:t xml:space="preserve">Real cislunar tracking arcs remain sparse outside the LLO and lunar-transfer regimes. The NRHO and L1 and L2 halo strata draw on demonstration-class missions and on synthetic Monte Carlo arcs generated under the CR3BP with observation cadence matched to the empirical distribution in</w:t>
      </w:r>
      <w:r>
        <w:t xml:space="preserve"> </w:t>
      </w:r>
      <w:hyperlink w:anchor="ref-1">
        <w:r>
          <w:rPr>
            <w:rStyle w:val="Hyperlink"/>
          </w:rPr>
          <w:t xml:space="preserve">[1]</w:t>
        </w:r>
      </w:hyperlink>
      <w:r>
        <w:t xml:space="preserve">. The external-validity threat is that the half-life estimates for those strata are conditional on the synthetic-arc distribution rather than identified from a real-world sample. The threat is bounded by reporting synthetic-only, real-only, and pooled estimates side by side for each stratum, by flagging the synthetic arcs in every table, and by stating the replication plan against the 2026 and 2027 generation of cislunar tracking data as an explicit extension. A second external-validity threat is that the published record skews toward demonstration missions rather than production catalogs; the dissertation reports the demonstration-class sample share within each stratum so that downstream architecture trades can re-weight the estimates against their own mission mix. A third external-validity threat is that the sensor-tasking literature for geosynchronous catalog maintenance</w:t>
      </w:r>
      <w:r>
        <w:t xml:space="preserve"> </w:t>
      </w:r>
      <w:hyperlink w:anchor="ref-40">
        <w:r>
          <w:rPr>
            <w:rStyle w:val="Hyperlink"/>
          </w:rPr>
          <w:t xml:space="preserve">[40]</w:t>
        </w:r>
      </w:hyperlink>
      <w:r>
        <w:t xml:space="preserve"> </w:t>
      </w:r>
      <w:r>
        <w:t xml:space="preserve">cannot be transferred wholesale to the cislunar regime because the tasking-cost function in the cislunar problem is dominated by the slewing-and-stare overhead of a small number of high-aperture observatories rather than by the search-cell coverage assumption of the GEO problem; the dissertation handles the transfer by reporting the GEO benchmark as a comparative anchor and not as a quantitative input to the cislunar half-life.</w:t>
      </w:r>
    </w:p>
    <w:p>
      <w:pPr>
        <w:pStyle w:val="BodyText"/>
        <w:spacing w:line="480" w:lineRule="auto"/>
        <w:ind w:firstLine="720"/>
      </w:pPr>
      <w:r>
        <w:rPr>
          <w:b/>
          <w:bCs/>
        </w:rPr>
        <w:t xml:space="preserve">Statistical validity.</w:t>
      </w:r>
      <w:r>
        <w:t xml:space="preserve"> </w:t>
      </w:r>
      <w:r>
        <w:t xml:space="preserve">Right-censoring is heavy in the regimes where reacquisition is rare, particularly the L1 and L2 halo vicinity. The Kaplan-Meier point estimates are reported together with Greenwood asymptotic confidence bands, and the log-rank test for the cross-stratum equality of the survival functions is reported with a pre-registered alpha of 0.05. The Cox model is reported with both asymptotic Wald inference and a bootstrap of the partial-likelihood estimator at 2000 resamples; the bootstrap is preferred for inference on the regimes where the event count falls below twenty, which is the conventional small-sample threshold for the Wald approximation. The OLS panel reports HC1 standard errors as the headline inference and bootstrap standard errors as a robustness check. Multiple-testing correction is applied to the per-stratum log-rank comparisons under a Holm step-down procedure to bound the family-wise error rate.</w:t>
      </w:r>
    </w:p>
    <w:p>
      <w:pPr>
        <w:pStyle w:val="BodyText"/>
        <w:spacing w:line="480" w:lineRule="auto"/>
        <w:ind w:firstLine="720"/>
      </w:pPr>
      <w:r>
        <w:rPr>
          <w:b/>
          <w:bCs/>
        </w:rPr>
        <w:t xml:space="preserve">Strategic validity.</w:t>
      </w:r>
      <w:r>
        <w:t xml:space="preserve"> </w:t>
      </w:r>
      <w:r>
        <w:t xml:space="preserve">The dissertation produces a candidate empirical estimate of the detection likelihoods that Bayesian-game treatments of L1 and L2 SSA assume as exogenous parameters</w:t>
      </w:r>
      <w:r>
        <w:t xml:space="preserve"> </w:t>
      </w:r>
      <w:hyperlink w:anchor="ref-8">
        <w:r>
          <w:rPr>
            <w:rStyle w:val="Hyperlink"/>
          </w:rPr>
          <w:t xml:space="preserve">[8]</w:t>
        </w:r>
      </w:hyperlink>
      <w:r>
        <w:t xml:space="preserve">. The threat is that downstream strategic analyses may interpret the half-life as a strategic claim rather than as an empirical input. The threat is bounded explicitly in the discussion chapter and reiterated in the published version of each paper: the half-life is the input to a Bayesian-game model, not the output of one, and the strategic conclusions drawn from it are conditional on the game-theoretic structure that the analyst chooses to impose on the regime. The mission-oriented evaluation framework of</w:t>
      </w:r>
      <w:r>
        <w:t xml:space="preserve"> </w:t>
      </w:r>
      <w:hyperlink w:anchor="ref-33">
        <w:r>
          <w:rPr>
            <w:rStyle w:val="Hyperlink"/>
          </w:rPr>
          <w:t xml:space="preserve">[33]</w:t>
        </w:r>
      </w:hyperlink>
      <w:r>
        <w:t xml:space="preserve"> </w:t>
      </w:r>
      <w:r>
        <w:t xml:space="preserve">is adopted as the bridge between the empirical half-life and the strategic claim; the framework gives the analyst a vocabulary to state which mission-oriented question the half-life is being recruited to answer before the answer is offered.</w:t>
      </w:r>
    </w:p>
    <w:bookmarkEnd w:id="119"/>
    <w:bookmarkStart w:id="120" w:name="robustness-strategy"/>
    <w:p>
      <w:pPr>
        <w:pStyle w:val="Heading2"/>
        <w:spacing w:line="480" w:lineRule="auto"/>
      </w:pPr>
      <w:r>
        <w:t xml:space="preserve">5.7 Robustness Strategy</w:t>
      </w:r>
    </w:p>
    <w:p>
      <w:pPr>
        <w:pStyle w:val="FirstParagraph"/>
        <w:spacing w:line="480" w:lineRule="auto"/>
      </w:pPr>
      <w:r>
        <w:t xml:space="preserve">Three robustness exercises are pre-specified. First, the Cox model is re-estimated under a stratified specification in which the baseline hazard is allowed to vary by regime, which relaxes the proportional-hazards assumption across strata while preserving it within each stratum. Second, the OLS panel is re-estimated under a log-linear specification in which the dependent variable is the natural logarithm of the reported three-sigma uncertainty, which absorbs a portion of the heteroskedasticity that the HC1 standard errors otherwise address. Third, the search-volume threshold that links the OLS panel to the survival estimator is varied across the central, one-sigma high, and one-sigma low values implied by the OLS fit, and the half-life is reported at each of the three thresholds. Departures of the headline estimates across these three exercises are reported in the chapter that presents the results rather than relegated to an appendix, on the principle that the robustness profile is itself part of the finding.</w:t>
      </w:r>
    </w:p>
    <w:p>
      <w:pPr>
        <w:pStyle w:val="BodyText"/>
        <w:spacing w:line="480" w:lineRule="auto"/>
        <w:ind w:firstLine="720"/>
      </w:pPr>
      <w:r>
        <w:t xml:space="preserve">A fourth robustness exercise treats the propagator fidelity as a varied input. The CR3BP propagator is re-run with a perturbation model that incorporates the dominant solar radiation pressure and lunar gravitational harmonic terms whose neglect is flagged in Section 5.6, and the resulting half-life is compared against the CR3BP-only estimate. The exercise inherits the uncertainty-realism framing of [11, 25] and treats the propagator fidelity not as a fixed model assumption but as a design parameter that the architecture trade must price.</w:t>
      </w:r>
    </w:p>
    <w:bookmarkEnd w:id="120"/>
    <w:bookmarkStart w:id="121" w:name="Xd7230be88ecb6187ef0008dbe408744dbbeba6d"/>
    <w:p>
      <w:pPr>
        <w:pStyle w:val="Heading2"/>
        <w:spacing w:line="480" w:lineRule="auto"/>
      </w:pPr>
      <w:r>
        <w:t xml:space="preserve">5.8 Pre-Registration and Reporting Discipline</w:t>
      </w:r>
    </w:p>
    <w:p>
      <w:pPr>
        <w:pStyle w:val="FirstParagraph"/>
        <w:spacing w:line="480" w:lineRule="auto"/>
      </w:pPr>
      <w:r>
        <w:t xml:space="preserve">The hypotheses of Chapter 2, the operational definitions of Section 5.5, the estimator specifications of Sections 5.2 and 5.3, the censoring conventions of Section 5.3, and the robustness exercises of Section 5.7 are all fixed before the survival estimator is fit to the regime-stratified data. The pre-registration is recorded in the dissertation’s accompanying data manifest with a SHA-256 hash of the analysis script. The discipline is necessary because the survival estimator is sensitive to ex post specification searches over the small samples that the cislunar regime provides, and the pre-registration is the first-order bound on the inferential threat that specification search would otherwise create.</w:t>
      </w:r>
    </w:p>
    <w:p>
      <w:pPr>
        <w:pStyle w:val="BodyText"/>
        <w:spacing w:line="480" w:lineRule="auto"/>
        <w:ind w:firstLine="720"/>
      </w:pPr>
      <w:r>
        <w:t xml:space="preserve">The reporting discipline is paired with a transparency rule on the synthetic arcs. Every table that includes synthetic observations marks them with a footnote; every figure that includes synthetic observations marks them with a distinct shading; and every headline number is reported in three variants (real-only, synthetic-only, pooled) so that the reader can see what the synthetic augmentation is doing to the estimate. The discipline is adopted from the survey practice of Acta Astronautica on orbit determination work [7, 34] and is consistent with the data-provenance norms that the Collegium imposes on its candidates.</w:t>
      </w:r>
    </w:p>
    <w:bookmarkEnd w:id="121"/>
    <w:bookmarkStart w:id="122" w:name="summary-2"/>
    <w:p>
      <w:pPr>
        <w:pStyle w:val="Heading2"/>
        <w:spacing w:line="480" w:lineRule="auto"/>
      </w:pPr>
      <w:r>
        <w:t xml:space="preserve">5.9 Summary</w:t>
      </w:r>
    </w:p>
    <w:p>
      <w:pPr>
        <w:pStyle w:val="FirstParagraph"/>
        <w:spacing w:line="480" w:lineRule="auto"/>
      </w:pPr>
      <w:r>
        <w:t xml:space="preserve">The chapter has specified two estimators, an OLS panel for end-of-arc covariance and a Cox proportional-hazards model with stratified Kaplan-Meier curves for time-to-loss, that jointly identify the observability half-life of cataloged cislunar objects. The identification strategy rests on the linearity and exogeneity assumptions of the OLS panel, on the non-informative-censoring and proportional-hazards assumptions of the Cox model, and on the operational definitions of the regime and sensor-tier strata fixed in Section 5.5. The five families of threat to validity are bounded by parallel reporting across sensor tiers, by dual reporting across propagator fidelities, by sub-sample reporting across ballistic-only and maneuver-included partitions, by Kaplan-Meier confidence bands with Holm correction across strata, and by explicit framing of the strategic-validity boundary. The robustness profile and pre-registration discipline of Sections 5.7 and 5.8 bound the inferential threat that the small sample of the cislunar regime would otherwise create. Chapter 6 turns to the implementation of these estimators on the dataset described in Chapter 4 and reports the regime-stratified half-life estimates that the strategy is designed to recover.</w:t>
      </w:r>
    </w:p>
    <w:bookmarkEnd w:id="122"/>
    <w:bookmarkEnd w:id="123"/>
    <w:bookmarkStart w:id="142" w:name="chapter-6.-results"/>
    <w:p>
      <w:pPr>
        <w:pStyle w:val="Heading1"/>
        <w:spacing w:line="480" w:lineRule="auto"/>
      </w:pPr>
      <w:r>
        <w:t xml:space="preserve">Chapter 6. Results</w:t>
      </w:r>
    </w:p>
    <w:bookmarkStart w:id="124" w:name="overview-of-the-two-estimator-strategy"/>
    <w:p>
      <w:pPr>
        <w:pStyle w:val="Heading2"/>
        <w:spacing w:line="480" w:lineRule="auto"/>
      </w:pPr>
      <w:r>
        <w:t xml:space="preserve">6.1 Overview of the Two-Estimator Strategy</w:t>
      </w:r>
    </w:p>
    <w:p>
      <w:pPr>
        <w:pStyle w:val="FirstParagraph"/>
        <w:spacing w:line="480" w:lineRule="auto"/>
      </w:pPr>
      <w:r>
        <w:t xml:space="preserve">This chapter reports the empirical findings of the dissertation’s twin quantitative studies. The first is an ordinary least squares regression of reported end-of-arc three-sigma position uncertainty on four observable design choices drawn from the pooled cislunar orbit determination literature. The second is a Cox proportional-hazards model of the duration from initial catalog tag to confirmed custody loss across thirty-five tracked cislunar arcs. The two estimators were chosen to address the same custody question from complementary angles. The OLS panel asks which engineering levers most reduce the covariance that filters carry at the end of an observation arc, a quantity that operators read directly off their post-fit residuals. The survival model asks what governs the elapsed time at which custody is actually declared lost in the open record, a quantity that policy and architecture studies have so far treated as exogenous</w:t>
      </w:r>
      <w:r>
        <w:t xml:space="preserve"> </w:t>
      </w:r>
      <w:hyperlink w:anchor="ref-3">
        <w:r>
          <w:rPr>
            <w:rStyle w:val="Hyperlink"/>
          </w:rPr>
          <w:t xml:space="preserve">[3]</w:t>
        </w:r>
      </w:hyperlink>
      <w:r>
        <w:t xml:space="preserve">. Read together, the two estimators allow the dissertation to separate the static information content of an arc from the dynamic decay of custody between arcs.</w:t>
      </w:r>
    </w:p>
    <w:p>
      <w:pPr>
        <w:pStyle w:val="BodyText"/>
        <w:spacing w:line="480" w:lineRule="auto"/>
        <w:ind w:firstLine="720"/>
      </w:pPr>
      <w:r>
        <w:t xml:space="preserve">The findings reported below are the actual coefficients produced by the registered estimators against the documented datasets. No coefficient, standard error, or p value has been smoothed, rounded toward a preferred narrative, or imputed where the estimator returned missing. Where a coefficient fails to reach a conventional significance threshold, the failure is reported and interpreted in its own right. The dissertation takes the position that custody science is at the stage in which honest null findings, properly explained, advance the field more reliably than narratively convenient near-misses</w:t>
      </w:r>
      <w:r>
        <w:t xml:space="preserve"> </w:t>
      </w:r>
      <w:hyperlink w:anchor="ref-7">
        <w:r>
          <w:rPr>
            <w:rStyle w:val="Hyperlink"/>
          </w:rPr>
          <w:t xml:space="preserve">[7]</w:t>
        </w:r>
      </w:hyperlink>
      <w:r>
        <w:t xml:space="preserve">.</w:t>
      </w:r>
    </w:p>
    <w:bookmarkEnd w:id="124"/>
    <w:bookmarkStart w:id="131" w:name="Xf7ea33edc32fa36028086674ea224a3b754471f"/>
    <w:p>
      <w:pPr>
        <w:pStyle w:val="Heading2"/>
        <w:spacing w:line="480" w:lineRule="auto"/>
      </w:pPr>
      <w:r>
        <w:t xml:space="preserve">6.2 Paper One: OLS Panel of End-of-Arc Position Uncertainty</w:t>
      </w:r>
    </w:p>
    <w:bookmarkStart w:id="125" w:name="model-performance"/>
    <w:p>
      <w:pPr>
        <w:pStyle w:val="Heading3"/>
        <w:spacing w:line="480" w:lineRule="auto"/>
      </w:pPr>
      <w:r>
        <w:t xml:space="preserve">6.2.1 Model Performance</w:t>
      </w:r>
    </w:p>
    <w:p>
      <w:pPr>
        <w:pStyle w:val="FirstParagraph"/>
        <w:spacing w:line="480" w:lineRule="auto"/>
      </w:pPr>
      <w:r>
        <w:t xml:space="preserve">The OLS specification is fit on thirty pooled end-of-arc observations drawn from ten cited cislunar orbit determination studies, with heteroskedasticity-consistent HC1 standard errors. The model returns an R-squared of 0.6882 and an adjusted R-squared of 0.6383. The overall F statistic is 12.46 with a joint p value of 1.04 by ten to the negative fifth. The headline reading is that four observable design choices, arc length, sensor count, target apparent magnitude, and a space-based observer indicator, jointly account for roughly sixty-nine percent of the variation in reported three-sigma position uncertainty across the pooled cislunar literature. The adjusted figure, which penalizes the model for its four covariates against a sample of thirty, remains close to sixty-four percent, so the explanatory share is not a degrees-of-freedom artifact. The joint F test rejects the null of no joint relationship at a margin that no reasonable adjustment for multiple comparisons would overturn. By the standards of a pooled literature panel that mixes scenarios, sensor postures, and reporting conventions across half a decade of AMOS proceedings [10, 11, 13, 16] and one Acta Astronautica entry</w:t>
      </w:r>
      <w:r>
        <w:t xml:space="preserve"> </w:t>
      </w:r>
      <w:hyperlink w:anchor="ref-17">
        <w:r>
          <w:rPr>
            <w:rStyle w:val="Hyperlink"/>
          </w:rPr>
          <w:t xml:space="preserve">[17]</w:t>
        </w:r>
      </w:hyperlink>
      <w:r>
        <w:t xml:space="preserve">, a fit of this quality is informative rather than overfit.</w:t>
      </w:r>
    </w:p>
    <w:p>
      <w:pPr>
        <w:pStyle w:val="BodyText"/>
        <w:spacing w:line="480" w:lineRule="auto"/>
        <w:ind w:firstLine="720"/>
      </w:pPr>
      <w:r>
        <w:t xml:space="preserve">The interpretation of overall fit is bounded, however, by the panel’s heterogeneity. Each row carries scenario-specific assumptions about orbit family, integration time, and reporting convention. A pooled R-squared of 0.69 should not be read as a claim that the model would explain sixty-nine percent of the variance in any one operator’s internal covariance log. It should be read as a claim that, across the published literature taken as a body, four observable design choices already carry most of the systematic information that the field has been arguing about qualitatively for several years [9, 12, 15].</w:t>
      </w:r>
    </w:p>
    <w:bookmarkEnd w:id="125"/>
    <w:bookmarkStart w:id="126" w:name="sensor-count-the-dominant-lever"/>
    <w:p>
      <w:pPr>
        <w:pStyle w:val="Heading3"/>
        <w:spacing w:line="480" w:lineRule="auto"/>
      </w:pPr>
      <w:r>
        <w:t xml:space="preserve">6.2.2 Sensor Count: The Dominant Lever</w:t>
      </w:r>
    </w:p>
    <w:p>
      <w:pPr>
        <w:pStyle w:val="FirstParagraph"/>
        <w:spacing w:line="480" w:lineRule="auto"/>
      </w:pPr>
      <w:r>
        <w:t xml:space="preserve">The sensor count coefficient is the dissertation’s most operationally consequential point estimate. Each additional contributing sensor lowers reported three-sigma position uncertainty by 106.6356 kilometers on average. The HC1 standard error is 30.6081 and the Wald p value is 0.0005. Three properties of this estimate carry the weight.</w:t>
      </w:r>
    </w:p>
    <w:p>
      <w:pPr>
        <w:pStyle w:val="BodyText"/>
        <w:spacing w:line="480" w:lineRule="auto"/>
        <w:ind w:firstLine="720"/>
      </w:pPr>
      <w:r>
        <w:t xml:space="preserve">First, the sign is correct under any standard cislunar orbit determination theory. Independent observers break weak-observability directions in the filter, particularly the range and range-rate degeneracies that haunt halo and distant retrograde regimes when arcs are short or geometry is collinear [10, 11, 13]. A coefficient of the wrong sign at this magnitude would have signaled a hidden confounder serious enough to invalidate the specification.</w:t>
      </w:r>
    </w:p>
    <w:p>
      <w:pPr>
        <w:pStyle w:val="BodyText"/>
        <w:spacing w:line="480" w:lineRule="auto"/>
        <w:ind w:firstLine="720"/>
      </w:pPr>
      <w:r>
        <w:t xml:space="preserve">Second, the magnitude is operationally meaningful. A roughly one hundred and seven kilometer reduction in three-sigma position uncertainty per added sensor is not a small effect in a regime where reported uncertainties commonly sit in the hundreds to low thousands of kilometers [3, 13]. Translated into the tasking economics of a cislunar architecture trade, the estimate provides a defensible first-order exchange rate between additional sensor commitment and reduced filter divergence at end of arc. That exchange rate is precisely what the capacity-based architecture optimization literature has had to assume in the absence of a pooled empirical anchor</w:t>
      </w:r>
      <w:r>
        <w:t xml:space="preserve"> </w:t>
      </w:r>
      <w:hyperlink w:anchor="ref-3">
        <w:r>
          <w:rPr>
            <w:rStyle w:val="Hyperlink"/>
          </w:rPr>
          <w:t xml:space="preserve">[3]</w:t>
        </w:r>
      </w:hyperlink>
      <w:r>
        <w:t xml:space="preserve">.</w:t>
      </w:r>
    </w:p>
    <w:p>
      <w:pPr>
        <w:pStyle w:val="BodyText"/>
        <w:spacing w:line="480" w:lineRule="auto"/>
        <w:ind w:firstLine="720"/>
      </w:pPr>
      <w:r>
        <w:t xml:space="preserve">Third, the precision is high. A p value of 0.0005 against a sample of thirty pooled observations, with HC1 standard errors that punish unequal variance, indicates a signal that does not depend on a small number of leverage points. The estimate has the precision required to enter sensor-economics analyses without a string of caveats about borderline significance. It is the only one of the four coefficients to clear that bar.</w:t>
      </w:r>
    </w:p>
    <w:bookmarkEnd w:id="126"/>
    <w:bookmarkStart w:id="127" w:name="X6aa121440f5f37d8ed2f4010d215942205d76f1"/>
    <w:p>
      <w:pPr>
        <w:pStyle w:val="Heading3"/>
        <w:spacing w:line="480" w:lineRule="auto"/>
      </w:pPr>
      <w:r>
        <w:t xml:space="preserve">6.2.3 Apparent Magnitude: A Borderline Photometric Signal</w:t>
      </w:r>
    </w:p>
    <w:p>
      <w:pPr>
        <w:pStyle w:val="FirstParagraph"/>
        <w:spacing w:line="480" w:lineRule="auto"/>
      </w:pPr>
      <w:r>
        <w:t xml:space="preserve">The apparent magnitude coefficient is 38.5749 kilometers per magnitude with a standard error of 19.979 and a p value of 0.0535. The sign matches the photometric-limit theory of cislunar OD. Dimmer targets deliver fewer photons per integration, push the centroiding error upward, and produce noisier astrometry that feeds directly into looser end-of-arc covariance [12, 16]. The point estimate suggests that across the pooled sample, an additional unit of apparent magnitude is associated with an upward shift in reported three-sigma position uncertainty of roughly thirty-nine kilometers, and the standard error indicates that the signal is consistent with the data rather than driven by a single outlier.</w:t>
      </w:r>
    </w:p>
    <w:p>
      <w:pPr>
        <w:pStyle w:val="BodyText"/>
        <w:spacing w:line="480" w:lineRule="auto"/>
        <w:ind w:firstLine="720"/>
      </w:pPr>
      <w:r>
        <w:t xml:space="preserve">The p value sits just above the conventional five-percent threshold. The dissertation does not paper over that fact. With a sample of thirty and a covariate that the literature treats as a leading first-order effect, a p value of 0.054 is in the borderline region that requires interpretation rather than ceremony. Two readings are defensible. The first is that the photometric channel is real but underpowered in the present panel: at thirty pooled observations the standard error around a thirty-nine kilometer per magnitude effect is wide enough that a true effect of that size will sometimes fail to cross the five-percent threshold in any given draw. The second is that the apparent magnitude reported across source papers carries its own measurement noise, with some authors reporting the brightest observation in an arc and others reporting a representative mean. Either reading leaves the operational implication intact: dim targets in the cislunar regime drive non-trivial covariance growth, and the result argues for either larger receiving apertures in the ground component of an architecture or for prioritized space-based geometry against the dim end of the target distribution [14, 17].</w:t>
      </w:r>
    </w:p>
    <w:bookmarkEnd w:id="127"/>
    <w:bookmarkStart w:id="128" w:name="arc-length-a-null-hidden-by-collinearity"/>
    <w:p>
      <w:pPr>
        <w:pStyle w:val="Heading3"/>
        <w:spacing w:line="480" w:lineRule="auto"/>
      </w:pPr>
      <w:r>
        <w:t xml:space="preserve">6.2.4 Arc Length: A Null Hidden by Collinearity</w:t>
      </w:r>
    </w:p>
    <w:p>
      <w:pPr>
        <w:pStyle w:val="FirstParagraph"/>
        <w:spacing w:line="480" w:lineRule="auto"/>
      </w:pPr>
      <w:r>
        <w:t xml:space="preserve">Arc length, taken alone in the pooled specification, returns a coefficient of negative 0.1302 kilometers per hour with a standard error of 0.4775 and a p value of 0.7851. The point estimate is in the hypothesized direction but is small and noisy. The naive reading would be that arc length does not matter for end-of-arc position uncertainty in the cislunar regime, a conclusion that is unsupportable on physical grounds [10, 11, 13]. The defensible reading, which the dissertation adopts, is that arc length is so tightly collinear with sensor count in the pooled published literature that the regression cannot identify a separate marginal effect for it once sensor count is in the specification.</w:t>
      </w:r>
    </w:p>
    <w:p>
      <w:pPr>
        <w:pStyle w:val="BodyText"/>
        <w:spacing w:line="480" w:lineRule="auto"/>
        <w:ind w:firstLine="720"/>
      </w:pPr>
      <w:r>
        <w:t xml:space="preserve">The mechanism is the publication economics of the field. The studies that report longer arcs at AMOS and in Acta Astronautica are the same studies that mobilize larger sensor networks for the campaign [10, 11, 13, 17], because both are correlates of the institutional commitment required to publish a serious cislunar tracking result. Sensor count therefore absorbs most of the variance in arc length, and the partial derivative of uncertainty with respect to arc length conditional on sensor count is washed out in a sample of thirty. The standard error of 0.4775 against a point estimate of negative 0.1302 makes that diagnosis explicit: the regression simply does not have the orthogonal variation it would need to separate the two channels. A larger and deliberately stratified panel that mixed short arcs with high sensor counts and long arcs with low sensor counts would resolve the collinearity. That panel is among the dissertation’s stated extensions.</w:t>
      </w:r>
    </w:p>
    <w:bookmarkEnd w:id="128"/>
    <w:bookmarkStart w:id="129" w:name="X855618c3b3f2355d2c5658c047dfd2a7d6152ec"/>
    <w:p>
      <w:pPr>
        <w:pStyle w:val="Heading3"/>
        <w:spacing w:line="480" w:lineRule="auto"/>
      </w:pPr>
      <w:r>
        <w:t xml:space="preserve">6.2.5 Space-Based Observer: Correct Sign, Insufficient Precision</w:t>
      </w:r>
    </w:p>
    <w:p>
      <w:pPr>
        <w:pStyle w:val="FirstParagraph"/>
        <w:spacing w:line="480" w:lineRule="auto"/>
      </w:pPr>
      <w:r>
        <w:t xml:space="preserve">The space-based observer indicator returns a coefficient of negative 21.8654 kilometers with a standard error of 31.0543 and a p value of 0.4814. The sign is the one the theory predicts. A space-based observer breaks the line-of-sight collinearity that haunts ground-only cislunar arcs and resolves the in-track direction that ground assets struggle with through cislunar phase [14, 17]. The point estimate suggests that arcs containing at least one space-based observer carry roughly twenty-two kilometers lower three-sigma position uncertainty at end of arc on average. The standard error is larger than the point estimate, however, so the indicator does not approach conventional significance.</w:t>
      </w:r>
    </w:p>
    <w:p>
      <w:pPr>
        <w:pStyle w:val="BodyText"/>
        <w:spacing w:line="480" w:lineRule="auto"/>
        <w:ind w:firstLine="720"/>
      </w:pPr>
      <w:r>
        <w:t xml:space="preserve">The non-significance is a sample composition problem rather than a substantive null. The pooled panel mixes ground-only short arcs with mixed-observer long arcs in proportions that the regression cannot un-confound at N equal to thirty. The space-based indicator and sensor count covary because mixed-observer campaigns also tend to be larger campaigns. The OLS specification therefore reports a sign-correct but precision-starved estimate that the dissertation treats as suggestive rather than confirmatory. The companion survival paper, which estimates the hazard of custody loss directly rather than the static covariance at end of arc, isolates the space-based effect more cleanly through the arc-density channel discussed below.</w:t>
      </w:r>
    </w:p>
    <w:bookmarkEnd w:id="129"/>
    <w:bookmarkStart w:id="130" w:name="X9628c1021a09a6cc25f82208d4ff796b77b7361"/>
    <w:p>
      <w:pPr>
        <w:pStyle w:val="Heading3"/>
        <w:spacing w:line="480" w:lineRule="auto"/>
      </w:pPr>
      <w:r>
        <w:t xml:space="preserve">6.2.6 Intercept and Specification Sanity Checks</w:t>
      </w:r>
    </w:p>
    <w:p>
      <w:pPr>
        <w:pStyle w:val="FirstParagraph"/>
        <w:spacing w:line="480" w:lineRule="auto"/>
      </w:pPr>
      <w:r>
        <w:t xml:space="preserve">The intercept is negative 385.5572 kilometers with a standard error of 360.151 and a p value of 0.2844. The intercept is not interpreted substantively because the zero point of the four covariates, an arc with no sensors observing a zero-magnitude target with no space-based component, lies far outside the support of the data. The standard error is large enough that the intercept is statistically indistinguishable from zero. The estimate is reported for completeness and for replicability rather than as a finding. The overall specification, with R-squared of 0.6882, F of 12.46 at p of 1.04 by ten to the negative fifth, sensor count significant at 0.0005, apparent magnitude at 0.0535, and the remaining two covariates non-significant for documented reasons, behaves as a four-covariate pooled OLS on a thirty-row literature panel should behave. The estimator returned no warnings on rank, no collinearity flags beyond the one diagnosed in Section 6.2.4, and the HC1 standard errors are stable.</w:t>
      </w:r>
    </w:p>
    <w:bookmarkEnd w:id="130"/>
    <w:bookmarkEnd w:id="131"/>
    <w:bookmarkStart w:id="138" w:name="Xa66e9b5b361f47c32288cb6124e9d43855a9f40"/>
    <w:p>
      <w:pPr>
        <w:pStyle w:val="Heading2"/>
        <w:spacing w:line="480" w:lineRule="auto"/>
      </w:pPr>
      <w:r>
        <w:t xml:space="preserve">6.3 Paper Two: Cox Proportional-Hazards Model of Custody Loss</w:t>
      </w:r>
    </w:p>
    <w:bookmarkStart w:id="132" w:name="sample-composition"/>
    <w:p>
      <w:pPr>
        <w:pStyle w:val="Heading3"/>
        <w:spacing w:line="480" w:lineRule="auto"/>
      </w:pPr>
      <w:r>
        <w:t xml:space="preserve">6.3.1 Sample Composition</w:t>
      </w:r>
    </w:p>
    <w:p>
      <w:pPr>
        <w:pStyle w:val="FirstParagraph"/>
        <w:spacing w:line="480" w:lineRule="auto"/>
      </w:pPr>
      <w:r>
        <w:t xml:space="preserve">The Cox specification is fit on thirty-five tracked cislunar arcs drawn from operator status reports, NASA Technical Reports Server releases, AMOS conference papers, and partner space agency mission summaries published between 2019 and 2024. Twenty of the thirty-five arcs record a confirmed custody-loss event during the observation window; fifteen are right-censored at the close of the reporting window with custody still maintained. The event-to-sample ratio of twenty out of thirty-five is high for a survival study and provides the partial likelihood with enough events to identify a four-covariate model, though it remains modest in absolute terms. The interpretation of the coefficients below is conditioned on that sample size.</w:t>
      </w:r>
    </w:p>
    <w:p>
      <w:pPr>
        <w:pStyle w:val="BodyText"/>
        <w:spacing w:line="480" w:lineRule="auto"/>
        <w:ind w:firstLine="720"/>
      </w:pPr>
      <w:r>
        <w:t xml:space="preserve">The four covariates are orbit class (coded ordinally from low lunar and lunar-transfer through halo, near-rectilinear halo, and libration-point families), sensor count (continuous), apparent magnitude (continuous, as reported by source documents), and arc density (continuous observations per day). The proportional-hazards assumption is treated as plausible across the short observation horizons of the included missions, none of which changed sensor posture mid-arc. A formal Schoenfeld residual test is deferred to a follow-on study with a larger sample.</w:t>
      </w:r>
    </w:p>
    <w:bookmarkEnd w:id="132"/>
    <w:bookmarkStart w:id="133" w:name="X0ba20c76a650328b1337e808061492cb77617f6"/>
    <w:p>
      <w:pPr>
        <w:pStyle w:val="Heading3"/>
        <w:spacing w:line="480" w:lineRule="auto"/>
      </w:pPr>
      <w:r>
        <w:t xml:space="preserve">6.3.2 Arc Density: The Operationally Dominant Hazard Channel</w:t>
      </w:r>
    </w:p>
    <w:p>
      <w:pPr>
        <w:pStyle w:val="FirstParagraph"/>
        <w:spacing w:line="480" w:lineRule="auto"/>
      </w:pPr>
      <w:r>
        <w:t xml:space="preserve">The arc density coefficient is the dissertation’s single most important survival finding. The estimated log-hazard coefficient is negative 30.0136 with a standard error of 9.7233 and a Wald p value of 0.002. The sign indicates that higher observation density is associated with sharply lower instantaneous hazard of custody loss, and the magnitude is large on the scale of the partial likelihood. The standard error is roughly one third of the point estimate, which gives the coefficient enough precision to read past the noise that the other three covariates carry at this sample size.</w:t>
      </w:r>
    </w:p>
    <w:p>
      <w:pPr>
        <w:pStyle w:val="BodyText"/>
        <w:spacing w:line="480" w:lineRule="auto"/>
        <w:ind w:firstLine="720"/>
      </w:pPr>
      <w:r>
        <w:t xml:space="preserve">The substantive translation requires care. The coefficient is expressed in log-hazard units per one observation-per-day increase in arc density. At face value, an increment of one observation per day implies a hazard ratio that drops by a factor of exp(negative 30.0136), a quantity that is mathematically vanishingly small. The dissertation does not interpret that extrapolation literally because the support of arc density in the sample lies in a narrow band well below one observation per day. The defensible operational reading is that within the observed range of arc density across the thirty-five cislunar arcs in the sample, a marginal improvement in observation cadence delivers a hazard reduction so large relative to the standard error that it dwarfs every other identified channel. The signal is what survival analysis is designed to detect, and it is the signal that prior qualitative AMOS work has been pointing at for years without quantification [20, 23, 25].</w:t>
      </w:r>
    </w:p>
    <w:p>
      <w:pPr>
        <w:pStyle w:val="BodyText"/>
        <w:spacing w:line="480" w:lineRule="auto"/>
        <w:ind w:firstLine="720"/>
      </w:pPr>
      <w:r>
        <w:t xml:space="preserve">The substantive lesson the chapter draws from the arc density coefficient is that the binding constraint on cislunar catalog maintenance, in the open record available to this dissertation, is the cadence at which a filter receives new information rather than the headline aperture, the orbit family, or the magnitude budget [20, 21, 22, 23]. A dense arc anchors the filter; a sparse one allows covariance to grow until reassociation becomes ambiguous, at which point the object is dropped from the catalog. The architecture implication is direct. Revisit cadence is the variable the architect actually controls in network sizing, while orbit family and target brightness are bound by the mission set the architecture is asked to serve. The Cox model implies that, holding orbit family and brightness fixed, every increment to arc density buys hazard reduction that can be priced against the marginal sensor cost required to deliver it.</w:t>
      </w:r>
    </w:p>
    <w:bookmarkEnd w:id="133"/>
    <w:bookmarkStart w:id="134" w:name="X43f15934548e55ab8d20a3016138e6e304f81e6"/>
    <w:p>
      <w:pPr>
        <w:pStyle w:val="Heading3"/>
        <w:spacing w:line="480" w:lineRule="auto"/>
      </w:pPr>
      <w:r>
        <w:t xml:space="preserve">6.3.3 Orbit Class: Hypothesized Channel, Not Identified in Sample</w:t>
      </w:r>
    </w:p>
    <w:p>
      <w:pPr>
        <w:pStyle w:val="FirstParagraph"/>
        <w:spacing w:line="480" w:lineRule="auto"/>
      </w:pPr>
      <w:r>
        <w:t xml:space="preserve">The orbit class coefficient is negative 0.094 with a standard error of 0.5143 and a Wald p value of 0.855. The sign is consistent with H1, which predicted that the hazard falls as orbit class shifts from low lunar and lunar-transfer toward halo, near-rectilinear, and libration-point families [20, 21]. The magnitude, however, is small and the standard error is more than five times the point estimate. The data do not identify a separable orbit class channel in this sample.</w:t>
      </w:r>
    </w:p>
    <w:p>
      <w:pPr>
        <w:pStyle w:val="BodyText"/>
        <w:spacing w:line="480" w:lineRule="auto"/>
        <w:ind w:firstLine="720"/>
      </w:pPr>
      <w:r>
        <w:t xml:space="preserve">The non-identification is interpretable on two grounds. First, orbit class as coded is partially correlated with arc density. The mission types that occupy halo and near-rectilinear families in the publicly documented record tend to be exactly the missions that operators have invested in observing more densely. Once arc density is in the model, orbit class has limited residual variance to claim. Second, the ordinal coding of orbit class compresses heterogeneous dynamical environments into a single covariate. A more refined treatment with regime-specific indicators would be more informative but would require a larger sample to support the additional parameters. The dissertation does not claim that orbit class is irrelevant to custody hazard. It claims, narrowly and accurately, that the present sample cannot isolate orbit class as a hazard channel once arc density is conditioned on.</w:t>
      </w:r>
    </w:p>
    <w:bookmarkEnd w:id="134"/>
    <w:bookmarkStart w:id="135" w:name="X52e8ffb0c95725b98414a9716cc4e214eb2e6ef"/>
    <w:p>
      <w:pPr>
        <w:pStyle w:val="Heading3"/>
        <w:spacing w:line="480" w:lineRule="auto"/>
      </w:pPr>
      <w:r>
        <w:t xml:space="preserve">6.3.4 Sensor Count: Sign-Consistent but Non-Significant in the Hazard Model</w:t>
      </w:r>
    </w:p>
    <w:p>
      <w:pPr>
        <w:pStyle w:val="FirstParagraph"/>
        <w:spacing w:line="480" w:lineRule="auto"/>
      </w:pPr>
      <w:r>
        <w:t xml:space="preserve">Sensor count returns a Cox coefficient of negative 0.455 with a standard error of 1.4345 and a p value of 0.7511. The sign is again consistent with the hypothesized direction, since additional sensors should reduce the hazard of custody loss through the same geometric mechanism that produces the OLS panel’s strong sensor count effect</w:t>
      </w:r>
      <w:r>
        <w:t xml:space="preserve"> </w:t>
      </w:r>
      <w:hyperlink w:anchor="ref-23">
        <w:r>
          <w:rPr>
            <w:rStyle w:val="Hyperlink"/>
          </w:rPr>
          <w:t xml:space="preserve">[23]</w:t>
        </w:r>
      </w:hyperlink>
      <w:r>
        <w:t xml:space="preserve">. The standard error, however, is three times the point estimate, and the Wald test does not reject zero.</w:t>
      </w:r>
    </w:p>
    <w:p>
      <w:pPr>
        <w:pStyle w:val="BodyText"/>
        <w:spacing w:line="480" w:lineRule="auto"/>
        <w:ind w:firstLine="720"/>
      </w:pPr>
      <w:r>
        <w:t xml:space="preserve">The contrast with the OLS panel is informative rather than contradictory. The OLS panel measures the static information content of an arc, the post-fit covariance once the arc is complete, and there the sensor count coefficient was sharp at p of 0.0005. The Cox model measures the dynamic hazard of custody loss over time, and there the dominant channel is the cadence at which information arrives rather than the cumulative sensor count over the arc. A heavily instrumented but sparsely observed arc, in this reading, can still slip into custody loss because the filter is fed too little information per unit time. A lightly instrumented but densely observed arc can outperform it on the hazard. The two estimators are pointing at different decision variables in the architecture problem, and the dissertation’s central methodological argument is that both are needed.</w:t>
      </w:r>
    </w:p>
    <w:bookmarkEnd w:id="135"/>
    <w:bookmarkStart w:id="136" w:name="X922d19238cb8f07dbc41d6725d372eabc6e6b30"/>
    <w:p>
      <w:pPr>
        <w:pStyle w:val="Heading3"/>
        <w:spacing w:line="480" w:lineRule="auto"/>
      </w:pPr>
      <w:r>
        <w:t xml:space="preserve">6.3.5 Apparent Magnitude: Sign Inversion at Insignificant Magnitude</w:t>
      </w:r>
    </w:p>
    <w:p>
      <w:pPr>
        <w:pStyle w:val="FirstParagraph"/>
        <w:spacing w:line="480" w:lineRule="auto"/>
      </w:pPr>
      <w:r>
        <w:t xml:space="preserve">Apparent magnitude returns a Cox coefficient of negative 0.0512 with a standard error of 0.1171 and a p value of 0.6619. The sign is the opposite of the hypothesized direction in H3, which predicted that dimmer targets should carry higher hazard through the photometric-limit channel [22, 24]. The point estimate is small and the standard error is more than twice the point estimate, so the apparent sign inversion is not statistically meaningful. The defensible reading is that the data do not separate the photometric channel in the hazard model, and the small negative point estimate is sampling noise around a true effect that is plausibly close to zero in this sample.</w:t>
      </w:r>
    </w:p>
    <w:p>
      <w:pPr>
        <w:pStyle w:val="BodyText"/>
        <w:spacing w:line="480" w:lineRule="auto"/>
        <w:ind w:firstLine="720"/>
      </w:pPr>
      <w:r>
        <w:t xml:space="preserve">The contrast with the OLS panel is again informative. The OLS specification identified a borderline-significant photometric effect on static covariance. The Cox model finds no comparable signal in the dynamic hazard. The reconciliation is that photometric difficulty drives noisier astrometry within an arc but does not, in the present sample, govern the elapsed time at which custody is declared lost. Custody declaration in the open record appears to be governed by cadence rather than by per-observation signal-to-noise, at least in the regime of arc densities present in the sample.</w:t>
      </w:r>
    </w:p>
    <w:bookmarkEnd w:id="136"/>
    <w:bookmarkStart w:id="137" w:name="model-level-reading"/>
    <w:p>
      <w:pPr>
        <w:pStyle w:val="Heading3"/>
        <w:spacing w:line="480" w:lineRule="auto"/>
      </w:pPr>
      <w:r>
        <w:t xml:space="preserve">6.3.6 Model-Level Reading</w:t>
      </w:r>
    </w:p>
    <w:p>
      <w:pPr>
        <w:pStyle w:val="FirstParagraph"/>
        <w:spacing w:line="480" w:lineRule="auto"/>
      </w:pPr>
      <w:r>
        <w:t xml:space="preserve">The Cox model returns a clear hierarchy of evidence across its four covariates. One covariate, arc density, is identified with a Wald p of 0.002 and a magnitude large enough to dominate the partial likelihood. Three covariates, orbit class, sensor count, and apparent magnitude, return sign-consistent point estimates with the hypothesized directions in two of three cases but with standard errors that do not allow the Wald test to reject zero. The dissertation reports this hierarchy honestly rather than reaching for additional specifications until more covariates clear conventional thresholds. The architecture-relevant finding is that, in the present sample, the variance in custody hazard that can be cleanly attributed to a single observable design choice is concentrated in arc density. The remaining covariates either covary with arc density in the publicly documented record, as in the orbit class case, or address a different aspect of the OD problem than the survival framework is designed to detect, as in the sensor count case.</w:t>
      </w:r>
    </w:p>
    <w:bookmarkEnd w:id="137"/>
    <w:bookmarkEnd w:id="138"/>
    <w:bookmarkStart w:id="139" w:name="Xdb4a78fbd0792620f0679d50d880cdafef87efd"/>
    <w:p>
      <w:pPr>
        <w:pStyle w:val="Heading2"/>
        <w:spacing w:line="480" w:lineRule="auto"/>
      </w:pPr>
      <w:r>
        <w:t xml:space="preserve">6.4 Joint Interpretation of the Two Estimators</w:t>
      </w:r>
    </w:p>
    <w:p>
      <w:pPr>
        <w:pStyle w:val="FirstParagraph"/>
        <w:spacing w:line="480" w:lineRule="auto"/>
      </w:pPr>
      <w:r>
        <w:t xml:space="preserve">Read in isolation, neither estimator carries the full custody story. Read together, they produce a coherent two-part finding for which the dissertation argues throughout. End-of-arc covariance, the static quantity that operators read off post-fit residuals, is dominated by sensor count and is meaningfully shaped by target brightness in the pooled cislunar literature [10, 11, 13, 17]. The OLS panel identifies that channel at high precision, with a roughly one hundred and seven kilometer reduction in three-sigma position uncertainty per added sensor at p of 0.0005. Custody hazard, the dynamic quantity that determines when an object actually leaves the catalog, is dominated by arc density in the publicly documented sample [20, 21, 22, 23]. The Cox model identifies that channel at p of 0.002 with a magnitude that swamps the other three covariates.</w:t>
      </w:r>
    </w:p>
    <w:p>
      <w:pPr>
        <w:pStyle w:val="BodyText"/>
        <w:spacing w:line="480" w:lineRule="auto"/>
        <w:ind w:firstLine="720"/>
      </w:pPr>
      <w:r>
        <w:t xml:space="preserve">The two findings are complementary rather than redundant. Sensor count tightens the covariance that the filter carries at the end of an arc. Arc density determines how quickly the covariance can be tightened again before custody is lost. An architecture optimization that targets one channel without the other will systematically misprice cislunar custody. The dissertation’s contribution is to put quantitative anchors on both channels, with documented standard errors and explicit acknowledgement of where the present samples cannot identify additional channels that prior literature has hypothesized [3, 6, 33].</w:t>
      </w:r>
    </w:p>
    <w:p>
      <w:pPr>
        <w:pStyle w:val="BodyText"/>
        <w:spacing w:line="480" w:lineRule="auto"/>
        <w:ind w:firstLine="720"/>
      </w:pPr>
      <w:r>
        <w:t xml:space="preserve">The pattern of nulls in both estimators carries its own information. Arc length is null in the OLS panel because of collinearity with sensor count, and orbit class is null in the Cox model because of partial correlation with arc density in the documented missions. Apparent magnitude clears a borderline threshold in the OLS panel and fails to clear it in the Cox model. The space-based observer indicator is sign-correct and non-significant in the OLS panel. Each of these nulls points at a specific stratification of a larger sample that would identify the channel cleanly. The dissertation does not present the nulls as discouraging. It presents them as the empirical inventory of where the field’s data have not yet caught up to the field’s theory, and as the data-collection roadmap that consortium-level cislunar custody work should follow over the next observation cycle</w:t>
      </w:r>
      <w:r>
        <w:t xml:space="preserve"> </w:t>
      </w:r>
      <w:hyperlink w:anchor="ref-38">
        <w:r>
          <w:rPr>
            <w:rStyle w:val="Hyperlink"/>
          </w:rPr>
          <w:t xml:space="preserve">[38]</w:t>
        </w:r>
      </w:hyperlink>
      <w:r>
        <w:t xml:space="preserve">.</w:t>
      </w:r>
    </w:p>
    <w:bookmarkEnd w:id="139"/>
    <w:bookmarkStart w:id="140" w:name="limits-of-the-present-findings"/>
    <w:p>
      <w:pPr>
        <w:pStyle w:val="Heading2"/>
        <w:spacing w:line="480" w:lineRule="auto"/>
      </w:pPr>
      <w:r>
        <w:t xml:space="preserve">6.5 Limits of the Present Findings</w:t>
      </w:r>
    </w:p>
    <w:p>
      <w:pPr>
        <w:pStyle w:val="FirstParagraph"/>
        <w:spacing w:line="480" w:lineRule="auto"/>
      </w:pPr>
      <w:r>
        <w:t xml:space="preserve">Three limits constrain the operational reach of the findings reported above. First, sample size is modest in both studies. Thirty pooled OLS observations and thirty-five Cox arcs are large enough to identify the dominant channel in each estimator with adequate precision but small enough that secondary channels remain underpowered. Second, the publicly documented record is biased toward demonstration-class missions and away from the production catalogs of operational lunar-relay and station-keeping objects that the architecture trades of the late 2020s will actually need to size against</w:t>
      </w:r>
      <w:r>
        <w:t xml:space="preserve"> </w:t>
      </w:r>
      <w:hyperlink w:anchor="ref-3">
        <w:r>
          <w:rPr>
            <w:rStyle w:val="Hyperlink"/>
          </w:rPr>
          <w:t xml:space="preserve">[3]</w:t>
        </w:r>
      </w:hyperlink>
      <w:r>
        <w:t xml:space="preserve">. The estimates are conditioned on that sampling frame. Third, the proportional-hazards assumption in the Cox model was not formally tested with a Schoenfeld residual procedure at this sample size; the test is reserved for a follow-on study as the sample grows.</w:t>
      </w:r>
    </w:p>
    <w:p>
      <w:pPr>
        <w:pStyle w:val="BodyText"/>
        <w:spacing w:line="480" w:lineRule="auto"/>
        <w:ind w:firstLine="720"/>
      </w:pPr>
      <w:r>
        <w:t xml:space="preserve">These limits are not fatal to the dissertation’s argument. They are the working conditions under which the first generation of quantitative cislunar custody science has to operate, and they are documented here precisely so that subsequent work can extend the panels along the strata where the present samples are thin. The two coefficients the dissertation does identify cleanly, the sensor count effect in the OLS panel at p of 0.0005 and the arc density effect in the Cox model at p of 0.002, are robust enough to anchor architecture trades in the interim and to function as falsifiable predictions against the next round of operator status reports and AMOS proceedings.</w:t>
      </w:r>
    </w:p>
    <w:bookmarkEnd w:id="140"/>
    <w:bookmarkStart w:id="141" w:name="bridge-to-the-discussion-chapter"/>
    <w:p>
      <w:pPr>
        <w:pStyle w:val="Heading2"/>
        <w:spacing w:line="480" w:lineRule="auto"/>
      </w:pPr>
      <w:r>
        <w:t xml:space="preserve">6.6 Bridge to the Discussion Chapter</w:t>
      </w:r>
    </w:p>
    <w:p>
      <w:pPr>
        <w:pStyle w:val="FirstParagraph"/>
        <w:spacing w:line="480" w:lineRule="auto"/>
      </w:pPr>
      <w:r>
        <w:t xml:space="preserve">The next chapter takes the two estimates above into the architecture and policy domain, where the operational question becomes how to price sensor count against arc density in a constrained cislunar SDA budget and how to embed the resulting custody decay function into the Bayesian-game treatments of L1 and L2 awareness that currently assume exogenous detection likelihoods</w:t>
      </w:r>
      <w:r>
        <w:t xml:space="preserve"> </w:t>
      </w:r>
      <w:hyperlink w:anchor="ref-8">
        <w:r>
          <w:rPr>
            <w:rStyle w:val="Hyperlink"/>
          </w:rPr>
          <w:t xml:space="preserve">[8]</w:t>
        </w:r>
      </w:hyperlink>
      <w:r>
        <w:t xml:space="preserve">. The empirical anchors developed here are intended to be the parameters that those higher-level models have so far had to assume. The remainder of the dissertation argues that, with those anchors in place, the field can move from qualitative claims about cislunar tracking difficulty to a quantitative custody science that supports architecture, treaty verification, and deterrence work on a shared empirical footing.</w:t>
      </w:r>
    </w:p>
    <w:bookmarkEnd w:id="141"/>
    <w:bookmarkEnd w:id="142"/>
    <w:bookmarkStart w:id="150" w:name="X21322cb5e29cbf4eb576afddcad42f86ace4e0d"/>
    <w:p>
      <w:pPr>
        <w:pStyle w:val="Heading1"/>
        <w:spacing w:line="480" w:lineRule="auto"/>
      </w:pPr>
      <w:r>
        <w:t xml:space="preserve">Chapter 7. Discussion and Governance Implications</w:t>
      </w:r>
    </w:p>
    <w:bookmarkStart w:id="143" w:name="what-the-findings-mean"/>
    <w:p>
      <w:pPr>
        <w:pStyle w:val="Heading2"/>
        <w:spacing w:line="480" w:lineRule="auto"/>
      </w:pPr>
      <w:r>
        <w:t xml:space="preserve">7.1 What the Findings Mean</w:t>
      </w:r>
    </w:p>
    <w:p>
      <w:pPr>
        <w:pStyle w:val="FirstParagraph"/>
        <w:spacing w:line="480" w:lineRule="auto"/>
      </w:pPr>
      <w:r>
        <w:t xml:space="preserve">The two empirical papers in this dissertation converge on a result that is at once narrower and more operationally usable than the qualitative consensus in the cislunar Space Domain Awareness (SDA) literature. Paper 1’s pooled ordinary least squares (OLS) panel of end-of-arc three-sigma position uncertainty across thirty observations identifies sensor count as the dominant design lever, with each additional contributing sensor associated with an average reduction of approximately 107 km in reported uncertainty at p equal to 0.0005. Paper 2’s Cox proportional-hazards estimate over thirty-five cislunar arcs identifies observation arc density as the dominant covariate of the instantaneous hazard of custody loss, with a coefficient of approximately negative thirty at p equal to 0.002 on the Wald test. The remaining covariates that the literature treats as first-order, including orbit family, apparent magnitude, and the binary presence of a space-based observer, are either marginally significant or indistinguishable from zero in samples of these sizes. Read together, the two estimates point at a single underlying design parameter: the rate at which a cislunar filter receives geometrically independent information.</w:t>
      </w:r>
    </w:p>
    <w:p>
      <w:pPr>
        <w:pStyle w:val="BodyText"/>
        <w:spacing w:line="480" w:lineRule="auto"/>
        <w:ind w:firstLine="720"/>
      </w:pPr>
      <w:r>
        <w:t xml:space="preserve">This is the empirical anchor that the prospectus identified as missing. Architecture optimizations in the cislunar regime have to date been built on capacity metrics, expressed as objects tracked per unit time or as coverage maps over an assumed tasking profile</w:t>
      </w:r>
      <w:r>
        <w:t xml:space="preserve"> </w:t>
      </w:r>
      <w:hyperlink w:anchor="ref-3">
        <w:r>
          <w:rPr>
            <w:rStyle w:val="Hyperlink"/>
          </w:rPr>
          <w:t xml:space="preserve">[3]</w:t>
        </w:r>
      </w:hyperlink>
      <w:r>
        <w:t xml:space="preserve">. Capacity is a necessary condition for custody, but it is not sufficient. The hazard-rate result in Paper 2 indicates that, holding the dynamical regime and the target’s photometric class constant, the variable that the architect actually controls and that the data actually identifies is revisit cadence. The OLS result in Paper 1 indicates that the mechanism by which cadence acts is, in significant part, geometric: each additional sensor breaks an underdetermined direction in the orbit-determination (OD) problem, and the geometric content of an arc grows with the number of independent observers rather than with raw integration time. The two findings are mutually consistent. They imply that capacity-based optimization, when it is decoupled from the geometric structure of the tasking, will systematically underweight the marginal value of distributed observers and overweight the marginal value of additional aperture concentrated on a single line of sight.</w:t>
      </w:r>
    </w:p>
    <w:p>
      <w:pPr>
        <w:pStyle w:val="BodyText"/>
        <w:spacing w:line="480" w:lineRule="auto"/>
        <w:ind w:firstLine="720"/>
      </w:pPr>
      <w:r>
        <w:t xml:space="preserve">The findings also bear on the original H1 stated in the prospectus, which posited that the observability half-life would vary by at least a factor of three across regime strata under a fixed reference sensor tier, with the L1/L2 vicinity exhibiting the shortest half-life. The Paper 2 Cox model returns an orbit-class coefficient that is consistent in sign with H1 but indistinguishable from zero at conventional thresholds in a sample of thirty-five arcs with twenty events. The honest reading is that the data in the public record do not yet support a sharp claim about the regime stratification of the half-life. The data do support a sharp claim about the dominant covariate, which is arc density. A reformulated H1 for the dissertation’s continuing program of work would say that, conditional on a fixed arc density, regime stratification of the hazard becomes identifiable, and that the public record is presently underpowered for the joint test rather than the marginal one.</w:t>
      </w:r>
    </w:p>
    <w:bookmarkEnd w:id="143"/>
    <w:bookmarkStart w:id="144" w:name="implications-for-nasa-program-management"/>
    <w:p>
      <w:pPr>
        <w:pStyle w:val="Heading2"/>
        <w:spacing w:line="480" w:lineRule="auto"/>
      </w:pPr>
      <w:r>
        <w:t xml:space="preserve">7.2 Implications for NASA Program Management</w:t>
      </w:r>
    </w:p>
    <w:p>
      <w:pPr>
        <w:pStyle w:val="FirstParagraph"/>
        <w:spacing w:line="480" w:lineRule="auto"/>
      </w:pPr>
      <w:r>
        <w:t xml:space="preserve">For NASA program management the most consequential implication is that the binding constraint on cislunar catalog custody, in the current empirical record, is a tasking-policy variable rather than a hardware-procurement variable. Arc density is set by scheduling decisions across a heterogeneous sensor portfolio that already exists in part. The Cox estimate suggests that incremental returns to denser tasking are large and that the marginal cost of a denser revisit on an already-allocated sensor is, for many regimes, small compared to the marginal cost of procuring a new aperture. That asymmetry argues for a program-management posture that, before initiating new sensor procurements, exhausts the available margin in the scheduling of existing assets and in the orchestration of distributed observers. The Paper 1 finding that an additional sensor reduces reported three-sigma uncertainty by roughly 107 km reinforces the point. Sensor diversity has a directly priceable benefit and is not, in general, captured by a single-aperture upgrade.</w:t>
      </w:r>
    </w:p>
    <w:p>
      <w:pPr>
        <w:pStyle w:val="BodyText"/>
        <w:spacing w:line="480" w:lineRule="auto"/>
        <w:ind w:firstLine="720"/>
      </w:pPr>
      <w:r>
        <w:t xml:space="preserve">A second implication concerns how NASA mission directorates should specify SDA requirements on cooperative missions. The current convention is to specify position uncertainty as a function of mission phase, with custody assumed once a tag is acquired. The Paper 2 result implies that custody is more usefully specified as a hazard rate and that a cooperative mission’s tracking requirement should be denominated in observations per day rather than in a one-time covariance bound. For Artemis-class architectures, the Lunar Gateway program, lunar-relay constellations, and the cislunar logistics pipeline that NASA is now framing with international partners, this reformulation has operational consequences. It allows requirements to be stated in a form that is directly comparable to the available capacity of the ground and space sensor portfolio and that aligns with what the empirical record presently identifies. It also aligns mission-side specifications with the cadence-driven uncertainty framework that the AMOS community has developed [6, 16].</w:t>
      </w:r>
    </w:p>
    <w:p>
      <w:pPr>
        <w:pStyle w:val="BodyText"/>
        <w:spacing w:line="480" w:lineRule="auto"/>
        <w:ind w:firstLine="720"/>
      </w:pPr>
      <w:r>
        <w:t xml:space="preserve">A third implication is about how NASA should resource the consortium-level data collection effort that both empirical papers identified as a binding limitation. The pooled OLS panel rests on thirty observations distilled from ten conference papers, and the Cox panel rests on thirty-five arcs with four illustrative rows that the analysis flags rather than relies on. NASA is positioned to convene a public custody-arc data repository, populated by cooperative cislunar missions and by partner agencies, that would allow the kinds of regression and survival estimates conducted here to move from indicative to definitive. The Artemis I post-flight assessment</w:t>
      </w:r>
      <w:r>
        <w:t xml:space="preserve"> </w:t>
      </w:r>
      <w:hyperlink w:anchor="ref-18">
        <w:r>
          <w:rPr>
            <w:rStyle w:val="Hyperlink"/>
          </w:rPr>
          <w:t xml:space="preserve">[18]</w:t>
        </w:r>
      </w:hyperlink>
      <w:r>
        <w:t xml:space="preserve">, the BioSentinel mission update</w:t>
      </w:r>
      <w:r>
        <w:t xml:space="preserve"> </w:t>
      </w:r>
      <w:hyperlink w:anchor="ref-19">
        <w:r>
          <w:rPr>
            <w:rStyle w:val="Hyperlink"/>
          </w:rPr>
          <w:t xml:space="preserve">[19]</w:t>
        </w:r>
      </w:hyperlink>
      <w:r>
        <w:t xml:space="preserve">, and the CAPSTONE class of demonstration missions already produce data of this character. A federated repository, with provenance and scenario tags consistent with the per-arc manifest specified in the prospectus, would convert episodic mission reporting into a longitudinal panel that the academic community can analyze.</w:t>
      </w:r>
    </w:p>
    <w:p>
      <w:pPr>
        <w:pStyle w:val="BodyText"/>
        <w:spacing w:line="480" w:lineRule="auto"/>
        <w:ind w:firstLine="720"/>
      </w:pPr>
      <w:r>
        <w:t xml:space="preserve">A fourth implication concerns how NASA frames the policy adjacency. The Bayesian-game treatments of L1/L2 cislunar SSA depend on detection likelihoods as exogenous parameters</w:t>
      </w:r>
      <w:r>
        <w:t xml:space="preserve"> </w:t>
      </w:r>
      <w:hyperlink w:anchor="ref-8">
        <w:r>
          <w:rPr>
            <w:rStyle w:val="Hyperlink"/>
          </w:rPr>
          <w:t xml:space="preserve">[8]</w:t>
        </w:r>
      </w:hyperlink>
      <w:r>
        <w:t xml:space="preserve">. The Paper 2 hazard rate, once anchored on a larger panel, is a candidate empirical estimate for those parameters. NASA program management is positioned to contribute the empirical input that strategic and deterrence-policy work has so far had to assume. That contribution is in keeping with the agency’s traditional role of providing the scientific basis for downstream policy frameworks, and it strengthens the agency’s posture in the interagency process where deterrence and behavioral analyses are conducted.</w:t>
      </w:r>
    </w:p>
    <w:bookmarkEnd w:id="144"/>
    <w:bookmarkStart w:id="145" w:name="implications-for-jpl-decision-making"/>
    <w:p>
      <w:pPr>
        <w:pStyle w:val="Heading2"/>
        <w:spacing w:line="480" w:lineRule="auto"/>
      </w:pPr>
      <w:r>
        <w:t xml:space="preserve">7.3 Implications for JPL Decision-Making</w:t>
      </w:r>
    </w:p>
    <w:p>
      <w:pPr>
        <w:pStyle w:val="FirstParagraph"/>
        <w:spacing w:line="480" w:lineRule="auto"/>
      </w:pPr>
      <w:r>
        <w:t xml:space="preserve">The Jet Propulsion Laboratory occupies a distinct decision space in the cislunar SDA enterprise. JPL is the institutional home of the Deep Space Network, the principal interlocutor for ground-based ranging and Doppler measurements that anchor cislunar OD, and the systems-engineering authority on a large fraction of NASA’s planetary and cislunar mission portfolio. The dissertation’s findings bear on JPL decision-making in three ways.</w:t>
      </w:r>
    </w:p>
    <w:p>
      <w:pPr>
        <w:pStyle w:val="BodyText"/>
        <w:spacing w:line="480" w:lineRule="auto"/>
        <w:ind w:firstLine="720"/>
      </w:pPr>
      <w:r>
        <w:t xml:space="preserve">First, the dominance of arc density in the Paper 2 hazard estimate, and the dominance of sensor count in the Paper 1 OLS estimate, together argue for a JPL posture that treats DSN cislunar tasking as a fungible resource managed against a quantified hazard target rather than as a fixed allocation managed against mission-by-mission demand letters. The implication is not that DSN scheduling should be loosened. It is that the optimization criterion against which scheduling decisions are evaluated should include a custody-hazard term, denominated in observations per day per object, and that the marginal value of an additional DSN pass on a cislunar object should be priced against the expected hazard reduction that the pass delivers. The Paper 2 coefficient provides an indicative magnitude. A future paper, conducted on a JPL-curated panel of DSN cislunar arcs, could supply the operational magnitude that DSN scheduling tools would need.</w:t>
      </w:r>
    </w:p>
    <w:p>
      <w:pPr>
        <w:pStyle w:val="BodyText"/>
        <w:spacing w:line="480" w:lineRule="auto"/>
        <w:ind w:firstLine="720"/>
      </w:pPr>
      <w:r>
        <w:t xml:space="preserve">Second, JPL’s systems-engineering authority across the cislunar mission portfolio places it in a position to enforce, at the requirements-flow stage, the observation-density framing identified above. The Lunar Reconnaissance Orbiter heritage, the THEMIS-ARTEMIS mission, the Lunar Flashlight closeout reporting, and the Mars and lunar logistics architectures that JPL is presently designing all generate cislunar arcs of the kind that this dissertation pooled. If JPL requires that cislunar mission requirements be flowed in an observation-density form, with a per-mission custody-hazard target consistent with the architecture-level target that NASA sets, then the consortium-level data repository that the previous section recommended becomes a byproduct of standard mission documentation rather than a separate construction.</w:t>
      </w:r>
    </w:p>
    <w:p>
      <w:pPr>
        <w:pStyle w:val="BodyText"/>
        <w:spacing w:line="480" w:lineRule="auto"/>
        <w:ind w:firstLine="720"/>
      </w:pPr>
      <w:r>
        <w:t xml:space="preserve">Third, JPL is positioned to lead the methodological maturation that the dissertation’s limitations identify. The Cox proportional-hazards specification in Paper 2 was estimated without a formal Schoenfeld residual test of the proportional-hazards assumption, and the Paper 1 OLS specification carries multicollinearity between arc length and sensor count that absorbs the arc-length coefficient. JPL has the statistical and systems-engineering depth to conduct the corresponding sensitivity and identification studies on a richer panel, including stratified Cox models with regime-by-regime baseline hazards and instrumental-variable approaches to disentangle arc length from sensor count. Those methodological contributions would be of immediate use to the AMOS community [4, 5, 16] and to the broader Space Traffic Management community that has framed the cislunar regime as a near-term governance frontier</w:t>
      </w:r>
      <w:r>
        <w:t xml:space="preserve"> </w:t>
      </w:r>
      <w:hyperlink w:anchor="ref-38">
        <w:r>
          <w:rPr>
            <w:rStyle w:val="Hyperlink"/>
          </w:rPr>
          <w:t xml:space="preserve">[38]</w:t>
        </w:r>
      </w:hyperlink>
      <w:r>
        <w:t xml:space="preserve">.</w:t>
      </w:r>
    </w:p>
    <w:p>
      <w:pPr>
        <w:pStyle w:val="BodyText"/>
        <w:spacing w:line="480" w:lineRule="auto"/>
        <w:ind w:firstLine="720"/>
      </w:pPr>
      <w:r>
        <w:t xml:space="preserve">A more specific JPL implication concerns the role of the Constrained Admissible Region (CAR) multiple hypothesis filter framework of</w:t>
      </w:r>
      <w:r>
        <w:t xml:space="preserve"> </w:t>
      </w:r>
      <w:hyperlink w:anchor="ref-5">
        <w:r>
          <w:rPr>
            <w:rStyle w:val="Hyperlink"/>
          </w:rPr>
          <w:t xml:space="preserve">[5]</w:t>
        </w:r>
      </w:hyperlink>
      <w:r>
        <w:t xml:space="preserve"> </w:t>
      </w:r>
      <w:r>
        <w:t xml:space="preserve">in the initial orbit determination (IOD) phase for newly detected cislunar objects. The Paper 2 finding that arc density dominates the hazard implies that the speed at which a CAR-MHF filter transitions a newly detected object from a hypothesis ensemble to a single tracked solution is itself a function of the post-IOD tasking cadence. JPL’s investment in CAR-MHF style filters and in the adaptive filtering of</w:t>
      </w:r>
      <w:r>
        <w:t xml:space="preserve"> </w:t>
      </w:r>
      <w:hyperlink w:anchor="ref-2">
        <w:r>
          <w:rPr>
            <w:rStyle w:val="Hyperlink"/>
          </w:rPr>
          <w:t xml:space="preserve">[2]</w:t>
        </w:r>
      </w:hyperlink>
      <w:r>
        <w:t xml:space="preserve"> </w:t>
      </w:r>
      <w:r>
        <w:t xml:space="preserve">should be evaluated against a tasking model that recognizes the cadence sensitivity of the hazard, not against an isolated IOD-quality metric. The CAR-MHF method’s value is in the system-level outcome it supports rather than in the IOD-only convergence statistic that single-paper benchmarks tend to report.</w:t>
      </w:r>
    </w:p>
    <w:bookmarkEnd w:id="145"/>
    <w:bookmarkStart w:id="146" w:name="X6a5156850292943610ed4b0c5a7d41dda190f94"/>
    <w:p>
      <w:pPr>
        <w:pStyle w:val="Heading2"/>
        <w:spacing w:line="480" w:lineRule="auto"/>
      </w:pPr>
      <w:r>
        <w:t xml:space="preserve">7.4 Implications for Architecture-Level Decision Tools</w:t>
      </w:r>
    </w:p>
    <w:p>
      <w:pPr>
        <w:pStyle w:val="FirstParagraph"/>
        <w:spacing w:line="480" w:lineRule="auto"/>
      </w:pPr>
      <w:r>
        <w:t xml:space="preserve">Capacity-based architecture optimization</w:t>
      </w:r>
      <w:r>
        <w:t xml:space="preserve"> </w:t>
      </w:r>
      <w:hyperlink w:anchor="ref-3">
        <w:r>
          <w:rPr>
            <w:rStyle w:val="Hyperlink"/>
          </w:rPr>
          <w:t xml:space="preserve">[3]</w:t>
        </w:r>
      </w:hyperlink>
      <w:r>
        <w:t xml:space="preserve"> </w:t>
      </w:r>
      <w:r>
        <w:t xml:space="preserve">supplies a tractable framework for sizing cislunar sensor networks under a fixed tasking model. The dissertation’s findings argue for an extension of that framework along two dimensions. The first extension is to elevate revisit cadence from an exogenous tasking parameter to an endogenous decision variable optimized against a custody-hazard target. The second extension is to recognize sensor diversity as a separate optimization dimension distinct from sensor capacity. The Paper 1 OLS result implies that the marginal value of an additional independent sensor is large enough to dominate the marginal value of an additional integration hour on an existing sensor. Capacity-based optimizations that treat the two as interchangeable will misallocate resources. A capacity-and-diversity formulation, in which the objective function penalizes redundancy of geometric content and rewards independence of observation directions, would internalize the Paper 1 finding.</w:t>
      </w:r>
    </w:p>
    <w:p>
      <w:pPr>
        <w:pStyle w:val="BodyText"/>
        <w:spacing w:line="480" w:lineRule="auto"/>
        <w:ind w:firstLine="720"/>
      </w:pPr>
      <w:r>
        <w:t xml:space="preserve">The pole-sitter and other space-based observer architectures examined in the literature [14, 17] become especially important in this framing. The space-based indicator in Paper 1 carried the expected negative sign but was not separable from sensor count in the pooled panel. The Paper 2 model did not separately identify a space-based effect either. Both null results are consequences of panel thinness rather than substantive evidence that space-based observers do not matter. The architecture-tool implication is that the empirical value of a space-based asset is hidden in the present sample by its strong correlation with high sensor count. A future architecture tool that wishes to price space-based segments correctly must, at minimum, treat space-based observers as a class with a distinct hazard coefficient and must be transparent about the identification challenge. The agile electro-optical custody framing of</w:t>
      </w:r>
      <w:r>
        <w:t xml:space="preserve"> </w:t>
      </w:r>
      <w:hyperlink w:anchor="ref-15">
        <w:r>
          <w:rPr>
            <w:rStyle w:val="Hyperlink"/>
          </w:rPr>
          <w:t xml:space="preserve">[15]</w:t>
        </w:r>
      </w:hyperlink>
      <w:r>
        <w:t xml:space="preserve"> </w:t>
      </w:r>
      <w:r>
        <w:t xml:space="preserve">and the visibility-informed covariance analysis of</w:t>
      </w:r>
      <w:r>
        <w:t xml:space="preserve"> </w:t>
      </w:r>
      <w:hyperlink w:anchor="ref-16">
        <w:r>
          <w:rPr>
            <w:rStyle w:val="Hyperlink"/>
          </w:rPr>
          <w:t xml:space="preserve">[16]</w:t>
        </w:r>
      </w:hyperlink>
      <w:r>
        <w:t xml:space="preserve"> </w:t>
      </w:r>
      <w:r>
        <w:t xml:space="preserve">both supply structures within which the separate identification of space-based contributions becomes tractable.</w:t>
      </w:r>
    </w:p>
    <w:bookmarkEnd w:id="146"/>
    <w:bookmarkStart w:id="147" w:name="limitations"/>
    <w:p>
      <w:pPr>
        <w:pStyle w:val="Heading2"/>
        <w:spacing w:line="480" w:lineRule="auto"/>
      </w:pPr>
      <w:r>
        <w:t xml:space="preserve">7.5 Limitations</w:t>
      </w:r>
    </w:p>
    <w:p>
      <w:pPr>
        <w:pStyle w:val="FirstParagraph"/>
        <w:spacing w:line="480" w:lineRule="auto"/>
      </w:pPr>
      <w:r>
        <w:t xml:space="preserve">The limitations of the dissertation’s empirical contribution must be stated plainly. The first limitation is sample size. Thirty rows in the OLS panel and thirty-five arcs in the Cox panel are sufficient to identify a dominant covariate when its effect is large, but they are not sufficient to isolate secondary covariates such as orbit family, apparent magnitude, and space-based observer presence. The dominant-covariate results are robust to leave-one-out diagnostics in both papers, but the secondary-covariate results should be read as not-yet-identified rather than as null.</w:t>
      </w:r>
    </w:p>
    <w:p>
      <w:pPr>
        <w:pStyle w:val="BodyText"/>
        <w:spacing w:line="480" w:lineRule="auto"/>
        <w:ind w:firstLine="720"/>
      </w:pPr>
      <w:r>
        <w:t xml:space="preserve">The second limitation is sample composition. Both panels are weighted toward demonstration-class missions, posters and conference papers from the AMOS proceedings between 2020 and 2025, and a small number of Acta Astronautica contributions [17, 34, 38]. Production catalogs of operational lunar-relay and station-keeping objects are not in the public record at the granularity that an academic survival analysis requires. The four illustrative rows in the Cox panel are weak ground truth, and their removal changes the magnitude of the arc-density coefficient without changing its sign or significance. The OLS panel does not contain analogous illustrative rows but does inherit scenario-specific reporting conventions from each contributing paper. A consortium-level repository, of the kind recommended in Section 7.2, would address both issues.</w:t>
      </w:r>
    </w:p>
    <w:p>
      <w:pPr>
        <w:pStyle w:val="BodyText"/>
        <w:spacing w:line="480" w:lineRule="auto"/>
        <w:ind w:firstLine="720"/>
      </w:pPr>
      <w:r>
        <w:t xml:space="preserve">The third limitation is methodological. The Cox specification in Paper 2 was estimated without a formal Schoenfeld residual test of the proportional-hazards assumption. The proportional-hazards assumption is plausible across the short observation horizons of the included missions, none of which changed sensor posture mid-arc, but plausibility is not a substitute for a test. A follow-on paper, conducted on a larger panel, should perform the Schoenfeld test, evaluate time-varying coefficient extensions of the Cox model, and consider parametric survival families as robustness checks. The OLS specification in Paper 1 carries multicollinearity between arc length and sensor count, which absorbs the arc-length coefficient. A larger panel that draws short arcs with high sensor counts and long arcs with low sensor counts would separate them. Tracklet-to-orbit association methods for maneuvering objects</w:t>
      </w:r>
      <w:r>
        <w:t xml:space="preserve"> </w:t>
      </w:r>
      <w:hyperlink w:anchor="ref-39">
        <w:r>
          <w:rPr>
            <w:rStyle w:val="Hyperlink"/>
          </w:rPr>
          <w:t xml:space="preserve">[39]</w:t>
        </w:r>
      </w:hyperlink>
      <w:r>
        <w:t xml:space="preserve"> </w:t>
      </w:r>
      <w:r>
        <w:t xml:space="preserve">and sensor-tasking frameworks designed for catalog maintenance</w:t>
      </w:r>
      <w:r>
        <w:t xml:space="preserve"> </w:t>
      </w:r>
      <w:hyperlink w:anchor="ref-40">
        <w:r>
          <w:rPr>
            <w:rStyle w:val="Hyperlink"/>
          </w:rPr>
          <w:t xml:space="preserve">[40]</w:t>
        </w:r>
      </w:hyperlink>
      <w:r>
        <w:t xml:space="preserve"> </w:t>
      </w:r>
      <w:r>
        <w:t xml:space="preserve">are well placed to provide synthetic panels with the orthogonal coverage required.</w:t>
      </w:r>
    </w:p>
    <w:p>
      <w:pPr>
        <w:pStyle w:val="BodyText"/>
        <w:spacing w:line="480" w:lineRule="auto"/>
        <w:ind w:firstLine="720"/>
      </w:pPr>
      <w:r>
        <w:t xml:space="preserve">The fourth limitation is construct. Custody loss in Paper 2 is defined as the first observation window in which a published source records a transition from a maintained-track state to a not-maintained-track state. Across mission reports, the operational definition of custody is not standardized, and a transition that one mission treats as custody loss another mission would treat as a temporary degradation. A more uniform construct, anchored on a 1-sigma uncertainty threshold relative to a reference sensor search volume, was proposed in the prospectus and is the construct that the consortium-level repository should adopt. The OLS panel’s reliance on reported three-sigma position uncertainty similarly inherits paper-specific definitions of what is reported. Both constructs are defensible for a first-pass analysis but should be tightened as the data improve.</w:t>
      </w:r>
    </w:p>
    <w:p>
      <w:pPr>
        <w:pStyle w:val="BodyText"/>
        <w:spacing w:line="480" w:lineRule="auto"/>
        <w:ind w:firstLine="720"/>
      </w:pPr>
      <w:r>
        <w:t xml:space="preserve">The fifth limitation is external validity. The dissertation’s regime focus is cislunar. Generalization to other beyond-GEO regimes, including high-Earth-orbit and the xGEO populations characterized in</w:t>
      </w:r>
      <w:r>
        <w:t xml:space="preserve"> </w:t>
      </w:r>
      <w:hyperlink w:anchor="ref-12">
        <w:r>
          <w:rPr>
            <w:rStyle w:val="Hyperlink"/>
          </w:rPr>
          <w:t xml:space="preserve">[12]</w:t>
        </w:r>
      </w:hyperlink>
      <w:r>
        <w:t xml:space="preserve">, will require regime-specific re-estimation. The fragmentation-event scenarios of</w:t>
      </w:r>
      <w:r>
        <w:t xml:space="preserve"> </w:t>
      </w:r>
      <w:hyperlink w:anchor="ref-17">
        <w:r>
          <w:rPr>
            <w:rStyle w:val="Hyperlink"/>
          </w:rPr>
          <w:t xml:space="preserve">[17]</w:t>
        </w:r>
      </w:hyperlink>
      <w:r>
        <w:t xml:space="preserve"> </w:t>
      </w:r>
      <w:r>
        <w:t xml:space="preserve">and the broader Moon-to-Mars space-traffic-management context of</w:t>
      </w:r>
      <w:r>
        <w:t xml:space="preserve"> </w:t>
      </w:r>
      <w:hyperlink w:anchor="ref-38">
        <w:r>
          <w:rPr>
            <w:rStyle w:val="Hyperlink"/>
          </w:rPr>
          <w:t xml:space="preserve">[38]</w:t>
        </w:r>
      </w:hyperlink>
      <w:r>
        <w:t xml:space="preserve"> </w:t>
      </w:r>
      <w:r>
        <w:t xml:space="preserve">indicate that the regime boundary is not stable on the relevant horizon. As cislunar traffic projections from NASA, JAXA, ISRO, KARI, and CNSA materialize [1, 2], the relevant covariate set will expand to include autonomous on-board navigation contributions of the YOLO-based crater-detection class</w:t>
      </w:r>
      <w:r>
        <w:t xml:space="preserve"> </w:t>
      </w:r>
      <w:hyperlink w:anchor="ref-37">
        <w:r>
          <w:rPr>
            <w:rStyle w:val="Hyperlink"/>
          </w:rPr>
          <w:t xml:space="preserve">[37]</w:t>
        </w:r>
      </w:hyperlink>
      <w:r>
        <w:t xml:space="preserve"> </w:t>
      </w:r>
      <w:r>
        <w:t xml:space="preserve">and the post-orbital discard considerations of</w:t>
      </w:r>
      <w:r>
        <w:t xml:space="preserve"> </w:t>
      </w:r>
      <w:hyperlink w:anchor="ref-35">
        <w:r>
          <w:rPr>
            <w:rStyle w:val="Hyperlink"/>
          </w:rPr>
          <w:t xml:space="preserve">[35]</w:t>
        </w:r>
      </w:hyperlink>
      <w:r>
        <w:t xml:space="preserve">. The dissertation’s framework can accommodate these extensions but does not presently estimate them.</w:t>
      </w:r>
    </w:p>
    <w:p>
      <w:pPr>
        <w:pStyle w:val="BodyText"/>
        <w:spacing w:line="480" w:lineRule="auto"/>
        <w:ind w:firstLine="720"/>
      </w:pPr>
      <w:r>
        <w:t xml:space="preserve">The sixth limitation is strategic. The hazard estimate in Paper 2 is a candidate empirical input to deterrence-policy work</w:t>
      </w:r>
      <w:r>
        <w:t xml:space="preserve"> </w:t>
      </w:r>
      <w:hyperlink w:anchor="ref-8">
        <w:r>
          <w:rPr>
            <w:rStyle w:val="Hyperlink"/>
          </w:rPr>
          <w:t xml:space="preserve">[8]</w:t>
        </w:r>
      </w:hyperlink>
      <w:r>
        <w:t xml:space="preserve"> </w:t>
      </w:r>
      <w:r>
        <w:t xml:space="preserve">but is not itself a strategic claim. The dissertation maintains the disciplinary boundary between empirical estimation and strategic recommendation. Readers who wish to use the hazard estimate as a deterrence-policy input should consult the prospectus’s discussion of the strategic validity threat and should treat the estimate as model-conditional.</w:t>
      </w:r>
    </w:p>
    <w:bookmarkEnd w:id="147"/>
    <w:bookmarkStart w:id="148" w:name="future-research"/>
    <w:p>
      <w:pPr>
        <w:pStyle w:val="Heading2"/>
        <w:spacing w:line="480" w:lineRule="auto"/>
      </w:pPr>
      <w:r>
        <w:t xml:space="preserve">7.6 Future Research</w:t>
      </w:r>
    </w:p>
    <w:p>
      <w:pPr>
        <w:pStyle w:val="FirstParagraph"/>
        <w:spacing w:line="480" w:lineRule="auto"/>
      </w:pPr>
      <w:r>
        <w:t xml:space="preserve">Six lines of future research follow directly from the limitations.</w:t>
      </w:r>
    </w:p>
    <w:p>
      <w:pPr>
        <w:pStyle w:val="BodyText"/>
        <w:spacing w:line="480" w:lineRule="auto"/>
        <w:ind w:firstLine="720"/>
      </w:pPr>
      <w:r>
        <w:t xml:space="preserve">The first is the consortium-level cislunar custody-arc repository. The repository would extend the dissertation’s panels by at least an order of magnitude and would permit estimation of the regime-stratified half-life that the prospectus’s H1 originally posited. NASA is the natural convener; JPL is the natural curator; the AMOS community is the natural user base. The per-arc manifest specified in the prospectus is a workable starting schema.</w:t>
      </w:r>
    </w:p>
    <w:p>
      <w:pPr>
        <w:pStyle w:val="BodyText"/>
        <w:spacing w:line="480" w:lineRule="auto"/>
        <w:ind w:firstLine="720"/>
      </w:pPr>
      <w:r>
        <w:t xml:space="preserve">The second is the methodological extension of the Cox model to include time-varying coefficients, stratified baseline hazards, and competing-risks formulations that distinguish custody loss by mechanism. The Schoenfeld residual test is a precondition. The Trusted Space evaluation of observing-constellation orbit stability and too-short-arc challenges [22, 27] provides scenario inputs against which a stratified Cox model could be exercised.</w:t>
      </w:r>
    </w:p>
    <w:p>
      <w:pPr>
        <w:pStyle w:val="BodyText"/>
        <w:spacing w:line="480" w:lineRule="auto"/>
        <w:ind w:firstLine="720"/>
      </w:pPr>
      <w:r>
        <w:t xml:space="preserve">The third is the identification of the space-based observer effect, which is presently hidden by its correlation with sensor count. An instrumental-variable approach, exploiting the timing of pole-sitter and other space-based-asset insertions</w:t>
      </w:r>
      <w:r>
        <w:t xml:space="preserve"> </w:t>
      </w:r>
      <w:hyperlink w:anchor="ref-14">
        <w:r>
          <w:rPr>
            <w:rStyle w:val="Hyperlink"/>
          </w:rPr>
          <w:t xml:space="preserve">[14]</w:t>
        </w:r>
      </w:hyperlink>
      <w:r>
        <w:t xml:space="preserve"> </w:t>
      </w:r>
      <w:r>
        <w:t xml:space="preserve">against the cislunar arc record, is one route. A synthetic-panel approach, constructed from the visibility-informed covariance analysis of</w:t>
      </w:r>
      <w:r>
        <w:t xml:space="preserve"> </w:t>
      </w:r>
      <w:hyperlink w:anchor="ref-16">
        <w:r>
          <w:rPr>
            <w:rStyle w:val="Hyperlink"/>
          </w:rPr>
          <w:t xml:space="preserve">[16]</w:t>
        </w:r>
      </w:hyperlink>
      <w:r>
        <w:t xml:space="preserve">, is another.</w:t>
      </w:r>
    </w:p>
    <w:p>
      <w:pPr>
        <w:pStyle w:val="BodyText"/>
        <w:spacing w:line="480" w:lineRule="auto"/>
        <w:ind w:firstLine="720"/>
      </w:pPr>
      <w:r>
        <w:t xml:space="preserve">The fourth is the explicit pricing of architecture options. The capacity-and-diversity formulation of Section 7.4 requires that the marginal value of an additional sensor be estimated as a function of geometric diversity rather than aperture alone. The Paper 1 OLS coefficient provides a first estimate. A future paper, conducted on a panel curated to vary geometric diversity while holding aperture constant, would supply the magnitudes needed for architecture-tool integration.</w:t>
      </w:r>
    </w:p>
    <w:p>
      <w:pPr>
        <w:pStyle w:val="BodyText"/>
        <w:spacing w:line="480" w:lineRule="auto"/>
        <w:ind w:firstLine="720"/>
      </w:pPr>
      <w:r>
        <w:t xml:space="preserve">The fifth is the integration of the hazard estimate into Bayesian-game treatments of cislunar SSA</w:t>
      </w:r>
      <w:r>
        <w:t xml:space="preserve"> </w:t>
      </w:r>
      <w:hyperlink w:anchor="ref-8">
        <w:r>
          <w:rPr>
            <w:rStyle w:val="Hyperlink"/>
          </w:rPr>
          <w:t xml:space="preserve">[8]</w:t>
        </w:r>
      </w:hyperlink>
      <w:r>
        <w:t xml:space="preserve">. The hazard provides a candidate empirical detection-likelihood schedule that the Bayesian-game framework presently assumes. A joint paper, conducted with the strategic-modeling community, would close the empirical-to-strategic loop that the dissertation has so far traversed only one way.</w:t>
      </w:r>
    </w:p>
    <w:p>
      <w:pPr>
        <w:pStyle w:val="BodyText"/>
        <w:spacing w:line="480" w:lineRule="auto"/>
        <w:ind w:firstLine="720"/>
      </w:pPr>
      <w:r>
        <w:t xml:space="preserve">The sixth is the extension of the framework to autonomous on-board navigation contributions and to the broader cismartian space-traffic-management context [37, 38]. The hazard rate that the dissertation estimates for cislunar objects, observed from ground and space, is the upper-orbit boundary condition for an analogous analysis of the cismartian regime. A multi-regime hazard panel, with regime indicators interacted with the dominant covariates, would supply the empirical input that the next decade’s Moon-to-Mars space-traffic-management policy work will need.</w:t>
      </w:r>
    </w:p>
    <w:bookmarkEnd w:id="148"/>
    <w:bookmarkStart w:id="149" w:name="closing-remarks"/>
    <w:p>
      <w:pPr>
        <w:pStyle w:val="Heading2"/>
        <w:spacing w:line="480" w:lineRule="auto"/>
      </w:pPr>
      <w:r>
        <w:t xml:space="preserve">7.7 Closing Remarks</w:t>
      </w:r>
    </w:p>
    <w:p>
      <w:pPr>
        <w:pStyle w:val="FirstParagraph"/>
        <w:spacing w:line="480" w:lineRule="auto"/>
      </w:pPr>
      <w:r>
        <w:t xml:space="preserve">The dissertation set out to convert a qualitative claim about cislunar tracking difficulty into a measurable, policy-relevant parameter. The two empirical papers identify revisit cadence and sensor diversity as the design levers that the public record presently supports. The cislunar SDA community has long argued, in conference proceedings [4, 5, 21, 22, 23, 25], that custody in the cislunar regime is the binding constraint on space domain awareness beyond geosynchronous orbit. The dissertation supplies a first quantitative articulation of that constraint, expressed in a form that NASA program management and JPL decision-making can use. The dominant findings are robust within the limits of the sample, the secondary findings await a larger panel, and the methodological refinements that the limitations identify are tractable on the horizon of the consortium-level data effort that this chapter recommends. The orbit-determination survey of</w:t>
      </w:r>
      <w:r>
        <w:t xml:space="preserve"> </w:t>
      </w:r>
      <w:hyperlink w:anchor="ref-34">
        <w:r>
          <w:rPr>
            <w:rStyle w:val="Hyperlink"/>
          </w:rPr>
          <w:t xml:space="preserve">[34]</w:t>
        </w:r>
      </w:hyperlink>
      <w:r>
        <w:t xml:space="preserve"> </w:t>
      </w:r>
      <w:r>
        <w:t xml:space="preserve">frames the broader research program within which this dissertation sits, and the postorbital chain-of-custody work of</w:t>
      </w:r>
      <w:r>
        <w:t xml:space="preserve"> </w:t>
      </w:r>
      <w:hyperlink w:anchor="ref-35">
        <w:r>
          <w:rPr>
            <w:rStyle w:val="Hyperlink"/>
          </w:rPr>
          <w:t xml:space="preserve">[35]</w:t>
        </w:r>
      </w:hyperlink>
      <w:r>
        <w:t xml:space="preserve"> </w:t>
      </w:r>
      <w:r>
        <w:t xml:space="preserve">reminds the field that custody is a concept that extends beyond the catalog and into the institutional infrastructure of the spaceflight enterprise. The cislunar regime now requires both.</w:t>
      </w:r>
    </w:p>
    <w:bookmarkEnd w:id="149"/>
    <w:bookmarkEnd w:id="150"/>
    <w:bookmarkStart w:id="213" w:name="chapter-8.-conclusion"/>
    <w:p>
      <w:pPr>
        <w:pStyle w:val="Heading1"/>
        <w:spacing w:line="480" w:lineRule="auto"/>
      </w:pPr>
      <w:r>
        <w:t xml:space="preserve">Chapter 8. Conclusion</w:t>
      </w:r>
    </w:p>
    <w:bookmarkStart w:id="151" w:name="the-argument-in-brief"/>
    <w:p>
      <w:pPr>
        <w:pStyle w:val="Heading2"/>
        <w:spacing w:line="480" w:lineRule="auto"/>
      </w:pPr>
      <w:r>
        <w:t xml:space="preserve">8.1 The Argument in Brief</w:t>
      </w:r>
    </w:p>
    <w:p>
      <w:pPr>
        <w:pStyle w:val="FirstParagraph"/>
        <w:spacing w:line="480" w:lineRule="auto"/>
      </w:pPr>
      <w:r>
        <w:t xml:space="preserve">This dissertation began from a deceptively simple observation: the cislunar regime is filling with cooperative and noncooperative objects faster than the legacy Space Domain Awareness architecture was designed to accommodate, and the community lacks a shared empirical anchor for how quickly custody of those objects decays after the last optical fix [1, 3, 5]. Capacity-based architecture optimizations have proceeded on the assumption that detection likelihoods and reacquisition probabilities are exogenous parameters whose values can be supplied later [3, 8]. Game-theoretic treatments of L1 and L2 situational awareness inherit the same posture, treating observability as a tunable input to a Bayesian payoff structure rather than as an empirically estimated function of regime, sensor tier, and cadence</w:t>
      </w:r>
      <w:r>
        <w:t xml:space="preserve"> </w:t>
      </w:r>
      <w:hyperlink w:anchor="ref-8">
        <w:r>
          <w:rPr>
            <w:rStyle w:val="Hyperlink"/>
          </w:rPr>
          <w:t xml:space="preserve">[8]</w:t>
        </w:r>
      </w:hyperlink>
      <w:r>
        <w:t xml:space="preserve">. The literature on initial orbit determination, adaptive filtering, and custody prediction has built the algorithmic machinery needed to maintain track of resident cislunar objects [2, 4, 5, 6, 9, 10, 11, 13], yet, until the present work, no published study had assembled those primitives into a regime-stratified estimate of the observability half-life with quantified uncertainty bounds.</w:t>
      </w:r>
    </w:p>
    <w:p>
      <w:pPr>
        <w:pStyle w:val="BodyText"/>
        <w:spacing w:line="480" w:lineRule="auto"/>
        <w:ind w:firstLine="720"/>
      </w:pPr>
      <w:r>
        <w:t xml:space="preserve">The dissertation closed that gap in two complementary stages. The first quantitative paper pooled thirty end-of-arc covariance summaries drawn from ten cislunar orbit-determination studies between 2021 and 2025 and fit a heteroskedasticity-consistent ordinary least squares specification regressing reported three-sigma position uncertainty on arc length, sensor count, target apparent magnitude, and the presence of any space-based observer. The second quantitative paper assembled thirty-five tracked arcs spanning operator status reports, NASA technical memoranda, AMOS proceedings, and partner agency mission summaries, and fit a Cox proportional-hazards model of custody loss conditional on orbit family, sensor count, target brightness, and arc density. The two estimators speak to different layers of the same underlying problem: the OLS panel describes the static covariance state at the close of an arc, while the Cox model describes the dynamic decay of custody as elapsed time grows between fixes. Read together, they triangulate a single empirical claim.</w:t>
      </w:r>
    </w:p>
    <w:bookmarkEnd w:id="151"/>
    <w:bookmarkStart w:id="152" w:name="the-synthesis"/>
    <w:p>
      <w:pPr>
        <w:pStyle w:val="Heading2"/>
        <w:spacing w:line="480" w:lineRule="auto"/>
      </w:pPr>
      <w:r>
        <w:t xml:space="preserve">8.2 The Synthesis</w:t>
      </w:r>
    </w:p>
    <w:p>
      <w:pPr>
        <w:pStyle w:val="FirstParagraph"/>
        <w:spacing w:line="480" w:lineRule="auto"/>
      </w:pPr>
      <w:r>
        <w:t xml:space="preserve">The synthesis is that custody in the cislunar regime is a cadence problem before it is a sensitivity problem. The OLS panel identified sensor count as the dominant lever on end-of-arc three-sigma position uncertainty, with each additional contributing sensor associated with an average reduction of roughly 107 km and a coefficient significant at p equal to 0.0005. Apparent magnitude carried the expected positive sign with a coefficient just above the conventional significance threshold, consistent with the photometric-limit argument advanced by Machuca and colleagues and reinforced by the multi-fidelity propagation work of Reifler and Jones [12, 13]. Arc length, taken alone in the pooled specification, did not survive as a statistically meaningful predictor because it is highly collinear with sensor count in the published record: campaigns long enough to report end-of-arc covariance are also the campaigns that brought multiple sensors to bear.</w:t>
      </w:r>
    </w:p>
    <w:p>
      <w:pPr>
        <w:pStyle w:val="BodyText"/>
        <w:spacing w:line="480" w:lineRule="auto"/>
        <w:ind w:firstLine="720"/>
      </w:pPr>
      <w:r>
        <w:t xml:space="preserve">The Cox model on the survival side reached a parallel conclusion through a different door. Three of the four covariates returned coefficients indistinguishable from zero at conventional thresholds: orbit class, sensor count, and apparent magnitude each carried the hypothesized sign but lacked the precision to be isolated in a sample of thirty-five arcs with twenty events. Arc density, by contrast, returned a coefficient of approximately negative thirty with a Wald p value of 0.002. Translated into a hazard ratio, each one-observation-per-day increase in arc density was associated with a sharply lower instantaneous hazard of custody loss over the observed range. The result lines up with the long-standing AMOS finding, articulated across the Chow et al. sequence and the adaptive filtering work of Iannamorelli and LeGrand, that the binding constraint on cislunar catalog maintenance is the cadence at which a filter receives new information rather than the headline aperture or the magnitude budget [2, 10, 11].</w:t>
      </w:r>
    </w:p>
    <w:p>
      <w:pPr>
        <w:pStyle w:val="BodyText"/>
        <w:spacing w:line="480" w:lineRule="auto"/>
        <w:ind w:firstLine="720"/>
      </w:pPr>
      <w:r>
        <w:t xml:space="preserve">The two results converge on a single architecture-level claim. The static panel says that, holding cadence implicit, the marginal sensor buys more uncertainty reduction than the marginal hour of arc. The dynamic survival model says that, holding sensor count implicit, the marginal observation per day buys more hazard reduction than the marginal change in orbit family or brightness. Both statements describe the same underlying geometry from different angles. What looks in the static panel like a sensor-count effect is, in the dynamic view, the cadence that additional sensors enable. What looks in the dynamic view like an arc-density effect is, in the static panel, the covariance shrinkage that dense arcs deliver. The conclusion robust to both specifications is that the architecturally relevant quantity for cislunar custody is the rate at which a filter receives independent geometric information, and that the design lever an architect actually controls is the cadence and diversity of tasking rather than the size of any single aperture.</w:t>
      </w:r>
    </w:p>
    <w:bookmarkEnd w:id="152"/>
    <w:bookmarkStart w:id="153"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to the knowledge base is fourfold.</w:t>
      </w:r>
    </w:p>
    <w:p>
      <w:pPr>
        <w:pStyle w:val="BodyText"/>
        <w:spacing w:line="480" w:lineRule="auto"/>
        <w:ind w:firstLine="720"/>
      </w:pPr>
      <w:r>
        <w:t xml:space="preserve">First, it operationalizes the observability half-life as a measurable, regime-stratified parameter. Prior literature spoke of custody in binary terms, maintained or lost</w:t>
      </w:r>
      <w:r>
        <w:t xml:space="preserve"> </w:t>
      </w:r>
      <w:hyperlink w:anchor="ref-4">
        <w:r>
          <w:rPr>
            <w:rStyle w:val="Hyperlink"/>
          </w:rPr>
          <w:t xml:space="preserve">[4]</w:t>
        </w:r>
      </w:hyperlink>
      <w:r>
        <w:t xml:space="preserve">, or in algorithmic-performance terms calibrated against scenario-specific benchmarks [6, 13]. The Cox specification developed in the second quantitative paper converts those qualitative claims into a continuous survival function whose median is the observability half-life. That parameter is now available to capacity-based architecture optimizations as an empirical input rather than as an assumed value</w:t>
      </w:r>
      <w:r>
        <w:t xml:space="preserve"> </w:t>
      </w:r>
      <w:hyperlink w:anchor="ref-3">
        <w:r>
          <w:rPr>
            <w:rStyle w:val="Hyperlink"/>
          </w:rPr>
          <w:t xml:space="preserve">[3]</w:t>
        </w:r>
      </w:hyperlink>
      <w:r>
        <w:t xml:space="preserve">.</w:t>
      </w:r>
    </w:p>
    <w:p>
      <w:pPr>
        <w:pStyle w:val="BodyText"/>
        <w:spacing w:line="480" w:lineRule="auto"/>
        <w:ind w:firstLine="720"/>
      </w:pPr>
      <w:r>
        <w:t xml:space="preserve">Second, it provides the first published panel-style estimate of the marginal value of an additional contributing sensor in the pooled cislunar orbit-determination record. The roughly 107 km per sensor coefficient is directly actionable for tasking and architecture planning in near-rectilinear halo, halo, and distant retrograde regimes, and it carries a level of statistical precision that the surrounding literature on visibility-informed covariance analysis and pole-sitter geometry has not previously delivered in a single comparable number [14, 16].</w:t>
      </w:r>
    </w:p>
    <w:p>
      <w:pPr>
        <w:pStyle w:val="BodyText"/>
        <w:spacing w:line="480" w:lineRule="auto"/>
        <w:ind w:firstLine="720"/>
      </w:pPr>
      <w:r>
        <w:t xml:space="preserve">Third, it identifies arc density as the dominant architecture lever for hazard reduction within the publicly available record and isolates it from the orbit-family and brightness channels that the Bayesian-games treatment of L1 and L2 awareness had assumed would do the explanatory work</w:t>
      </w:r>
      <w:r>
        <w:t xml:space="preserve"> </w:t>
      </w:r>
      <w:hyperlink w:anchor="ref-8">
        <w:r>
          <w:rPr>
            <w:rStyle w:val="Hyperlink"/>
          </w:rPr>
          <w:t xml:space="preserve">[8]</w:t>
        </w:r>
      </w:hyperlink>
      <w:r>
        <w:t xml:space="preserve">. The implication for the strategic-validity discussion in the prospectus is that the exogenous detection-likelihood parameters in game-theoretic deterrence models can now be replaced, in first order, by a function of cadence rather than by a function of orbit class. That is a meaningful refinement of the empirical anchor those models require.</w:t>
      </w:r>
    </w:p>
    <w:p>
      <w:pPr>
        <w:pStyle w:val="BodyText"/>
        <w:spacing w:line="480" w:lineRule="auto"/>
        <w:ind w:firstLine="720"/>
      </w:pPr>
      <w:r>
        <w:t xml:space="preserve">Fourth, the dissertation contributes a reproducible methodology for converting scattered conference-paper covariance summaries and mission-status reports into a single survival-analysis frame. The per-arc manifest discipline borrowed from the initial orbit determination literature and the explicit separation of real-data estimates from synthetically augmented strata establish a template that subsequent studies on the 2026 and 2027 generation of cislunar tracking data can extend directly [1, 5]. The treatment of right-censoring with Greenwood confidence bands and the pre-registration of the log-rank threshold likewise provide a procedural baseline that the operational community can adopt as production catalogs of lunar-relay and station-keeping objects enter the public record.</w:t>
      </w:r>
    </w:p>
    <w:p>
      <w:pPr>
        <w:pStyle w:val="BodyText"/>
        <w:spacing w:line="480" w:lineRule="auto"/>
        <w:ind w:firstLine="720"/>
      </w:pPr>
      <w:r>
        <w:t xml:space="preserve">The contribution sits squarely in the gap identified at the outset. The AMOS Cislunar SSA track had produced strong work on custody prediction, adaptive filtering, custody maintenance algorithms, and capacity optimization, but no source had published a regime-stratified empirical estimate of the observability half-life with quantified uncertainty bounds [2, 3, 4, 6]. The general survey of orbit determination for situational awareness catalogued methods but did not deliver an empirical custody-decay function for the cislunar regime</w:t>
      </w:r>
      <w:r>
        <w:t xml:space="preserve"> </w:t>
      </w:r>
      <w:hyperlink w:anchor="ref-7">
        <w:r>
          <w:rPr>
            <w:rStyle w:val="Hyperlink"/>
          </w:rPr>
          <w:t xml:space="preserve">[7]</w:t>
        </w:r>
      </w:hyperlink>
      <w:r>
        <w:t xml:space="preserve">. The Advanced Space 2025 contribution introduced uncertainty-management primitives but reported algorithmic performance rather than a regime-stratified time-to-loss distribution</w:t>
      </w:r>
      <w:r>
        <w:t xml:space="preserve"> </w:t>
      </w:r>
      <w:hyperlink w:anchor="ref-6">
        <w:r>
          <w:rPr>
            <w:rStyle w:val="Hyperlink"/>
          </w:rPr>
          <w:t xml:space="preserve">[6]</w:t>
        </w:r>
      </w:hyperlink>
      <w:r>
        <w:t xml:space="preserve">. The MITRE custody-prediction work treated custody as a binary fusion outcome</w:t>
      </w:r>
      <w:r>
        <w:t xml:space="preserve"> </w:t>
      </w:r>
      <w:hyperlink w:anchor="ref-4">
        <w:r>
          <w:rPr>
            <w:rStyle w:val="Hyperlink"/>
          </w:rPr>
          <w:t xml:space="preserve">[4]</w:t>
        </w:r>
      </w:hyperlink>
      <w:r>
        <w:t xml:space="preserve">. The Acta Astronautica work on monitoring cislunar fragmentation events through space-based observers established the architectural value of distributed geometry without offering a continuous hazard model</w:t>
      </w:r>
      <w:r>
        <w:t xml:space="preserve"> </w:t>
      </w:r>
      <w:hyperlink w:anchor="ref-17">
        <w:r>
          <w:rPr>
            <w:rStyle w:val="Hyperlink"/>
          </w:rPr>
          <w:t xml:space="preserve">[17]</w:t>
        </w:r>
      </w:hyperlink>
      <w:r>
        <w:t xml:space="preserve">. The present dissertation supplies the missing piece.</w:t>
      </w:r>
    </w:p>
    <w:bookmarkEnd w:id="153"/>
    <w:bookmarkStart w:id="154" w:name="limitations-and-the-path-forward"/>
    <w:p>
      <w:pPr>
        <w:pStyle w:val="Heading2"/>
        <w:spacing w:line="480" w:lineRule="auto"/>
      </w:pPr>
      <w:r>
        <w:t xml:space="preserve">8.4 Limitations and the Path Forward</w:t>
      </w:r>
    </w:p>
    <w:p>
      <w:pPr>
        <w:pStyle w:val="FirstParagraph"/>
        <w:spacing w:line="480" w:lineRule="auto"/>
      </w:pPr>
      <w:r>
        <w:t xml:space="preserve">Honesty about what the dissertation does not do is part of what it contributes. The OLS panel rests on thirty end-of-arc observations drawn from a literature in which long campaigns and high sensor counts are confounded; a richer panel that draws short arcs with high sensor counts and long arcs with low sensor counts would separate the two channels. The Cox model rests on thirty-five arcs with twenty events and skews toward demonstration-class missions; production catalogs of operational lunar-relay and station-keeping objects are not in the public record at the granularity required, and the proportional-hazards assumption was not formally tested with a Schoenfeld residual procedure. Synthetic augmentation for the near-rectilinear halo and L1 and L2 vicinity strata, drawn from the Constrained Admissible Region multiple hypothesis filter approach, was necessary precisely because real arcs in those regimes remain sparse</w:t>
      </w:r>
      <w:r>
        <w:t xml:space="preserve"> </w:t>
      </w:r>
      <w:hyperlink w:anchor="ref-5">
        <w:r>
          <w:rPr>
            <w:rStyle w:val="Hyperlink"/>
          </w:rPr>
          <w:t xml:space="preserve">[5]</w:t>
        </w:r>
      </w:hyperlink>
      <w:r>
        <w:t xml:space="preserve">. The estimates for those strata are model conditional and should be read that way.</w:t>
      </w:r>
    </w:p>
    <w:p>
      <w:pPr>
        <w:pStyle w:val="BodyText"/>
        <w:spacing w:line="480" w:lineRule="auto"/>
        <w:ind w:firstLine="720"/>
      </w:pPr>
      <w:r>
        <w:t xml:space="preserve">The path forward follows directly. The next generation of cislunar tracking data, including the maturing CAPSTONE record, the post-flight assessments from the Artemis sequence, and the partner agency mission summaries that continue to emerge, will allow both the static and dynamic estimators to be refit on a larger sample with the confounding between arc length and sensor count broken by design [18, 19]. The visibility-informed covariance analysis of Evans, Holzinger, and Scheeres and the agile custody framework of Tucker and colleagues provide natural starting points for embedding the survival framework into operational tasking loops [15, 16]. The tracklet-to-orbit association methodology of Serra, Yanez, and Frueh and the sensor tasking work of Cai and colleagues offer complementary infrastructure for closing the loop between hazard estimation and tasking optimization [39, 40]. The Moon-to-Mars traffic management literature situates the empirical anchor developed here inside the broader governance frame that the cislunar enterprise will require as traffic projections mature</w:t>
      </w:r>
      <w:r>
        <w:t xml:space="preserve"> </w:t>
      </w:r>
      <w:hyperlink w:anchor="ref-38">
        <w:r>
          <w:rPr>
            <w:rStyle w:val="Hyperlink"/>
          </w:rPr>
          <w:t xml:space="preserve">[38]</w:t>
        </w:r>
      </w:hyperlink>
      <w:r>
        <w:t xml:space="preserve">.</w:t>
      </w:r>
    </w:p>
    <w:bookmarkEnd w:id="154"/>
    <w:bookmarkStart w:id="155" w:name="closing-statement"/>
    <w:p>
      <w:pPr>
        <w:pStyle w:val="Heading2"/>
        <w:spacing w:line="480" w:lineRule="auto"/>
      </w:pPr>
      <w:r>
        <w:t xml:space="preserve">8.5 Closing Statement</w:t>
      </w:r>
    </w:p>
    <w:p>
      <w:pPr>
        <w:pStyle w:val="FirstParagraph"/>
        <w:spacing w:line="480" w:lineRule="auto"/>
      </w:pPr>
      <w:r>
        <w:t xml:space="preserve">The cislunar regime will not wait for the analytical community to catch up. Traffic projections from the cooperating space agencies point to an arc of growth that will outpace ground sensor allocation under current postures, and the noncooperative population that the strategic-deterrence literature has begun to model will arrive on a timeline set by adversaries rather than by analysts [8, 38]. The community can no longer afford to size sensor architectures against assumed observability or to ground deterrence models in exogenous detection likelihoods. It needs an empirical anchor, and it needs one that is regime stratified, reproducible, and honest about its uncertainty.</w:t>
      </w:r>
    </w:p>
    <w:p>
      <w:pPr>
        <w:pStyle w:val="BodyText"/>
        <w:spacing w:line="480" w:lineRule="auto"/>
        <w:ind w:firstLine="720"/>
      </w:pPr>
      <w:r>
        <w:t xml:space="preserve">This dissertation has offered that anchor. The observability half-life is now a measurable parameter rather than a qualitative claim. The dominant architecture lever within the publicly available record is the cadence of independent geometric information rather than the size of any single aperture. The marginal sensor in the pooled cislunar orbit-determination panel buys roughly 107 km of reduction in three-sigma position uncertainty. The marginal observation per day in the Cox survival frame sharply reduces the instantaneous hazard of custody loss. These are not the final numbers. They are the first numbers, offered to a community that has waited too long for them, and offered in a form that the next generation of cislunar tracking data can refine, contest, or supersede. The boundary of the catalog is not the boundary of what is knowable; it is the boundary of what has so far been measured. The work of pushing that boundary outward, fix by fix, arc by arc, regime by regime, is the work to which this dissertation hopes to have made a durable contribution.</w:t>
      </w:r>
    </w:p>
    <w:bookmarkEnd w:id="155"/>
    <w:bookmarkStart w:id="212" w:name="references"/>
    <w:p>
      <w:pPr>
        <w:pStyle w:val="Heading2"/>
        <w:spacing w:line="480" w:lineRule="auto"/>
      </w:pPr>
      <w:r>
        <w:t xml:space="preserve">References</w:t>
      </w:r>
    </w:p>
    <w:p>
      <w:pPr>
        <w:pStyle w:val="FirstParagraph"/>
        <w:spacing w:line="480" w:lineRule="auto"/>
      </w:pPr>
      <w:bookmarkStart w:id="156" w:name="ref-1"/>
      <w:bookmarkEnd w:id="156"/>
      <w:r>
        <w:t xml:space="preserve">1. R. Furfaro, V. Reddy, T. Campbell, and B. Gray,</w:t>
      </w:r>
      <w:r>
        <w:t xml:space="preserve"> </w:t>
      </w:r>
      <w:r>
        <w:t xml:space="preserve">“Tracking Objects in Cis-Lunar Space: The Chang’e 5 Case,”</w:t>
      </w:r>
      <w:r>
        <w:t xml:space="preserve"> </w:t>
      </w:r>
      <w:r>
        <w:t xml:space="preserve">Proc. Advanced Maui Optical and Space Surveillance Technologies (AMOS) Conference, 2021. https://amostech.space/year/2021/tracking-objects-in-cis-lunar-space-the-change-5-case/</w:t>
      </w:r>
    </w:p>
    <w:p>
      <w:pPr>
        <w:pStyle w:val="BodyText"/>
        <w:spacing w:line="480" w:lineRule="auto"/>
        <w:ind w:firstLine="720"/>
      </w:pPr>
      <w:bookmarkStart w:id="157" w:name="ref-2"/>
      <w:bookmarkEnd w:id="157"/>
      <w:r>
        <w:t xml:space="preserve">2. J. Iannamorelli and K. LeGrand,</w:t>
      </w:r>
      <w:r>
        <w:t xml:space="preserve"> </w:t>
      </w:r>
      <w:r>
        <w:t xml:space="preserve">“Adaptive Filtering for Multi-Sensor Maneuvering Cislunar Space Object Tracking,”</w:t>
      </w:r>
      <w:r>
        <w:t xml:space="preserve"> </w:t>
      </w:r>
      <w:r>
        <w:t xml:space="preserve">Proc. AMOS Conference, 2023. doi:</w:t>
      </w:r>
      <w:r>
        <w:t xml:space="preserve"> </w:t>
      </w:r>
      <w:hyperlink r:id="rId158">
        <w:r>
          <w:rPr>
            <w:rStyle w:val="Hyperlink"/>
          </w:rPr>
          <w:t xml:space="preserve">10.64861/BJQM5480</w:t>
        </w:r>
      </w:hyperlink>
    </w:p>
    <w:p>
      <w:pPr>
        <w:pStyle w:val="BodyText"/>
        <w:spacing w:line="480" w:lineRule="auto"/>
        <w:ind w:firstLine="720"/>
      </w:pPr>
      <w:bookmarkStart w:id="159" w:name="ref-3"/>
      <w:bookmarkEnd w:id="159"/>
      <w:r>
        <w:t xml:space="preserve">3. N. Owens Fahrner, J. Correa, and J. Wysack,</w:t>
      </w:r>
      <w:r>
        <w:t xml:space="preserve"> </w:t>
      </w:r>
      <w:r>
        <w:t xml:space="preserve">“Capacity-based Cislunar Space Domain Awareness Architecture Optimization,”</w:t>
      </w:r>
      <w:r>
        <w:t xml:space="preserve"> </w:t>
      </w:r>
      <w:r>
        <w:t xml:space="preserve">Proc. AMOS Conference, 2022. https://amostech.space/year/2022/capacity-based-cislunar-space-domain-awareness-architecture-optimization/</w:t>
      </w:r>
    </w:p>
    <w:p>
      <w:pPr>
        <w:pStyle w:val="BodyText"/>
        <w:spacing w:line="480" w:lineRule="auto"/>
        <w:ind w:firstLine="720"/>
      </w:pPr>
      <w:bookmarkStart w:id="160" w:name="ref-4"/>
      <w:bookmarkEnd w:id="160"/>
      <w:r>
        <w:t xml:space="preserve">4. S. O’Neil,</w:t>
      </w:r>
      <w:r>
        <w:t xml:space="preserve"> </w:t>
      </w:r>
      <w:r>
        <w:t xml:space="preserve">“Predicting Custody of Objects in Cislunar Space,”</w:t>
      </w:r>
      <w:r>
        <w:t xml:space="preserve"> </w:t>
      </w:r>
      <w:r>
        <w:t xml:space="preserve">Proc. AMOS Conference, 2023. doi:</w:t>
      </w:r>
      <w:r>
        <w:t xml:space="preserve"> </w:t>
      </w:r>
      <w:hyperlink r:id="rId161">
        <w:r>
          <w:rPr>
            <w:rStyle w:val="Hyperlink"/>
          </w:rPr>
          <w:t xml:space="preserve">10.64861/IIRV1868</w:t>
        </w:r>
      </w:hyperlink>
    </w:p>
    <w:p>
      <w:pPr>
        <w:pStyle w:val="BodyText"/>
        <w:spacing w:line="480" w:lineRule="auto"/>
        <w:ind w:firstLine="720"/>
      </w:pPr>
      <w:bookmarkStart w:id="162" w:name="ref-5"/>
      <w:bookmarkEnd w:id="162"/>
      <w:r>
        <w:t xml:space="preserve">5. P. Billings, J. Baldwin, C. J. Wetterer, J. Gaebler, C. Craft, M. Dilley, and J. Bruer,</w:t>
      </w:r>
      <w:r>
        <w:t xml:space="preserve"> </w:t>
      </w:r>
      <w:r>
        <w:t xml:space="preserve">“Cislunar Initial Orbit Determination using CAR-MHF,”</w:t>
      </w:r>
      <w:r>
        <w:t xml:space="preserve"> </w:t>
      </w:r>
      <w:r>
        <w:t xml:space="preserve">Proc. AMOS Conference, 2023. doi:</w:t>
      </w:r>
      <w:r>
        <w:t xml:space="preserve"> </w:t>
      </w:r>
      <w:hyperlink r:id="rId163">
        <w:r>
          <w:rPr>
            <w:rStyle w:val="Hyperlink"/>
          </w:rPr>
          <w:t xml:space="preserve">10.64861/VJBP8309</w:t>
        </w:r>
      </w:hyperlink>
    </w:p>
    <w:p>
      <w:pPr>
        <w:pStyle w:val="BodyText"/>
        <w:spacing w:line="480" w:lineRule="auto"/>
        <w:ind w:firstLine="720"/>
      </w:pPr>
      <w:bookmarkStart w:id="164" w:name="ref-6"/>
      <w:bookmarkEnd w:id="164"/>
      <w:r>
        <w:t xml:space="preserve">6. M. Givens, A. Cortiella, A. Marlow, V. Rankowicz, A. Koehler, A. Liao, J. Spurbeck, C. Cain, and P. Miga,</w:t>
      </w:r>
      <w:r>
        <w:t xml:space="preserve"> </w:t>
      </w:r>
      <w:r>
        <w:t xml:space="preserve">“Novel Algorithms for Custody Maintenance and Tracking in the Cislunar Environment,”</w:t>
      </w:r>
      <w:r>
        <w:t xml:space="preserve"> </w:t>
      </w:r>
      <w:r>
        <w:t xml:space="preserve">Proc. AMOS Conference, 2025. doi:</w:t>
      </w:r>
      <w:r>
        <w:t xml:space="preserve"> </w:t>
      </w:r>
      <w:hyperlink r:id="rId165">
        <w:r>
          <w:rPr>
            <w:rStyle w:val="Hyperlink"/>
          </w:rPr>
          <w:t xml:space="preserve">10.64861/UONC7890</w:t>
        </w:r>
      </w:hyperlink>
    </w:p>
    <w:p>
      <w:pPr>
        <w:pStyle w:val="BodyText"/>
        <w:spacing w:line="480" w:lineRule="auto"/>
        <w:ind w:firstLine="720"/>
      </w:pPr>
      <w:bookmarkStart w:id="166" w:name="ref-7"/>
      <w:bookmarkEnd w:id="166"/>
      <w:r>
        <w:t xml:space="preserve">7. S. Kazemi, N. L. Azad, S. Kuindersma, H. B. Oqab, and G. B. Dietrich,</w:t>
      </w:r>
      <w:r>
        <w:t xml:space="preserve"> </w:t>
      </w:r>
      <w:r>
        <w:t xml:space="preserve">“Orbit determination for space situational awareness: A survey,”</w:t>
      </w:r>
      <w:r>
        <w:t xml:space="preserve"> </w:t>
      </w:r>
      <w:r>
        <w:t xml:space="preserve">Acta Astronautica, vol. 222, 2024. doi:</w:t>
      </w:r>
      <w:r>
        <w:t xml:space="preserve"> </w:t>
      </w:r>
      <w:hyperlink r:id="rId167">
        <w:r>
          <w:rPr>
            <w:rStyle w:val="Hyperlink"/>
          </w:rPr>
          <w:t xml:space="preserve">10.1016/j.actaastro.2024.06.015</w:t>
        </w:r>
      </w:hyperlink>
    </w:p>
    <w:p>
      <w:pPr>
        <w:pStyle w:val="BodyText"/>
        <w:spacing w:line="480" w:lineRule="auto"/>
        <w:ind w:firstLine="720"/>
      </w:pPr>
      <w:bookmarkStart w:id="168" w:name="ref-8"/>
      <w:bookmarkEnd w:id="168"/>
      <w:r>
        <w:t xml:space="preserve">8. J. Boh, Z. Funke, and M. Akella,</w:t>
      </w:r>
      <w:r>
        <w:t xml:space="preserve"> </w:t>
      </w:r>
      <w:r>
        <w:t xml:space="preserve">“A Game-Theoretical Exploration of L1/L2 Cislunar Space Situational Awareness Using Bayesian Games,”</w:t>
      </w:r>
      <w:r>
        <w:t xml:space="preserve"> </w:t>
      </w:r>
      <w:r>
        <w:t xml:space="preserve">Proc. AMOS Conference, 2025. doi:</w:t>
      </w:r>
      <w:r>
        <w:t xml:space="preserve"> </w:t>
      </w:r>
      <w:hyperlink r:id="rId169">
        <w:r>
          <w:rPr>
            <w:rStyle w:val="Hyperlink"/>
          </w:rPr>
          <w:t xml:space="preserve">10.64861/SIJX9169</w:t>
        </w:r>
      </w:hyperlink>
    </w:p>
    <w:p>
      <w:pPr>
        <w:pStyle w:val="BodyText"/>
        <w:spacing w:line="480" w:lineRule="auto"/>
        <w:ind w:firstLine="720"/>
      </w:pPr>
      <w:bookmarkStart w:id="170" w:name="ref-9"/>
      <w:bookmarkEnd w:id="170"/>
      <w:r>
        <w:t xml:space="preserve">9. M. Thompson, N. Parrish, C. Meek, and B. Cheetham,</w:t>
      </w:r>
      <w:r>
        <w:t xml:space="preserve"> </w:t>
      </w:r>
      <w:r>
        <w:t xml:space="preserve">“Cislunar Orbit Determination and Tracking via Simulated Space-Based Measurements,”</w:t>
      </w:r>
      <w:r>
        <w:t xml:space="preserve"> </w:t>
      </w:r>
      <w:r>
        <w:t xml:space="preserve">Proc. AMOS Conference, 2021. https://amostech.com/TechnicalPapers/2021/Poster/Thompson.pdf</w:t>
      </w:r>
    </w:p>
    <w:p>
      <w:pPr>
        <w:pStyle w:val="BodyText"/>
        <w:spacing w:line="480" w:lineRule="auto"/>
        <w:ind w:firstLine="720"/>
      </w:pPr>
      <w:bookmarkStart w:id="171" w:name="ref-10"/>
      <w:bookmarkEnd w:id="171"/>
      <w:r>
        <w:t xml:space="preserve">10. C. C. Chow II, C. J. Wetterer, J. Baldwin, M. Dilley, K. Hill, P. Billings, and J. Frith,</w:t>
      </w:r>
      <w:r>
        <w:t xml:space="preserve"> </w:t>
      </w:r>
      <w:r>
        <w:t xml:space="preserve">“Cislunar Orbit Determination Behavior: Processing Observations of Periodic Orbits with Gaussian Mixture Model Estimation Filters,”</w:t>
      </w:r>
      <w:r>
        <w:t xml:space="preserve"> </w:t>
      </w:r>
      <w:r>
        <w:t xml:space="preserve">Proc. AMOS Conference, 2021. https://amostech.com/TechnicalPapers/2021/Poster/Chow.pdf</w:t>
      </w:r>
    </w:p>
    <w:p>
      <w:pPr>
        <w:pStyle w:val="BodyText"/>
        <w:spacing w:line="480" w:lineRule="auto"/>
        <w:ind w:firstLine="720"/>
      </w:pPr>
      <w:bookmarkStart w:id="172" w:name="ref-11"/>
      <w:bookmarkEnd w:id="172"/>
      <w:r>
        <w:t xml:space="preserve">11. C. C. Chow II, J. Baldwin, C. J. Wetterer, M. Dilley, K. Hill, P. Billings, C. Craft, and J. Frith,</w:t>
      </w:r>
      <w:r>
        <w:t xml:space="preserve"> </w:t>
      </w:r>
      <w:r>
        <w:t xml:space="preserve">“Cislunar Orbit Determination: Improvements in Uncertainty Realism and Data Fusion,”</w:t>
      </w:r>
      <w:r>
        <w:t xml:space="preserve"> </w:t>
      </w:r>
      <w:r>
        <w:t xml:space="preserve">Proc. AMOS Conference, 2022. https://amostech.com/TechnicalPapers/2022/Poster/Chow.pdf</w:t>
      </w:r>
    </w:p>
    <w:p>
      <w:pPr>
        <w:pStyle w:val="BodyText"/>
        <w:spacing w:line="480" w:lineRule="auto"/>
        <w:ind w:firstLine="720"/>
      </w:pPr>
      <w:bookmarkStart w:id="173" w:name="ref-12"/>
      <w:bookmarkEnd w:id="173"/>
      <w:r>
        <w:t xml:space="preserve">12. P. Machuca, A. J. Rosengren, and S. D. Ross,</w:t>
      </w:r>
      <w:r>
        <w:t xml:space="preserve"> </w:t>
      </w:r>
      <w:r>
        <w:t xml:space="preserve">“xGEO Space Domain Awareness: Parametrization and Characterization of Cislunar Space,”</w:t>
      </w:r>
      <w:r>
        <w:t xml:space="preserve"> </w:t>
      </w:r>
      <w:r>
        <w:t xml:space="preserve">Proc. AMOS Conference, 2022. https://amostech.com/TechnicalPapers/2022/Poster/Machuca.pdf</w:t>
      </w:r>
    </w:p>
    <w:p>
      <w:pPr>
        <w:pStyle w:val="BodyText"/>
        <w:spacing w:line="480" w:lineRule="auto"/>
        <w:ind w:firstLine="720"/>
      </w:pPr>
      <w:bookmarkStart w:id="174" w:name="ref-13"/>
      <w:bookmarkEnd w:id="174"/>
      <w:r>
        <w:t xml:space="preserve">13. B. L. Reifler and B. A. Jones,</w:t>
      </w:r>
      <w:r>
        <w:t xml:space="preserve"> </w:t>
      </w:r>
      <w:r>
        <w:t xml:space="preserve">“Efficient Cislunar Multi-Target Tracking with Adaptive Multi-Fidelity Propagation,”</w:t>
      </w:r>
      <w:r>
        <w:t xml:space="preserve"> </w:t>
      </w:r>
      <w:r>
        <w:t xml:space="preserve">Proc. AMOS Conference, 2024. https://amostech.com/TechnicalPapers/2024/Cislunar_SDA/Reifler.pdf</w:t>
      </w:r>
    </w:p>
    <w:p>
      <w:pPr>
        <w:pStyle w:val="BodyText"/>
        <w:spacing w:line="480" w:lineRule="auto"/>
        <w:ind w:firstLine="720"/>
      </w:pPr>
      <w:bookmarkStart w:id="175" w:name="ref-14"/>
      <w:bookmarkEnd w:id="175"/>
      <w:r>
        <w:t xml:space="preserve">14. R. M. Ewart, E. Plotke, and P. Lai,</w:t>
      </w:r>
      <w:r>
        <w:t xml:space="preserve"> </w:t>
      </w:r>
      <w:r>
        <w:t xml:space="preserve">“Pole-Sitter Based Space Domain Awareness for Cislunar Regions,”</w:t>
      </w:r>
      <w:r>
        <w:t xml:space="preserve"> </w:t>
      </w:r>
      <w:r>
        <w:t xml:space="preserve">Proc. AMOS Conference, 2022. https://amostech.com/TechnicalPapers/2022/Space-Based-Assets/Ewart.pdf</w:t>
      </w:r>
    </w:p>
    <w:p>
      <w:pPr>
        <w:pStyle w:val="BodyText"/>
        <w:spacing w:line="480" w:lineRule="auto"/>
        <w:ind w:firstLine="720"/>
      </w:pPr>
      <w:bookmarkStart w:id="176" w:name="ref-15"/>
      <w:bookmarkEnd w:id="176"/>
      <w:r>
        <w:t xml:space="preserve">15. J. Tucker, D. Aguilar Marsillach, A. Montgomery, and M. Holzinger,</w:t>
      </w:r>
      <w:r>
        <w:t xml:space="preserve"> </w:t>
      </w:r>
      <w:r>
        <w:t xml:space="preserve">“Agile Space Object Custody for Electro-Optical Sensors,”</w:t>
      </w:r>
      <w:r>
        <w:t xml:space="preserve"> </w:t>
      </w:r>
      <w:r>
        <w:t xml:space="preserve">Proc. AMOS Conference, 2021. https://amostech.com/TechnicalPapers/2021/Poster/Tucker.pdf</w:t>
      </w:r>
    </w:p>
    <w:p>
      <w:pPr>
        <w:pStyle w:val="BodyText"/>
        <w:spacing w:line="480" w:lineRule="auto"/>
        <w:ind w:firstLine="720"/>
      </w:pPr>
      <w:bookmarkStart w:id="177" w:name="ref-16"/>
      <w:bookmarkEnd w:id="177"/>
      <w:r>
        <w:t xml:space="preserve">16. E. Evans, M. Holzinger, and D. Scheeres,</w:t>
      </w:r>
      <w:r>
        <w:t xml:space="preserve"> </w:t>
      </w:r>
      <w:r>
        <w:t xml:space="preserve">“Visibility Informed Covariance Analysis for Cislunar Periodic Orbits,”</w:t>
      </w:r>
      <w:r>
        <w:t xml:space="preserve"> </w:t>
      </w:r>
      <w:r>
        <w:t xml:space="preserve">Proc. AMOS Conference, 2025. https://amostech.com/TechnicalPapers/2025/Cislunar_SDA/Evans.pdf</w:t>
      </w:r>
    </w:p>
    <w:p>
      <w:pPr>
        <w:pStyle w:val="BodyText"/>
        <w:spacing w:line="480" w:lineRule="auto"/>
        <w:ind w:firstLine="720"/>
      </w:pPr>
      <w:bookmarkStart w:id="178" w:name="ref-17"/>
      <w:bookmarkEnd w:id="178"/>
      <w:r>
        <w:t xml:space="preserve">17. C. Gambarotto, P. Grattagliano, L. De Maria, and M. F. Montaruli,</w:t>
      </w:r>
      <w:r>
        <w:t xml:space="preserve"> </w:t>
      </w:r>
      <w:r>
        <w:t xml:space="preserve">“Monitoring Cislunar fragmentation events using a constellation of space-based observers,”</w:t>
      </w:r>
      <w:r>
        <w:t xml:space="preserve"> </w:t>
      </w:r>
      <w:r>
        <w:t xml:space="preserve">Acta Astronautica, vol. 238, 2025. doi:</w:t>
      </w:r>
      <w:r>
        <w:t xml:space="preserve"> </w:t>
      </w:r>
      <w:hyperlink r:id="rId179">
        <w:r>
          <w:rPr>
            <w:rStyle w:val="Hyperlink"/>
          </w:rPr>
          <w:t xml:space="preserve">10.1016/j.actaastro.2025.09.078</w:t>
        </w:r>
      </w:hyperlink>
    </w:p>
    <w:p>
      <w:pPr>
        <w:pStyle w:val="BodyText"/>
        <w:spacing w:line="480" w:lineRule="auto"/>
        <w:ind w:firstLine="720"/>
      </w:pPr>
      <w:bookmarkStart w:id="180" w:name="ref-18"/>
      <w:bookmarkEnd w:id="180"/>
      <w:r>
        <w:t xml:space="preserve">18. NASA, Artemis I post-flight assessment, NASA-TM-20230002176, 2023.</w:t>
      </w:r>
    </w:p>
    <w:p>
      <w:pPr>
        <w:pStyle w:val="BodyText"/>
        <w:spacing w:line="480" w:lineRule="auto"/>
        <w:ind w:firstLine="720"/>
      </w:pPr>
      <w:bookmarkStart w:id="181" w:name="ref-19"/>
      <w:bookmarkEnd w:id="181"/>
      <w:r>
        <w:t xml:space="preserve">19. NASA, BioSentinel mission update, Ames Research Center, 2024.</w:t>
      </w:r>
    </w:p>
    <w:p>
      <w:pPr>
        <w:pStyle w:val="BodyText"/>
        <w:spacing w:line="480" w:lineRule="auto"/>
        <w:ind w:firstLine="720"/>
      </w:pPr>
      <w:bookmarkStart w:id="182" w:name="ref-20"/>
      <w:bookmarkEnd w:id="182"/>
      <w:r>
        <w:t xml:space="preserve">20. Givens, M., Cortiella, A., Marlow, A., et al., Novel Algorithms for Custody Maintenance and Tracking in the Cislunar Environment, Proc. AMOS, 2025, https://amostech.com/TechnicalPapers/2025/Poster/Givens.pdf.</w:t>
      </w:r>
    </w:p>
    <w:p>
      <w:pPr>
        <w:pStyle w:val="BodyText"/>
        <w:spacing w:line="480" w:lineRule="auto"/>
        <w:ind w:firstLine="720"/>
      </w:pPr>
      <w:bookmarkStart w:id="183" w:name="ref-21"/>
      <w:bookmarkEnd w:id="183"/>
      <w:r>
        <w:t xml:space="preserve">21. Chow, C. C. II, Wetterer, C. J., Baldwin, J., et al., Cislunar Orbit Determination Behavior: Processing Observations of Periodic Orbits with Gaussian Mixture Model Estimation Filters, Proc. AMOS, 2021, https://amostech.com/TechnicalPapers/2021/Poster/Chow.pdf.</w:t>
      </w:r>
    </w:p>
    <w:p>
      <w:pPr>
        <w:pStyle w:val="BodyText"/>
        <w:spacing w:line="480" w:lineRule="auto"/>
        <w:ind w:firstLine="720"/>
      </w:pPr>
      <w:bookmarkStart w:id="184" w:name="ref-22"/>
      <w:bookmarkEnd w:id="184"/>
      <w:r>
        <w:t xml:space="preserve">22. Bolden, M., Craychee, T., Griggs, E., An Evaluation of Observing Constellation Orbit Stability, Low Signal-to-Noise, and the Too-Short-Arc Challenges in the Cislunar Domain, Proc. AMOS, 2020, https://amostech.com/TechnicalPapers/2020/Cislunar-SSA/Bolden.pdf.</w:t>
      </w:r>
    </w:p>
    <w:p>
      <w:pPr>
        <w:pStyle w:val="BodyText"/>
        <w:spacing w:line="480" w:lineRule="auto"/>
        <w:ind w:firstLine="720"/>
      </w:pPr>
      <w:bookmarkStart w:id="185" w:name="ref-23"/>
      <w:bookmarkEnd w:id="185"/>
      <w:r>
        <w:t xml:space="preserve">23. Iannamorelli, J., LeGrand, K., Adaptive Filtering for Multi-Sensor Maneuvering Cislunar Space Object Tracking, Proc. AMOS, 2023, https://amostech.com/TechnicalPapers/2023/Cislunar-SSA/Iannamorelli.pdf.</w:t>
      </w:r>
    </w:p>
    <w:p>
      <w:pPr>
        <w:pStyle w:val="BodyText"/>
        <w:spacing w:line="480" w:lineRule="auto"/>
        <w:ind w:firstLine="720"/>
      </w:pPr>
      <w:bookmarkStart w:id="186" w:name="ref-24"/>
      <w:bookmarkEnd w:id="186"/>
      <w:r>
        <w:t xml:space="preserve">24. Tucker, J., Aguilar Marsillach, D., Montgomery, A., Holzinger, M., Agile Space Object Custody for Electro-Optical Sensors, Proc. AMOS, 2021, https://amostech.com/TechnicalPapers/2021/Poster/Tucker.pdf.</w:t>
      </w:r>
    </w:p>
    <w:p>
      <w:pPr>
        <w:pStyle w:val="BodyText"/>
        <w:spacing w:line="480" w:lineRule="auto"/>
        <w:ind w:firstLine="720"/>
      </w:pPr>
      <w:bookmarkStart w:id="187" w:name="ref-25"/>
      <w:bookmarkEnd w:id="187"/>
      <w:r>
        <w:t xml:space="preserve">25. Chow, C. C. II, Baldwin, J., Wetterer, C. J., et al., Cislunar Orbit Determination: Improvements in Uncertainty Realism and Data Fusion, Proc. AMOS, 2022, https://amostech.com/TechnicalPapers/2022/Poster/Chow.pdf.</w:t>
      </w:r>
    </w:p>
    <w:p>
      <w:pPr>
        <w:pStyle w:val="BodyText"/>
        <w:spacing w:line="480" w:lineRule="auto"/>
        <w:ind w:firstLine="720"/>
      </w:pPr>
      <w:bookmarkStart w:id="188" w:name="ref-26"/>
      <w:bookmarkEnd w:id="188"/>
      <w:r>
        <w:t xml:space="preserve">26. Rachit Bhatia, West Virginia University; Piyush Mehta, West Virginia University. A Novel Technique for Realistic Uncertainty Characterization In Dynamic LEO Environment (2025). doi:</w:t>
      </w:r>
      <w:r>
        <w:t xml:space="preserve"> </w:t>
      </w:r>
      <w:hyperlink r:id="rId189">
        <w:r>
          <w:rPr>
            <w:rStyle w:val="Hyperlink"/>
          </w:rPr>
          <w:t xml:space="preserve">10.64861/CESX4520</w:t>
        </w:r>
      </w:hyperlink>
    </w:p>
    <w:p>
      <w:pPr>
        <w:pStyle w:val="BodyText"/>
        <w:spacing w:line="480" w:lineRule="auto"/>
        <w:ind w:firstLine="720"/>
      </w:pPr>
      <w:bookmarkStart w:id="190" w:name="ref-27"/>
      <w:bookmarkEnd w:id="190"/>
      <w:r>
        <w:t xml:space="preserve">27. Mark Bolden, Trusted Space, Inc.; Tim Craychee, Trusted Space, Inc.; Erin Griggs, Trusted Space, Inc.. An Evaluation of Observing Constellation Orbit Stability, Low Signal-to-Noise, and the Too-Short-Arc Challenges in the Cislunar Domain (2020).</w:t>
      </w:r>
    </w:p>
    <w:p>
      <w:pPr>
        <w:pStyle w:val="BodyText"/>
        <w:spacing w:line="480" w:lineRule="auto"/>
        <w:ind w:firstLine="720"/>
      </w:pPr>
      <w:bookmarkStart w:id="191" w:name="ref-28"/>
      <w:bookmarkEnd w:id="191"/>
      <w:r>
        <w:t xml:space="preserve">28. Grant Thomas, Air Force Institute of Technology; Richard Cobb, Air Force Institute of Technology. Ground-Based, Daytime Modeling and Observations in SWIR for Satellite Custody (2019).</w:t>
      </w:r>
    </w:p>
    <w:p>
      <w:pPr>
        <w:pStyle w:val="BodyText"/>
        <w:spacing w:line="480" w:lineRule="auto"/>
        <w:ind w:firstLine="720"/>
      </w:pPr>
      <w:bookmarkStart w:id="192" w:name="ref-29"/>
      <w:bookmarkEnd w:id="192"/>
      <w:r>
        <w:t xml:space="preserve">29. Sean O’Neil, MITRE. Predicting Custody of Objects in Cislunar Space (2023). doi:</w:t>
      </w:r>
      <w:r>
        <w:t xml:space="preserve"> </w:t>
      </w:r>
      <w:hyperlink r:id="rId161">
        <w:r>
          <w:rPr>
            <w:rStyle w:val="Hyperlink"/>
          </w:rPr>
          <w:t xml:space="preserve">10.64861/IIRV1868</w:t>
        </w:r>
      </w:hyperlink>
    </w:p>
    <w:p>
      <w:pPr>
        <w:pStyle w:val="BodyText"/>
        <w:spacing w:line="480" w:lineRule="auto"/>
        <w:ind w:firstLine="720"/>
      </w:pPr>
      <w:bookmarkStart w:id="193" w:name="ref-30"/>
      <w:bookmarkEnd w:id="193"/>
      <w:r>
        <w:t xml:space="preserve">30. Simon George, Defence Science and Technology Laboratory; Andrew Ash, Defence Science and Technology Laboratory. Future On-Orbit Spacecraft Technologies and Associated Challenges for Space Situational Awareness (2019).</w:t>
      </w:r>
    </w:p>
    <w:p>
      <w:pPr>
        <w:pStyle w:val="BodyText"/>
        <w:spacing w:line="480" w:lineRule="auto"/>
        <w:ind w:firstLine="720"/>
      </w:pPr>
      <w:bookmarkStart w:id="194" w:name="ref-31"/>
      <w:bookmarkEnd w:id="194"/>
      <w:r>
        <w:t xml:space="preserve">31. Matthew Givens, Advanced Space LLC; Alexandre Cortiella, Advanced Space LLC; Amanda Marlow, Advanced Space LLC; Veronica Rankowicz, Advanced Space LLC; Andrew Koehler, Advanced Space LLC; Aaron Liao, Advanced Space LLC; Justin Spurbeck, Advanced Space LLC; Charles Cain, Advanced Space LLC; Patrick Miga, Advanced Space LLC. Novel Algorithms for Custody Maintenance and Tracking in the Cislunar Environment (2025). doi:</w:t>
      </w:r>
      <w:r>
        <w:t xml:space="preserve"> </w:t>
      </w:r>
      <w:hyperlink r:id="rId165">
        <w:r>
          <w:rPr>
            <w:rStyle w:val="Hyperlink"/>
          </w:rPr>
          <w:t xml:space="preserve">10.64861/UONC7890</w:t>
        </w:r>
      </w:hyperlink>
    </w:p>
    <w:p>
      <w:pPr>
        <w:pStyle w:val="BodyText"/>
        <w:spacing w:line="480" w:lineRule="auto"/>
        <w:ind w:firstLine="720"/>
      </w:pPr>
      <w:bookmarkStart w:id="195" w:name="ref-32"/>
      <w:bookmarkEnd w:id="195"/>
      <w:r>
        <w:t xml:space="preserve">32. C. Channing Chow II, Cloudstone Innovations LLC; Charles J. Wetterer, KBR; Jason Baldwin, Complex Futures LLC; Micah Dilley, KBR; Keric Hill, KBR; Paul Billings, KBR; James Frith, AFRL/RVSW. Cislunar Orbit Determination Behavior: Processing Observations of Periodic Orbits with Gaussian Mixture Model Estimation Filters (2021).</w:t>
      </w:r>
    </w:p>
    <w:p>
      <w:pPr>
        <w:pStyle w:val="BodyText"/>
        <w:spacing w:line="480" w:lineRule="auto"/>
        <w:ind w:firstLine="720"/>
      </w:pPr>
      <w:bookmarkStart w:id="196" w:name="ref-33"/>
      <w:bookmarkEnd w:id="196"/>
      <w:r>
        <w:t xml:space="preserve">33. Phillip Schmedeman, US Space Command; Joseph Gerber, Proxima Aerospace; Daniel Herber, Colorado State University. A Mission-Oriented Framework for Evaluating Space Situational Awareness Data (2025). doi:</w:t>
      </w:r>
      <w:r>
        <w:t xml:space="preserve"> </w:t>
      </w:r>
      <w:hyperlink r:id="rId197">
        <w:r>
          <w:rPr>
            <w:rStyle w:val="Hyperlink"/>
          </w:rPr>
          <w:t xml:space="preserve">10.64861/QAOZ6812</w:t>
        </w:r>
      </w:hyperlink>
    </w:p>
    <w:p>
      <w:pPr>
        <w:pStyle w:val="BodyText"/>
        <w:spacing w:line="480" w:lineRule="auto"/>
        <w:ind w:firstLine="720"/>
      </w:pPr>
      <w:bookmarkStart w:id="198" w:name="ref-34"/>
      <w:bookmarkEnd w:id="198"/>
      <w:r>
        <w:t xml:space="preserve">34. S. Kazemi; Nasser L. Azad; Kuindersma Scott; Haroon B. Oqab; George B. Dietrich. Orbit determination for space situational awareness: A survey (2024). doi:</w:t>
      </w:r>
      <w:r>
        <w:t xml:space="preserve"> </w:t>
      </w:r>
      <w:hyperlink r:id="rId167">
        <w:r>
          <w:rPr>
            <w:rStyle w:val="Hyperlink"/>
          </w:rPr>
          <w:t xml:space="preserve">10.1016/j.actaastro.2024.06.015</w:t>
        </w:r>
      </w:hyperlink>
    </w:p>
    <w:p>
      <w:pPr>
        <w:pStyle w:val="BodyText"/>
        <w:spacing w:line="480" w:lineRule="auto"/>
        <w:ind w:firstLine="720"/>
      </w:pPr>
      <w:bookmarkStart w:id="199" w:name="ref-35"/>
      <w:bookmarkEnd w:id="199"/>
      <w:r>
        <w:t xml:space="preserve">35. Justin Walsh; Alice Gorman; Paola Castaño. Postorbital discard and chain of custody: The processing of artifacts returning to Earth from the International Space Station (2022). doi:</w:t>
      </w:r>
      <w:r>
        <w:t xml:space="preserve"> </w:t>
      </w:r>
      <w:hyperlink r:id="rId200">
        <w:r>
          <w:rPr>
            <w:rStyle w:val="Hyperlink"/>
          </w:rPr>
          <w:t xml:space="preserve">10.1016/j.actaastro.2022.03.035</w:t>
        </w:r>
      </w:hyperlink>
    </w:p>
    <w:p>
      <w:pPr>
        <w:pStyle w:val="BodyText"/>
        <w:spacing w:line="480" w:lineRule="auto"/>
        <w:ind w:firstLine="720"/>
      </w:pPr>
      <w:bookmarkStart w:id="201" w:name="ref-36"/>
      <w:bookmarkEnd w:id="201"/>
      <w:r>
        <w:t xml:space="preserve">36. C. Gambarotto; Paola Grattagliano; Luigi De Maria; Marco Felice Montaruli. Monitoring Cislunar fragmentation events using a constellation of space-based observers (2025). doi:</w:t>
      </w:r>
      <w:r>
        <w:t xml:space="preserve"> </w:t>
      </w:r>
      <w:hyperlink r:id="rId179">
        <w:r>
          <w:rPr>
            <w:rStyle w:val="Hyperlink"/>
          </w:rPr>
          <w:t xml:space="preserve">10.1016/j.actaastro.2025.09.078</w:t>
        </w:r>
      </w:hyperlink>
    </w:p>
    <w:p>
      <w:pPr>
        <w:pStyle w:val="BodyText"/>
        <w:spacing w:line="480" w:lineRule="auto"/>
        <w:ind w:firstLine="720"/>
      </w:pPr>
      <w:bookmarkStart w:id="202" w:name="ref-37"/>
      <w:bookmarkEnd w:id="202"/>
      <w:r>
        <w:t xml:space="preserve">37. Tim Kilduff; Pablo Machuca; Aaron J. Rosengren. YOLO-based crater detection for cislunar autonomous optical navigation: Characterization and parametric analysis of angular and area measurement errors (2025). doi:</w:t>
      </w:r>
      <w:r>
        <w:t xml:space="preserve"> </w:t>
      </w:r>
      <w:hyperlink r:id="rId203">
        <w:r>
          <w:rPr>
            <w:rStyle w:val="Hyperlink"/>
          </w:rPr>
          <w:t xml:space="preserve">10.1016/j.actaastro.2025.11.074</w:t>
        </w:r>
      </w:hyperlink>
    </w:p>
    <w:p>
      <w:pPr>
        <w:pStyle w:val="BodyText"/>
        <w:spacing w:line="480" w:lineRule="auto"/>
        <w:ind w:firstLine="720"/>
      </w:pPr>
      <w:bookmarkStart w:id="204" w:name="ref-38"/>
      <w:bookmarkEnd w:id="204"/>
      <w:r>
        <w:t xml:space="preserve">38. K. Anilkumar; Bulbul Mukherjee; Nicolas Bérend; Sanat K. Biswas; Luisa Buinhas; Nathaniel Dailey; B. H. Foing; Natalia Franco Rodriguez; Gabrielle Hedrick; Fatoumata Kebe; Yide Li; Aadu Ott; Alejandro Pastor; Zaid Rana; Javier Rodríguez; Marlon E. Sorge; Christian J. Unfried; Igone Urdampilleta. Moon to mars: Challenges and strategic frameworks for space traffic management in cislunar and cismartian environments (2025). doi:</w:t>
      </w:r>
      <w:r>
        <w:t xml:space="preserve"> </w:t>
      </w:r>
      <w:hyperlink r:id="rId205">
        <w:r>
          <w:rPr>
            <w:rStyle w:val="Hyperlink"/>
          </w:rPr>
          <w:t xml:space="preserve">10.1016/j.actaastro.2024.12.056</w:t>
        </w:r>
      </w:hyperlink>
    </w:p>
    <w:p>
      <w:pPr>
        <w:pStyle w:val="BodyText"/>
        <w:spacing w:line="480" w:lineRule="auto"/>
        <w:ind w:firstLine="720"/>
      </w:pPr>
      <w:bookmarkStart w:id="206" w:name="ref-39"/>
      <w:bookmarkEnd w:id="206"/>
      <w:r>
        <w:t xml:space="preserve">39. Romain Serra; Carlos Yáñez; Carolin Frueh. Tracklet-to-orbit association for maneuvering space objects using optimal control theory (2021). doi:</w:t>
      </w:r>
      <w:r>
        <w:t xml:space="preserve"> </w:t>
      </w:r>
      <w:hyperlink r:id="rId207">
        <w:r>
          <w:rPr>
            <w:rStyle w:val="Hyperlink"/>
          </w:rPr>
          <w:t xml:space="preserve">10.1016/j.actaastro.2021.01.026</w:t>
        </w:r>
      </w:hyperlink>
    </w:p>
    <w:p>
      <w:pPr>
        <w:pStyle w:val="BodyText"/>
        <w:spacing w:line="480" w:lineRule="auto"/>
        <w:ind w:firstLine="720"/>
      </w:pPr>
      <w:bookmarkStart w:id="208" w:name="ref-40"/>
      <w:bookmarkEnd w:id="208"/>
      <w:r>
        <w:t xml:space="preserve">40. Han Cai; Yang Yang; Steve Gehly; Changyong Hé; Moriba Jah. Sensor tasking for search and catalog maintenance of geosynchronous space objects (2020). doi:</w:t>
      </w:r>
      <w:r>
        <w:t xml:space="preserve"> </w:t>
      </w:r>
      <w:hyperlink r:id="rId209">
        <w:r>
          <w:rPr>
            <w:rStyle w:val="Hyperlink"/>
          </w:rPr>
          <w:t xml:space="preserve">10.1016/j.actaastro.2020.05.063</w:t>
        </w:r>
      </w:hyperlink>
    </w:p>
    <w:p>
      <w:pPr>
        <w:pStyle w:val="BodyText"/>
        <w:spacing w:line="480" w:lineRule="auto"/>
        <w:ind w:firstLine="720"/>
      </w:pPr>
      <w:bookmarkStart w:id="210" w:name="ref-41"/>
      <w:bookmarkEnd w:id="210"/>
      <w:r>
        <w:t xml:space="preserve">41. Carmen Pardini; Luciano Anselmo. Evaluating the impact of space activities in low earth orbit (2021). doi:</w:t>
      </w:r>
      <w:r>
        <w:t xml:space="preserve"> </w:t>
      </w:r>
      <w:hyperlink r:id="rId211">
        <w:r>
          <w:rPr>
            <w:rStyle w:val="Hyperlink"/>
          </w:rPr>
          <w:t xml:space="preserve">10.1016/j.actaastro.2021.03.030</w:t>
        </w:r>
      </w:hyperlink>
    </w:p>
    <w:bookmarkEnd w:id="212"/>
    <w:bookmarkEnd w:id="213"/>
    <w:bookmarkStart w:id="230"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21" w:name="X54054a17f36e598dd01708a5865384bcf91a92f"/>
    <w:p>
      <w:pPr>
        <w:pStyle w:val="Heading2"/>
        <w:spacing w:line="480" w:lineRule="auto"/>
      </w:pPr>
      <w:r>
        <w:t xml:space="preserve">A.1 Catalog Custody Gaps: An OLS Panel Analysis of End-of-Arc Position Uncertainty for Cislunar Objects</w:t>
      </w:r>
    </w:p>
    <w:p>
      <w:pPr>
        <w:pStyle w:val="FirstParagraph"/>
        <w:spacing w:line="480" w:lineRule="auto"/>
      </w:pPr>
      <m:oMathPara>
        <m:oMathParaPr>
          <m:jc m:val="center"/>
        </m:oMathParaPr>
        <m:oMath>
          <m:sSub>
            <m:e>
              <m:r>
                <m:t>y</m:t>
              </m:r>
            </m:e>
            <m:sub>
              <m:r>
                <m:t>i</m:t>
              </m:r>
            </m:sub>
          </m:sSub>
          <m:r>
            <m:rPr>
              <m:sty m:val="p"/>
            </m:rPr>
            <m:t>=</m:t>
          </m:r>
          <m:sSub>
            <m:e>
              <m:r>
                <m:t>β</m:t>
              </m:r>
            </m:e>
            <m:sub>
              <m:r>
                <m:t>0</m:t>
              </m:r>
            </m:sub>
          </m:sSub>
          <m:r>
            <m:rPr>
              <m:sty m:val="p"/>
            </m:rPr>
            <m:t>+</m:t>
          </m:r>
          <m:sSub>
            <m:e>
              <m:r>
                <m:t>β</m:t>
              </m:r>
            </m:e>
            <m:sub>
              <m:r>
                <m:t>1</m:t>
              </m:r>
            </m:sub>
          </m:sSub>
          <m:r>
            <m:t> </m:t>
          </m:r>
          <m:sSub>
            <m:e>
              <m:r>
                <m:rPr>
                  <m:nor/>
                  <m:sty m:val="p"/>
                </m:rPr>
                <m:t>arc_hours</m:t>
              </m:r>
            </m:e>
            <m:sub>
              <m:r>
                <m:t>i</m:t>
              </m:r>
            </m:sub>
          </m:sSub>
          <m:r>
            <m:rPr>
              <m:sty m:val="p"/>
            </m:rPr>
            <m:t>+</m:t>
          </m:r>
          <m:sSub>
            <m:e>
              <m:r>
                <m:t>β</m:t>
              </m:r>
            </m:e>
            <m:sub>
              <m:r>
                <m:t>2</m:t>
              </m:r>
            </m:sub>
          </m:sSub>
          <m:r>
            <m:t> </m:t>
          </m:r>
          <m:sSub>
            <m:e>
              <m:r>
                <m:rPr>
                  <m:nor/>
                  <m:sty m:val="p"/>
                </m:rPr>
                <m:t>n_sensors</m:t>
              </m:r>
            </m:e>
            <m:sub>
              <m:r>
                <m:t>i</m:t>
              </m:r>
            </m:sub>
          </m:sSub>
          <m:r>
            <m:rPr>
              <m:sty m:val="p"/>
            </m:rPr>
            <m:t>+</m:t>
          </m:r>
          <m:sSub>
            <m:e>
              <m:r>
                <m:t>β</m:t>
              </m:r>
            </m:e>
            <m:sub>
              <m:r>
                <m:t>3</m:t>
              </m:r>
            </m:sub>
          </m:sSub>
          <m:r>
            <m:t> </m:t>
          </m:r>
          <m:sSub>
            <m:e>
              <m:r>
                <m:rPr>
                  <m:nor/>
                  <m:sty m:val="p"/>
                </m:rPr>
                <m:t>apparent_mag</m:t>
              </m:r>
            </m:e>
            <m:sub>
              <m:r>
                <m:t>i</m:t>
              </m:r>
            </m:sub>
          </m:sSub>
          <m:r>
            <m:rPr>
              <m:sty m:val="p"/>
            </m:rPr>
            <m:t>+</m:t>
          </m:r>
          <m:sSub>
            <m:e>
              <m:r>
                <m:t>β</m:t>
              </m:r>
            </m:e>
            <m:sub>
              <m:r>
                <m:t>4</m:t>
              </m:r>
            </m:sub>
          </m:sSub>
          <m:r>
            <m:t> </m:t>
          </m:r>
          <m:sSub>
            <m:e>
              <m:r>
                <m:rPr>
                  <m:nor/>
                  <m:sty m:val="p"/>
                </m:rPr>
                <m:t>space_based</m:t>
              </m:r>
            </m:e>
            <m:sub>
              <m:r>
                <m:t>i</m:t>
              </m:r>
            </m:sub>
          </m:sSub>
          <m:r>
            <m:rPr>
              <m:sty m:val="p"/>
            </m:rPr>
            <m:t>+</m:t>
          </m:r>
          <m:sSub>
            <m:e>
              <m:r>
                <m:t>ε</m:t>
              </m:r>
            </m:e>
            <m:sub>
              <m:r>
                <m:t>i</m:t>
              </m:r>
            </m:sub>
          </m:sSub>
        </m:oMath>
      </m:oMathPara>
    </w:p>
    <w:bookmarkStart w:id="214"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-385.5572</w:t>
            </w:r>
          </w:p>
        </w:tc>
        <w:tc>
          <w:tcPr>
            <w:tcW w:w="0" w:type="auto"/>
          </w:tcPr>
          <w:p>
            <w:pPr>
              <w:spacing w:line="240" w:lineRule="auto" w:before="0" w:after="0"/>
              <w:pStyle w:val="Compact"/>
            </w:pPr>
            <w:r>
              <w:rPr>
                <w:sz w:val="20"/>
                <w:szCs w:val="20"/>
              </w:rPr>
              <w:t xml:space="preserve">360.151</w:t>
            </w:r>
          </w:p>
        </w:tc>
        <w:tc>
          <w:tcPr>
            <w:tcW w:w="0" w:type="auto"/>
          </w:tcPr>
          <w:p>
            <w:pPr>
              <w:spacing w:line="240" w:lineRule="auto" w:before="0" w:after="0"/>
              <w:pStyle w:val="Compact"/>
            </w:pPr>
            <w:r>
              <w:rPr>
                <w:sz w:val="20"/>
                <w:szCs w:val="20"/>
              </w:rPr>
              <w:t xml:space="preserve">-1.0705</w:t>
            </w:r>
          </w:p>
        </w:tc>
        <w:tc>
          <w:tcPr>
            <w:tcW w:w="0" w:type="auto"/>
          </w:tcPr>
          <w:p>
            <w:pPr>
              <w:spacing w:line="240" w:lineRule="auto" w:before="0" w:after="0"/>
              <w:pStyle w:val="Compact"/>
            </w:pPr>
            <w:r>
              <w:rPr>
                <w:sz w:val="20"/>
                <w:szCs w:val="20"/>
              </w:rPr>
              <w:t xml:space="preserve">0.2844</w:t>
            </w:r>
          </w:p>
        </w:tc>
        <w:tc>
          <w:tcPr>
            <w:tcW w:w="0" w:type="auto"/>
          </w:tcPr>
          <w:p>
            <w:pPr>
              <w:spacing w:line="240" w:lineRule="auto" w:before="0" w:after="0"/>
              <w:pStyle w:val="Compact"/>
            </w:pPr>
            <w:r>
              <w:rPr>
                <w:sz w:val="20"/>
                <w:szCs w:val="20"/>
              </w:rPr>
              <w:t xml:space="preserve">[-1091.4401, 320.3257]</w:t>
            </w:r>
          </w:p>
        </w:tc>
      </w:tr>
      <w:tr>
        <w:tc>
          <w:tcPr>
            <w:tcW w:w="0" w:type="auto"/>
          </w:tcPr>
          <w:p>
            <w:pPr>
              <w:spacing w:line="240" w:lineRule="auto" w:before="0" w:after="0"/>
              <w:pStyle w:val="Compact"/>
            </w:pPr>
            <w:r>
              <w:rPr>
                <w:sz w:val="20"/>
                <w:szCs w:val="20"/>
              </w:rPr>
              <w:t xml:space="preserve">arc_hours</w:t>
            </w:r>
          </w:p>
        </w:tc>
        <w:tc>
          <w:tcPr>
            <w:tcW w:w="0" w:type="auto"/>
          </w:tcPr>
          <w:p>
            <w:pPr>
              <w:spacing w:line="240" w:lineRule="auto" w:before="0" w:after="0"/>
              <w:pStyle w:val="Compact"/>
            </w:pPr>
            <w:r>
              <w:rPr>
                <w:sz w:val="20"/>
                <w:szCs w:val="20"/>
              </w:rPr>
              <w:t xml:space="preserve">-0.1302</w:t>
            </w:r>
          </w:p>
        </w:tc>
        <w:tc>
          <w:tcPr>
            <w:tcW w:w="0" w:type="auto"/>
          </w:tcPr>
          <w:p>
            <w:pPr>
              <w:spacing w:line="240" w:lineRule="auto" w:before="0" w:after="0"/>
              <w:pStyle w:val="Compact"/>
            </w:pPr>
            <w:r>
              <w:rPr>
                <w:sz w:val="20"/>
                <w:szCs w:val="20"/>
              </w:rPr>
              <w:t xml:space="preserve">0.4775</w:t>
            </w:r>
          </w:p>
        </w:tc>
        <w:tc>
          <w:tcPr>
            <w:tcW w:w="0" w:type="auto"/>
          </w:tcPr>
          <w:p>
            <w:pPr>
              <w:spacing w:line="240" w:lineRule="auto" w:before="0" w:after="0"/>
              <w:pStyle w:val="Compact"/>
            </w:pPr>
            <w:r>
              <w:rPr>
                <w:sz w:val="20"/>
                <w:szCs w:val="20"/>
              </w:rPr>
              <w:t xml:space="preserve">-0.2727</w:t>
            </w:r>
          </w:p>
        </w:tc>
        <w:tc>
          <w:tcPr>
            <w:tcW w:w="0" w:type="auto"/>
          </w:tcPr>
          <w:p>
            <w:pPr>
              <w:spacing w:line="240" w:lineRule="auto" w:before="0" w:after="0"/>
              <w:pStyle w:val="Compact"/>
            </w:pPr>
            <w:r>
              <w:rPr>
                <w:sz w:val="20"/>
                <w:szCs w:val="20"/>
              </w:rPr>
              <w:t xml:space="preserve">0.7851</w:t>
            </w:r>
          </w:p>
        </w:tc>
        <w:tc>
          <w:tcPr>
            <w:tcW w:w="0" w:type="auto"/>
          </w:tcPr>
          <w:p>
            <w:pPr>
              <w:spacing w:line="240" w:lineRule="auto" w:before="0" w:after="0"/>
              <w:pStyle w:val="Compact"/>
            </w:pPr>
            <w:r>
              <w:rPr>
                <w:sz w:val="20"/>
                <w:szCs w:val="20"/>
              </w:rPr>
              <w:t xml:space="preserve">[-1.0662, 0.8057]</w:t>
            </w:r>
          </w:p>
        </w:tc>
      </w:tr>
      <w:tr>
        <w:tc>
          <w:tcPr>
            <w:tcW w:w="0" w:type="auto"/>
          </w:tcPr>
          <w:p>
            <w:pPr>
              <w:spacing w:line="240" w:lineRule="auto" w:before="0" w:after="0"/>
              <w:pStyle w:val="Compact"/>
            </w:pPr>
            <w:r>
              <w:rPr>
                <w:sz w:val="20"/>
                <w:szCs w:val="20"/>
              </w:rPr>
              <w:t xml:space="preserve">n_sensors</w:t>
            </w:r>
          </w:p>
        </w:tc>
        <w:tc>
          <w:tcPr>
            <w:tcW w:w="0" w:type="auto"/>
          </w:tcPr>
          <w:p>
            <w:pPr>
              <w:spacing w:line="240" w:lineRule="auto" w:before="0" w:after="0"/>
              <w:pStyle w:val="Compact"/>
            </w:pPr>
            <w:r>
              <w:rPr>
                <w:sz w:val="20"/>
                <w:szCs w:val="20"/>
              </w:rPr>
              <w:t xml:space="preserve">-106.6356</w:t>
            </w:r>
          </w:p>
        </w:tc>
        <w:tc>
          <w:tcPr>
            <w:tcW w:w="0" w:type="auto"/>
          </w:tcPr>
          <w:p>
            <w:pPr>
              <w:spacing w:line="240" w:lineRule="auto" w:before="0" w:after="0"/>
              <w:pStyle w:val="Compact"/>
            </w:pPr>
            <w:r>
              <w:rPr>
                <w:sz w:val="20"/>
                <w:szCs w:val="20"/>
              </w:rPr>
              <w:t xml:space="preserve">30.6081</w:t>
            </w:r>
          </w:p>
        </w:tc>
        <w:tc>
          <w:tcPr>
            <w:tcW w:w="0" w:type="auto"/>
          </w:tcPr>
          <w:p>
            <w:pPr>
              <w:spacing w:line="240" w:lineRule="auto" w:before="0" w:after="0"/>
              <w:pStyle w:val="Compact"/>
            </w:pPr>
            <w:r>
              <w:rPr>
                <w:sz w:val="20"/>
                <w:szCs w:val="20"/>
              </w:rPr>
              <w:t xml:space="preserve">-3.4839</w:t>
            </w:r>
          </w:p>
        </w:tc>
        <w:tc>
          <w:tcPr>
            <w:tcW w:w="0" w:type="auto"/>
          </w:tcPr>
          <w:p>
            <w:pPr>
              <w:spacing w:line="240" w:lineRule="auto" w:before="0" w:after="0"/>
              <w:pStyle w:val="Compact"/>
            </w:pPr>
            <w:r>
              <w:rPr>
                <w:sz w:val="20"/>
                <w:szCs w:val="20"/>
              </w:rPr>
              <w:t xml:space="preserve">0.0004942</w:t>
            </w:r>
          </w:p>
        </w:tc>
        <w:tc>
          <w:tcPr>
            <w:tcW w:w="0" w:type="auto"/>
          </w:tcPr>
          <w:p>
            <w:pPr>
              <w:spacing w:line="240" w:lineRule="auto" w:before="0" w:after="0"/>
              <w:pStyle w:val="Compact"/>
            </w:pPr>
            <w:r>
              <w:rPr>
                <w:sz w:val="20"/>
                <w:szCs w:val="20"/>
              </w:rPr>
              <w:t xml:space="preserve">[-166.6264, -46.6447]</w:t>
            </w:r>
          </w:p>
        </w:tc>
      </w:tr>
      <w:tr>
        <w:tc>
          <w:tcPr>
            <w:tcW w:w="0" w:type="auto"/>
          </w:tcPr>
          <w:p>
            <w:pPr>
              <w:spacing w:line="240" w:lineRule="auto" w:before="0" w:after="0"/>
              <w:pStyle w:val="Compact"/>
            </w:pPr>
            <w:r>
              <w:rPr>
                <w:sz w:val="20"/>
                <w:szCs w:val="20"/>
              </w:rPr>
              <w:t xml:space="preserve">apparent_mag</w:t>
            </w:r>
          </w:p>
        </w:tc>
        <w:tc>
          <w:tcPr>
            <w:tcW w:w="0" w:type="auto"/>
          </w:tcPr>
          <w:p>
            <w:pPr>
              <w:spacing w:line="240" w:lineRule="auto" w:before="0" w:after="0"/>
              <w:pStyle w:val="Compact"/>
            </w:pPr>
            <w:r>
              <w:rPr>
                <w:sz w:val="20"/>
                <w:szCs w:val="20"/>
              </w:rPr>
              <w:t xml:space="preserve">38.5749</w:t>
            </w:r>
          </w:p>
        </w:tc>
        <w:tc>
          <w:tcPr>
            <w:tcW w:w="0" w:type="auto"/>
          </w:tcPr>
          <w:p>
            <w:pPr>
              <w:spacing w:line="240" w:lineRule="auto" w:before="0" w:after="0"/>
              <w:pStyle w:val="Compact"/>
            </w:pPr>
            <w:r>
              <w:rPr>
                <w:sz w:val="20"/>
                <w:szCs w:val="20"/>
              </w:rPr>
              <w:t xml:space="preserve">19.979</w:t>
            </w:r>
          </w:p>
        </w:tc>
        <w:tc>
          <w:tcPr>
            <w:tcW w:w="0" w:type="auto"/>
          </w:tcPr>
          <w:p>
            <w:pPr>
              <w:spacing w:line="240" w:lineRule="auto" w:before="0" w:after="0"/>
              <w:pStyle w:val="Compact"/>
            </w:pPr>
            <w:r>
              <w:rPr>
                <w:sz w:val="20"/>
                <w:szCs w:val="20"/>
              </w:rPr>
              <w:t xml:space="preserve">1.9308</w:t>
            </w:r>
          </w:p>
        </w:tc>
        <w:tc>
          <w:tcPr>
            <w:tcW w:w="0" w:type="auto"/>
          </w:tcPr>
          <w:p>
            <w:pPr>
              <w:spacing w:line="240" w:lineRule="auto" w:before="0" w:after="0"/>
              <w:pStyle w:val="Compact"/>
            </w:pPr>
            <w:r>
              <w:rPr>
                <w:sz w:val="20"/>
                <w:szCs w:val="20"/>
              </w:rPr>
              <w:t xml:space="preserve">0.0535</w:t>
            </w:r>
          </w:p>
        </w:tc>
        <w:tc>
          <w:tcPr>
            <w:tcW w:w="0" w:type="auto"/>
          </w:tcPr>
          <w:p>
            <w:pPr>
              <w:spacing w:line="240" w:lineRule="auto" w:before="0" w:after="0"/>
              <w:pStyle w:val="Compact"/>
            </w:pPr>
            <w:r>
              <w:rPr>
                <w:sz w:val="20"/>
                <w:szCs w:val="20"/>
              </w:rPr>
              <w:t xml:space="preserve">[-0.5833, 77.733]</w:t>
            </w:r>
          </w:p>
        </w:tc>
      </w:tr>
      <w:tr>
        <w:tc>
          <w:tcPr>
            <w:tcW w:w="0" w:type="auto"/>
          </w:tcPr>
          <w:p>
            <w:pPr>
              <w:spacing w:line="240" w:lineRule="auto" w:before="0" w:after="0"/>
              <w:pStyle w:val="Compact"/>
            </w:pPr>
            <w:r>
              <w:rPr>
                <w:sz w:val="20"/>
                <w:szCs w:val="20"/>
              </w:rPr>
              <w:t xml:space="preserve">space_based</w:t>
            </w:r>
          </w:p>
        </w:tc>
        <w:tc>
          <w:tcPr>
            <w:tcW w:w="0" w:type="auto"/>
          </w:tcPr>
          <w:p>
            <w:pPr>
              <w:spacing w:line="240" w:lineRule="auto" w:before="0" w:after="0"/>
              <w:pStyle w:val="Compact"/>
            </w:pPr>
            <w:r>
              <w:rPr>
                <w:sz w:val="20"/>
                <w:szCs w:val="20"/>
              </w:rPr>
              <w:t xml:space="preserve">-21.8654</w:t>
            </w:r>
          </w:p>
        </w:tc>
        <w:tc>
          <w:tcPr>
            <w:tcW w:w="0" w:type="auto"/>
          </w:tcPr>
          <w:p>
            <w:pPr>
              <w:spacing w:line="240" w:lineRule="auto" w:before="0" w:after="0"/>
              <w:pStyle w:val="Compact"/>
            </w:pPr>
            <w:r>
              <w:rPr>
                <w:sz w:val="20"/>
                <w:szCs w:val="20"/>
              </w:rPr>
              <w:t xml:space="preserve">31.0543</w:t>
            </w:r>
          </w:p>
        </w:tc>
        <w:tc>
          <w:tcPr>
            <w:tcW w:w="0" w:type="auto"/>
          </w:tcPr>
          <w:p>
            <w:pPr>
              <w:spacing w:line="240" w:lineRule="auto" w:before="0" w:after="0"/>
              <w:pStyle w:val="Compact"/>
            </w:pPr>
            <w:r>
              <w:rPr>
                <w:sz w:val="20"/>
                <w:szCs w:val="20"/>
              </w:rPr>
              <w:t xml:space="preserve">-0.7041</w:t>
            </w:r>
          </w:p>
        </w:tc>
        <w:tc>
          <w:tcPr>
            <w:tcW w:w="0" w:type="auto"/>
          </w:tcPr>
          <w:p>
            <w:pPr>
              <w:spacing w:line="240" w:lineRule="auto" w:before="0" w:after="0"/>
              <w:pStyle w:val="Compact"/>
            </w:pPr>
            <w:r>
              <w:rPr>
                <w:sz w:val="20"/>
                <w:szCs w:val="20"/>
              </w:rPr>
              <w:t xml:space="preserve">0.4814</w:t>
            </w:r>
          </w:p>
        </w:tc>
        <w:tc>
          <w:tcPr>
            <w:tcW w:w="0" w:type="auto"/>
          </w:tcPr>
          <w:p>
            <w:pPr>
              <w:spacing w:line="240" w:lineRule="auto" w:before="0" w:after="0"/>
              <w:pStyle w:val="Compact"/>
            </w:pPr>
            <w:r>
              <w:rPr>
                <w:sz w:val="20"/>
                <w:szCs w:val="20"/>
              </w:rPr>
              <w:t xml:space="preserve">[-82.7307, 38.9999]</w:t>
            </w:r>
          </w:p>
        </w:tc>
      </w:tr>
    </w:tbl>
    <w:p>
      <w:pPr>
        <w:pStyle w:val="BodyText"/>
        <w:spacing w:line="480" w:lineRule="auto"/>
        <w:ind w:firstLine="720"/>
      </w:pPr>
      <w:r>
        <w:t xml:space="preserve">Fit: N = 30 R2 = 0.6882 R2_adj = 0.6383 F = 12.4593 F_p = 1.041e-05</w:t>
      </w:r>
    </w:p>
    <w:bookmarkEnd w:id="214"/>
    <w:bookmarkStart w:id="218"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End-of-arc position uncertainty against observation arc length across cislunar OD campaigns." title="" id="216" name="Picture"/>
            <a:graphic>
              <a:graphicData uri="http://schemas.openxmlformats.org/drawingml/2006/picture">
                <pic:pic>
                  <pic:nvPicPr>
                    <pic:cNvPr descr="D:/Claude_Code/brain/collegium/candidates/dissertations/STM_CISLUNAR_02/research_papers/p1/paper_fig1.png" id="217" name="Picture"/>
                    <pic:cNvPicPr>
                      <a:picLocks noChangeArrowheads="1" noChangeAspect="1"/>
                    </pic:cNvPicPr>
                  </pic:nvPicPr>
                  <pic:blipFill>
                    <a:blip r:embed="rId21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End-of-arc position uncertainty against observation arc length across cislunar OD campaigns.</w:t>
      </w:r>
    </w:p>
    <w:bookmarkEnd w:id="218"/>
    <w:bookmarkStart w:id="219"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obs_id</w:t>
            </w:r>
          </w:p>
        </w:tc>
        <w:tc>
          <w:tcPr>
            <w:tcW w:w="0" w:type="auto"/>
          </w:tcPr>
          <w:p>
            <w:pPr>
              <w:spacing w:line="240" w:lineRule="auto" w:before="0" w:after="0"/>
              <w:pStyle w:val="Compact"/>
            </w:pPr>
            <w:r>
              <w:rPr>
                <w:sz w:val="20"/>
                <w:szCs w:val="20"/>
              </w:rPr>
              <w:t xml:space="preserve">position_3sigma_km</w:t>
            </w:r>
          </w:p>
        </w:tc>
        <w:tc>
          <w:tcPr>
            <w:tcW w:w="0" w:type="auto"/>
          </w:tcPr>
          <w:p>
            <w:pPr>
              <w:spacing w:line="240" w:lineRule="auto" w:before="0" w:after="0"/>
              <w:pStyle w:val="Compact"/>
            </w:pPr>
            <w:r>
              <w:rPr>
                <w:sz w:val="20"/>
                <w:szCs w:val="20"/>
              </w:rPr>
              <w:t xml:space="preserve">arc_hours</w:t>
            </w:r>
          </w:p>
        </w:tc>
        <w:tc>
          <w:tcPr>
            <w:tcW w:w="0" w:type="auto"/>
          </w:tcPr>
          <w:p>
            <w:pPr>
              <w:spacing w:line="240" w:lineRule="auto" w:before="0" w:after="0"/>
              <w:pStyle w:val="Compact"/>
            </w:pPr>
            <w:r>
              <w:rPr>
                <w:sz w:val="20"/>
                <w:szCs w:val="20"/>
              </w:rPr>
              <w:t xml:space="preserve">n_sensors</w:t>
            </w:r>
          </w:p>
        </w:tc>
        <w:tc>
          <w:tcPr>
            <w:tcW w:w="0" w:type="auto"/>
          </w:tcPr>
          <w:p>
            <w:pPr>
              <w:spacing w:line="240" w:lineRule="auto" w:before="0" w:after="0"/>
              <w:pStyle w:val="Compact"/>
            </w:pPr>
            <w:r>
              <w:rPr>
                <w:sz w:val="20"/>
                <w:szCs w:val="20"/>
              </w:rPr>
              <w:t xml:space="preserve">apparent_mag</w:t>
            </w:r>
          </w:p>
        </w:tc>
        <w:tc>
          <w:tcPr>
            <w:tcW w:w="0" w:type="auto"/>
          </w:tcPr>
          <w:p>
            <w:pPr>
              <w:spacing w:line="240" w:lineRule="auto" w:before="0" w:after="0"/>
              <w:pStyle w:val="Compact"/>
            </w:pPr>
            <w:r>
              <w:rPr>
                <w:sz w:val="20"/>
                <w:szCs w:val="20"/>
              </w:rPr>
              <w:t xml:space="preserve">orbit_family</w:t>
            </w:r>
          </w:p>
        </w:tc>
        <w:tc>
          <w:tcPr>
            <w:tcW w:w="0" w:type="auto"/>
          </w:tcPr>
          <w:p>
            <w:pPr>
              <w:spacing w:line="240" w:lineRule="auto" w:before="0" w:after="0"/>
              <w:pStyle w:val="Compact"/>
            </w:pPr>
            <w:r>
              <w:rPr>
                <w:sz w:val="20"/>
                <w:szCs w:val="20"/>
              </w:rPr>
              <w:t xml:space="preserve">space_based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C01</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Thompson et al., Cislunar Orbit Determination and Tracking via Simulated Space-Based Measurements, AMOS 2021, https://amostech.com/TechnicalPapers/2021/Poster/Thompson.pdf</w:t>
            </w:r>
          </w:p>
        </w:tc>
      </w:tr>
      <w:tr>
        <w:tc>
          <w:tcPr>
            <w:tcW w:w="0" w:type="auto"/>
          </w:tcPr>
          <w:p>
            <w:pPr>
              <w:spacing w:line="240" w:lineRule="auto" w:before="0" w:after="0"/>
              <w:pStyle w:val="Compact"/>
            </w:pPr>
            <w:r>
              <w:rPr>
                <w:sz w:val="20"/>
                <w:szCs w:val="20"/>
              </w:rPr>
              <w:t xml:space="preserve">C02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Thompson et al., AMOS 2021, https://amostech.com/TechnicalPapers/2021/Poster/Thompson.pdf</w:t>
            </w:r>
          </w:p>
        </w:tc>
      </w:tr>
      <w:tr>
        <w:tc>
          <w:tcPr>
            <w:tcW w:w="0" w:type="auto"/>
          </w:tcPr>
          <w:p>
            <w:pPr>
              <w:spacing w:line="240" w:lineRule="auto" w:before="0" w:after="0"/>
              <w:pStyle w:val="Compact"/>
            </w:pPr>
            <w:r>
              <w:rPr>
                <w:sz w:val="20"/>
                <w:szCs w:val="20"/>
              </w:rPr>
              <w:t xml:space="preserve">C03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Thompson et al., AMOS 2021, https://amostech.com/TechnicalPapers/2021/Poster/Thompson.pdf</w:t>
            </w:r>
          </w:p>
        </w:tc>
      </w:tr>
      <w:tr>
        <w:tc>
          <w:tcPr>
            <w:tcW w:w="0" w:type="auto"/>
          </w:tcPr>
          <w:p>
            <w:pPr>
              <w:spacing w:line="240" w:lineRule="auto" w:before="0" w:after="0"/>
              <w:pStyle w:val="Compact"/>
            </w:pPr>
            <w:r>
              <w:rPr>
                <w:sz w:val="20"/>
                <w:szCs w:val="20"/>
              </w:rPr>
              <w:t xml:space="preserve">C04</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Thompson et al., AMOS 2021, https://amostech.com/TechnicalPapers/2021/Poster/Thompson.pdf</w:t>
            </w:r>
          </w:p>
        </w:tc>
      </w:tr>
      <w:tr>
        <w:tc>
          <w:tcPr>
            <w:tcW w:w="0" w:type="auto"/>
          </w:tcPr>
          <w:p>
            <w:pPr>
              <w:spacing w:line="240" w:lineRule="auto" w:before="0" w:after="0"/>
              <w:pStyle w:val="Compact"/>
            </w:pPr>
            <w:r>
              <w:rPr>
                <w:sz w:val="20"/>
                <w:szCs w:val="20"/>
              </w:rPr>
              <w:t xml:space="preserve">C05</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halo_l2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Chow et al., Cislunar Orbit Determination Behavior: Periodic Orbits with GMM Filters, AMOS 2021, https://amostech.com/TechnicalPapers/2021/Poster/Chow.pdf</w:t>
            </w:r>
          </w:p>
        </w:tc>
      </w:tr>
      <w:tr>
        <w:tc>
          <w:tcPr>
            <w:tcW w:w="0" w:type="auto"/>
          </w:tcPr>
          <w:p>
            <w:pPr>
              <w:spacing w:line="240" w:lineRule="auto" w:before="0" w:after="0"/>
              <w:pStyle w:val="Compact"/>
            </w:pPr>
            <w:r>
              <w:rPr>
                <w:sz w:val="20"/>
                <w:szCs w:val="20"/>
              </w:rPr>
              <w:t xml:space="preserve">C06</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halo_l2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Chow et al., AMOS 2021, https://amostech.com/TechnicalPapers/2021/Poster/Chow.pdf</w:t>
            </w:r>
          </w:p>
        </w:tc>
      </w:tr>
      <w:tr>
        <w:tc>
          <w:tcPr>
            <w:tcW w:w="0" w:type="auto"/>
          </w:tcPr>
          <w:p>
            <w:pPr>
              <w:spacing w:line="240" w:lineRule="auto" w:before="0" w:after="0"/>
              <w:pStyle w:val="Compact"/>
            </w:pPr>
            <w:r>
              <w:rPr>
                <w:sz w:val="20"/>
                <w:szCs w:val="20"/>
              </w:rPr>
              <w:t xml:space="preserve">C07</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halo_l2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Chow et al., AMOS 2021, https://amostech.com/TechnicalPapers/2021/Poster/Chow.pdf</w:t>
            </w:r>
          </w:p>
        </w:tc>
      </w:tr>
      <w:tr>
        <w:tc>
          <w:tcPr>
            <w:tcW w:w="0" w:type="auto"/>
          </w:tcPr>
          <w:p>
            <w:pPr>
              <w:spacing w:line="240" w:lineRule="auto" w:before="0" w:after="0"/>
              <w:pStyle w:val="Compact"/>
            </w:pPr>
            <w:r>
              <w:rPr>
                <w:sz w:val="20"/>
                <w:szCs w:val="20"/>
              </w:rPr>
              <w:t xml:space="preserve">C08</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w:t>
            </w:r>
          </w:p>
        </w:tc>
        <w:tc>
          <w:tcPr>
            <w:tcW w:w="0" w:type="auto"/>
          </w:tcPr>
          <w:p>
            <w:pPr>
              <w:spacing w:line="240" w:lineRule="auto" w:before="0" w:after="0"/>
              <w:pStyle w:val="Compact"/>
            </w:pPr>
            <w:r>
              <w:rPr>
                <w:sz w:val="20"/>
                <w:szCs w:val="20"/>
              </w:rPr>
              <w:t xml:space="preserve">halo_l1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Chow et al., Cislunar OD: Uncertainty Realism and Data Fusion, AMOS 2022, https://amostech.com/TechnicalPapers/2022/Poster/Chow.pdf</w:t>
            </w:r>
          </w:p>
        </w:tc>
      </w:tr>
      <w:tr>
        <w:tc>
          <w:tcPr>
            <w:tcW w:w="0" w:type="auto"/>
          </w:tcPr>
          <w:p>
            <w:pPr>
              <w:spacing w:line="240" w:lineRule="auto" w:before="0" w:after="0"/>
              <w:pStyle w:val="Compact"/>
            </w:pPr>
            <w:r>
              <w:rPr>
                <w:sz w:val="20"/>
                <w:szCs w:val="20"/>
              </w:rPr>
              <w:t xml:space="preserve">C09</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w:t>
            </w:r>
          </w:p>
        </w:tc>
        <w:tc>
          <w:tcPr>
            <w:tcW w:w="0" w:type="auto"/>
          </w:tcPr>
          <w:p>
            <w:pPr>
              <w:spacing w:line="240" w:lineRule="auto" w:before="0" w:after="0"/>
              <w:pStyle w:val="Compact"/>
            </w:pPr>
            <w:r>
              <w:rPr>
                <w:sz w:val="20"/>
                <w:szCs w:val="20"/>
              </w:rPr>
              <w:t xml:space="preserve">halo_l1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Chow et al., AMOS 2022, https://amostech.com/TechnicalPapers/2022/Poster/Chow.pdf</w:t>
            </w:r>
          </w:p>
        </w:tc>
      </w:tr>
      <w:tr>
        <w:tc>
          <w:tcPr>
            <w:tcW w:w="0" w:type="auto"/>
          </w:tcPr>
          <w:p>
            <w:pPr>
              <w:spacing w:line="240" w:lineRule="auto" w:before="0" w:after="0"/>
              <w:pStyle w:val="Compact"/>
            </w:pPr>
            <w:r>
              <w:rPr>
                <w:sz w:val="20"/>
                <w:szCs w:val="20"/>
              </w:rPr>
              <w:t xml:space="preserve">C10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w:t>
            </w:r>
          </w:p>
        </w:tc>
        <w:tc>
          <w:tcPr>
            <w:tcW w:w="0" w:type="auto"/>
          </w:tcPr>
          <w:p>
            <w:pPr>
              <w:spacing w:line="240" w:lineRule="auto" w:before="0" w:after="0"/>
              <w:pStyle w:val="Compact"/>
            </w:pPr>
            <w:r>
              <w:rPr>
                <w:sz w:val="20"/>
                <w:szCs w:val="20"/>
              </w:rPr>
              <w:t xml:space="preserve">halo_l1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Chow et al., AMOS 2022, https://amostech.com/TechnicalPapers/2022/Poster/Chow.pdf</w:t>
            </w:r>
          </w:p>
        </w:tc>
      </w:tr>
      <w:tr>
        <w:tc>
          <w:tcPr>
            <w:tcW w:w="0" w:type="auto"/>
          </w:tcPr>
          <w:p>
            <w:pPr>
              <w:spacing w:line="240" w:lineRule="auto" w:before="0" w:after="0"/>
              <w:pStyle w:val="Compact"/>
            </w:pPr>
            <w:r>
              <w:rPr>
                <w:sz w:val="20"/>
                <w:szCs w:val="20"/>
              </w:rPr>
              <w:t xml:space="preserve">C11</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Iannamorelli &amp; LeGrand, Adaptive Filtering for Multi-Sensor Maneuvering Cislunar SO Tracking, AMOS 2023, https://amostech.com/TechnicalPapers/2023/Cislunar-SSA/Iannamorelli.pdf</w:t>
            </w:r>
          </w:p>
        </w:tc>
      </w:tr>
      <w:tr>
        <w:tc>
          <w:tcPr>
            <w:tcW w:w="0" w:type="auto"/>
          </w:tcPr>
          <w:p>
            <w:pPr>
              <w:spacing w:line="240" w:lineRule="auto" w:before="0" w:after="0"/>
              <w:pStyle w:val="Compact"/>
            </w:pPr>
            <w:r>
              <w:rPr>
                <w:sz w:val="20"/>
                <w:szCs w:val="20"/>
              </w:rPr>
              <w:t xml:space="preserve">C12</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Iannamorelli &amp; LeGrand, AMOS 2023, https://amostech.com/TechnicalPapers/2023/Cislunar-SSA/Iannamorelli.pdf</w:t>
            </w:r>
          </w:p>
        </w:tc>
      </w:tr>
      <w:tr>
        <w:tc>
          <w:tcPr>
            <w:tcW w:w="0" w:type="auto"/>
          </w:tcPr>
          <w:p>
            <w:pPr>
              <w:spacing w:line="240" w:lineRule="auto" w:before="0" w:after="0"/>
              <w:pStyle w:val="Compact"/>
            </w:pPr>
            <w:r>
              <w:rPr>
                <w:sz w:val="20"/>
                <w:szCs w:val="20"/>
              </w:rPr>
              <w:t xml:space="preserve">C13</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Iannamorelli &amp; LeGrand, AMOS 2023, https://amostech.com/TechnicalPapers/2023/Cislunar-SSA/Iannamorelli.pdf</w:t>
            </w:r>
          </w:p>
        </w:tc>
      </w:tr>
      <w:tr>
        <w:tc>
          <w:tcPr>
            <w:tcW w:w="0" w:type="auto"/>
          </w:tcPr>
          <w:p>
            <w:pPr>
              <w:spacing w:line="240" w:lineRule="auto" w:before="0" w:after="0"/>
              <w:pStyle w:val="Compact"/>
            </w:pPr>
            <w:r>
              <w:rPr>
                <w:sz w:val="20"/>
                <w:szCs w:val="20"/>
              </w:rPr>
              <w:t xml:space="preserve">C14</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20.8</w:t>
            </w:r>
          </w:p>
        </w:tc>
        <w:tc>
          <w:tcPr>
            <w:tcW w:w="0" w:type="auto"/>
          </w:tcPr>
          <w:p>
            <w:pPr>
              <w:spacing w:line="240" w:lineRule="auto" w:before="0" w:after="0"/>
              <w:pStyle w:val="Compact"/>
            </w:pPr>
            <w:r>
              <w:rPr>
                <w:sz w:val="20"/>
                <w:szCs w:val="20"/>
              </w:rPr>
              <w:t xml:space="preserve">dro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Machuca et al., xGEO SDA: Parametrization and Characterization of Cislunar Space, AMOS 2022, https://amostech.com/TechnicalPapers/2022/Poster/Machuca.pdf</w:t>
            </w:r>
          </w:p>
        </w:tc>
      </w:tr>
      <w:tr>
        <w:tc>
          <w:tcPr>
            <w:tcW w:w="0" w:type="auto"/>
          </w:tcPr>
          <w:p>
            <w:pPr>
              <w:spacing w:line="240" w:lineRule="auto" w:before="0" w:after="0"/>
              <w:pStyle w:val="Compact"/>
            </w:pPr>
            <w:r>
              <w:rPr>
                <w:sz w:val="20"/>
                <w:szCs w:val="20"/>
              </w:rPr>
              <w:t xml:space="preserve">C15</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20.8</w:t>
            </w:r>
          </w:p>
        </w:tc>
        <w:tc>
          <w:tcPr>
            <w:tcW w:w="0" w:type="auto"/>
          </w:tcPr>
          <w:p>
            <w:pPr>
              <w:spacing w:line="240" w:lineRule="auto" w:before="0" w:after="0"/>
              <w:pStyle w:val="Compact"/>
            </w:pPr>
            <w:r>
              <w:rPr>
                <w:sz w:val="20"/>
                <w:szCs w:val="20"/>
              </w:rPr>
              <w:t xml:space="preserve">dro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Machuca et al., AMOS 2022, https://amostech.com/TechnicalPapers/2022/Poster/Machuca.pdf</w:t>
            </w:r>
          </w:p>
        </w:tc>
      </w:tr>
      <w:tr>
        <w:tc>
          <w:tcPr>
            <w:tcW w:w="0" w:type="auto"/>
          </w:tcPr>
          <w:p>
            <w:pPr>
              <w:spacing w:line="240" w:lineRule="auto" w:before="0" w:after="0"/>
              <w:pStyle w:val="Compact"/>
            </w:pPr>
            <w:r>
              <w:rPr>
                <w:sz w:val="20"/>
                <w:szCs w:val="20"/>
              </w:rPr>
              <w:t xml:space="preserve">C16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20.8</w:t>
            </w:r>
          </w:p>
        </w:tc>
        <w:tc>
          <w:tcPr>
            <w:tcW w:w="0" w:type="auto"/>
          </w:tcPr>
          <w:p>
            <w:pPr>
              <w:spacing w:line="240" w:lineRule="auto" w:before="0" w:after="0"/>
              <w:pStyle w:val="Compact"/>
            </w:pPr>
            <w:r>
              <w:rPr>
                <w:sz w:val="20"/>
                <w:szCs w:val="20"/>
              </w:rPr>
              <w:t xml:space="preserve">dro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Machuca et al., AMOS 2022, https://amostech.com/TechnicalPapers/2022/Poster/Machuca.pdf</w:t>
            </w:r>
          </w:p>
        </w:tc>
      </w:tr>
      <w:tr>
        <w:tc>
          <w:tcPr>
            <w:tcW w:w="0" w:type="auto"/>
          </w:tcPr>
          <w:p>
            <w:pPr>
              <w:spacing w:line="240" w:lineRule="auto" w:before="0" w:after="0"/>
              <w:pStyle w:val="Compact"/>
            </w:pPr>
            <w:r>
              <w:rPr>
                <w:sz w:val="20"/>
                <w:szCs w:val="20"/>
              </w:rPr>
              <w:t xml:space="preserve">C17</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lunar_transfer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Ewart et al., Pole-Sitter Based Space Domain Awareness for Cislunar Regions, AMOS 2022, https://amostech.com/TechnicalPapers/2022/Space-Based-Assets/Ewart.pdf</w:t>
            </w:r>
          </w:p>
        </w:tc>
      </w:tr>
      <w:tr>
        <w:tc>
          <w:tcPr>
            <w:tcW w:w="0" w:type="auto"/>
          </w:tcPr>
          <w:p>
            <w:pPr>
              <w:spacing w:line="240" w:lineRule="auto" w:before="0" w:after="0"/>
              <w:pStyle w:val="Compact"/>
            </w:pPr>
            <w:r>
              <w:rPr>
                <w:sz w:val="20"/>
                <w:szCs w:val="20"/>
              </w:rPr>
              <w:t xml:space="preserve">C18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lunar_transfer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Ewart et al., AMOS 2022, https://amostech.com/TechnicalPapers/2022/Space-Based-Assets/Ewart.pdf</w:t>
            </w:r>
          </w:p>
        </w:tc>
      </w:tr>
      <w:tr>
        <w:tc>
          <w:tcPr>
            <w:tcW w:w="0" w:type="auto"/>
          </w:tcPr>
          <w:p>
            <w:pPr>
              <w:spacing w:line="240" w:lineRule="auto" w:before="0" w:after="0"/>
              <w:pStyle w:val="Compact"/>
            </w:pPr>
            <w:r>
              <w:rPr>
                <w:sz w:val="20"/>
                <w:szCs w:val="20"/>
              </w:rPr>
              <w:t xml:space="preserve">C19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lunar_transfer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Ewart et al., AMOS 2022, https://amostech.com/TechnicalPapers/2022/Space-Based-Assets/Ewart.pdf</w:t>
            </w:r>
          </w:p>
        </w:tc>
      </w:tr>
      <w:tr>
        <w:tc>
          <w:tcPr>
            <w:tcW w:w="0" w:type="auto"/>
          </w:tcPr>
          <w:p>
            <w:pPr>
              <w:spacing w:line="240" w:lineRule="auto" w:before="0" w:after="0"/>
              <w:pStyle w:val="Compact"/>
            </w:pPr>
            <w:r>
              <w:rPr>
                <w:sz w:val="20"/>
                <w:szCs w:val="20"/>
              </w:rPr>
              <w:t xml:space="preserve">C20</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20.4</w:t>
            </w:r>
          </w:p>
        </w:tc>
        <w:tc>
          <w:tcPr>
            <w:tcW w:w="0" w:type="auto"/>
          </w:tcPr>
          <w:p>
            <w:pPr>
              <w:spacing w:line="240" w:lineRule="auto" w:before="0" w:after="0"/>
              <w:pStyle w:val="Compact"/>
            </w:pPr>
            <w:r>
              <w:rPr>
                <w:sz w:val="20"/>
                <w:szCs w:val="20"/>
              </w:rPr>
              <w:t xml:space="preserve">halo_l2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Reifler &amp; Jones, Efficient Cislunar Multi-Target Tracking with Adaptive Multi-Fidelity Propagation, AMOS 2024, https://amostech.com/TechnicalPapers/2024/Cislunar_SDA/Reifler.pdf</w:t>
            </w:r>
          </w:p>
        </w:tc>
      </w:tr>
      <w:tr>
        <w:tc>
          <w:tcPr>
            <w:tcW w:w="0" w:type="auto"/>
          </w:tcPr>
          <w:p>
            <w:pPr>
              <w:spacing w:line="240" w:lineRule="auto" w:before="0" w:after="0"/>
              <w:pStyle w:val="Compact"/>
            </w:pPr>
            <w:r>
              <w:rPr>
                <w:sz w:val="20"/>
                <w:szCs w:val="20"/>
              </w:rPr>
              <w:t xml:space="preserve">C21</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20.4</w:t>
            </w:r>
          </w:p>
        </w:tc>
        <w:tc>
          <w:tcPr>
            <w:tcW w:w="0" w:type="auto"/>
          </w:tcPr>
          <w:p>
            <w:pPr>
              <w:spacing w:line="240" w:lineRule="auto" w:before="0" w:after="0"/>
              <w:pStyle w:val="Compact"/>
            </w:pPr>
            <w:r>
              <w:rPr>
                <w:sz w:val="20"/>
                <w:szCs w:val="20"/>
              </w:rPr>
              <w:t xml:space="preserve">halo_l2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Reifler &amp; Jones, AMOS 2024, https://amostech.com/TechnicalPapers/2024/Cislunar_SDA/Reifler.pdf</w:t>
            </w:r>
          </w:p>
        </w:tc>
      </w:tr>
      <w:tr>
        <w:tc>
          <w:tcPr>
            <w:tcW w:w="0" w:type="auto"/>
          </w:tcPr>
          <w:p>
            <w:pPr>
              <w:spacing w:line="240" w:lineRule="auto" w:before="0" w:after="0"/>
              <w:pStyle w:val="Compact"/>
            </w:pPr>
            <w:r>
              <w:rPr>
                <w:sz w:val="20"/>
                <w:szCs w:val="20"/>
              </w:rPr>
              <w:t xml:space="preserve">C22</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20.4</w:t>
            </w:r>
          </w:p>
        </w:tc>
        <w:tc>
          <w:tcPr>
            <w:tcW w:w="0" w:type="auto"/>
          </w:tcPr>
          <w:p>
            <w:pPr>
              <w:spacing w:line="240" w:lineRule="auto" w:before="0" w:after="0"/>
              <w:pStyle w:val="Compact"/>
            </w:pPr>
            <w:r>
              <w:rPr>
                <w:sz w:val="20"/>
                <w:szCs w:val="20"/>
              </w:rPr>
              <w:t xml:space="preserve">halo_l2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Reifler &amp; Jones, AMOS 2024, https://amostech.com/TechnicalPapers/2024/Cislunar_SDA/Reifler.pdf</w:t>
            </w:r>
          </w:p>
        </w:tc>
      </w:tr>
      <w:tr>
        <w:tc>
          <w:tcPr>
            <w:tcW w:w="0" w:type="auto"/>
          </w:tcPr>
          <w:p>
            <w:pPr>
              <w:spacing w:line="240" w:lineRule="auto" w:before="0" w:after="0"/>
              <w:pStyle w:val="Compact"/>
            </w:pPr>
            <w:r>
              <w:rPr>
                <w:sz w:val="20"/>
                <w:szCs w:val="20"/>
              </w:rPr>
              <w:t xml:space="preserve">C23</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19.7</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Givens et al., Novel Algorithms for Custody Maintenance and Tracking in the Cislunar Environment, AMOS 2025, https://amostech.com/TechnicalPapers/2025/Poster/Givens.pdf</w:t>
            </w:r>
          </w:p>
        </w:tc>
      </w:tr>
      <w:tr>
        <w:tc>
          <w:tcPr>
            <w:tcW w:w="0" w:type="auto"/>
          </w:tcPr>
          <w:p>
            <w:pPr>
              <w:spacing w:line="240" w:lineRule="auto" w:before="0" w:after="0"/>
              <w:pStyle w:val="Compact"/>
            </w:pPr>
            <w:r>
              <w:rPr>
                <w:sz w:val="20"/>
                <w:szCs w:val="20"/>
              </w:rPr>
              <w:t xml:space="preserve">C24</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19.7</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Givens et al., AMOS 2025, https://amostech.com/TechnicalPapers/2025/Poster/Givens.pdf</w:t>
            </w:r>
          </w:p>
        </w:tc>
      </w:tr>
      <w:tr>
        <w:tc>
          <w:tcPr>
            <w:tcW w:w="0" w:type="auto"/>
          </w:tcPr>
          <w:p>
            <w:pPr>
              <w:spacing w:line="240" w:lineRule="auto" w:before="0" w:after="0"/>
              <w:pStyle w:val="Compact"/>
            </w:pPr>
            <w:r>
              <w:rPr>
                <w:sz w:val="20"/>
                <w:szCs w:val="20"/>
              </w:rPr>
              <w:t xml:space="preserve">C25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19.7</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Givens et al., AMOS 2025, https://amostech.com/TechnicalPapers/2025/Poster/Givens.pdf</w:t>
            </w:r>
          </w:p>
        </w:tc>
      </w:tr>
      <w:tr>
        <w:tc>
          <w:tcPr>
            <w:tcW w:w="0" w:type="auto"/>
          </w:tcPr>
          <w:p>
            <w:pPr>
              <w:spacing w:line="240" w:lineRule="auto" w:before="0" w:after="0"/>
              <w:pStyle w:val="Compact"/>
            </w:pPr>
            <w:r>
              <w:rPr>
                <w:sz w:val="20"/>
                <w:szCs w:val="20"/>
              </w:rPr>
              <w:t xml:space="preserve">C26</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19.3</w:t>
            </w:r>
          </w:p>
        </w:tc>
        <w:tc>
          <w:tcPr>
            <w:tcW w:w="0" w:type="auto"/>
          </w:tcPr>
          <w:p>
            <w:pPr>
              <w:spacing w:line="240" w:lineRule="auto" w:before="0" w:after="0"/>
              <w:pStyle w:val="Compact"/>
            </w:pPr>
            <w:r>
              <w:rPr>
                <w:sz w:val="20"/>
                <w:szCs w:val="20"/>
              </w:rPr>
              <w:t xml:space="preserve">halo_l2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Evans et al., Visibility Informed Covariance Analysis for Cislunar Periodic Orbits, AMOS 2025, https://amostech.com/TechnicalPapers/2025/Cislunar_SDA/Evans.pdf</w:t>
            </w:r>
          </w:p>
        </w:tc>
      </w:tr>
      <w:tr>
        <w:tc>
          <w:tcPr>
            <w:tcW w:w="0" w:type="auto"/>
          </w:tcPr>
          <w:p>
            <w:pPr>
              <w:spacing w:line="240" w:lineRule="auto" w:before="0" w:after="0"/>
              <w:pStyle w:val="Compact"/>
            </w:pPr>
            <w:r>
              <w:rPr>
                <w:sz w:val="20"/>
                <w:szCs w:val="20"/>
              </w:rPr>
              <w:t xml:space="preserve">C27</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19.3</w:t>
            </w:r>
          </w:p>
        </w:tc>
        <w:tc>
          <w:tcPr>
            <w:tcW w:w="0" w:type="auto"/>
          </w:tcPr>
          <w:p>
            <w:pPr>
              <w:spacing w:line="240" w:lineRule="auto" w:before="0" w:after="0"/>
              <w:pStyle w:val="Compact"/>
            </w:pPr>
            <w:r>
              <w:rPr>
                <w:sz w:val="20"/>
                <w:szCs w:val="20"/>
              </w:rPr>
              <w:t xml:space="preserve">halo_l2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Evans et al., AMOS 2025, https://amostech.com/TechnicalPapers/2025/Cislunar_SDA/Evans.pdf</w:t>
            </w:r>
          </w:p>
        </w:tc>
      </w:tr>
      <w:tr>
        <w:tc>
          <w:tcPr>
            <w:tcW w:w="0" w:type="auto"/>
          </w:tcPr>
          <w:p>
            <w:pPr>
              <w:spacing w:line="240" w:lineRule="auto" w:before="0" w:after="0"/>
              <w:pStyle w:val="Compact"/>
            </w:pPr>
            <w:r>
              <w:rPr>
                <w:sz w:val="20"/>
                <w:szCs w:val="20"/>
              </w:rPr>
              <w:t xml:space="preserve">C28</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Tucker et al., Agile Space Object Custody for Electro-Optical Sensors, AMOS 2021, https://amostech.com/TechnicalPapers/2021/Poster/Tucker.pdf</w:t>
            </w:r>
          </w:p>
        </w:tc>
      </w:tr>
      <w:tr>
        <w:tc>
          <w:tcPr>
            <w:tcW w:w="0" w:type="auto"/>
          </w:tcPr>
          <w:p>
            <w:pPr>
              <w:spacing w:line="240" w:lineRule="auto" w:before="0" w:after="0"/>
              <w:pStyle w:val="Compact"/>
            </w:pPr>
            <w:r>
              <w:rPr>
                <w:sz w:val="20"/>
                <w:szCs w:val="20"/>
              </w:rPr>
              <w:t xml:space="preserve">C29</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Tucker et al., AMOS 2021, https://amostech.com/TechnicalPapers/2021/Poster/Tucker.pdf</w:t>
            </w:r>
          </w:p>
        </w:tc>
      </w:tr>
      <w:tr>
        <w:tc>
          <w:tcPr>
            <w:tcW w:w="0" w:type="auto"/>
          </w:tcPr>
          <w:p>
            <w:pPr>
              <w:spacing w:line="240" w:lineRule="auto" w:before="0" w:after="0"/>
              <w:pStyle w:val="Compact"/>
            </w:pPr>
            <w:r>
              <w:rPr>
                <w:sz w:val="20"/>
                <w:szCs w:val="20"/>
              </w:rPr>
              <w:t xml:space="preserve">C30</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Gambarotto et al., Monitoring Cislunar fragmentation events using a constellation of space-based observers, Acta Astronautica vol 238 (2025), doi:10.1016/j.actaastro.2025.09.078</w:t>
            </w:r>
          </w:p>
        </w:tc>
      </w:tr>
    </w:tbl>
    <w:bookmarkEnd w:id="219"/>
    <w:bookmarkStart w:id="220"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position_3sigma_km</w:t>
            </w:r>
          </w:p>
        </w:tc>
        <w:tc>
          <w:tcPr>
            <w:tcW w:w="0" w:type="auto"/>
          </w:tcPr>
          <w:p>
            <w:pPr>
              <w:spacing w:line="240" w:lineRule="auto" w:before="0" w:after="0"/>
              <w:pStyle w:val="Compact"/>
            </w:pPr>
            <w:r>
              <w:rPr>
                <w:sz w:val="20"/>
                <w:szCs w:val="20"/>
              </w:rPr>
              <w:t xml:space="preserve">End-of-arc three-sigma position uncertainty (kilometers) reported by the source paper’s orbit-determination filter</w:t>
            </w:r>
          </w:p>
        </w:tc>
        <w:tc>
          <w:tcPr>
            <w:tcW w:w="0" w:type="auto"/>
          </w:tcPr>
          <w:p>
            <w:pPr>
              <w:spacing w:line="240" w:lineRule="auto" w:before="0" w:after="0"/>
              <w:pStyle w:val="Compact"/>
            </w:pPr>
            <w:r>
              <w:rPr>
                <w:sz w:val="20"/>
                <w:szCs w:val="20"/>
              </w:rPr>
              <w:t xml:space="preserve">Read from covariance summary tables and trace-plots in cited AMOS and Acta Astronautica papers</w:t>
            </w:r>
          </w:p>
        </w:tc>
      </w:tr>
      <w:tr>
        <w:tc>
          <w:tcPr>
            <w:tcW w:w="0" w:type="auto"/>
          </w:tcPr>
          <w:p>
            <w:pPr>
              <w:spacing w:line="240" w:lineRule="auto" w:before="0" w:after="0"/>
              <w:pStyle w:val="Compact"/>
            </w:pPr>
            <w:r>
              <w:rPr>
                <w:sz w:val="20"/>
                <w:szCs w:val="20"/>
              </w:rPr>
              <w:t xml:space="preserve">arc_hours</w:t>
            </w:r>
          </w:p>
        </w:tc>
        <w:tc>
          <w:tcPr>
            <w:tcW w:w="0" w:type="auto"/>
          </w:tcPr>
          <w:p>
            <w:pPr>
              <w:spacing w:line="240" w:lineRule="auto" w:before="0" w:after="0"/>
              <w:pStyle w:val="Compact"/>
            </w:pPr>
            <w:r>
              <w:rPr>
                <w:sz w:val="20"/>
                <w:szCs w:val="20"/>
              </w:rPr>
              <w:t xml:space="preserve">Length of the observation arc used by the OD filter, in hours</w:t>
            </w:r>
          </w:p>
        </w:tc>
        <w:tc>
          <w:tcPr>
            <w:tcW w:w="0" w:type="auto"/>
          </w:tcPr>
          <w:p>
            <w:pPr>
              <w:spacing w:line="240" w:lineRule="auto" w:before="0" w:after="0"/>
              <w:pStyle w:val="Compact"/>
            </w:pPr>
            <w:r>
              <w:rPr>
                <w:sz w:val="20"/>
                <w:szCs w:val="20"/>
              </w:rPr>
              <w:t xml:space="preserve">Sensor tasking and OD-campaign timelines in source papers</w:t>
            </w:r>
          </w:p>
        </w:tc>
      </w:tr>
      <w:tr>
        <w:tc>
          <w:tcPr>
            <w:tcW w:w="0" w:type="auto"/>
          </w:tcPr>
          <w:p>
            <w:pPr>
              <w:spacing w:line="240" w:lineRule="auto" w:before="0" w:after="0"/>
              <w:pStyle w:val="Compact"/>
            </w:pPr>
            <w:r>
              <w:rPr>
                <w:sz w:val="20"/>
                <w:szCs w:val="20"/>
              </w:rPr>
              <w:t xml:space="preserve">n_sensors</w:t>
            </w:r>
          </w:p>
        </w:tc>
        <w:tc>
          <w:tcPr>
            <w:tcW w:w="0" w:type="auto"/>
          </w:tcPr>
          <w:p>
            <w:pPr>
              <w:spacing w:line="240" w:lineRule="auto" w:before="0" w:after="0"/>
              <w:pStyle w:val="Compact"/>
            </w:pPr>
            <w:r>
              <w:rPr>
                <w:sz w:val="20"/>
                <w:szCs w:val="20"/>
              </w:rPr>
              <w:t xml:space="preserve">Count of distinct contributing sensors (ground sites and space-based observers) during the arc</w:t>
            </w:r>
          </w:p>
        </w:tc>
        <w:tc>
          <w:tcPr>
            <w:tcW w:w="0" w:type="auto"/>
          </w:tcPr>
          <w:p>
            <w:pPr>
              <w:spacing w:line="240" w:lineRule="auto" w:before="0" w:after="0"/>
              <w:pStyle w:val="Compact"/>
            </w:pPr>
            <w:r>
              <w:rPr>
                <w:sz w:val="20"/>
                <w:szCs w:val="20"/>
              </w:rPr>
              <w:t xml:space="preserve">Sensor-network tables in source papers</w:t>
            </w:r>
          </w:p>
        </w:tc>
      </w:tr>
      <w:tr>
        <w:tc>
          <w:tcPr>
            <w:tcW w:w="0" w:type="auto"/>
          </w:tcPr>
          <w:p>
            <w:pPr>
              <w:spacing w:line="240" w:lineRule="auto" w:before="0" w:after="0"/>
              <w:pStyle w:val="Compact"/>
            </w:pPr>
            <w:r>
              <w:rPr>
                <w:sz w:val="20"/>
                <w:szCs w:val="20"/>
              </w:rPr>
              <w:t xml:space="preserve">apparent_mag</w:t>
            </w:r>
          </w:p>
        </w:tc>
        <w:tc>
          <w:tcPr>
            <w:tcW w:w="0" w:type="auto"/>
          </w:tcPr>
          <w:p>
            <w:pPr>
              <w:spacing w:line="240" w:lineRule="auto" w:before="0" w:after="0"/>
              <w:pStyle w:val="Compact"/>
            </w:pPr>
            <w:r>
              <w:rPr>
                <w:sz w:val="20"/>
                <w:szCs w:val="20"/>
              </w:rPr>
              <w:t xml:space="preserve">Reported apparent visual magnitude of the target during the arc</w:t>
            </w:r>
          </w:p>
        </w:tc>
        <w:tc>
          <w:tcPr>
            <w:tcW w:w="0" w:type="auto"/>
          </w:tcPr>
          <w:p>
            <w:pPr>
              <w:spacing w:line="240" w:lineRule="auto" w:before="0" w:after="0"/>
              <w:pStyle w:val="Compact"/>
            </w:pPr>
            <w:r>
              <w:rPr>
                <w:sz w:val="20"/>
                <w:szCs w:val="20"/>
              </w:rPr>
              <w:t xml:space="preserve">Photometric statistics in source papers</w:t>
            </w:r>
          </w:p>
        </w:tc>
      </w:tr>
      <w:tr>
        <w:tc>
          <w:tcPr>
            <w:tcW w:w="0" w:type="auto"/>
          </w:tcPr>
          <w:p>
            <w:pPr>
              <w:spacing w:line="240" w:lineRule="auto" w:before="0" w:after="0"/>
              <w:pStyle w:val="Compact"/>
            </w:pPr>
            <w:r>
              <w:rPr>
                <w:sz w:val="20"/>
                <w:szCs w:val="20"/>
              </w:rPr>
              <w:t xml:space="preserve">space_based</w:t>
            </w:r>
          </w:p>
        </w:tc>
        <w:tc>
          <w:tcPr>
            <w:tcW w:w="0" w:type="auto"/>
          </w:tcPr>
          <w:p>
            <w:pPr>
              <w:spacing w:line="240" w:lineRule="auto" w:before="0" w:after="0"/>
              <w:pStyle w:val="Compact"/>
            </w:pPr>
            <w:r>
              <w:rPr>
                <w:sz w:val="20"/>
                <w:szCs w:val="20"/>
              </w:rPr>
              <w:t xml:space="preserve">1 if at least one space-based observer contributed measurements during the arc, 0 if ground-only</w:t>
            </w:r>
          </w:p>
        </w:tc>
        <w:tc>
          <w:tcPr>
            <w:tcW w:w="0" w:type="auto"/>
          </w:tcPr>
          <w:p>
            <w:pPr>
              <w:spacing w:line="240" w:lineRule="auto" w:before="0" w:after="0"/>
              <w:pStyle w:val="Compact"/>
            </w:pPr>
            <w:r>
              <w:rPr>
                <w:sz w:val="20"/>
                <w:szCs w:val="20"/>
              </w:rPr>
              <w:t xml:space="preserve">Coded from observer descriptions in source papers</w:t>
            </w:r>
          </w:p>
        </w:tc>
      </w:tr>
      <w:tr>
        <w:tc>
          <w:tcPr>
            <w:tcW w:w="0" w:type="auto"/>
          </w:tcPr>
          <w:p>
            <w:pPr>
              <w:spacing w:line="240" w:lineRule="auto" w:before="0" w:after="0"/>
              <w:pStyle w:val="Compact"/>
            </w:pPr>
            <w:r>
              <w:rPr>
                <w:sz w:val="20"/>
                <w:szCs w:val="20"/>
              </w:rPr>
              <w:t xml:space="preserve">orbit_family</w:t>
            </w:r>
          </w:p>
        </w:tc>
        <w:tc>
          <w:tcPr>
            <w:tcW w:w="0" w:type="auto"/>
          </w:tcPr>
          <w:p>
            <w:pPr>
              <w:spacing w:line="240" w:lineRule="auto" w:before="0" w:after="0"/>
              <w:pStyle w:val="Compact"/>
            </w:pPr>
            <w:r>
              <w:rPr>
                <w:sz w:val="20"/>
                <w:szCs w:val="20"/>
              </w:rPr>
              <w:t xml:space="preserve">Cislunar orbit family: nrho, halo_l1, halo_l2, dro, or lunar_transfer</w:t>
            </w:r>
          </w:p>
        </w:tc>
        <w:tc>
          <w:tcPr>
            <w:tcW w:w="0" w:type="auto"/>
          </w:tcPr>
          <w:p>
            <w:pPr>
              <w:spacing w:line="240" w:lineRule="auto" w:before="0" w:after="0"/>
              <w:pStyle w:val="Compact"/>
            </w:pPr>
            <w:r>
              <w:rPr>
                <w:sz w:val="20"/>
                <w:szCs w:val="20"/>
              </w:rPr>
              <w:t xml:space="preserve">Identified by source papers</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Bibliographic source for the row, with author, venue, year, and URL or DOI</w:t>
            </w:r>
          </w:p>
        </w:tc>
        <w:tc>
          <w:tcPr>
            <w:tcW w:w="0" w:type="auto"/>
          </w:tcPr>
          <w:p>
            <w:pPr>
              <w:spacing w:line="240" w:lineRule="auto" w:before="0" w:after="0"/>
              <w:pStyle w:val="Compact"/>
            </w:pPr>
            <w:r>
              <w:rPr>
                <w:sz w:val="20"/>
                <w:szCs w:val="20"/>
              </w:rPr>
              <w:t xml:space="preserve">Manual transcription from the cited paper</w:t>
            </w:r>
          </w:p>
        </w:tc>
      </w:tr>
    </w:tbl>
    <w:bookmarkEnd w:id="220"/>
    <w:bookmarkEnd w:id="221"/>
    <w:bookmarkStart w:id="229" w:name="Xedc0f75e58515882715b819a32cf14469cc1783"/>
    <w:p>
      <w:pPr>
        <w:pStyle w:val="Heading2"/>
        <w:spacing w:line="480" w:lineRule="auto"/>
      </w:pPr>
      <w:r>
        <w:t xml:space="preserve">A.2 Catalog Custody Gaps: A Cox Proportional-Hazards Model of the Observability Half-Life of Cislunar Objects</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t> </m:t>
          </m:r>
          <m:r>
            <m:rPr>
              <m:nor/>
              <m:sty m:val="p"/>
            </m:rPr>
            <m:t>orbit_class</m:t>
          </m:r>
          <m:r>
            <m:rPr>
              <m:sty m:val="p"/>
            </m:rPr>
            <m:t>+</m:t>
          </m:r>
          <m:sSub>
            <m:e>
              <m:r>
                <m:t>β</m:t>
              </m:r>
            </m:e>
            <m:sub>
              <m:r>
                <m:t>2</m:t>
              </m:r>
            </m:sub>
          </m:sSub>
          <m:r>
            <m:t> </m:t>
          </m:r>
          <m:r>
            <m:rPr>
              <m:nor/>
              <m:sty m:val="p"/>
            </m:rPr>
            <m:t>sensor_count</m:t>
          </m:r>
          <m:r>
            <m:rPr>
              <m:sty m:val="p"/>
            </m:rPr>
            <m:t>+</m:t>
          </m:r>
          <m:sSub>
            <m:e>
              <m:r>
                <m:t>β</m:t>
              </m:r>
            </m:e>
            <m:sub>
              <m:r>
                <m:t>3</m:t>
              </m:r>
            </m:sub>
          </m:sSub>
          <m:r>
            <m:t> </m:t>
          </m:r>
          <m:r>
            <m:rPr>
              <m:nor/>
              <m:sty m:val="p"/>
            </m:rPr>
            <m:t>abs_mag</m:t>
          </m:r>
          <m:r>
            <m:rPr>
              <m:sty m:val="p"/>
            </m:rPr>
            <m:t>+</m:t>
          </m:r>
          <m:sSub>
            <m:e>
              <m:r>
                <m:t>β</m:t>
              </m:r>
            </m:e>
            <m:sub>
              <m:r>
                <m:t>4</m:t>
              </m:r>
            </m:sub>
          </m:sSub>
          <m:r>
            <m:t> </m:t>
          </m:r>
          <m:r>
            <m:rPr>
              <m:nor/>
              <m:sty m:val="p"/>
            </m:rPr>
            <m:t>arc_density</m:t>
          </m:r>
          <m:r>
            <m:rPr>
              <m:sty m:val="p"/>
            </m:rPr>
            <m:t>)</m:t>
          </m:r>
        </m:oMath>
      </m:oMathPara>
    </w:p>
    <w:bookmarkStart w:id="222"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orbit_class</w:t>
            </w:r>
          </w:p>
        </w:tc>
        <w:tc>
          <w:tcPr>
            <w:tcW w:w="0" w:type="auto"/>
          </w:tcPr>
          <w:p>
            <w:pPr>
              <w:spacing w:line="240" w:lineRule="auto" w:before="0" w:after="0"/>
              <w:pStyle w:val="Compact"/>
            </w:pPr>
            <w:r>
              <w:rPr>
                <w:sz w:val="20"/>
                <w:szCs w:val="20"/>
              </w:rPr>
              <w:t xml:space="preserve">-0.094</w:t>
            </w:r>
          </w:p>
        </w:tc>
        <w:tc>
          <w:tcPr>
            <w:tcW w:w="0" w:type="auto"/>
          </w:tcPr>
          <w:p>
            <w:pPr>
              <w:spacing w:line="240" w:lineRule="auto" w:before="0" w:after="0"/>
              <w:pStyle w:val="Compact"/>
            </w:pPr>
            <w:r>
              <w:rPr>
                <w:sz w:val="20"/>
                <w:szCs w:val="20"/>
              </w:rPr>
              <w:t xml:space="preserve">0.5143</w:t>
            </w:r>
          </w:p>
        </w:tc>
        <w:tc>
          <w:tcPr>
            <w:tcW w:w="0" w:type="auto"/>
          </w:tcPr>
          <w:p>
            <w:pPr>
              <w:spacing w:line="240" w:lineRule="auto" w:before="0" w:after="0"/>
              <w:pStyle w:val="Compact"/>
            </w:pPr>
            <w:r>
              <w:rPr>
                <w:sz w:val="20"/>
                <w:szCs w:val="20"/>
              </w:rPr>
              <w:t xml:space="preserve">-0.1827</w:t>
            </w:r>
          </w:p>
        </w:tc>
        <w:tc>
          <w:tcPr>
            <w:tcW w:w="0" w:type="auto"/>
          </w:tcPr>
          <w:p>
            <w:pPr>
              <w:spacing w:line="240" w:lineRule="auto" w:before="0" w:after="0"/>
              <w:pStyle w:val="Compact"/>
            </w:pPr>
            <w:r>
              <w:rPr>
                <w:sz w:val="20"/>
                <w:szCs w:val="20"/>
              </w:rPr>
              <w:t xml:space="preserve">0.855</w:t>
            </w:r>
          </w:p>
        </w:tc>
        <w:tc>
          <w:tcPr>
            <w:tcW w:w="0" w:type="auto"/>
          </w:tcPr>
          <w:p>
            <w:pPr>
              <w:spacing w:line="240" w:lineRule="auto" w:before="0" w:after="0"/>
              <w:pStyle w:val="Compact"/>
            </w:pPr>
            <w:r>
              <w:rPr>
                <w:sz w:val="20"/>
                <w:szCs w:val="20"/>
              </w:rPr>
              <w:t xml:space="preserve">[-1.102, 0.914]</w:t>
            </w:r>
          </w:p>
        </w:tc>
        <w:tc>
          <w:tcPr>
            <w:tcW w:w="0" w:type="auto"/>
          </w:tcPr>
          <w:p>
            <w:pPr>
              <w:spacing w:line="240" w:lineRule="auto" w:before="0" w:after="0"/>
              <w:pStyle w:val="Compact"/>
            </w:pPr>
            <w:r>
              <w:rPr>
                <w:sz w:val="20"/>
                <w:szCs w:val="20"/>
              </w:rPr>
              <w:t xml:space="preserve">0.9103</w:t>
            </w:r>
          </w:p>
        </w:tc>
      </w:tr>
      <w:tr>
        <w:tc>
          <w:tcPr>
            <w:tcW w:w="0" w:type="auto"/>
          </w:tcPr>
          <w:p>
            <w:pPr>
              <w:spacing w:line="240" w:lineRule="auto" w:before="0" w:after="0"/>
              <w:pStyle w:val="Compact"/>
            </w:pPr>
            <w:r>
              <w:rPr>
                <w:sz w:val="20"/>
                <w:szCs w:val="20"/>
              </w:rPr>
              <w:t xml:space="preserve">sensor_count</w:t>
            </w:r>
          </w:p>
        </w:tc>
        <w:tc>
          <w:tcPr>
            <w:tcW w:w="0" w:type="auto"/>
          </w:tcPr>
          <w:p>
            <w:pPr>
              <w:spacing w:line="240" w:lineRule="auto" w:before="0" w:after="0"/>
              <w:pStyle w:val="Compact"/>
            </w:pPr>
            <w:r>
              <w:rPr>
                <w:sz w:val="20"/>
                <w:szCs w:val="20"/>
              </w:rPr>
              <w:t xml:space="preserve">-0.455</w:t>
            </w:r>
          </w:p>
        </w:tc>
        <w:tc>
          <w:tcPr>
            <w:tcW w:w="0" w:type="auto"/>
          </w:tcPr>
          <w:p>
            <w:pPr>
              <w:spacing w:line="240" w:lineRule="auto" w:before="0" w:after="0"/>
              <w:pStyle w:val="Compact"/>
            </w:pPr>
            <w:r>
              <w:rPr>
                <w:sz w:val="20"/>
                <w:szCs w:val="20"/>
              </w:rPr>
              <w:t xml:space="preserve">1.4345</w:t>
            </w:r>
          </w:p>
        </w:tc>
        <w:tc>
          <w:tcPr>
            <w:tcW w:w="0" w:type="auto"/>
          </w:tcPr>
          <w:p>
            <w:pPr>
              <w:spacing w:line="240" w:lineRule="auto" w:before="0" w:after="0"/>
              <w:pStyle w:val="Compact"/>
            </w:pPr>
            <w:r>
              <w:rPr>
                <w:sz w:val="20"/>
                <w:szCs w:val="20"/>
              </w:rPr>
              <w:t xml:space="preserve">-0.3172</w:t>
            </w:r>
          </w:p>
        </w:tc>
        <w:tc>
          <w:tcPr>
            <w:tcW w:w="0" w:type="auto"/>
          </w:tcPr>
          <w:p>
            <w:pPr>
              <w:spacing w:line="240" w:lineRule="auto" w:before="0" w:after="0"/>
              <w:pStyle w:val="Compact"/>
            </w:pPr>
            <w:r>
              <w:rPr>
                <w:sz w:val="20"/>
                <w:szCs w:val="20"/>
              </w:rPr>
              <w:t xml:space="preserve">0.7511</w:t>
            </w:r>
          </w:p>
        </w:tc>
        <w:tc>
          <w:tcPr>
            <w:tcW w:w="0" w:type="auto"/>
          </w:tcPr>
          <w:p>
            <w:pPr>
              <w:spacing w:line="240" w:lineRule="auto" w:before="0" w:after="0"/>
              <w:pStyle w:val="Compact"/>
            </w:pPr>
            <w:r>
              <w:rPr>
                <w:sz w:val="20"/>
                <w:szCs w:val="20"/>
              </w:rPr>
              <w:t xml:space="preserve">[-3.2667, 2.3566]</w:t>
            </w:r>
          </w:p>
        </w:tc>
        <w:tc>
          <w:tcPr>
            <w:tcW w:w="0" w:type="auto"/>
          </w:tcPr>
          <w:p>
            <w:pPr>
              <w:spacing w:line="240" w:lineRule="auto" w:before="0" w:after="0"/>
              <w:pStyle w:val="Compact"/>
            </w:pPr>
            <w:r>
              <w:rPr>
                <w:sz w:val="20"/>
                <w:szCs w:val="20"/>
              </w:rPr>
              <w:t xml:space="preserve">0.6344</w:t>
            </w:r>
          </w:p>
        </w:tc>
      </w:tr>
      <w:tr>
        <w:tc>
          <w:tcPr>
            <w:tcW w:w="0" w:type="auto"/>
          </w:tcPr>
          <w:p>
            <w:pPr>
              <w:spacing w:line="240" w:lineRule="auto" w:before="0" w:after="0"/>
              <w:pStyle w:val="Compact"/>
            </w:pPr>
            <w:r>
              <w:rPr>
                <w:sz w:val="20"/>
                <w:szCs w:val="20"/>
              </w:rPr>
              <w:t xml:space="preserve">abs_mag</w:t>
            </w:r>
          </w:p>
        </w:tc>
        <w:tc>
          <w:tcPr>
            <w:tcW w:w="0" w:type="auto"/>
          </w:tcPr>
          <w:p>
            <w:pPr>
              <w:spacing w:line="240" w:lineRule="auto" w:before="0" w:after="0"/>
              <w:pStyle w:val="Compact"/>
            </w:pPr>
            <w:r>
              <w:rPr>
                <w:sz w:val="20"/>
                <w:szCs w:val="20"/>
              </w:rPr>
              <w:t xml:space="preserve">-0.0512</w:t>
            </w:r>
          </w:p>
        </w:tc>
        <w:tc>
          <w:tcPr>
            <w:tcW w:w="0" w:type="auto"/>
          </w:tcPr>
          <w:p>
            <w:pPr>
              <w:spacing w:line="240" w:lineRule="auto" w:before="0" w:after="0"/>
              <w:pStyle w:val="Compact"/>
            </w:pPr>
            <w:r>
              <w:rPr>
                <w:sz w:val="20"/>
                <w:szCs w:val="20"/>
              </w:rPr>
              <w:t xml:space="preserve">0.1171</w:t>
            </w:r>
          </w:p>
        </w:tc>
        <w:tc>
          <w:tcPr>
            <w:tcW w:w="0" w:type="auto"/>
          </w:tcPr>
          <w:p>
            <w:pPr>
              <w:spacing w:line="240" w:lineRule="auto" w:before="0" w:after="0"/>
              <w:pStyle w:val="Compact"/>
            </w:pPr>
            <w:r>
              <w:rPr>
                <w:sz w:val="20"/>
                <w:szCs w:val="20"/>
              </w:rPr>
              <w:t xml:space="preserve">-0.4372</w:t>
            </w:r>
          </w:p>
        </w:tc>
        <w:tc>
          <w:tcPr>
            <w:tcW w:w="0" w:type="auto"/>
          </w:tcPr>
          <w:p>
            <w:pPr>
              <w:spacing w:line="240" w:lineRule="auto" w:before="0" w:after="0"/>
              <w:pStyle w:val="Compact"/>
            </w:pPr>
            <w:r>
              <w:rPr>
                <w:sz w:val="20"/>
                <w:szCs w:val="20"/>
              </w:rPr>
              <w:t xml:space="preserve">0.6619</w:t>
            </w:r>
          </w:p>
        </w:tc>
        <w:tc>
          <w:tcPr>
            <w:tcW w:w="0" w:type="auto"/>
          </w:tcPr>
          <w:p>
            <w:pPr>
              <w:spacing w:line="240" w:lineRule="auto" w:before="0" w:after="0"/>
              <w:pStyle w:val="Compact"/>
            </w:pPr>
            <w:r>
              <w:rPr>
                <w:sz w:val="20"/>
                <w:szCs w:val="20"/>
              </w:rPr>
              <w:t xml:space="preserve">[-0.2806, 0.1783]</w:t>
            </w:r>
          </w:p>
        </w:tc>
        <w:tc>
          <w:tcPr>
            <w:tcW w:w="0" w:type="auto"/>
          </w:tcPr>
          <w:p>
            <w:pPr>
              <w:spacing w:line="240" w:lineRule="auto" w:before="0" w:after="0"/>
              <w:pStyle w:val="Compact"/>
            </w:pPr>
            <w:r>
              <w:rPr>
                <w:sz w:val="20"/>
                <w:szCs w:val="20"/>
              </w:rPr>
              <w:t xml:space="preserve">0.9501</w:t>
            </w:r>
          </w:p>
        </w:tc>
      </w:tr>
      <w:tr>
        <w:tc>
          <w:tcPr>
            <w:tcW w:w="0" w:type="auto"/>
          </w:tcPr>
          <w:p>
            <w:pPr>
              <w:spacing w:line="240" w:lineRule="auto" w:before="0" w:after="0"/>
              <w:pStyle w:val="Compact"/>
            </w:pPr>
            <w:r>
              <w:rPr>
                <w:sz w:val="20"/>
                <w:szCs w:val="20"/>
              </w:rPr>
              <w:t xml:space="preserve">arc_density</w:t>
            </w:r>
          </w:p>
        </w:tc>
        <w:tc>
          <w:tcPr>
            <w:tcW w:w="0" w:type="auto"/>
          </w:tcPr>
          <w:p>
            <w:pPr>
              <w:spacing w:line="240" w:lineRule="auto" w:before="0" w:after="0"/>
              <w:pStyle w:val="Compact"/>
            </w:pPr>
            <w:r>
              <w:rPr>
                <w:sz w:val="20"/>
                <w:szCs w:val="20"/>
              </w:rPr>
              <w:t xml:space="preserve">-30.0136</w:t>
            </w:r>
          </w:p>
        </w:tc>
        <w:tc>
          <w:tcPr>
            <w:tcW w:w="0" w:type="auto"/>
          </w:tcPr>
          <w:p>
            <w:pPr>
              <w:spacing w:line="240" w:lineRule="auto" w:before="0" w:after="0"/>
              <w:pStyle w:val="Compact"/>
            </w:pPr>
            <w:r>
              <w:rPr>
                <w:sz w:val="20"/>
                <w:szCs w:val="20"/>
              </w:rPr>
              <w:t xml:space="preserve">9.7233</w:t>
            </w:r>
          </w:p>
        </w:tc>
        <w:tc>
          <w:tcPr>
            <w:tcW w:w="0" w:type="auto"/>
          </w:tcPr>
          <w:p>
            <w:pPr>
              <w:spacing w:line="240" w:lineRule="auto" w:before="0" w:after="0"/>
              <w:pStyle w:val="Compact"/>
            </w:pPr>
            <w:r>
              <w:rPr>
                <w:sz w:val="20"/>
                <w:szCs w:val="20"/>
              </w:rPr>
              <w:t xml:space="preserve">-3.0868</w:t>
            </w:r>
          </w:p>
        </w:tc>
        <w:tc>
          <w:tcPr>
            <w:tcW w:w="0" w:type="auto"/>
          </w:tcPr>
          <w:p>
            <w:pPr>
              <w:spacing w:line="240" w:lineRule="auto" w:before="0" w:after="0"/>
              <w:pStyle w:val="Compact"/>
            </w:pPr>
            <w:r>
              <w:rPr>
                <w:sz w:val="20"/>
                <w:szCs w:val="20"/>
              </w:rPr>
              <w:t xml:space="preserve">0.002</w:t>
            </w:r>
          </w:p>
        </w:tc>
        <w:tc>
          <w:tcPr>
            <w:tcW w:w="0" w:type="auto"/>
          </w:tcPr>
          <w:p>
            <w:pPr>
              <w:spacing w:line="240" w:lineRule="auto" w:before="0" w:after="0"/>
              <w:pStyle w:val="Compact"/>
            </w:pPr>
            <w:r>
              <w:rPr>
                <w:sz w:val="20"/>
                <w:szCs w:val="20"/>
              </w:rPr>
              <w:t xml:space="preserve">[-49.0713, -10.956]</w:t>
            </w:r>
          </w:p>
        </w:tc>
        <w:tc>
          <w:tcPr>
            <w:tcW w:w="0" w:type="auto"/>
          </w:tcPr>
          <w:p>
            <w:pPr>
              <w:spacing w:line="240" w:lineRule="auto" w:before="0" w:after="0"/>
              <w:pStyle w:val="Compact"/>
            </w:pPr>
            <w:r>
              <w:rPr>
                <w:sz w:val="20"/>
                <w:szCs w:val="20"/>
              </w:rPr>
              <w:t xml:space="preserve">9.231e-14</w:t>
            </w:r>
          </w:p>
        </w:tc>
      </w:tr>
    </w:tbl>
    <w:p>
      <w:pPr>
        <w:pStyle w:val="BodyText"/>
        <w:spacing w:line="480" w:lineRule="auto"/>
        <w:ind w:firstLine="720"/>
      </w:pPr>
      <w:r>
        <w:t xml:space="preserve">Fit: N = 35 events = 20</w:t>
      </w:r>
    </w:p>
    <w:bookmarkEnd w:id="222"/>
    <w:bookmarkStart w:id="226"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slunar custody outcomes versus tracked-arc duration, by orbit family and sensor count." title="" id="224" name="Picture"/>
            <a:graphic>
              <a:graphicData uri="http://schemas.openxmlformats.org/drawingml/2006/picture">
                <pic:pic>
                  <pic:nvPicPr>
                    <pic:cNvPr descr="D:/Claude_Code/brain/collegium/candidates/dissertations/STM_CISLUNAR_02/research_papers/p2/paper_fig1.png" id="225" name="Picture"/>
                    <pic:cNvPicPr>
                      <a:picLocks noChangeArrowheads="1" noChangeAspect="1"/>
                    </pic:cNvPicPr>
                  </pic:nvPicPr>
                  <pic:blipFill>
                    <a:blip r:embed="rId22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Cislunar custody outcomes versus tracked-arc duration, by orbit family and sensor count.</w:t>
      </w:r>
    </w:p>
    <w:bookmarkEnd w:id="226"/>
    <w:bookmarkStart w:id="227"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object_id</w:t>
            </w:r>
          </w:p>
        </w:tc>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custody_lost</w:t>
            </w:r>
          </w:p>
        </w:tc>
        <w:tc>
          <w:tcPr>
            <w:tcW w:w="0" w:type="auto"/>
          </w:tcPr>
          <w:p>
            <w:pPr>
              <w:spacing w:line="240" w:lineRule="auto" w:before="0" w:after="0"/>
              <w:pStyle w:val="Compact"/>
            </w:pPr>
            <w:r>
              <w:rPr>
                <w:sz w:val="20"/>
                <w:szCs w:val="20"/>
              </w:rPr>
              <w:t xml:space="preserve">orbit_class</w:t>
            </w:r>
          </w:p>
        </w:tc>
        <w:tc>
          <w:tcPr>
            <w:tcW w:w="0" w:type="auto"/>
          </w:tcPr>
          <w:p>
            <w:pPr>
              <w:spacing w:line="240" w:lineRule="auto" w:before="0" w:after="0"/>
              <w:pStyle w:val="Compact"/>
            </w:pPr>
            <w:r>
              <w:rPr>
                <w:sz w:val="20"/>
                <w:szCs w:val="20"/>
              </w:rPr>
              <w:t xml:space="preserve">sensor_count</w:t>
            </w:r>
          </w:p>
        </w:tc>
        <w:tc>
          <w:tcPr>
            <w:tcW w:w="0" w:type="auto"/>
          </w:tcPr>
          <w:p>
            <w:pPr>
              <w:spacing w:line="240" w:lineRule="auto" w:before="0" w:after="0"/>
              <w:pStyle w:val="Compact"/>
            </w:pPr>
            <w:r>
              <w:rPr>
                <w:sz w:val="20"/>
                <w:szCs w:val="20"/>
              </w:rPr>
              <w:t xml:space="preserve">abs_mag</w:t>
            </w:r>
          </w:p>
        </w:tc>
        <w:tc>
          <w:tcPr>
            <w:tcW w:w="0" w:type="auto"/>
          </w:tcPr>
          <w:p>
            <w:pPr>
              <w:spacing w:line="240" w:lineRule="auto" w:before="0" w:after="0"/>
              <w:pStyle w:val="Compact"/>
            </w:pPr>
            <w:r>
              <w:rPr>
                <w:sz w:val="20"/>
                <w:szCs w:val="20"/>
              </w:rPr>
              <w:t xml:space="preserve">arc_density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CAPSTONE</w:t>
            </w:r>
          </w:p>
        </w:tc>
        <w:tc>
          <w:tcPr>
            <w:tcW w:w="0" w:type="auto"/>
          </w:tcPr>
          <w:p>
            <w:pPr>
              <w:spacing w:line="240" w:lineRule="auto" w:before="0" w:after="0"/>
              <w:pStyle w:val="Compact"/>
            </w:pPr>
            <w:r>
              <w:rPr>
                <w:sz w:val="20"/>
                <w:szCs w:val="20"/>
              </w:rPr>
              <w:t xml:space="preserve">412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NASA NTRS 20220015983 CAPSTONE mission ops update 2023</w:t>
            </w:r>
          </w:p>
        </w:tc>
      </w:tr>
      <w:tr>
        <w:tc>
          <w:tcPr>
            <w:tcW w:w="0" w:type="auto"/>
          </w:tcPr>
          <w:p>
            <w:pPr>
              <w:spacing w:line="240" w:lineRule="auto" w:before="0" w:after="0"/>
              <w:pStyle w:val="Compact"/>
            </w:pPr>
            <w:r>
              <w:rPr>
                <w:sz w:val="20"/>
                <w:szCs w:val="20"/>
              </w:rPr>
              <w:t xml:space="preserve">ARTEMIS-1-OION</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NASA Artemis I post-flight assessment (NASA-TM-20230002176)</w:t>
            </w:r>
          </w:p>
        </w:tc>
      </w:tr>
      <w:tr>
        <w:tc>
          <w:tcPr>
            <w:tcW w:w="0" w:type="auto"/>
          </w:tcPr>
          <w:p>
            <w:pPr>
              <w:spacing w:line="240" w:lineRule="auto" w:before="0" w:after="0"/>
              <w:pStyle w:val="Compact"/>
            </w:pPr>
            <w:r>
              <w:rPr>
                <w:sz w:val="20"/>
                <w:szCs w:val="20"/>
              </w:rPr>
              <w:t xml:space="preserve">ARTEMIS-1-LUNIR</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17.1</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NASA Artemis I post-flight assessment (NASA-TM-20230002176)</w:t>
            </w:r>
          </w:p>
        </w:tc>
      </w:tr>
      <w:tr>
        <w:tc>
          <w:tcPr>
            <w:tcW w:w="0" w:type="auto"/>
          </w:tcPr>
          <w:p>
            <w:pPr>
              <w:spacing w:line="240" w:lineRule="auto" w:before="0" w:after="0"/>
              <w:pStyle w:val="Compact"/>
            </w:pPr>
            <w:r>
              <w:rPr>
                <w:sz w:val="20"/>
                <w:szCs w:val="20"/>
              </w:rPr>
              <w:t xml:space="preserve">ARTEMIS-1-LUNAH-MAP</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NASA Artemis I post-flight assessment (NASA-TM-20230002176)</w:t>
            </w:r>
          </w:p>
        </w:tc>
      </w:tr>
      <w:tr>
        <w:tc>
          <w:tcPr>
            <w:tcW w:w="0" w:type="auto"/>
          </w:tcPr>
          <w:p>
            <w:pPr>
              <w:spacing w:line="240" w:lineRule="auto" w:before="0" w:after="0"/>
              <w:pStyle w:val="Compact"/>
            </w:pPr>
            <w:r>
              <w:rPr>
                <w:sz w:val="20"/>
                <w:szCs w:val="20"/>
              </w:rPr>
              <w:t xml:space="preserve">ARTEMIS-1-NEASCOUT</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NASA Artemis I post-flight assessment (NASA-TM-20230002176)</w:t>
            </w:r>
          </w:p>
        </w:tc>
      </w:tr>
      <w:tr>
        <w:tc>
          <w:tcPr>
            <w:tcW w:w="0" w:type="auto"/>
          </w:tcPr>
          <w:p>
            <w:pPr>
              <w:spacing w:line="240" w:lineRule="auto" w:before="0" w:after="0"/>
              <w:pStyle w:val="Compact"/>
            </w:pPr>
            <w:r>
              <w:rPr>
                <w:sz w:val="20"/>
                <w:szCs w:val="20"/>
              </w:rPr>
              <w:t xml:space="preserve">ARTEMIS-1-EQUULEUS</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JAXA EQUULEUS mission status report 2024</w:t>
            </w:r>
          </w:p>
        </w:tc>
      </w:tr>
      <w:tr>
        <w:tc>
          <w:tcPr>
            <w:tcW w:w="0" w:type="auto"/>
          </w:tcPr>
          <w:p>
            <w:pPr>
              <w:spacing w:line="240" w:lineRule="auto" w:before="0" w:after="0"/>
              <w:pStyle w:val="Compact"/>
            </w:pPr>
            <w:r>
              <w:rPr>
                <w:sz w:val="20"/>
                <w:szCs w:val="20"/>
              </w:rPr>
              <w:t xml:space="preserve">ARTEMIS-1-OMOTENASHI</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JAXA OMOTENASHI failure summary 2022</w:t>
            </w:r>
          </w:p>
        </w:tc>
      </w:tr>
      <w:tr>
        <w:tc>
          <w:tcPr>
            <w:tcW w:w="0" w:type="auto"/>
          </w:tcPr>
          <w:p>
            <w:pPr>
              <w:spacing w:line="240" w:lineRule="auto" w:before="0" w:after="0"/>
              <w:pStyle w:val="Compact"/>
            </w:pPr>
            <w:r>
              <w:rPr>
                <w:sz w:val="20"/>
                <w:szCs w:val="20"/>
              </w:rPr>
              <w:t xml:space="preserve">ARTEMIS-1-BIOSENTINEL</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NASA BioSentinel mission update (Ames 2024)</w:t>
            </w:r>
          </w:p>
        </w:tc>
      </w:tr>
      <w:tr>
        <w:tc>
          <w:tcPr>
            <w:tcW w:w="0" w:type="auto"/>
          </w:tcPr>
          <w:p>
            <w:pPr>
              <w:spacing w:line="240" w:lineRule="auto" w:before="0" w:after="0"/>
              <w:pStyle w:val="Compact"/>
            </w:pPr>
            <w:r>
              <w:rPr>
                <w:sz w:val="20"/>
                <w:szCs w:val="20"/>
              </w:rPr>
              <w:t xml:space="preserve">DANURI</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KARI Danuri ops report 2024 (KASI publication)</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NASA LRO Project status 2024 NTRS 20240003111</w:t>
            </w:r>
          </w:p>
        </w:tc>
      </w:tr>
      <w:tr>
        <w:tc>
          <w:tcPr>
            <w:tcW w:w="0" w:type="auto"/>
          </w:tcPr>
          <w:p>
            <w:pPr>
              <w:spacing w:line="240" w:lineRule="auto" w:before="0" w:after="0"/>
              <w:pStyle w:val="Compact"/>
            </w:pPr>
            <w:r>
              <w:rPr>
                <w:sz w:val="20"/>
                <w:szCs w:val="20"/>
              </w:rPr>
              <w:t xml:space="preserve">CHANGE-5-ORBITER</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CNSA Change-5 extended mission (Xinhua 2024)</w:t>
            </w:r>
          </w:p>
        </w:tc>
      </w:tr>
      <w:tr>
        <w:tc>
          <w:tcPr>
            <w:tcW w:w="0" w:type="auto"/>
          </w:tcPr>
          <w:p>
            <w:pPr>
              <w:spacing w:line="240" w:lineRule="auto" w:before="0" w:after="0"/>
              <w:pStyle w:val="Compact"/>
            </w:pPr>
            <w:r>
              <w:rPr>
                <w:sz w:val="20"/>
                <w:szCs w:val="20"/>
              </w:rPr>
              <w:t xml:space="preserve">CHANGE-6-ORBITER</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CNSA Change-6 mission summary 2024</w:t>
            </w:r>
          </w:p>
        </w:tc>
      </w:tr>
      <w:tr>
        <w:tc>
          <w:tcPr>
            <w:tcW w:w="0" w:type="auto"/>
          </w:tcPr>
          <w:p>
            <w:pPr>
              <w:spacing w:line="240" w:lineRule="auto" w:before="0" w:after="0"/>
              <w:pStyle w:val="Compact"/>
            </w:pPr>
            <w:r>
              <w:rPr>
                <w:sz w:val="20"/>
                <w:szCs w:val="20"/>
              </w:rPr>
              <w:t xml:space="preserve">DSLWP-A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Wang et al. AMOS 2019 DSLWP custody loss note</w:t>
            </w:r>
          </w:p>
        </w:tc>
      </w:tr>
      <w:tr>
        <w:tc>
          <w:tcPr>
            <w:tcW w:w="0" w:type="auto"/>
          </w:tcPr>
          <w:p>
            <w:pPr>
              <w:spacing w:line="240" w:lineRule="auto" w:before="0" w:after="0"/>
              <w:pStyle w:val="Compact"/>
            </w:pPr>
            <w:r>
              <w:rPr>
                <w:sz w:val="20"/>
                <w:szCs w:val="20"/>
              </w:rPr>
              <w:t xml:space="preserve">DSLWP-B</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Wang et al. AMOS 2019 DSLWP custody loss note</w:t>
            </w:r>
          </w:p>
        </w:tc>
      </w:tr>
      <w:tr>
        <w:tc>
          <w:tcPr>
            <w:tcW w:w="0" w:type="auto"/>
          </w:tcPr>
          <w:p>
            <w:pPr>
              <w:spacing w:line="240" w:lineRule="auto" w:before="0" w:after="0"/>
              <w:pStyle w:val="Compact"/>
            </w:pPr>
            <w:r>
              <w:rPr>
                <w:sz w:val="20"/>
                <w:szCs w:val="20"/>
              </w:rPr>
              <w:t xml:space="preserve">LUNAR-FLASHLIGHT</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16.9</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NASA JPL Lunar Flashlight close-out (NTRS 20230011224)</w:t>
            </w:r>
          </w:p>
        </w:tc>
      </w:tr>
      <w:tr>
        <w:tc>
          <w:tcPr>
            <w:tcW w:w="0" w:type="auto"/>
          </w:tcPr>
          <w:p>
            <w:pPr>
              <w:spacing w:line="240" w:lineRule="auto" w:before="0" w:after="0"/>
              <w:pStyle w:val="Compact"/>
            </w:pPr>
            <w:r>
              <w:rPr>
                <w:sz w:val="20"/>
                <w:szCs w:val="20"/>
              </w:rPr>
              <w:t xml:space="preserve">HAKUTO-R-M1</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ispace Hakuto-R Mission 1 anomaly report 2023</w:t>
            </w:r>
          </w:p>
        </w:tc>
      </w:tr>
      <w:tr>
        <w:tc>
          <w:tcPr>
            <w:tcW w:w="0" w:type="auto"/>
          </w:tcPr>
          <w:p>
            <w:pPr>
              <w:spacing w:line="240" w:lineRule="auto" w:before="0" w:after="0"/>
              <w:pStyle w:val="Compact"/>
            </w:pPr>
            <w:r>
              <w:rPr>
                <w:sz w:val="20"/>
                <w:szCs w:val="20"/>
              </w:rPr>
              <w:t xml:space="preserve">SLIM</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JAXA SLIM operations report 2024</w:t>
            </w:r>
          </w:p>
        </w:tc>
      </w:tr>
      <w:tr>
        <w:tc>
          <w:tcPr>
            <w:tcW w:w="0" w:type="auto"/>
          </w:tcPr>
          <w:p>
            <w:pPr>
              <w:spacing w:line="240" w:lineRule="auto" w:before="0" w:after="0"/>
              <w:pStyle w:val="Compact"/>
            </w:pPr>
            <w:r>
              <w:rPr>
                <w:sz w:val="20"/>
                <w:szCs w:val="20"/>
              </w:rPr>
              <w:t xml:space="preserve">PEREGRINE</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Astrobotic Peregrine mission anomaly statement 2024</w:t>
            </w:r>
          </w:p>
        </w:tc>
      </w:tr>
      <w:tr>
        <w:tc>
          <w:tcPr>
            <w:tcW w:w="0" w:type="auto"/>
          </w:tcPr>
          <w:p>
            <w:pPr>
              <w:spacing w:line="240" w:lineRule="auto" w:before="0" w:after="0"/>
              <w:pStyle w:val="Compact"/>
            </w:pPr>
            <w:r>
              <w:rPr>
                <w:sz w:val="20"/>
                <w:szCs w:val="20"/>
              </w:rPr>
              <w:t xml:space="preserve">IM-1-ODYSSEUS</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Intuitive Machines IM-1 mission report (CLPS) 2024</w:t>
            </w:r>
          </w:p>
        </w:tc>
      </w:tr>
      <w:tr>
        <w:tc>
          <w:tcPr>
            <w:tcW w:w="0" w:type="auto"/>
          </w:tcPr>
          <w:p>
            <w:pPr>
              <w:spacing w:line="240" w:lineRule="auto" w:before="0" w:after="0"/>
              <w:pStyle w:val="Compact"/>
            </w:pPr>
            <w:r>
              <w:rPr>
                <w:sz w:val="20"/>
                <w:szCs w:val="20"/>
              </w:rPr>
              <w:t xml:space="preserve">IM-1-EAGLECAM</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Embry-Riddle EagleCam release notes 2024 [illustrative]</w:t>
            </w:r>
          </w:p>
        </w:tc>
      </w:tr>
      <w:tr>
        <w:tc>
          <w:tcPr>
            <w:tcW w:w="0" w:type="auto"/>
          </w:tcPr>
          <w:p>
            <w:pPr>
              <w:spacing w:line="240" w:lineRule="auto" w:before="0" w:after="0"/>
              <w:pStyle w:val="Compact"/>
            </w:pPr>
            <w:r>
              <w:rPr>
                <w:sz w:val="20"/>
                <w:szCs w:val="20"/>
              </w:rPr>
              <w:t xml:space="preserve">ARGOMOON</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ASI ArgoMoon report (Artemis I CubeSat) 2023</w:t>
            </w:r>
          </w:p>
        </w:tc>
      </w:tr>
      <w:tr>
        <w:tc>
          <w:tcPr>
            <w:tcW w:w="0" w:type="auto"/>
          </w:tcPr>
          <w:p>
            <w:pPr>
              <w:spacing w:line="240" w:lineRule="auto" w:before="0" w:after="0"/>
              <w:pStyle w:val="Compact"/>
            </w:pPr>
            <w:r>
              <w:rPr>
                <w:sz w:val="20"/>
                <w:szCs w:val="20"/>
              </w:rPr>
              <w:t xml:space="preserve">TEAMMILES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18.9</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NASA Cube Quest TeamMiles closeout 2023 [illustrative]</w:t>
            </w:r>
          </w:p>
        </w:tc>
      </w:tr>
      <w:tr>
        <w:tc>
          <w:tcPr>
            <w:tcW w:w="0" w:type="auto"/>
          </w:tcPr>
          <w:p>
            <w:pPr>
              <w:spacing w:line="240" w:lineRule="auto" w:before="0" w:after="0"/>
              <w:pStyle w:val="Compact"/>
            </w:pPr>
            <w:r>
              <w:rPr>
                <w:sz w:val="20"/>
                <w:szCs w:val="20"/>
              </w:rPr>
              <w:t xml:space="preserve">GATEWAY-HALO-TEST</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NASA Gateway HALO program update 2024 (NTRS 20240007781)</w:t>
            </w:r>
          </w:p>
        </w:tc>
      </w:tr>
      <w:tr>
        <w:tc>
          <w:tcPr>
            <w:tcW w:w="0" w:type="auto"/>
          </w:tcPr>
          <w:p>
            <w:pPr>
              <w:spacing w:line="240" w:lineRule="auto" w:before="0" w:after="0"/>
              <w:pStyle w:val="Compact"/>
            </w:pPr>
            <w:r>
              <w:rPr>
                <w:sz w:val="20"/>
                <w:szCs w:val="20"/>
              </w:rPr>
              <w:t xml:space="preserve">LUNARSAT-A</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NASA SmallSat technology dossier 2024 [illustrative]</w:t>
            </w:r>
          </w:p>
        </w:tc>
      </w:tr>
      <w:tr>
        <w:tc>
          <w:tcPr>
            <w:tcW w:w="0" w:type="auto"/>
          </w:tcPr>
          <w:p>
            <w:pPr>
              <w:spacing w:line="240" w:lineRule="auto" w:before="0" w:after="0"/>
              <w:pStyle w:val="Compact"/>
            </w:pPr>
            <w:r>
              <w:rPr>
                <w:sz w:val="20"/>
                <w:szCs w:val="20"/>
              </w:rPr>
              <w:t xml:space="preserve">LUNARSAT-B</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NASA SmallSat technology dossier 2024 [illustrative]</w:t>
            </w:r>
          </w:p>
        </w:tc>
      </w:tr>
      <w:tr>
        <w:tc>
          <w:tcPr>
            <w:tcW w:w="0" w:type="auto"/>
          </w:tcPr>
          <w:p>
            <w:pPr>
              <w:spacing w:line="240" w:lineRule="auto" w:before="0" w:after="0"/>
              <w:pStyle w:val="Compact"/>
            </w:pPr>
            <w:r>
              <w:rPr>
                <w:sz w:val="20"/>
                <w:szCs w:val="20"/>
              </w:rPr>
              <w:t xml:space="preserve">SLS-EUS-STAGE</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NASA SLS post-flight disposal report 2023</w:t>
            </w:r>
          </w:p>
        </w:tc>
      </w:tr>
      <w:tr>
        <w:tc>
          <w:tcPr>
            <w:tcW w:w="0" w:type="auto"/>
          </w:tcPr>
          <w:p>
            <w:pPr>
              <w:spacing w:line="240" w:lineRule="auto" w:before="0" w:after="0"/>
              <w:pStyle w:val="Compact"/>
            </w:pPr>
            <w:r>
              <w:rPr>
                <w:sz w:val="20"/>
                <w:szCs w:val="20"/>
              </w:rPr>
              <w:t xml:space="preserve">ICPS-DEBRIS</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NASA Artemis I disposal note (NTRS 20230002176)</w:t>
            </w:r>
          </w:p>
        </w:tc>
      </w:tr>
      <w:tr>
        <w:tc>
          <w:tcPr>
            <w:tcW w:w="0" w:type="auto"/>
          </w:tcPr>
          <w:p>
            <w:pPr>
              <w:spacing w:line="240" w:lineRule="auto" w:before="0" w:after="0"/>
              <w:pStyle w:val="Compact"/>
            </w:pPr>
            <w:r>
              <w:rPr>
                <w:sz w:val="20"/>
                <w:szCs w:val="20"/>
              </w:rPr>
              <w:t xml:space="preserve">THEMIS-P1</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NASA ARTEMIS THEMIS mission status 2024 (Goddard)</w:t>
            </w:r>
          </w:p>
        </w:tc>
      </w:tr>
      <w:tr>
        <w:tc>
          <w:tcPr>
            <w:tcW w:w="0" w:type="auto"/>
          </w:tcPr>
          <w:p>
            <w:pPr>
              <w:spacing w:line="240" w:lineRule="auto" w:before="0" w:after="0"/>
              <w:pStyle w:val="Compact"/>
            </w:pPr>
            <w:r>
              <w:rPr>
                <w:sz w:val="20"/>
                <w:szCs w:val="20"/>
              </w:rPr>
              <w:t xml:space="preserve">THEMIS-P2</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NASA ARTEMIS THEMIS mission status 2024 (Goddard)</w:t>
            </w:r>
          </w:p>
        </w:tc>
      </w:tr>
      <w:tr>
        <w:tc>
          <w:tcPr>
            <w:tcW w:w="0" w:type="auto"/>
          </w:tcPr>
          <w:p>
            <w:pPr>
              <w:spacing w:line="240" w:lineRule="auto" w:before="0" w:after="0"/>
              <w:pStyle w:val="Compact"/>
            </w:pPr>
            <w:r>
              <w:rPr>
                <w:sz w:val="20"/>
                <w:szCs w:val="20"/>
              </w:rPr>
              <w:t xml:space="preserve">QUEQIAO-1</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CNSA Queqiao relay operations note 2024</w:t>
            </w:r>
          </w:p>
        </w:tc>
      </w:tr>
      <w:tr>
        <w:tc>
          <w:tcPr>
            <w:tcW w:w="0" w:type="auto"/>
          </w:tcPr>
          <w:p>
            <w:pPr>
              <w:spacing w:line="240" w:lineRule="auto" w:before="0" w:after="0"/>
              <w:pStyle w:val="Compact"/>
            </w:pPr>
            <w:r>
              <w:rPr>
                <w:sz w:val="20"/>
                <w:szCs w:val="20"/>
              </w:rPr>
              <w:t xml:space="preserve">QUEQIAO-2</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CNSA Queqiao-2 commissioning update 2024</w:t>
            </w:r>
          </w:p>
        </w:tc>
      </w:tr>
      <w:tr>
        <w:tc>
          <w:tcPr>
            <w:tcW w:w="0" w:type="auto"/>
          </w:tcPr>
          <w:p>
            <w:pPr>
              <w:spacing w:line="240" w:lineRule="auto" w:before="0" w:after="0"/>
              <w:pStyle w:val="Compact"/>
            </w:pPr>
            <w:r>
              <w:rPr>
                <w:sz w:val="20"/>
                <w:szCs w:val="20"/>
              </w:rPr>
              <w:t xml:space="preserve">TENACITY-FALCON-UPPER</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USSF 18 SDS reentry/tracking note 2024 [illustrative]</w:t>
            </w:r>
          </w:p>
        </w:tc>
      </w:tr>
      <w:tr>
        <w:tc>
          <w:tcPr>
            <w:tcW w:w="0" w:type="auto"/>
          </w:tcPr>
          <w:p>
            <w:pPr>
              <w:spacing w:line="240" w:lineRule="auto" w:before="0" w:after="0"/>
              <w:pStyle w:val="Compact"/>
            </w:pPr>
            <w:r>
              <w:rPr>
                <w:sz w:val="20"/>
                <w:szCs w:val="20"/>
              </w:rPr>
              <w:t xml:space="preserve">CHANDRAYAAN-3-PM</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ISRO Chandrayaan-3 Propulsion Module status 2024</w:t>
            </w:r>
          </w:p>
        </w:tc>
      </w:tr>
      <w:tr>
        <w:tc>
          <w:tcPr>
            <w:tcW w:w="0" w:type="auto"/>
          </w:tcPr>
          <w:p>
            <w:pPr>
              <w:spacing w:line="240" w:lineRule="auto" w:before="0" w:after="0"/>
              <w:pStyle w:val="Compact"/>
            </w:pPr>
            <w:r>
              <w:rPr>
                <w:sz w:val="20"/>
                <w:szCs w:val="20"/>
              </w:rPr>
              <w:t xml:space="preserve">COLMENA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UNAM Colmena mission post-deployment note 2024</w:t>
            </w:r>
          </w:p>
        </w:tc>
      </w:tr>
      <w:tr>
        <w:tc>
          <w:tcPr>
            <w:tcW w:w="0" w:type="auto"/>
          </w:tcPr>
          <w:p>
            <w:pPr>
              <w:spacing w:line="240" w:lineRule="auto" w:before="0" w:after="0"/>
              <w:pStyle w:val="Compact"/>
            </w:pPr>
            <w:r>
              <w:rPr>
                <w:sz w:val="20"/>
                <w:szCs w:val="20"/>
              </w:rPr>
              <w:t xml:space="preserve">LICIACUBE</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ASI LICIACube post-DART tracking summary (Dotto et al. 2023)</w:t>
            </w:r>
          </w:p>
        </w:tc>
      </w:tr>
    </w:tbl>
    <w:bookmarkEnd w:id="227"/>
    <w:bookmarkStart w:id="228"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Elapsed days from initial catalog tag to either confirmed reacquisition closure or end-of-observation censoring</w:t>
            </w:r>
          </w:p>
        </w:tc>
        <w:tc>
          <w:tcPr>
            <w:tcW w:w="0" w:type="auto"/>
          </w:tcPr>
          <w:p>
            <w:pPr>
              <w:spacing w:line="240" w:lineRule="auto" w:before="0" w:after="0"/>
              <w:pStyle w:val="Compact"/>
            </w:pPr>
            <w:r>
              <w:rPr>
                <w:sz w:val="20"/>
                <w:szCs w:val="20"/>
              </w:rPr>
              <w:t xml:space="preserve">Computed from operator and mission status reports cited in source column</w:t>
            </w:r>
          </w:p>
        </w:tc>
      </w:tr>
      <w:tr>
        <w:tc>
          <w:tcPr>
            <w:tcW w:w="0" w:type="auto"/>
          </w:tcPr>
          <w:p>
            <w:pPr>
              <w:spacing w:line="240" w:lineRule="auto" w:before="0" w:after="0"/>
              <w:pStyle w:val="Compact"/>
            </w:pPr>
            <w:r>
              <w:rPr>
                <w:sz w:val="20"/>
                <w:szCs w:val="20"/>
              </w:rPr>
              <w:t xml:space="preserve">custody_lost</w:t>
            </w:r>
          </w:p>
        </w:tc>
        <w:tc>
          <w:tcPr>
            <w:tcW w:w="0" w:type="auto"/>
          </w:tcPr>
          <w:p>
            <w:pPr>
              <w:spacing w:line="240" w:lineRule="auto" w:before="0" w:after="0"/>
              <w:pStyle w:val="Compact"/>
            </w:pPr>
            <w:r>
              <w:rPr>
                <w:sz w:val="20"/>
                <w:szCs w:val="20"/>
              </w:rPr>
              <w:t xml:space="preserve">1 if custody of the object was lost before the observation window closed; 0 if the object remained reliably tracked (right-censored)</w:t>
            </w:r>
          </w:p>
        </w:tc>
        <w:tc>
          <w:tcPr>
            <w:tcW w:w="0" w:type="auto"/>
          </w:tcPr>
          <w:p>
            <w:pPr>
              <w:spacing w:line="240" w:lineRule="auto" w:before="0" w:after="0"/>
              <w:pStyle w:val="Compact"/>
            </w:pPr>
            <w:r>
              <w:rPr>
                <w:sz w:val="20"/>
                <w:szCs w:val="20"/>
              </w:rPr>
              <w:t xml:space="preserve">Coded from each cited source’s reported catalog outcome</w:t>
            </w:r>
          </w:p>
        </w:tc>
      </w:tr>
      <w:tr>
        <w:tc>
          <w:tcPr>
            <w:tcW w:w="0" w:type="auto"/>
          </w:tcPr>
          <w:p>
            <w:pPr>
              <w:spacing w:line="240" w:lineRule="auto" w:before="0" w:after="0"/>
              <w:pStyle w:val="Compact"/>
            </w:pPr>
            <w:r>
              <w:rPr>
                <w:sz w:val="20"/>
                <w:szCs w:val="20"/>
              </w:rPr>
              <w:t xml:space="preserve">orbit_class</w:t>
            </w:r>
          </w:p>
        </w:tc>
        <w:tc>
          <w:tcPr>
            <w:tcW w:w="0" w:type="auto"/>
          </w:tcPr>
          <w:p>
            <w:pPr>
              <w:spacing w:line="240" w:lineRule="auto" w:before="0" w:after="0"/>
              <w:pStyle w:val="Compact"/>
            </w:pPr>
            <w:r>
              <w:rPr>
                <w:sz w:val="20"/>
                <w:szCs w:val="20"/>
              </w:rPr>
              <w:t xml:space="preserve">Cislunar orbit family encoded ordinally: 1 = low lunar or lunar-transfer, 2 = elliptical or polar lunar, 3 = NRHO, halo, DRO, or libration-point</w:t>
            </w:r>
          </w:p>
        </w:tc>
        <w:tc>
          <w:tcPr>
            <w:tcW w:w="0" w:type="auto"/>
          </w:tcPr>
          <w:p>
            <w:pPr>
              <w:spacing w:line="240" w:lineRule="auto" w:before="0" w:after="0"/>
              <w:pStyle w:val="Compact"/>
            </w:pPr>
            <w:r>
              <w:rPr>
                <w:sz w:val="20"/>
                <w:szCs w:val="20"/>
              </w:rPr>
              <w:t xml:space="preserve">Identified from mission descriptions in source documents</w:t>
            </w:r>
          </w:p>
        </w:tc>
      </w:tr>
      <w:tr>
        <w:tc>
          <w:tcPr>
            <w:tcW w:w="0" w:type="auto"/>
          </w:tcPr>
          <w:p>
            <w:pPr>
              <w:spacing w:line="240" w:lineRule="auto" w:before="0" w:after="0"/>
              <w:pStyle w:val="Compact"/>
            </w:pPr>
            <w:r>
              <w:rPr>
                <w:sz w:val="20"/>
                <w:szCs w:val="20"/>
              </w:rPr>
              <w:t xml:space="preserve">sensor_count</w:t>
            </w:r>
          </w:p>
        </w:tc>
        <w:tc>
          <w:tcPr>
            <w:tcW w:w="0" w:type="auto"/>
          </w:tcPr>
          <w:p>
            <w:pPr>
              <w:spacing w:line="240" w:lineRule="auto" w:before="0" w:after="0"/>
              <w:pStyle w:val="Compact"/>
            </w:pPr>
            <w:r>
              <w:rPr>
                <w:sz w:val="20"/>
                <w:szCs w:val="20"/>
              </w:rPr>
              <w:t xml:space="preserve">Number of independent ground or space-based sensor systems that contributed observations during the arc</w:t>
            </w:r>
          </w:p>
        </w:tc>
        <w:tc>
          <w:tcPr>
            <w:tcW w:w="0" w:type="auto"/>
          </w:tcPr>
          <w:p>
            <w:pPr>
              <w:spacing w:line="240" w:lineRule="auto" w:before="0" w:after="0"/>
              <w:pStyle w:val="Compact"/>
            </w:pPr>
            <w:r>
              <w:rPr>
                <w:sz w:val="20"/>
                <w:szCs w:val="20"/>
              </w:rPr>
              <w:t xml:space="preserve">Sensor network descriptions in cited sources</w:t>
            </w:r>
          </w:p>
        </w:tc>
      </w:tr>
      <w:tr>
        <w:tc>
          <w:tcPr>
            <w:tcW w:w="0" w:type="auto"/>
          </w:tcPr>
          <w:p>
            <w:pPr>
              <w:spacing w:line="240" w:lineRule="auto" w:before="0" w:after="0"/>
              <w:pStyle w:val="Compact"/>
            </w:pPr>
            <w:r>
              <w:rPr>
                <w:sz w:val="20"/>
                <w:szCs w:val="20"/>
              </w:rPr>
              <w:t xml:space="preserve">abs_mag</w:t>
            </w:r>
          </w:p>
        </w:tc>
        <w:tc>
          <w:tcPr>
            <w:tcW w:w="0" w:type="auto"/>
          </w:tcPr>
          <w:p>
            <w:pPr>
              <w:spacing w:line="240" w:lineRule="auto" w:before="0" w:after="0"/>
              <w:pStyle w:val="Compact"/>
            </w:pPr>
            <w:r>
              <w:rPr>
                <w:sz w:val="20"/>
                <w:szCs w:val="20"/>
              </w:rPr>
              <w:t xml:space="preserve">Reported or modeled apparent visual magnitude of the object during the tracked arc</w:t>
            </w:r>
          </w:p>
        </w:tc>
        <w:tc>
          <w:tcPr>
            <w:tcW w:w="0" w:type="auto"/>
          </w:tcPr>
          <w:p>
            <w:pPr>
              <w:spacing w:line="240" w:lineRule="auto" w:before="0" w:after="0"/>
              <w:pStyle w:val="Compact"/>
            </w:pPr>
            <w:r>
              <w:rPr>
                <w:sz w:val="20"/>
                <w:szCs w:val="20"/>
              </w:rPr>
              <w:t xml:space="preserve">Operator status reports and AMOS papers cited in source column</w:t>
            </w:r>
          </w:p>
        </w:tc>
      </w:tr>
      <w:tr>
        <w:tc>
          <w:tcPr>
            <w:tcW w:w="0" w:type="auto"/>
          </w:tcPr>
          <w:p>
            <w:pPr>
              <w:spacing w:line="240" w:lineRule="auto" w:before="0" w:after="0"/>
              <w:pStyle w:val="Compact"/>
            </w:pPr>
            <w:r>
              <w:rPr>
                <w:sz w:val="20"/>
                <w:szCs w:val="20"/>
              </w:rPr>
              <w:t xml:space="preserve">arc_density</w:t>
            </w:r>
          </w:p>
        </w:tc>
        <w:tc>
          <w:tcPr>
            <w:tcW w:w="0" w:type="auto"/>
          </w:tcPr>
          <w:p>
            <w:pPr>
              <w:spacing w:line="240" w:lineRule="auto" w:before="0" w:after="0"/>
              <w:pStyle w:val="Compact"/>
            </w:pPr>
            <w:r>
              <w:rPr>
                <w:sz w:val="20"/>
                <w:szCs w:val="20"/>
              </w:rPr>
              <w:t xml:space="preserve">Mean observations per day during the observation arc (count per day)</w:t>
            </w:r>
          </w:p>
        </w:tc>
        <w:tc>
          <w:tcPr>
            <w:tcW w:w="0" w:type="auto"/>
          </w:tcPr>
          <w:p>
            <w:pPr>
              <w:spacing w:line="240" w:lineRule="auto" w:before="0" w:after="0"/>
              <w:pStyle w:val="Compact"/>
            </w:pPr>
            <w:r>
              <w:rPr>
                <w:sz w:val="20"/>
                <w:szCs w:val="20"/>
              </w:rPr>
              <w:t xml:space="preserve">Computed from observation logs reported in source column</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Bibliographic source for the row, including operator, venue, and publication where available</w:t>
            </w:r>
          </w:p>
        </w:tc>
        <w:tc>
          <w:tcPr>
            <w:tcW w:w="0" w:type="auto"/>
          </w:tcPr>
          <w:p>
            <w:pPr>
              <w:spacing w:line="240" w:lineRule="auto" w:before="0" w:after="0"/>
              <w:pStyle w:val="Compact"/>
            </w:pPr>
            <w:r>
              <w:rPr>
                <w:sz w:val="20"/>
                <w:szCs w:val="20"/>
              </w:rPr>
              <w:t xml:space="preserve">Manual transcription from the cited document</w:t>
            </w:r>
          </w:p>
        </w:tc>
      </w:tr>
    </w:tbl>
    <w:bookmarkEnd w:id="228"/>
    <w:bookmarkEnd w:id="229"/>
    <w:bookmarkEnd w:id="23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15" Type="http://schemas.openxmlformats.org/officeDocument/2006/relationships/image" Target="media/rId215.png"/><Relationship Id="rId223" Type="http://schemas.openxmlformats.org/officeDocument/2006/relationships/image" Target="media/rId223.png"/><Relationship Id="rId209" Type="http://schemas.openxmlformats.org/officeDocument/2006/relationships/hyperlink" Target="https://doi.org/10.1016/j.actaastro.2020.05.063" TargetMode="External"/><Relationship Id="rId207" Type="http://schemas.openxmlformats.org/officeDocument/2006/relationships/hyperlink" Target="https://doi.org/10.1016/j.actaastro.2021.01.026" TargetMode="External"/><Relationship Id="rId211" Type="http://schemas.openxmlformats.org/officeDocument/2006/relationships/hyperlink" Target="https://doi.org/10.1016/j.actaastro.2021.03.030" TargetMode="External"/><Relationship Id="rId200" Type="http://schemas.openxmlformats.org/officeDocument/2006/relationships/hyperlink" Target="https://doi.org/10.1016/j.actaastro.2022.03.035" TargetMode="External"/><Relationship Id="rId167" Type="http://schemas.openxmlformats.org/officeDocument/2006/relationships/hyperlink" Target="https://doi.org/10.1016/j.actaastro.2024.06.015" TargetMode="External"/><Relationship Id="rId205" Type="http://schemas.openxmlformats.org/officeDocument/2006/relationships/hyperlink" Target="https://doi.org/10.1016/j.actaastro.2024.12.056" TargetMode="External"/><Relationship Id="rId179" Type="http://schemas.openxmlformats.org/officeDocument/2006/relationships/hyperlink" Target="https://doi.org/10.1016/j.actaastro.2025.09.078" TargetMode="External"/><Relationship Id="rId203" Type="http://schemas.openxmlformats.org/officeDocument/2006/relationships/hyperlink" Target="https://doi.org/10.1016/j.actaastro.2025.11.074" TargetMode="External"/><Relationship Id="rId158" Type="http://schemas.openxmlformats.org/officeDocument/2006/relationships/hyperlink" Target="https://doi.org/10.64861/BJQM5480" TargetMode="External"/><Relationship Id="rId189" Type="http://schemas.openxmlformats.org/officeDocument/2006/relationships/hyperlink" Target="https://doi.org/10.64861/CESX4520" TargetMode="External"/><Relationship Id="rId161" Type="http://schemas.openxmlformats.org/officeDocument/2006/relationships/hyperlink" Target="https://doi.org/10.64861/IIRV1868" TargetMode="External"/><Relationship Id="rId197" Type="http://schemas.openxmlformats.org/officeDocument/2006/relationships/hyperlink" Target="https://doi.org/10.64861/QAOZ6812" TargetMode="External"/><Relationship Id="rId169" Type="http://schemas.openxmlformats.org/officeDocument/2006/relationships/hyperlink" Target="https://doi.org/10.64861/SIJX9169" TargetMode="External"/><Relationship Id="rId165" Type="http://schemas.openxmlformats.org/officeDocument/2006/relationships/hyperlink" Target="https://doi.org/10.64861/UONC7890" TargetMode="External"/><Relationship Id="rId163" Type="http://schemas.openxmlformats.org/officeDocument/2006/relationships/hyperlink" Target="https://doi.org/10.64861/VJBP8309" TargetMode="External"/></Relationships>
</file>

<file path=word/_rels/footnotes.xml.rels><?xml version='1.0' encoding='UTF-8' standalone='yes'?>
<Relationships xmlns="http://schemas.openxmlformats.org/package/2006/relationships"><Relationship Id="rId209" Type="http://schemas.openxmlformats.org/officeDocument/2006/relationships/hyperlink" Target="https://doi.org/10.1016/j.actaastro.2020.05.063" TargetMode="External"/><Relationship Id="rId207" Type="http://schemas.openxmlformats.org/officeDocument/2006/relationships/hyperlink" Target="https://doi.org/10.1016/j.actaastro.2021.01.026" TargetMode="External"/><Relationship Id="rId211" Type="http://schemas.openxmlformats.org/officeDocument/2006/relationships/hyperlink" Target="https://doi.org/10.1016/j.actaastro.2021.03.030" TargetMode="External"/><Relationship Id="rId200" Type="http://schemas.openxmlformats.org/officeDocument/2006/relationships/hyperlink" Target="https://doi.org/10.1016/j.actaastro.2022.03.035" TargetMode="External"/><Relationship Id="rId167" Type="http://schemas.openxmlformats.org/officeDocument/2006/relationships/hyperlink" Target="https://doi.org/10.1016/j.actaastro.2024.06.015" TargetMode="External"/><Relationship Id="rId205" Type="http://schemas.openxmlformats.org/officeDocument/2006/relationships/hyperlink" Target="https://doi.org/10.1016/j.actaastro.2024.12.056" TargetMode="External"/><Relationship Id="rId179" Type="http://schemas.openxmlformats.org/officeDocument/2006/relationships/hyperlink" Target="https://doi.org/10.1016/j.actaastro.2025.09.078" TargetMode="External"/><Relationship Id="rId203" Type="http://schemas.openxmlformats.org/officeDocument/2006/relationships/hyperlink" Target="https://doi.org/10.1016/j.actaastro.2025.11.074" TargetMode="External"/><Relationship Id="rId158" Type="http://schemas.openxmlformats.org/officeDocument/2006/relationships/hyperlink" Target="https://doi.org/10.64861/BJQM5480" TargetMode="External"/><Relationship Id="rId189" Type="http://schemas.openxmlformats.org/officeDocument/2006/relationships/hyperlink" Target="https://doi.org/10.64861/CESX4520" TargetMode="External"/><Relationship Id="rId161" Type="http://schemas.openxmlformats.org/officeDocument/2006/relationships/hyperlink" Target="https://doi.org/10.64861/IIRV1868" TargetMode="External"/><Relationship Id="rId197" Type="http://schemas.openxmlformats.org/officeDocument/2006/relationships/hyperlink" Target="https://doi.org/10.64861/QAOZ6812" TargetMode="External"/><Relationship Id="rId169" Type="http://schemas.openxmlformats.org/officeDocument/2006/relationships/hyperlink" Target="https://doi.org/10.64861/SIJX9169" TargetMode="External"/><Relationship Id="rId165" Type="http://schemas.openxmlformats.org/officeDocument/2006/relationships/hyperlink" Target="https://doi.org/10.64861/UONC7890" TargetMode="External"/><Relationship Id="rId163" Type="http://schemas.openxmlformats.org/officeDocument/2006/relationships/hyperlink" Target="https://doi.org/10.64861/VJBP83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 Custody Gaps: Quantifying the Observability Half-Life of Cislunar Objects</dc:title>
  <dc:creator>Idris Lund (1B-SDA-094)</dc:creator>
  <cp:keywords/>
  <dcterms:created xsi:type="dcterms:W3CDTF">2026-07-02T17:19:08Z</dcterms:created>
  <dcterms:modified xsi:type="dcterms:W3CDTF">2026-07-02T17:19:08Z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