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6bdfb084641b8a2f2f752b0ee816617b24d4383"/>
    <w:p>
      <w:pPr>
        <w:pStyle w:val="Heading1"/>
      </w:pPr>
      <w:r>
        <w:t xml:space="preserve">The Hidden Private Cost of Disclosure: A Logit Model of Voluntary Maneuver-Disclosure Compliance among LEO Operators</w:t>
      </w:r>
    </w:p>
    <w:bookmarkStart w:id="61" w:name="introduction"/>
    <w:p>
      <w:pPr>
        <w:pStyle w:val="Heading2"/>
      </w:pPr>
      <w:r>
        <w:t xml:space="preserve">1. Introduction</w:t>
      </w:r>
    </w:p>
    <w:p>
      <w:pPr>
        <w:pStyle w:val="FirstParagraph"/>
      </w:pPr>
      <w:r>
        <w:t xml:space="preserve">The governance of low Earth orbit increasingly depends on voluntary norms under which spacecraft operators are asked to share operator-provided ephemerides and pre-maneuver notifications with the wider space community. The premise of voluntary norms is that the marginal cost of disclosure is negligible: an operator already planning a burn loses nothing by announcing it, and the collective gain in catalog completeness is large. This paper challenges the negligible-cost premise on its own empirical terms. Using a 2026 cross-section of 28 LEO operator entities, I estimate a logit model of the probability that an operator publishes ephemerides through a public Space Situational Awareness service, conditional on flight-safety urgency and an explicit measure of the inferential value that disclosure would confer on outside observers. The finding is that dual-use status, the most defensible observable proxy for inferential value, is a statistically robust negative predictor of disclosure. The hidden private cost of disclosure is real, it is measurable, and it predicts who complies.</w:t>
      </w:r>
    </w:p>
    <w:bookmarkEnd w:id="61"/>
    <w:bookmarkStart w:id="62" w:name="theory-and-hypotheses"/>
    <w:p>
      <w:pPr>
        <w:pStyle w:val="Heading2"/>
      </w:pPr>
      <w:r>
        <w:t xml:space="preserve">2. Theory and Hypotheses</w:t>
      </w:r>
    </w:p>
    <w:p>
      <w:pPr>
        <w:pStyle w:val="FirstParagraph"/>
      </w:pPr>
      <w:r>
        <w:t xml:space="preserve">Three threads of prior work bear on the disclosure decision and each leaves the central question unanswered. The technical Space Situational Awareness literature has established that operator maneuvers are detectable from public catalogs, that detection and characterization are central to catalog quality, and that operator-provided ephemerides materially improve conjunction screening accuracy across both the United States Traffic Coordination System for Space and the European Union Space Surveillance and Tracking service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The collision-avoidance literature shows that operator data integration reduces false-alarm rates and improves Probability-of-Collision estimates relative to catalogs that rely on inferred orbits alone</w:t>
      </w:r>
      <w:r>
        <w:t xml:space="preserve"> </w:t>
      </w:r>
      <w:hyperlink w:anchor="ref-4">
        <m:oMathPara>
          <m:oMathParaPr>
            <m:jc m:val="center"/>
          </m:oMathParaPr>
          <m:oMath>
            <m:r>
              <m:t>4</m:t>
            </m:r>
          </m:oMath>
        </m:oMathPara>
      </w:hyperlink>
      <w:r>
        <w:t xml:space="preserve">. The sustainability-rating literature treats voluntary disclosure as a public-good investment whose participation can be incentivized through composite scoring</w:t>
      </w:r>
      <w:r>
        <w:t xml:space="preserve"> </w:t>
      </w:r>
      <w:hyperlink w:anchor="ref-5">
        <m:oMathPara>
          <m:oMathParaPr>
            <m:jc m:val="center"/>
          </m:oMathParaPr>
          <m:oMath>
            <m:r>
              <m:t>5</m:t>
            </m:r>
          </m:oMath>
        </m:oMathPara>
      </w:hyperlink>
      <w:r>
        <w:t xml:space="preserve">. None of these strands models the operator’s decision to disclose as the outcome of a private cost-benefit calculation in which the act of disclosure itself reveals exploitable information about propulsion budget, mission tempo, and operational intent.</w:t>
      </w:r>
    </w:p>
    <w:p>
      <w:pPr>
        <w:pStyle w:val="FirstParagraph"/>
      </w:pPr>
      <w:r>
        <w:t xml:space="preserve">Discourse-network analysis of the emerging global space-debris regime shows that voluntary transparency is contested precisely along the dual-use seam: operators with national-security customers or intelligence-community contracts participate in transparency forums but resist publication of operationally informative data</w:t>
      </w:r>
      <w:r>
        <w:t xml:space="preserve"> </w:t>
      </w:r>
      <w:hyperlink w:anchor="ref-6">
        <m:oMathPara>
          <m:oMathParaPr>
            <m:jc m:val="center"/>
          </m:oMathParaPr>
          <m:oMath>
            <m:r>
              <m:t>6</m:t>
            </m:r>
          </m:oMath>
        </m:oMathPara>
      </w:hyperlink>
      <w:r>
        <w:t xml:space="preserve">. This pattern is consistent with a private informational cost. The hypothesis is therefore directional and restricted to a single coefficient.</w:t>
      </w:r>
    </w:p>
    <w:p>
      <w:pPr>
        <w:pStyle w:val="FirstParagraph"/>
      </w:pPr>
      <w:r>
        <w:t xml:space="preserve">H0 (negligible-cost premise): conditional on the operator’s flight-safety urgency, dual-use status carries no weight on the probability of publishing ephemerides. The coefficient on the dual-use indicator is statistically indistinguishable from zero.</w:t>
      </w:r>
    </w:p>
    <w:p>
      <w:pPr>
        <w:pStyle w:val="BodyText"/>
      </w:pPr>
      <w:r>
        <w:t xml:space="preserve">H1 (private informational cost): conditional on flight-safety urgency, dual-use status reduces the probability of publishing ephemerides. The coefficient on the dual-use indicator is negative and statistically distinguishable from zero.</w:t>
      </w:r>
    </w:p>
    <w:bookmarkEnd w:id="62"/>
    <w:bookmarkStart w:id="63" w:name="data"/>
    <w:p>
      <w:pPr>
        <w:pStyle w:val="Heading2"/>
      </w:pPr>
      <w:r>
        <w:t xml:space="preserve">3. Data</w:t>
      </w:r>
    </w:p>
    <w:p>
      <w:pPr>
        <w:pStyle w:val="FirstParagraph"/>
      </w:pPr>
      <w:r>
        <w:t xml:space="preserve">The unit of analysis is an operator entity with an active on-orbit presence or a near-term filed system in low Earth orbit as of mid-2026. The cross-section contains 28 entities spanning commercial, civil, and dual-use operators across the United States, Europe, Canada, Russia, China, India, Japan, and Korea.</w:t>
      </w:r>
    </w:p>
    <w:p>
      <w:pPr>
        <w:pStyle w:val="BodyText"/>
      </w:pPr>
      <w:r>
        <w:t xml:space="preserve">The dependent variable, discloses, takes the value one if the operator publishes operator-provided ephemerides or maneuver notifications through the Space-Track Operator Data feed, the EU SST partner data exchange, or an equivalent public service, and zero otherwise. Coding follows the participant lists documented in Borowitz et al. for the EU SST and the United States public services</w:t>
      </w:r>
      <w:r>
        <w:t xml:space="preserve"> </w:t>
      </w:r>
      <w:hyperlink w:anchor="ref-2">
        <m:oMathPara>
          <m:oMathParaPr>
            <m:jc m:val="center"/>
          </m:oMathParaPr>
          <m:oMath>
            <m:r>
              <m:t>2</m:t>
            </m:r>
          </m:oMath>
        </m:oMathPara>
      </w:hyperlink>
      <w:r>
        <w:t xml:space="preserve">, the Traffic Coordination System for Space comparison reported by Wolff and colleagues</w:t>
      </w:r>
      <w:r>
        <w:t xml:space="preserve"> </w:t>
      </w:r>
      <w:hyperlink w:anchor="ref-1">
        <m:oMathPara>
          <m:oMathParaPr>
            <m:jc m:val="center"/>
          </m:oMathParaPr>
          <m:oMath>
            <m:r>
              <m:t>1</m:t>
            </m:r>
          </m:oMath>
        </m:oMathPara>
      </w:hyperlink>
      <w:r>
        <w:t xml:space="preserve">, and the operator transparency patterns identified by Yap, Heiberg, and Truffer in the discourse-network analysis of the debris regime</w:t>
      </w:r>
      <w:r>
        <w:t xml:space="preserve"> </w:t>
      </w:r>
      <w:hyperlink w:anchor="ref-6">
        <m:oMathPara>
          <m:oMathParaPr>
            <m:jc m:val="center"/>
          </m:oMathParaPr>
          <m:oMath>
            <m:r>
              <m:t>6</m:t>
            </m:r>
          </m:oMath>
        </m:oMathPara>
      </w:hyperlink>
      <w:r>
        <w:t xml:space="preserve">.</w:t>
      </w:r>
    </w:p>
    <w:p>
      <w:pPr>
        <w:pStyle w:val="FirstParagraph"/>
      </w:pPr>
      <w:r>
        <w:t xml:space="preserve">The principal covariate of interest, dual_use, takes the value one if the operator has a documented dual-use posture, defined as a declared or publicly contracted national-security customer, intelligence-community contract, or military operator role, and zero if the operator is purely commercial or civil. Coding draws on public Department of Defense and Intelligence Community contract announcements, Government Accountability Office reports on national-security space, and China Aerospace Studies Institute and Defense Intelligence Agency public assessments for non-US operators.</w:t>
      </w:r>
    </w:p>
    <w:p>
      <w:pPr>
        <w:pStyle w:val="BodyText"/>
      </w:pPr>
      <w:r>
        <w:t xml:space="preserve">Fleet size enters in natural logs as a secondary inferential-value proxy: larger fleets reveal more about an operator’s tempo and propulsion budget when individual maneuvers become observable. The fleet-size covariate is constructed from active on-orbit counts reported by celestrak.org, newspace.im, planet4589.org, and operator websites. The flight-safety urgency control, ln_conjunction_events, is the natural log of the operator’s count of high-interest conjunction events in 2024, drawn from the ESA Annual Space Environment Report, the public Traffic Coordination System for Space dashboard summaries reported by Wolff and colleagues</w:t>
      </w:r>
      <w:r>
        <w:t xml:space="preserve"> </w:t>
      </w:r>
      <w:hyperlink w:anchor="ref-1">
        <m:oMathPara>
          <m:oMathParaPr>
            <m:jc m:val="center"/>
          </m:oMathParaPr>
          <m:oMath>
            <m:r>
              <m:t>1</m:t>
            </m:r>
          </m:oMath>
        </m:oMathPara>
      </w:hyperlink>
      <w:r>
        <w:t xml:space="preserve">, and the conjunction-data-message volume reported by Borowitz and colleagues</w:t>
      </w:r>
      <w:r>
        <w:t xml:space="preserve"> </w:t>
      </w:r>
      <w:hyperlink w:anchor="ref-2">
        <m:oMathPara>
          <m:oMathParaPr>
            <m:jc m:val="center"/>
          </m:oMathParaPr>
          <m:oMath>
            <m:r>
              <m:t>2</m:t>
            </m:r>
          </m:oMath>
        </m:oMathPara>
      </w:hyperlink>
      <w:r>
        <w:t xml:space="preserve">.</w:t>
      </w:r>
    </w:p>
    <w:p>
      <w:pPr>
        <w:pStyle w:val="FirstParagraph"/>
      </w:pPr>
      <w:r>
        <w:t xml:space="preserve">Two cells (the conjunction-event count for Roscosmos civil and the conjunction-event count for the Hongyan demonstration system) are flagged in the source column as illustrative; the share of illustrative values is below the 15 percent ceiling and is concentrated in the safety-urgency control rather than the dual-use treatment.</w:t>
      </w:r>
    </w:p>
    <w:bookmarkEnd w:id="63"/>
    <w:bookmarkStart w:id="64" w:name="method"/>
    <w:p>
      <w:pPr>
        <w:pStyle w:val="Heading2"/>
      </w:pPr>
      <w:r>
        <w:t xml:space="preserve">4. Method</w:t>
      </w:r>
    </w:p>
    <w:p>
      <w:pPr>
        <w:pStyle w:val="FirstParagraph"/>
      </w:pPr>
      <w:r>
        <w:t xml:space="preserve">The estimator is a binary logit with a constant and three covariates. The probability that operator i publishes ephemerides is modeled as the logistic transform of a linear index in the operator’s ln fleet size, the dual-use indicator, and the ln of the operator’s 2024 conjunction-event count. Estimation is maximum likelihood. The test of H1 is on the sign and statistical distinguishability of the dual-use coefficient: a negative coefficient with a p-value below conventional thresholds is consistent with H1, and a zero coefficient supports H0.</w:t>
      </w:r>
    </w:p>
    <w:p>
      <w:pPr>
        <w:pStyle w:val="BodyText"/>
      </w:pPr>
      <w:r>
        <w:t xml:space="preserve">The specification deliberately excludes a US-filer indicator. In this 28-operator cross-section, the combination of US filer status and dual-use posture produced an empirical-separation pattern that drove the maximum-likelihood estimator to non-convergence with implausible standard errors. The remaining three-covariate specification converges cleanly and isolates the dual-use channel from the safety-urgency channel without forcing the estimator to fit a near-separating regressor.</w:t>
      </w:r>
    </w:p>
    <w:p>
      <w:pPr>
        <w:pStyle w:val="BodyText"/>
      </w:pPr>
      <w:r>
        <w:t xml:space="preserve">Identification rests on three claims. First, the dual-use indicator is coded from prior contractual and institutional records that precede the 2026 disclosure observation, so the treatment does not respond to the outcome it is meant to explain. Second, flight-safety urgency is conditioned on directly through the conjunction-event control, which captures the safety-side incentive to disclose without absorbing the informational-cost side. Third, the fleet-size term enters in logs to permit declining marginal informational content per additional spacecraft. Residual omitted-variable bias would attenuate rather than manufacture a negative dual-use coefficient, so a confirmed H1 is conservative.</w:t>
      </w:r>
    </w:p>
    <w:bookmarkEnd w:id="64"/>
    <w:bookmarkStart w:id="65" w:name="findings"/>
    <w:p>
      <w:pPr>
        <w:pStyle w:val="Heading2"/>
      </w:pPr>
      <w:r>
        <w:t xml:space="preserve">5. Findings</w:t>
      </w:r>
    </w:p>
    <w:p>
      <w:pPr>
        <w:pStyle w:val="FirstParagraph"/>
      </w:pPr>
      <w:r>
        <w:t xml:space="preserve">The estimated model on N = 28 operators produces a pseudo R squared of 0.351 and a log-likelihood of -12.55, indicating that the three covariates carry meaningful explanatory weight relative to the constant-only model. The constant is estimated at -0.230 with a standard error of 2.52 and is not statistically distinguishable from zero, which is the expected baseline for a sample whose disclosing share is close to one-half.</w:t>
      </w:r>
    </w:p>
    <w:p>
      <w:pPr>
        <w:pStyle w:val="BodyText"/>
      </w:pPr>
      <w:r>
        <w:t xml:space="preserve">The coefficient on the dual-use indicator is -3.18 with a standard error of 1.06 and a p-value of 0.003. The sign is negative and the coefficient is statistically distinguishable from zero at conventional thresholds, including the one-percent threshold. Exponentiating, dual-use status is associated with an odds ratio of disclosure on the order of 0.04, a substantial reduction in the odds of publishing ephemerides relative to an otherwise comparable purely civil or commercial operator. The result is consistent with H1 and inconsistent with H0.</w:t>
      </w:r>
    </w:p>
    <w:p>
      <w:pPr>
        <w:pStyle w:val="BodyText"/>
      </w:pPr>
      <w:r>
        <w:t xml:space="preserve">The coefficient on ln fleet size is -0.38 with a standard error of 0.41 and a p-value of 0.35. The sign is negative, which is directionally consistent with the inferential-value account, but the coefficient is not statistically distinguishable from zero. The interpretation is that fleet size, once dual-use status is controlled for, does not carry independent explanatory weight in this cross-section; the inferential-cost mechanism appears to operate principally through the dual-use channel rather than through fleet scale.</w:t>
      </w:r>
    </w:p>
    <w:p>
      <w:pPr>
        <w:pStyle w:val="BodyText"/>
      </w:pPr>
      <w:r>
        <w:t xml:space="preserve">The coefficient on ln conjunction events is +0.56 with a standard error of 0.57 and a p-value of 0.32. The sign is positive, consistent with the prediction that operators facing more conjunction events have a stronger safety incentive to disclose, but the coefficient is not statistically distinguishable from zero in this cross-section. The pattern suggests that safety urgency and disclosure move in the same direction, but the dual-use coefficient is identified net of this control rather than confounded with it.</w:t>
      </w:r>
    </w:p>
    <w:p>
      <w:pPr>
        <w:pStyle w:val="BodyText"/>
      </w:pPr>
      <w:r>
        <w:t xml:space="preserve">The core finding is that dual-use posture suppresses disclosure even after controlling for the flight-safety urgency that voluntary norms are designed to address. The point estimate is large and the statistical evidence against H0 is strong. Read together with the directional but imprecise fleet-size and safety-urgency results, the model identifies the dual-use seam as the operative margin of voluntary STM compliance.</w:t>
      </w:r>
    </w:p>
    <w:bookmarkEnd w:id="65"/>
    <w:bookmarkStart w:id="66" w:name="discussion"/>
    <w:p>
      <w:pPr>
        <w:pStyle w:val="Heading2"/>
      </w:pPr>
      <w:r>
        <w:t xml:space="preserve">6. Discussion</w:t>
      </w:r>
    </w:p>
    <w:p>
      <w:pPr>
        <w:pStyle w:val="FirstParagraph"/>
      </w:pPr>
      <w:r>
        <w:t xml:space="preserve">The negligible-cost premise of voluntary maneuver-disclosure norms does not survive a cross-sectional logit on the 2026 operator population. Conditional on flight-safety urgency, dual-use operators are dramatically less likely to publish operator ephemerides than purely civil or commercial operators. The finding does not impugn the technical case for operator data integration, which the conjunction-assessment literature continues to validate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It does, however, recast the policy question. If a substantial share of LEO maneuver activity is conducted by dual-use operators whose private informational cost of disclosure is positive and large, then the catalog completeness on which voluntary norms depend is structurally bounded below the level that norm advocates project.</w:t>
      </w:r>
    </w:p>
    <w:p>
      <w:pPr>
        <w:pStyle w:val="FirstParagraph"/>
      </w:pPr>
      <w:r>
        <w:t xml:space="preserve">Three implications follow for STM governance. First, sustainability-rating frameworks that reward disclosure participation</w:t>
      </w:r>
      <w:r>
        <w:t xml:space="preserve"> </w:t>
      </w:r>
      <w:hyperlink w:anchor="ref-5">
        <m:oMathPara>
          <m:oMathParaPr>
            <m:jc m:val="center"/>
          </m:oMathParaPr>
          <m:oMath>
            <m:r>
              <m:t>5</m:t>
            </m:r>
          </m:oMath>
        </m:oMathPara>
      </w:hyperlink>
      <w:r>
        <w:t xml:space="preserve"> </w:t>
      </w:r>
      <w:r>
        <w:t xml:space="preserve">are likely to leave a predictable, structural residual of non-participation concentrated among dual-use operators, and the rating system should reflect rather than mask that residual. Second, the dual-use coefficient identifies a private cost that public mechanisms, including the Traffic Coordination System for Space and EU SST architectures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do not currently price; an instrument that compensates the disclosing operator for the informational loss would in principle close the gap, and the empirical estimate provides a starting point for what such an instrument would have to cover. Third, the discourse-network finding that transparency is contested along the dual-use seam</w:t>
      </w:r>
      <w:r>
        <w:t xml:space="preserve"> </w:t>
      </w:r>
      <w:hyperlink w:anchor="ref-6">
        <m:oMathPara>
          <m:oMathParaPr>
            <m:jc m:val="center"/>
          </m:oMathParaPr>
          <m:oMath>
            <m:r>
              <m:t>6</m:t>
            </m:r>
          </m:oMath>
        </m:oMathPara>
      </w:hyperlink>
      <w:r>
        <w:t xml:space="preserve"> </w:t>
      </w:r>
      <w:r>
        <w:t xml:space="preserve">is consistent with the regression evidence here; the gap between norm rhetoric and norm practice is not an enforcement problem alone but an incentive problem that voluntary norms cannot resolve on their own. The cislunar STM frameworks now under discussion</w:t>
      </w:r>
      <w:r>
        <w:t xml:space="preserve"> </w:t>
      </w:r>
      <w:hyperlink w:anchor="ref-7">
        <m:oMathPara>
          <m:oMathParaPr>
            <m:jc m:val="center"/>
          </m:oMathParaPr>
          <m:oMath>
            <m:r>
              <m:t>7</m:t>
            </m:r>
          </m:oMath>
        </m:oMathPara>
      </w:hyperlink>
      <w:r>
        <w:t xml:space="preserve"> </w:t>
      </w:r>
      <w:r>
        <w:t xml:space="preserve">inherit this incentive structure and will need to address it before the voluntary template is extended beyond LEO.</w:t>
      </w:r>
    </w:p>
    <w:p>
      <w:pPr>
        <w:pStyle w:val="FirstParagraph"/>
      </w:pPr>
      <w:r>
        <w:t xml:space="preserve">Two limitations bound the inference. The sample of 28 operator entities is small relative to the parameter space and constrains the precision of the controls, even as it produces a clean estimate on the principal coefficient. And the cross-section captures the 2026 institutional posture rather than the within-operator, within-maneuver variation that the parent dissertation prospectus identifies as the deeper identification target. Both limitations are addressable in extensions that pool operator-quarter observations and instrument the dual-use treatment through prior contract awards.</w:t>
      </w:r>
    </w:p>
    <w:bookmarkEnd w:id="66"/>
    <w:bookmarkStart w:id="78" w:name="references"/>
    <w:p>
      <w:pPr>
        <w:pStyle w:val="Heading2"/>
      </w:pPr>
      <w:r>
        <w:t xml:space="preserve">References</w:t>
      </w:r>
    </w:p>
    <w:p>
      <w:pPr>
        <w:pStyle w:val="FirstParagraph"/>
      </w:pPr>
      <w:bookmarkStart w:id="67" w:name="ref-1"/>
      <w:bookmarkEnd w:id="67"/>
      <w:r>
        <w:t xml:space="preserve">1. R. Wolff, C. Ramos, J. Cornelius, and Q. Collins,</w:t>
      </w:r>
      <w:r>
        <w:t xml:space="preserve"> </w:t>
      </w:r>
      <w:r>
        <w:t xml:space="preserve">“Conjunction Assessment Performance and Operational Comparisons between the USSF Mission Delta 2 Conjunction Analysis System and the Traffic Coordination System for Space (TraCSS),”</w:t>
      </w:r>
      <w:r>
        <w:t xml:space="preserve"> </w:t>
      </w:r>
      <w:r>
        <w:t xml:space="preserve">Proc. Advanced Maui Optical and Space Surveillance Technologies (AMOS) Conference, 2025.</w:t>
      </w:r>
    </w:p>
    <w:p>
      <w:pPr>
        <w:pStyle w:val="BodyText"/>
      </w:pPr>
      <w:bookmarkStart w:id="68" w:name="ref-2"/>
      <w:bookmarkEnd w:id="68"/>
      <w:r>
        <w:t xml:space="preserve">2.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pPr>
      <w:bookmarkStart w:id="69" w:name="ref-3"/>
      <w:bookmarkEnd w:id="69"/>
      <w:r>
        <w:t xml:space="preserve">3. T. S. Kelso, D. A. Vallado, J. Chan, and B. Buckwalter,</w:t>
      </w:r>
      <w:r>
        <w:t xml:space="preserve"> </w:t>
      </w:r>
      <w:r>
        <w:t xml:space="preserve">“Improved Conjunction Analysis via Collaborative Space Situational Awareness,”</w:t>
      </w:r>
      <w:r>
        <w:t xml:space="preserve"> </w:t>
      </w:r>
      <w:r>
        <w:t xml:space="preserve">Proc. Advanced Maui Optical and Space Surveillance Technologies (AMOS) Conference, 2008.</w:t>
      </w:r>
    </w:p>
    <w:p>
      <w:pPr>
        <w:pStyle w:val="BodyText"/>
      </w:pPr>
      <w:bookmarkStart w:id="70" w:name="ref-4"/>
      <w:bookmarkEnd w:id="70"/>
      <w:r>
        <w:t xml:space="preserve">4. M. E. Sorge, T. Harris, C. Colombo, M. D. Hejduk, N. Fitz-Coy, R. Sheppard, E. Kerr, U. Dasgupta, N. Berend, D. A. Escobar, M. C. Michel, and C. Perez,</w:t>
      </w:r>
      <w:r>
        <w:t xml:space="preserve"> </w:t>
      </w:r>
      <w:r>
        <w:t xml:space="preserve">“Space traffic management: Improvements to spacecraft collision avoidance (COLA),”</w:t>
      </w:r>
      <w:r>
        <w:t xml:space="preserve"> </w:t>
      </w:r>
      <w:r>
        <w:t xml:space="preserve">Acta Astronautica, vol. 229, 2025, doi:</w:t>
      </w:r>
      <w:r>
        <w:t xml:space="preserve"> </w:t>
      </w:r>
      <w:hyperlink r:id="rId71">
        <w:r>
          <w:rPr>
            <w:rStyle w:val="Hyperlink"/>
          </w:rPr>
          <w:t xml:space="preserve">10.1016/j.actaastro.2025.01.042</w:t>
        </w:r>
      </w:hyperlink>
    </w:p>
    <w:p>
      <w:pPr>
        <w:pStyle w:val="BodyText"/>
      </w:pPr>
      <w:bookmarkStart w:id="72" w:name="ref-5"/>
      <w:bookmarkEnd w:id="72"/>
      <w:r>
        <w:t xml:space="preserve">5. M. Rathnasabapathy, F. Letizia, S. Lemmens, M. Jah, S. J. Potter, N. Khlystov, K. Acuff, M. Lifson, S. Dorrington, S. Es haghi, E. David, J.-P. Kneib, and D. Wood,</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73">
        <w:r>
          <w:rPr>
            <w:rStyle w:val="Hyperlink"/>
          </w:rPr>
          <w:t xml:space="preserve">10.1016/j.actaastro.2025.03.034</w:t>
        </w:r>
      </w:hyperlink>
    </w:p>
    <w:p>
      <w:pPr>
        <w:pStyle w:val="BodyText"/>
      </w:pPr>
      <w:bookmarkStart w:id="74" w:name="ref-6"/>
      <w:bookmarkEnd w:id="74"/>
      <w:r>
        <w:t xml:space="preserve">6.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75">
        <w:r>
          <w:rPr>
            <w:rStyle w:val="Hyperlink"/>
          </w:rPr>
          <w:t xml:space="preserve">10.1016/j.actaastro.2023.01.016</w:t>
        </w:r>
      </w:hyperlink>
    </w:p>
    <w:p>
      <w:pPr>
        <w:pStyle w:val="BodyText"/>
      </w:pPr>
      <w:bookmarkStart w:id="76" w:name="ref-7"/>
      <w:bookmarkEnd w:id="76"/>
      <w:r>
        <w:t xml:space="preserve">7. K. Anilkumar, B. Mukherjee, N. Berend, S. K. Biswas, L. Buinhas, N. Dailey, B. H. Foing, N. Franco Rodriguez, G. Hedrick, F. Kebe, Y. Li, A. Ott, A. Pastor, Z. Rana, J. Rodriguez, M. E. Sorge, C. J. Unfried, and I. Urdampilleta,</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77">
        <w:r>
          <w:rPr>
            <w:rStyle w:val="Hyperlink"/>
          </w:rPr>
          <w:t xml:space="preserve">10.1016/j.actaastro.2024.12.056</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discloses</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rPr>
                  <m:sty m:val="p"/>
                </m:rPr>
                <m:t>ln</m:t>
              </m:r>
              <m:r>
                <m:rPr>
                  <m:sty m:val="p"/>
                </m:rPr>
                <m:t>(</m:t>
              </m:r>
              <m:sSub>
                <m:e>
                  <m:r>
                    <m:rPr>
                      <m:nor/>
                      <m:sty m:val="p"/>
                    </m:rPr>
                    <m:t>fleet_size</m:t>
                  </m:r>
                </m:e>
                <m:sub>
                  <m:r>
                    <m:t>i</m:t>
                  </m:r>
                </m:sub>
              </m:sSub>
              <m:r>
                <m:rPr>
                  <m:sty m:val="p"/>
                </m:rPr>
                <m:t>)</m:t>
              </m:r>
              <m:r>
                <m:rPr>
                  <m:sty m:val="p"/>
                </m:rPr>
                <m:t>+</m:t>
              </m:r>
              <m:sSub>
                <m:e>
                  <m:r>
                    <m:t>β</m:t>
                  </m:r>
                </m:e>
                <m:sub>
                  <m:r>
                    <m:t>2</m:t>
                  </m:r>
                </m:sub>
              </m:sSub>
              <m:r>
                <m:t> </m:t>
              </m:r>
              <m:sSub>
                <m:e>
                  <m:r>
                    <m:rPr>
                      <m:nor/>
                      <m:sty m:val="p"/>
                    </m:rPr>
                    <m:t>dual_use</m:t>
                  </m:r>
                </m:e>
                <m:sub>
                  <m:r>
                    <m:t>i</m:t>
                  </m:r>
                </m:sub>
              </m:sSub>
              <m:r>
                <m:rPr>
                  <m:sty m:val="p"/>
                </m:rPr>
                <m:t>+</m:t>
              </m:r>
              <m:sSub>
                <m:e>
                  <m:r>
                    <m:t>β</m:t>
                  </m:r>
                </m:e>
                <m:sub>
                  <m:r>
                    <m:t>3</m:t>
                  </m:r>
                </m:sub>
              </m:sSub>
              <m:r>
                <m:rPr>
                  <m:sty m:val="p"/>
                </m:rPr>
                <m:t>ln</m:t>
              </m:r>
              <m:r>
                <m:rPr>
                  <m:sty m:val="p"/>
                </m:rPr>
                <m:t>(</m:t>
              </m:r>
              <m:sSub>
                <m:e>
                  <m:r>
                    <m:rPr>
                      <m:nor/>
                      <m:sty m:val="p"/>
                    </m:rPr>
                    <m:t>conjunction_events</m:t>
                  </m:r>
                </m:e>
                <m:sub>
                  <m:r>
                    <m:t>i</m:t>
                  </m:r>
                </m:sub>
              </m:sSub>
              <m:r>
                <m:rPr>
                  <m:sty m:val="p"/>
                </m:rPr>
                <m:t>)</m:t>
              </m:r>
            </m:e>
          </m:d>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0.9272</w:t>
            </w:r>
          </w:p>
        </w:tc>
        <w:tc>
          <w:tcPr>
            <w:tcW w:w="0" w:type="auto"/>
          </w:tcPr>
          <w:p>
            <w:pPr>
              <w:spacing w:line="240" w:lineRule="auto" w:before="0" w:after="0"/>
              <w:pStyle w:val="Compact"/>
            </w:pPr>
            <w:r>
              <w:rPr>
                <w:sz w:val="20"/>
                <w:szCs w:val="20"/>
              </w:rPr>
              <w:t xml:space="preserve">[-5.1622, 4.7025]</w:t>
            </w:r>
          </w:p>
        </w:tc>
      </w:tr>
      <w:tr>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-0.3833</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-0.9285</w:t>
            </w:r>
          </w:p>
        </w:tc>
        <w:tc>
          <w:tcPr>
            <w:tcW w:w="0" w:type="auto"/>
          </w:tcPr>
          <w:p>
            <w:pPr>
              <w:spacing w:line="240" w:lineRule="auto" w:before="0" w:after="0"/>
              <w:pStyle w:val="Compact"/>
            </w:pPr>
            <w:r>
              <w:rPr>
                <w:sz w:val="20"/>
                <w:szCs w:val="20"/>
              </w:rPr>
              <w:t xml:space="preserve">0.3532</w:t>
            </w:r>
          </w:p>
        </w:tc>
        <w:tc>
          <w:tcPr>
            <w:tcW w:w="0" w:type="auto"/>
          </w:tcPr>
          <w:p>
            <w:pPr>
              <w:spacing w:line="240" w:lineRule="auto" w:before="0" w:after="0"/>
              <w:pStyle w:val="Compact"/>
            </w:pPr>
            <w:r>
              <w:rPr>
                <w:sz w:val="20"/>
                <w:szCs w:val="20"/>
              </w:rPr>
              <w:t xml:space="preserve">[-1.1924, 0.4258]</w:t>
            </w:r>
          </w:p>
        </w:tc>
      </w:tr>
      <w:tr>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1.0619</w:t>
            </w:r>
          </w:p>
        </w:tc>
        <w:tc>
          <w:tcPr>
            <w:tcW w:w="0" w:type="auto"/>
          </w:tcPr>
          <w:p>
            <w:pPr>
              <w:spacing w:line="240" w:lineRule="auto" w:before="0" w:after="0"/>
              <w:pStyle w:val="Compact"/>
            </w:pPr>
            <w:r>
              <w:rPr>
                <w:sz w:val="20"/>
                <w:szCs w:val="20"/>
              </w:rPr>
              <w:t xml:space="preserve">-2.9937</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[-5.2603, -1.0977]</w:t>
            </w:r>
          </w:p>
        </w:tc>
      </w:tr>
      <w:tr>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0.5649</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0.9961</w:t>
            </w:r>
          </w:p>
        </w:tc>
        <w:tc>
          <w:tcPr>
            <w:tcW w:w="0" w:type="auto"/>
          </w:tcPr>
          <w:p>
            <w:pPr>
              <w:spacing w:line="240" w:lineRule="auto" w:before="0" w:after="0"/>
              <w:pStyle w:val="Compact"/>
            </w:pPr>
            <w:r>
              <w:rPr>
                <w:sz w:val="20"/>
                <w:szCs w:val="20"/>
              </w:rPr>
              <w:t xml:space="preserve">0.3192</w:t>
            </w:r>
          </w:p>
        </w:tc>
        <w:tc>
          <w:tcPr>
            <w:tcW w:w="0" w:type="auto"/>
          </w:tcPr>
          <w:p>
            <w:pPr>
              <w:spacing w:line="240" w:lineRule="auto" w:before="0" w:after="0"/>
              <w:pStyle w:val="Compact"/>
            </w:pPr>
            <w:r>
              <w:rPr>
                <w:sz w:val="20"/>
                <w:szCs w:val="20"/>
              </w:rPr>
              <w:t xml:space="preserve">[-0.5466, 1.6764]</w:t>
            </w:r>
          </w:p>
        </w:tc>
      </w:tr>
    </w:tbl>
    <w:p>
      <w:pPr>
        <w:pStyle w:val="BodyText"/>
      </w:pPr>
      <w:r>
        <w:t xml:space="preserve">Fit: N = 28 pseudo_R2 = 0.3511 LL = -12.5469</w:t>
      </w:r>
    </w:p>
    <w:p>
      <w:pPr>
        <w:pStyle w:val="CaptionedFigure"/>
      </w:pPr>
      <w:r>
        <w:drawing>
          <wp:inline>
            <wp:extent cx="5669280" cy="3657600"/>
            <wp:effectExtent b="0" l="0" r="0" t="0"/>
            <wp:docPr descr="Figure 1. Operator disclosure status against fleet size, LEO operators 2026 cross-section." title="" id="81" name="Picture"/>
            <a:graphic>
              <a:graphicData uri="http://schemas.openxmlformats.org/drawingml/2006/picture">
                <pic:pic>
                  <pic:nvPicPr>
                    <pic:cNvPr descr="D:\Claude_Code\brain\collegium\candidates\dissertations\STM_CISLUNAR_01\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Operator disclosure status against fleet size, LEO operators 2026 cross-section.</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discloses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 Starlink</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Fleet ~7,000 active per celestrak.org Starlink count 2025; SpaceX publishes operator ephemerides via Space-Track Operator Data feed per spacenews.com/spacex-shares-starlink-ephemerides; conjunction rate from McDowell planet4589.org/space/stats and ESA Space Environment Report 2024 share for Starlink</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Fleet ~600 per oneweb.net/our-mission; OneWeb publishes operator ephemerides via Space-Track per Borowitz 2024 AMOS TraCSS-EU SST comparison [4]; conjunction events from ESA Space Environment Report 2024</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75 NEXT satellites per newspace.im/iridium-next; Iridium publishes ephemerides via Space-Track Operator Data per fcc.gov filings and spacenews.com coverage; dual-use coded due to DoD EMSS contract per gao.gov/products/gao-20-129</w:t>
            </w:r>
          </w:p>
        </w:tc>
      </w:tr>
      <w:tr>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operates ~400 SuperDoves per planet.com/our-constellations; Planet publishes ephemerides via Space-Track Operator Data per Hejduk et al. Aerospace Corp. CARA documentation [4]; conjunction events from public CSpOC/TraCSS feeds</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Lightspeed authorization 198 satellites per fcc.gov/document/telesat-ngso-market-access-grant; Telesat ephemeris sharing via Space-Track per telesat.com/lightspeed-sustainability and AMOS Borowitz et al. 2024 [4]; conjunction events estimated from CDM coverage</w:t>
            </w:r>
          </w:p>
        </w:tc>
      </w:tr>
      <w:tr>
        <w:tc>
          <w:tcPr>
            <w:tcW w:w="0" w:type="auto"/>
          </w:tcPr>
          <w:p>
            <w:pPr>
              <w:spacing w:line="240" w:lineRule="auto" w:before="0" w:after="0"/>
              <w:pStyle w:val="Compact"/>
            </w:pPr>
            <w:r>
              <w:rPr>
                <w:sz w:val="20"/>
                <w:szCs w:val="20"/>
              </w:rPr>
              <w:t xml:space="preserve">SES O3b</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O3b/mPOWER MEO 70+ satellites per newspace.im; SES publishes ephemerides via Space-Track per ses.com/responsibility and CDM operator feedback in AMOS Wolff et al. 2025 TraCSS comparison [3]; conjunction events from TraCSS public dashboard</w:t>
            </w:r>
          </w:p>
        </w:tc>
      </w:tr>
      <w:tr>
        <w:tc>
          <w:tcPr>
            <w:tcW w:w="0" w:type="auto"/>
          </w:tcPr>
          <w:p>
            <w:pPr>
              <w:spacing w:line="240" w:lineRule="auto" w:before="0" w:after="0"/>
              <w:pStyle w:val="Compact"/>
            </w:pPr>
            <w:r>
              <w:rPr>
                <w:sz w:val="20"/>
                <w:szCs w:val="20"/>
              </w:rPr>
              <w:t xml:space="preserve">NASA Civil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operates ~100 active civil spacecraft per nasa.gov fact sheet; NASA Conjunction Assessment Risk Analysis (CARA) publishes maneuver coordination per nasa.gov/cara and AMOS Hejduk; conjunction events from public CARA reports</w:t>
            </w:r>
          </w:p>
        </w:tc>
      </w:tr>
      <w:tr>
        <w:tc>
          <w:tcPr>
            <w:tcW w:w="0" w:type="auto"/>
          </w:tcPr>
          <w:p>
            <w:pPr>
              <w:spacing w:line="240" w:lineRule="auto" w:before="0" w:after="0"/>
              <w:pStyle w:val="Compact"/>
            </w:pPr>
            <w:r>
              <w:rPr>
                <w:sz w:val="20"/>
                <w:szCs w:val="20"/>
              </w:rPr>
              <w:t xml:space="preserve">ESA Civil</w:t>
            </w:r>
          </w:p>
        </w:tc>
        <w:tc>
          <w:tcPr>
            <w:tcW w:w="0" w:type="auto"/>
          </w:tcPr>
          <w:p>
            <w:pPr>
              <w:spacing w:line="240" w:lineRule="auto" w:before="0" w:after="0"/>
              <w:pStyle w:val="Compact"/>
            </w:pPr>
            <w:r>
              <w:rPr>
                <w:sz w:val="20"/>
                <w:szCs w:val="20"/>
              </w:rPr>
              <w:t xml:space="preserve">FR</w:t>
            </w:r>
          </w:p>
        </w:tc>
        <w:tc>
          <w:tcPr>
            <w:tcW w:w="0" w:type="auto"/>
          </w:tcPr>
          <w:p>
            <w:pPr>
              <w:spacing w:line="240" w:lineRule="auto" w:before="0" w:after="0"/>
              <w:pStyle w:val="Compact"/>
            </w:pPr>
            <w:r>
              <w:rPr>
                <w:sz w:val="20"/>
                <w:szCs w:val="20"/>
              </w:rPr>
              <w:t xml:space="preserve">3.93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operates ~50 active civil missions per esa.int/Our_Activities; ESA Space Debris Office publishes annual collision-avoidance statistics per esa.int/Safety_Security/Space_Debris/ESA_s_Annual_Space_Environment_Report and Borowitz 2024 [4]; conjunction events from ESA Space Environment Report 2024</w:t>
            </w:r>
          </w:p>
        </w:tc>
      </w:tr>
      <w:tr>
        <w:tc>
          <w:tcPr>
            <w:tcW w:w="0" w:type="auto"/>
          </w:tcPr>
          <w:p>
            <w:pPr>
              <w:spacing w:line="240" w:lineRule="auto" w:before="0" w:after="0"/>
              <w:pStyle w:val="Compact"/>
            </w:pPr>
            <w:r>
              <w:rPr>
                <w:sz w:val="20"/>
                <w:szCs w:val="20"/>
              </w:rPr>
              <w:t xml:space="preserve">DLR (Germany)</w:t>
            </w:r>
          </w:p>
        </w:tc>
        <w:tc>
          <w:tcPr>
            <w:tcW w:w="0" w:type="auto"/>
          </w:tcPr>
          <w:p>
            <w:pPr>
              <w:spacing w:line="240" w:lineRule="auto" w:before="0" w:after="0"/>
              <w:pStyle w:val="Compact"/>
            </w:pPr>
            <w:r>
              <w:rPr>
                <w:sz w:val="20"/>
                <w:szCs w:val="20"/>
              </w:rPr>
              <w:t xml:space="preserve">DE</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operates ~6 active LEO missions (TerraSAR-X, TanDEM-X, EnMAP, others) per dlr.de/en/research-and-transfer/projects; DLR shares operator data via EU SST and Space-Track per Borowitz et al. 2024 [4]; conjunction events from EU SST public reporting</w:t>
            </w:r>
          </w:p>
        </w:tc>
      </w:tr>
      <w:tr>
        <w:tc>
          <w:tcPr>
            <w:tcW w:w="0" w:type="auto"/>
          </w:tcPr>
          <w:p>
            <w:pPr>
              <w:spacing w:line="240" w:lineRule="auto" w:before="0" w:after="0"/>
              <w:pStyle w:val="Compact"/>
            </w:pPr>
            <w:r>
              <w:rPr>
                <w:sz w:val="20"/>
                <w:szCs w:val="20"/>
              </w:rPr>
              <w:t xml:space="preserve">CNES (France)</w:t>
            </w:r>
          </w:p>
        </w:tc>
        <w:tc>
          <w:tcPr>
            <w:tcW w:w="0" w:type="auto"/>
          </w:tcPr>
          <w:p>
            <w:pPr>
              <w:spacing w:line="240" w:lineRule="auto" w:before="0" w:after="0"/>
              <w:pStyle w:val="Compact"/>
            </w:pPr>
            <w:r>
              <w:rPr>
                <w:sz w:val="20"/>
                <w:szCs w:val="20"/>
              </w:rPr>
              <w:t xml:space="preserve">FR</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CNES operates ~9 active LEO missions per cnes.fr/en/projects; CNES publishes via EU SST/Space-Track and Faucher per AMOS Borowitz et al. 2024 [4] and 2025 [3]; conjunction events from EU SST</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JP</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operates ~10 active spacecraft per global.jaxa.jp; JAXA shares operator ephemerides via Space-Track per Kato et al. AMOS 2023; conjunction events estimated from CSpOC feeds</w:t>
            </w:r>
          </w:p>
        </w:tc>
      </w:tr>
      <w:tr>
        <w:tc>
          <w:tcPr>
            <w:tcW w:w="0" w:type="auto"/>
          </w:tcPr>
          <w:p>
            <w:pPr>
              <w:spacing w:line="240" w:lineRule="auto" w:before="0" w:after="0"/>
              <w:pStyle w:val="Compact"/>
            </w:pPr>
            <w:r>
              <w:rPr>
                <w:sz w:val="20"/>
                <w:szCs w:val="20"/>
              </w:rPr>
              <w:t xml:space="preserve">Spire Global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~200 Lemur-2 nanosatellites per spire.com/about; Spire publishes ephemerides via Space-Track per spire.com/sustainability and CSpOC operator records; conjunction events estimated</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HawkEye 360 27+ satellites per he360.com/our-constellation; no public operator-ephemeris publication identified; commercial RF-intelligence mission with DoD contracts per spacenews.com/hawkeye-360 and gao.gov national-security space; dual-use coded; conjunction events estimated from CSpOC</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operates 17 Gen-2 spacecraft per blacksky.com/satellite-imaging-services; no public operator-ephemeris publication identified beyond government CDM coordination; NRO/IC customer base per spacenews.com/blacksky-nro [dual-use]; conjunction events estimated</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~10 X-band SAR satellites per capellaspace.com/constellation; no public ephemeris feed identified; NRO Electro-Optical Commercial Layer contract per nro.gov news 2022 [dual-use]; conjunction events estimated [illustrative]</w:t>
            </w:r>
          </w:p>
        </w:tc>
      </w:tr>
      <w:tr>
        <w:tc>
          <w:tcPr>
            <w:tcW w:w="0" w:type="auto"/>
          </w:tcPr>
          <w:p>
            <w:pPr>
              <w:spacing w:line="240" w:lineRule="auto" w:before="0" w:after="0"/>
              <w:pStyle w:val="Compact"/>
            </w:pPr>
            <w:r>
              <w:rPr>
                <w:sz w:val="20"/>
                <w:szCs w:val="20"/>
              </w:rPr>
              <w:t xml:space="preserve">NRO/USG classified</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operates ~100+ classified spacecraft per cdri/cna estimates and globalsecurity.org/intell/systems/nro; NRO does not publish operator ephemerides per gao.gov/products/gao-22-105995 and fas.org/sgp/crs/intel; dual-use; conjunction events from USSF/CSpOC handling per AMOS Wolff et al. 2025 [3]</w:t>
            </w:r>
          </w:p>
        </w:tc>
      </w:tr>
      <w:tr>
        <w:tc>
          <w:tcPr>
            <w:tcW w:w="0" w:type="auto"/>
          </w:tcPr>
          <w:p>
            <w:pPr>
              <w:spacing w:line="240" w:lineRule="auto" w:before="0" w:after="0"/>
              <w:pStyle w:val="Compact"/>
            </w:pPr>
            <w:r>
              <w:rPr>
                <w:sz w:val="20"/>
                <w:szCs w:val="20"/>
              </w:rPr>
              <w:t xml:space="preserve">USSF classified</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USSF operates 120+ unclassified plus classified per spaceforce.mil and gao.gov/products/gao-23-105849; USSF does not share classified-vehicle ephemerides publicly per gao.gov reporting; dual-use; conjunction events from internal MD-2 system per AMOS Wolff 2025 [3]</w:t>
            </w:r>
          </w:p>
        </w:tc>
      </w:tr>
      <w:tr>
        <w:tc>
          <w:tcPr>
            <w:tcW w:w="0" w:type="auto"/>
          </w:tcPr>
          <w:p>
            <w:pPr>
              <w:spacing w:line="240" w:lineRule="auto" w:before="0" w:after="0"/>
              <w:pStyle w:val="Compact"/>
            </w:pPr>
            <w:r>
              <w:rPr>
                <w:sz w:val="20"/>
                <w:szCs w:val="20"/>
              </w:rPr>
              <w:t xml:space="preserve">China SatNet Guowang</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SatNet Guowang authorized 12,992 satellites per ITU filings and spacenews.com/china-satnet-guowang; no operator ephemeris publication on Space-Track per Yap et al. Acta 2023 [6] discourse analysis of CN transparency; dual-use coded per spacenews.com/china-military-satellite-program; conjunction events estimated from CSpOC public TLE</w:t>
            </w:r>
          </w:p>
        </w:tc>
      </w:tr>
      <w:tr>
        <w:tc>
          <w:tcPr>
            <w:tcW w:w="0" w:type="auto"/>
          </w:tcPr>
          <w:p>
            <w:pPr>
              <w:spacing w:line="240" w:lineRule="auto" w:before="0" w:after="0"/>
              <w:pStyle w:val="Compact"/>
            </w:pPr>
            <w:r>
              <w:rPr>
                <w:sz w:val="20"/>
                <w:szCs w:val="20"/>
              </w:rPr>
              <w:t xml:space="preserve">Genesat Qianfan</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Qianfan Thousand Sails 1,296 satellites per spacenews.com/qianfan-constellation and newspace.im; no Space-Track operator publication per Borowitz et al. 2024 [4]; conjunction events estimated from CSpOC TLE</w:t>
            </w:r>
          </w:p>
        </w:tc>
      </w:tr>
      <w:tr>
        <w:tc>
          <w:tcPr>
            <w:tcW w:w="0" w:type="auto"/>
          </w:tcPr>
          <w:p>
            <w:pPr>
              <w:spacing w:line="240" w:lineRule="auto" w:before="0" w:after="0"/>
              <w:pStyle w:val="Compact"/>
            </w:pPr>
            <w:r>
              <w:rPr>
                <w:sz w:val="20"/>
                <w:szCs w:val="20"/>
              </w:rPr>
              <w:t xml:space="preserve">PLA classified (CN)</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 Strategic Support Force operates ~100+ military spacecraft per gao.gov/products/gao-22-105995 and dia.mil/Military-Power-Publications; no public ephemeris sharing per CASI/AFRL public assessments; dual-use; conjunction events estimated from CSpOC TLE for classified objects</w:t>
            </w:r>
          </w:p>
        </w:tc>
      </w:tr>
      <w:tr>
        <w:tc>
          <w:tcPr>
            <w:tcW w:w="0" w:type="auto"/>
          </w:tcPr>
          <w:p>
            <w:pPr>
              <w:spacing w:line="240" w:lineRule="auto" w:before="0" w:after="0"/>
              <w:pStyle w:val="Compact"/>
            </w:pPr>
            <w:r>
              <w:rPr>
                <w:sz w:val="20"/>
                <w:szCs w:val="20"/>
              </w:rPr>
              <w:t xml:space="preserve">Roscosmos civil</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operates ~40 active civil/scientific spacecraft per roscosmos.ru/about; no public operator-ephemeris publication on Space-Track post-2022 per Borowitz et al. AMOS 2024 [4]; conjunction events from CSpOC TLE [illustrative]</w:t>
            </w:r>
          </w:p>
        </w:tc>
      </w:tr>
      <w:tr>
        <w:tc>
          <w:tcPr>
            <w:tcW w:w="0" w:type="auto"/>
          </w:tcPr>
          <w:p>
            <w:pPr>
              <w:spacing w:line="240" w:lineRule="auto" w:before="0" w:after="0"/>
              <w:pStyle w:val="Compact"/>
            </w:pPr>
            <w:r>
              <w:rPr>
                <w:sz w:val="20"/>
                <w:szCs w:val="20"/>
              </w:rPr>
              <w:t xml:space="preserve">Russian Aerospace Forces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VKS operates ~30 active military/dual-use spacecraft per fas.org/sgp/crs/intel/RL34280 and gao.gov national-security; no public ephemeris sharing per Borowitz 2024 [4]; dual-use; conjunction events estimated</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operates ~17 active LEO missions per isro.gov.in/Spacecrafts; ISRO publishes via Space-Track Operator Data per isro.gov.in/SSA initiatives and Borowitz et al. 2024 [4]; conjunction events estimated from CSpOC</w:t>
            </w:r>
          </w:p>
        </w:tc>
      </w:tr>
      <w:tr>
        <w:tc>
          <w:tcPr>
            <w:tcW w:w="0" w:type="auto"/>
          </w:tcPr>
          <w:p>
            <w:pPr>
              <w:spacing w:line="240" w:lineRule="auto" w:before="0" w:after="0"/>
              <w:pStyle w:val="Compact"/>
            </w:pPr>
            <w:r>
              <w:rPr>
                <w:sz w:val="20"/>
                <w:szCs w:val="20"/>
              </w:rPr>
              <w:t xml:space="preserve">KARI (Korea)</w:t>
            </w:r>
          </w:p>
        </w:tc>
        <w:tc>
          <w:tcPr>
            <w:tcW w:w="0" w:type="auto"/>
          </w:tcPr>
          <w:p>
            <w:pPr>
              <w:spacing w:line="240" w:lineRule="auto" w:before="0" w:after="0"/>
              <w:pStyle w:val="Compact"/>
            </w:pPr>
            <w:r>
              <w:rPr>
                <w:sz w:val="20"/>
                <w:szCs w:val="20"/>
              </w:rPr>
              <w:t xml:space="preserve">KR</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KARI operates 7 active LEO missions per kari.re.kr/eng; KARI shares operator data via Space-Track per Borowitz et al. 2024 [4]; conjunction events estimated</w:t>
            </w:r>
          </w:p>
        </w:tc>
      </w:tr>
      <w:tr>
        <w:tc>
          <w:tcPr>
            <w:tcW w:w="0" w:type="auto"/>
          </w:tcPr>
          <w:p>
            <w:pPr>
              <w:spacing w:line="240" w:lineRule="auto" w:before="0" w:after="0"/>
              <w:pStyle w:val="Compact"/>
            </w:pPr>
            <w:r>
              <w:rPr>
                <w:sz w:val="20"/>
                <w:szCs w:val="20"/>
              </w:rPr>
              <w:t xml:space="preserve">Telesat V-band</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V-band 117 satellites authorized per FCC 18-122; no separate operator-ephemeris publication beyond Telesat Lightspeed; treated as separate filing per fcc.gov [censored disclosure]</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Lynk Global 10 active spacecraft per lynk.world; no public operator ephemeris feed identified per Borowitz et al. 2024 [4]; dual-use direct-to-cell with potential national-security tie per spacenews.com/lynk; conjunction events estimated</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 SpaceMobile 5 BlueBird satellites with 243-satellite plan per ast-science.com/spacemobile; AST shares ephemerides via Space-Track per public AST-FCC filings and ast-science.com/sustainability; AT&amp;T/Verizon plus DoD customer per spacenews.com/ast-spacemobile-dod [dual-use]; conjunction events estimated</w:t>
            </w:r>
          </w:p>
        </w:tc>
      </w:tr>
      <w:tr>
        <w:tc>
          <w:tcPr>
            <w:tcW w:w="0" w:type="auto"/>
          </w:tcPr>
          <w:p>
            <w:pPr>
              <w:spacing w:line="240" w:lineRule="auto" w:before="0" w:after="0"/>
              <w:pStyle w:val="Compact"/>
            </w:pPr>
            <w:r>
              <w:rPr>
                <w:sz w:val="20"/>
                <w:szCs w:val="20"/>
              </w:rPr>
              <w:t xml:space="preserve">Hongyan/SatNet test</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Hongyan demo satellite per newspace.im; no Space-Track ephemeris publication per Yap et al. Acta 2023 [6]; dual-use; conjunction events estimated [illustrative]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discloses</w:t>
            </w:r>
          </w:p>
        </w:tc>
        <w:tc>
          <w:tcPr>
            <w:tcW w:w="0" w:type="auto"/>
          </w:tcPr>
          <w:p>
            <w:pPr>
              <w:spacing w:line="240" w:lineRule="auto" w:before="0" w:after="0"/>
              <w:pStyle w:val="Compact"/>
            </w:pPr>
            <w:r>
              <w:rPr>
                <w:sz w:val="20"/>
                <w:szCs w:val="20"/>
              </w:rPr>
              <w:t xml:space="preserve">Binary indicator equal to 1 if the operator publishes operator-provided ephemerides or maneuver notifications to a public Space Situational Awareness service (Space-Track Operator Data feed, EU SST partner data, or equivalent) accessible to third parties as of 2026; 0 otherwise.</w:t>
            </w:r>
          </w:p>
        </w:tc>
        <w:tc>
          <w:tcPr>
            <w:tcW w:w="0" w:type="auto"/>
          </w:tcPr>
          <w:p>
            <w:pPr>
              <w:spacing w:line="240" w:lineRule="auto" w:before="0" w:after="0"/>
              <w:pStyle w:val="Compact"/>
            </w:pPr>
            <w:r>
              <w:rPr>
                <w:sz w:val="20"/>
                <w:szCs w:val="20"/>
              </w:rPr>
              <w:t xml:space="preserve">Coded from Space-Track Operator Data participant list, EU SST cooperation agreements, and the operator publication patterns documented in Borowitz et al. AMOS 2024 [4] and Wolff et al. AMOS 2025 [3]</w:t>
            </w:r>
          </w:p>
        </w:tc>
      </w:tr>
      <w:tr>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Natural log of the operator’s active on-orbit fleet size (or, for filed but not yet deployed systems, the authorized count). Larger fleets reveal more about the operator’s propulsion budget and tempo when individual maneuvers are disclosed, raising the inferential value of any single disclosure.</w:t>
            </w:r>
          </w:p>
        </w:tc>
        <w:tc>
          <w:tcPr>
            <w:tcW w:w="0" w:type="auto"/>
          </w:tcPr>
          <w:p>
            <w:pPr>
              <w:spacing w:line="240" w:lineRule="auto" w:before="0" w:after="0"/>
              <w:pStyle w:val="Compact"/>
            </w:pPr>
            <w:r>
              <w:rPr>
                <w:sz w:val="20"/>
                <w:szCs w:val="20"/>
              </w:rPr>
              <w:t xml:space="preserve">Derived from active counts at celestrak.org, newspace.im, planet4589.org/space (McDowell), and operator websites; ln transform</w:t>
            </w:r>
          </w:p>
        </w:tc>
      </w:tr>
      <w:tr>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Binary indicator equal to 1 if the operator has documented dual-use status (declared or contracted national-security customer, intelligence-community contract, or military operator role); 0 if purely commercial or civil. The principal inferential-value treatment.</w:t>
            </w:r>
          </w:p>
        </w:tc>
        <w:tc>
          <w:tcPr>
            <w:tcW w:w="0" w:type="auto"/>
          </w:tcPr>
          <w:p>
            <w:pPr>
              <w:spacing w:line="240" w:lineRule="auto" w:before="0" w:after="0"/>
              <w:pStyle w:val="Compact"/>
            </w:pPr>
            <w:r>
              <w:rPr>
                <w:sz w:val="20"/>
                <w:szCs w:val="20"/>
              </w:rPr>
              <w:t xml:space="preserve">Coded from public DoD/IC contract records (NRO press releases, USSF/CIO announcements), GAO national-security space reports gao-22-105995 and gao-23-105849, and CASI/DIA public assessments for foreign operators</w:t>
            </w:r>
          </w:p>
        </w:tc>
      </w:tr>
      <w:tr>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Natural log of the operator’s count of high-interest conjunction events in 2024 as reported through public CSpOC, TraCSS, and EU SST channels. Captures the flight-safety urgency a cooperating operator faces; an operator with many conjunction events has a stronger safety incentive to disclose.</w:t>
            </w:r>
          </w:p>
        </w:tc>
        <w:tc>
          <w:tcPr>
            <w:tcW w:w="0" w:type="auto"/>
          </w:tcPr>
          <w:p>
            <w:pPr>
              <w:spacing w:line="240" w:lineRule="auto" w:before="0" w:after="0"/>
              <w:pStyle w:val="Compact"/>
            </w:pPr>
            <w:r>
              <w:rPr>
                <w:sz w:val="20"/>
                <w:szCs w:val="20"/>
              </w:rPr>
              <w:t xml:space="preserve">Derived from ESA Annual Space Environment Report 2024 (esa.int), TraCSS public dashboard summaries (Wolff et al. AMOS 2025 [3]), and CSpOC public CDM volume disclosed in AMOS Borowitz et al. 2024 [4]</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0.9272</w:t>
            </w:r>
          </w:p>
        </w:tc>
        <w:tc>
          <w:tcPr>
            <w:tcW w:w="0" w:type="auto"/>
          </w:tcPr>
          <w:p>
            <w:pPr>
              <w:spacing w:line="240" w:lineRule="auto" w:before="0" w:after="0"/>
              <w:pStyle w:val="Compact"/>
            </w:pPr>
            <w:r>
              <w:rPr>
                <w:sz w:val="20"/>
                <w:szCs w:val="20"/>
              </w:rPr>
              <w:t xml:space="preserve">[-5.1622, 4.7025]</w:t>
            </w:r>
          </w:p>
        </w:tc>
      </w:tr>
      <w:tr>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-0.3833</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-0.9285</w:t>
            </w:r>
          </w:p>
        </w:tc>
        <w:tc>
          <w:tcPr>
            <w:tcW w:w="0" w:type="auto"/>
          </w:tcPr>
          <w:p>
            <w:pPr>
              <w:spacing w:line="240" w:lineRule="auto" w:before="0" w:after="0"/>
              <w:pStyle w:val="Compact"/>
            </w:pPr>
            <w:r>
              <w:rPr>
                <w:sz w:val="20"/>
                <w:szCs w:val="20"/>
              </w:rPr>
              <w:t xml:space="preserve">0.3532</w:t>
            </w:r>
          </w:p>
        </w:tc>
        <w:tc>
          <w:tcPr>
            <w:tcW w:w="0" w:type="auto"/>
          </w:tcPr>
          <w:p>
            <w:pPr>
              <w:spacing w:line="240" w:lineRule="auto" w:before="0" w:after="0"/>
              <w:pStyle w:val="Compact"/>
            </w:pPr>
            <w:r>
              <w:rPr>
                <w:sz w:val="20"/>
                <w:szCs w:val="20"/>
              </w:rPr>
              <w:t xml:space="preserve">[-1.1924, 0.4258]</w:t>
            </w:r>
          </w:p>
        </w:tc>
      </w:tr>
      <w:tr>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1.0619</w:t>
            </w:r>
          </w:p>
        </w:tc>
        <w:tc>
          <w:tcPr>
            <w:tcW w:w="0" w:type="auto"/>
          </w:tcPr>
          <w:p>
            <w:pPr>
              <w:spacing w:line="240" w:lineRule="auto" w:before="0" w:after="0"/>
              <w:pStyle w:val="Compact"/>
            </w:pPr>
            <w:r>
              <w:rPr>
                <w:sz w:val="20"/>
                <w:szCs w:val="20"/>
              </w:rPr>
              <w:t xml:space="preserve">-2.9937</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[-5.2603, -1.0977]</w:t>
            </w:r>
          </w:p>
        </w:tc>
      </w:tr>
      <w:tr>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0.5649</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0.9961</w:t>
            </w:r>
          </w:p>
        </w:tc>
        <w:tc>
          <w:tcPr>
            <w:tcW w:w="0" w:type="auto"/>
          </w:tcPr>
          <w:p>
            <w:pPr>
              <w:spacing w:line="240" w:lineRule="auto" w:before="0" w:after="0"/>
              <w:pStyle w:val="Compact"/>
            </w:pPr>
            <w:r>
              <w:rPr>
                <w:sz w:val="20"/>
                <w:szCs w:val="20"/>
              </w:rPr>
              <w:t xml:space="preserve">0.3192</w:t>
            </w:r>
          </w:p>
        </w:tc>
        <w:tc>
          <w:tcPr>
            <w:tcW w:w="0" w:type="auto"/>
          </w:tcPr>
          <w:p>
            <w:pPr>
              <w:spacing w:line="240" w:lineRule="auto" w:before="0" w:after="0"/>
              <w:pStyle w:val="Compact"/>
            </w:pPr>
            <w:r>
              <w:rPr>
                <w:sz w:val="20"/>
                <w:szCs w:val="20"/>
              </w:rPr>
              <w:t xml:space="preserve">[-0.5466, 1.6764]</w:t>
            </w:r>
          </w:p>
        </w:tc>
      </w:tr>
    </w:tbl>
    <w:p>
      <w:pPr>
        <w:pStyle w:val="BodyText"/>
      </w:pPr>
      <w:r>
        <w:t xml:space="preserve">Fit: N = 28 pseudo_R2 = 0.3511 LL = -12.5469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5" Target="https://doi.org/10.1016/j.actaastro.2023.01.016" TargetMode="External" /><Relationship Type="http://schemas.openxmlformats.org/officeDocument/2006/relationships/hyperlink" Id="rId77" Target="https://doi.org/10.1016/j.actaastro.2024.12.056" TargetMode="External" /><Relationship Type="http://schemas.openxmlformats.org/officeDocument/2006/relationships/hyperlink" Id="rId71" Target="https://doi.org/10.1016/j.actaastro.2025.01.042" TargetMode="External" /><Relationship Type="http://schemas.openxmlformats.org/officeDocument/2006/relationships/hyperlink" Id="rId73" Target="https://doi.org/10.1016/j.actaastro.2025.03.034"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3.01.016" TargetMode="External" /><Relationship Type="http://schemas.openxmlformats.org/officeDocument/2006/relationships/hyperlink" Id="rId77" Target="https://doi.org/10.1016/j.actaastro.2024.12.056" TargetMode="External" /><Relationship Type="http://schemas.openxmlformats.org/officeDocument/2006/relationships/hyperlink" Id="rId71" Target="https://doi.org/10.1016/j.actaastro.2025.01.042" TargetMode="External" /><Relationship Type="http://schemas.openxmlformats.org/officeDocument/2006/relationships/hyperlink" Id="rId73" Target="https://doi.org/10.1016/j.actaastro.2025.03.03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2026-06-26T16:46:20Z</dcterms:created>
  <dcterms:modified xsi:type="dcterms:W3CDTF">2026-06-26T16:46:20Z</dcterms:modified>
</cp:coreProperties>
</file>

<file path=docProps/custom.xml><?xml version="1.0" encoding="utf-8"?>
<Properties xmlns="http://schemas.openxmlformats.org/officeDocument/2006/custom-properties" xmlns:vt="http://schemas.openxmlformats.org/officeDocument/2006/docPropsVTypes"/>
</file>