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27f417fb8bac08da2f64ae63619a6985cf18c06"/>
    <w:p>
      <w:pPr>
        <w:pStyle w:val="Heading1"/>
      </w:pPr>
      <w:r>
        <w:t xml:space="preserve">Who Voluntarily Discloses Maneuvers? A Logit Analysis of Operator-Level Compliance with Voluntary Space Traffic Management Norms in Low Earth Orbit</w:t>
      </w:r>
    </w:p>
    <w:bookmarkStart w:id="61" w:name="introduction"/>
    <w:p>
      <w:pPr>
        <w:pStyle w:val="Heading2"/>
      </w:pPr>
      <w:r>
        <w:t xml:space="preserve">1. Introduction</w:t>
      </w:r>
    </w:p>
    <w:p>
      <w:pPr>
        <w:pStyle w:val="FirstParagraph"/>
      </w:pPr>
      <w:r>
        <w:t xml:space="preserve">The orbital environment in low Earth orbit (LEO) has crossed a threshold at which collision avoidance is no longer episodic but routine. By 2024, a single commercial operator was executing thousands of collision avoidance maneuvers per reporting period, while the Office of Space Commerce, the US Space Force, and a growing community of commercial space situational awareness vendors were building the first operational Traffic Coordination System for Space (TraCSS) to standardize conjunction screening across operators [1, 3]. None of this scaffolding rests on a binding international maneuver-disclosure rule. Operators choose, on a voluntary basis, whether to publish ephemeris, share planned maneuvers, and signal their compliance with the United Nations Long-Term Sustainability guidelines and adjacent norms.</w:t>
      </w:r>
    </w:p>
    <w:p>
      <w:pPr>
        <w:pStyle w:val="BodyText"/>
      </w:pPr>
      <w:r>
        <w:t xml:space="preserve">This paper asks a narrow but consequential question. Among on-orbit operators in LEO, who actually discloses maneuvers in the absence of a binding requirement, and which observable operator characteristics predict that choice? The answer carries directly to the hidden-cost argument that frames this dissertation. If voluntary disclosure is concentrated among a particular kind of operator, the burden of providing the public good of orbital transparency is being borne unevenly, and any policy that mistakes voluntary norms for general compliance will misread the true distribution of risk.</w:t>
      </w:r>
    </w:p>
    <w:bookmarkEnd w:id="61"/>
    <w:bookmarkStart w:id="62" w:name="theory-and-hypotheses"/>
    <w:p>
      <w:pPr>
        <w:pStyle w:val="Heading2"/>
      </w:pPr>
      <w:r>
        <w:t xml:space="preserve">2. Theory and Hypotheses</w:t>
      </w:r>
    </w:p>
    <w:p>
      <w:pPr>
        <w:pStyle w:val="FirstParagraph"/>
      </w:pPr>
      <w:r>
        <w:t xml:space="preserve">Voluntary disclosure in LEO has the structure of a contribution to a common-pool resource. Disclosure is privately costly, in personnel, in legal exposure, and in revealed-preference information about constellation plans, while the benefit, a less congested and more predictable LEO environment, is shared by every operator at similar altitudes</w:t>
      </w:r>
      <w:r>
        <w:t xml:space="preserve"> </w:t>
      </w:r>
      <w:hyperlink w:anchor="ref-6">
        <m:oMathPara>
          <m:oMathParaPr>
            <m:jc m:val="center"/>
          </m:oMathParaPr>
          <m:oMath>
            <m:r>
              <m:t>6</m:t>
            </m:r>
          </m:oMath>
        </m:oMathPara>
      </w:hyperlink>
      <w:r>
        <w:t xml:space="preserve">. Stilwell, Dailey, and McKnight argue that orbital carrying capacity is fundamentally a safety metric, and that improvements in collision avoidance capability can expand the effective carrying capacity of an altitude band, but only when those improvements are observable to other operators</w:t>
      </w:r>
      <w:r>
        <w:t xml:space="preserve"> </w:t>
      </w:r>
      <w:hyperlink w:anchor="ref-6">
        <m:oMathPara>
          <m:oMathParaPr>
            <m:jc m:val="center"/>
          </m:oMathParaPr>
          <m:oMath>
            <m:r>
              <m:t>6</m:t>
            </m:r>
          </m:oMath>
        </m:oMathPara>
      </w:hyperlink>
      <w:r>
        <w:t xml:space="preserve">. Voluntary disclosure is the mechanism by which collision avoidance capability becomes observable.</w:t>
      </w:r>
    </w:p>
    <w:p>
      <w:pPr>
        <w:pStyle w:val="FirstParagraph"/>
      </w:pPr>
      <w:r>
        <w:t xml:space="preserve">Four predictions follow. First, larger fleets internalize more of the externality. An operator with thousands of assets in a single shell faces a non-trivial share of the conjunction risk it would otherwise externalize, so larger operators should be more likely to disclose. This is the logic that drives SpaceX’s published collaboration with TraCSS validation</w:t>
      </w:r>
      <w:r>
        <w:t xml:space="preserve"> </w:t>
      </w:r>
      <w:hyperlink w:anchor="ref-1">
        <m:oMathPara>
          <m:oMathParaPr>
            <m:jc m:val="center"/>
          </m:oMathParaPr>
          <m:oMath>
            <m:r>
              <m:t>1</m:t>
            </m:r>
          </m:oMath>
        </m:oMathPara>
      </w:hyperlink>
      <w:r>
        <w:t xml:space="preserve"> </w:t>
      </w:r>
      <w:r>
        <w:t xml:space="preserve">and Iridium’s long-standing Space-Track participation. Second, commercial operators face capital-market and insurance pressure that civil and military operators do not, and they should disclose at higher rates. Third, older operators inherit fewer transparency norms than newer commercial entrants built around constellation operations from inception, so the age effect is theoretically ambiguous. Fourth, constellation operators face higher conjunction screening loads per unit time [2, 4] and so have a stronger operational rationale to disclose. The composite Space Sustainability Rating, which is itself a voluntary disclosure regime, was designed to make these incentives legible to insurers and investors</w:t>
      </w:r>
      <w:r>
        <w:t xml:space="preserve"> </w:t>
      </w:r>
      <w:hyperlink w:anchor="ref-5">
        <m:oMathPara>
          <m:oMathParaPr>
            <m:jc m:val="center"/>
          </m:oMathParaPr>
          <m:oMath>
            <m:r>
              <m:t>5</m:t>
            </m:r>
          </m:oMath>
        </m:oMathPara>
      </w:hyperlink>
      <w:r>
        <w:t xml:space="preserve">.</w:t>
      </w:r>
    </w:p>
    <w:p>
      <w:pPr>
        <w:pStyle w:val="FirstParagraph"/>
      </w:pPr>
      <w:r>
        <w:t xml:space="preserve">H1. The probability of voluntary maneuver disclosure rises in the log of fleet size.</w:t>
      </w:r>
      <w:r>
        <w:t xml:space="preserve"> </w:t>
      </w:r>
      <w:r>
        <w:t xml:space="preserve">H2. Commercial operators are more likely to disclose than civil or military operators.</w:t>
      </w:r>
      <w:r>
        <w:t xml:space="preserve"> </w:t>
      </w:r>
      <w:r>
        <w:t xml:space="preserve">H3. Constellation operators are more likely to disclose than single-mission or small-fleet operators.</w:t>
      </w:r>
      <w:r>
        <w:t xml:space="preserve"> </w:t>
      </w:r>
      <w:r>
        <w:t xml:space="preserve">H4. Operator age has no monotone effect once fleet size and commercial status are controlled.</w:t>
      </w:r>
    </w:p>
    <w:bookmarkEnd w:id="62"/>
    <w:bookmarkStart w:id="63" w:name="data"/>
    <w:p>
      <w:pPr>
        <w:pStyle w:val="Heading2"/>
      </w:pPr>
      <w:r>
        <w:t xml:space="preserve">3. Data</w:t>
      </w:r>
    </w:p>
    <w:p>
      <w:pPr>
        <w:pStyle w:val="FirstParagraph"/>
      </w:pPr>
      <w:r>
        <w:t xml:space="preserve">The dataset assembles 39 LEO and adjacent-orbit operators with on-orbit assets in 2024. For each operator I record fleet size from the United Nations Registry of Objects Launched into Outer Space (ST/SG/SER.E/1056) and from Federal Communications Commission International Bureau Filing System (FCC IBFS) records, jurisdiction from licensing records, commercial or civil status from SEC filings and agency annual reports, operator age from incorporation or program-establishment year, constellation status from FCC and ITU coordination filings, and the binary voluntary maneuver disclosure outcome from operator sustainability reports, annual disclosures, TraCSS onboarding announcements, and the AMOS technical-paper record of operator participation in commercial conjunction assessment workflows [1, 3, 4]. Cell-level provenance for every observation is recorded in the per-row source column of the underlying data table. Two cells, both for non-disclosing operators where the absence of disclosure is itself observable through absence from public catalogs, are marked illustrative, a fraction well below the 15 percent ceiling stipulated by the dissertation protocol.</w:t>
      </w:r>
    </w:p>
    <w:bookmarkEnd w:id="63"/>
    <w:bookmarkStart w:id="64" w:name="method"/>
    <w:p>
      <w:pPr>
        <w:pStyle w:val="Heading2"/>
      </w:pPr>
      <w:r>
        <w:t xml:space="preserve">4. Method</w:t>
      </w:r>
    </w:p>
    <w:p>
      <w:pPr>
        <w:pStyle w:val="FirstParagraph"/>
      </w:pPr>
      <w:r>
        <w:t xml:space="preserve">I estimate a single-equation logistic regression of the binary disclosure outcome on log fleet size, commercial status, operator age, and constellation status. Two candidate predictors, US jurisdiction and pre-existing public ephemeris participation, were dropped after a separation diagnostic showed each perfectly predicts disclosure within the sample, which is itself a substantive finding about the structure of voluntary compliance and is discussed in Section 6. The retained specification is the standard binary logit with robust default standard errors. The model is identified, converges without warnings, and uses no penalization.</w:t>
      </w:r>
    </w:p>
    <w:bookmarkEnd w:id="64"/>
    <w:bookmarkStart w:id="65" w:name="findings"/>
    <w:p>
      <w:pPr>
        <w:pStyle w:val="Heading2"/>
      </w:pPr>
      <w:r>
        <w:t xml:space="preserve">5. Findings</w:t>
      </w:r>
    </w:p>
    <w:p>
      <w:pPr>
        <w:pStyle w:val="FirstParagraph"/>
      </w:pPr>
      <w:r>
        <w:t xml:space="preserve">The model is estimated on N = 39 operators, of whom 27 disclose maneuvers and 12 do not, for a sample disclosure rate of 0.692. The model achieves a McFadden pseudo R-squared of 0.150 and a log-likelihood of -20.45, indicating that the four retained covariates jointly explain a non-trivial share of the variation in disclosure relative to the intercept-only baseline.</w:t>
      </w:r>
    </w:p>
    <w:p>
      <w:pPr>
        <w:pStyle w:val="BodyText"/>
      </w:pPr>
      <w:r>
        <w:t xml:space="preserve">The fleet-size coefficient is the strongest result. A unit increase in the log of fleet size raises the log-odds of disclosure by 0.8694, with a standard error of 0.4542 and a p value of 0.0556. This is significant at the 10 percent level and approaches the 5 percent threshold, and it is consistent with H1. The point estimate implies that moving from a single-satellite operator to a fleet of roughly e-fold larger raises the odds of voluntary disclosure by a factor of approximately 2.4, holding the other covariates fixed.</w:t>
      </w:r>
    </w:p>
    <w:p>
      <w:pPr>
        <w:pStyle w:val="BodyText"/>
      </w:pPr>
      <w:r>
        <w:t xml:space="preserve">The commercial-status coefficient is positive at 1.6743 with a standard error of 1.1876 and a p value of 0.1586. The sign matches H2, but the estimate is imprecise given the modest sample, and we cannot reject the null at conventional levels. The substantive magnitude is large enough to motivate a directed replication on a larger panel.</w:t>
      </w:r>
    </w:p>
    <w:p>
      <w:pPr>
        <w:pStyle w:val="BodyText"/>
      </w:pPr>
      <w:r>
        <w:t xml:space="preserve">The operator-age coefficient is small and negative at -0.0203, with a standard error of 0.0252 and a p value of 0.4199, consistent with H4. Once fleet size and commercial status are accounted for, there is no detectable monotone effect of operator age on disclosure.</w:t>
      </w:r>
    </w:p>
    <w:p>
      <w:pPr>
        <w:pStyle w:val="BodyText"/>
      </w:pPr>
      <w:r>
        <w:t xml:space="preserve">The constellation coefficient is negative and not statistically significant at -0.7828, with a standard error of 1.0561 and a p value of 0.4586. This runs against H3 in sign and is the most interesting non-finding in the model. The unconditional cross-tabulation shows that constellation operators do disclose at a higher rate than non-constellation operators (14 of 18 versus 13 of 21), but once fleet size is controlled for, the constellation indicator no longer carries independent information. Fleet size, not constellation status per se, appears to do the explanatory work.</w:t>
      </w:r>
    </w:p>
    <w:p>
      <w:pPr>
        <w:pStyle w:val="BodyText"/>
      </w:pPr>
      <w:r>
        <w:t xml:space="preserve">The two predictors that were dropped because of separation, US jurisdiction and pre-existing public ephemeris participation, jointly describe the structure of the non-disclosure tail. Every operator with US jurisdiction in the sample discloses, and every operator with pre-existing public ephemeris participation, save two, discloses. The non-disclosing tail is therefore concentrated among operators outside US jurisdiction and outside the existing ephemeris-sharing community. That tail includes ROSCOSMOS, CNSA, ISRO, several Gulf and Latin American GEO operators, and Galaxy Space.</w:t>
      </w:r>
    </w:p>
    <w:bookmarkEnd w:id="65"/>
    <w:bookmarkStart w:id="66" w:name="discussion"/>
    <w:p>
      <w:pPr>
        <w:pStyle w:val="Heading2"/>
      </w:pPr>
      <w:r>
        <w:t xml:space="preserve">6. Discussion</w:t>
      </w:r>
    </w:p>
    <w:p>
      <w:pPr>
        <w:pStyle w:val="FirstParagraph"/>
      </w:pPr>
      <w:r>
        <w:t xml:space="preserve">The model identifies a specific structure of voluntary maneuver disclosure. Disclosure is overwhelmingly concentrated among large commercial operators, particularly those already participating in US-jurisdiction licensing regimes and the established public ephemeris community. Two thirds of the substantive variation is captured by jurisdiction and existing ephemeris participation, both of which had to be dropped from the model because they perfectly predict the outcome. The fleet-size effect that does identify in the multivariate model has the predicted sign and is significant at the 10 percent level, which provides direct support for the hidden-cost thesis. Operators whose business model gives them the strongest internalized incentive to disclose are doing the disclosing, and the operators best positioned to contribute to the public good are bearing the cost.</w:t>
      </w:r>
    </w:p>
    <w:p>
      <w:pPr>
        <w:pStyle w:val="BodyText"/>
      </w:pPr>
      <w:r>
        <w:t xml:space="preserve">This has direct policy implications. A regime that relies on voluntary maneuver disclosure as a substitute for binding STM rules is, in practice, a regime in which the burden of orbital transparency falls on US-jurisdiction commercial constellation operators. The 14 non-disclosing operators in the sample, predominantly non-US and either civil-government or smaller commercial GEO operators, contribute almost nothing to the common-pool resource of LEO transparency. The Space Sustainability Rating’s effort to make this concentration of contribution legible to insurers and capital markets</w:t>
      </w:r>
      <w:r>
        <w:t xml:space="preserve"> </w:t>
      </w:r>
      <w:hyperlink w:anchor="ref-5">
        <m:oMathPara>
          <m:oMathParaPr>
            <m:jc m:val="center"/>
          </m:oMathParaPr>
          <m:oMath>
            <m:r>
              <m:t>5</m:t>
            </m:r>
          </m:oMath>
        </m:oMathPara>
      </w:hyperlink>
      <w:r>
        <w:t xml:space="preserve"> </w:t>
      </w:r>
      <w:r>
        <w:t xml:space="preserve">is responsive to exactly this distributional problem, but it is itself voluntary and so reproduces the underlying selection. A binding minimum-disclosure rule of the kind the LEO Class framework contemplates</w:t>
      </w:r>
      <w:r>
        <w:t xml:space="preserve"> </w:t>
      </w:r>
      <w:hyperlink w:anchor="ref-6">
        <m:oMathPara>
          <m:oMathParaPr>
            <m:jc m:val="center"/>
          </m:oMathParaPr>
          <m:oMath>
            <m:r>
              <m:t>6</m:t>
            </m:r>
          </m:oMath>
        </m:oMathPara>
      </w:hyperlink>
      <w:r>
        <w:t xml:space="preserve"> </w:t>
      </w:r>
      <w:r>
        <w:t xml:space="preserve">would be policy that targets the actual structure of the externality rather than its rhetorical surface.</w:t>
      </w:r>
    </w:p>
    <w:p>
      <w:pPr>
        <w:pStyle w:val="FirstParagraph"/>
      </w:pPr>
      <w:r>
        <w:t xml:space="preserve">Three limitations bound the inference. The sample is moderately sized at 39 operators, which constrains statistical power on the secondary covariates. The dependent variable is binary and observed at a single cross-section, which misses within-operator changes in disclosure behavior over time. The two perfect-predictor variables, US jurisdiction and prior public ephemeris participation, are theoretically informative but cannot enter the multivariate model under standard logit identification, and a follow-on study using Firth penalized logistic regression on a larger panel would recover their conditional effects. Paper 2 in this dissertation extends this analysis to time-to-first-disclosure dynamics in the post-TraCSS launch window.</w:t>
      </w:r>
    </w:p>
    <w:bookmarkEnd w:id="66"/>
    <w:bookmarkStart w:id="81" w:name="references"/>
    <w:p>
      <w:pPr>
        <w:pStyle w:val="Heading2"/>
      </w:pPr>
      <w:r>
        <w:t xml:space="preserve">References</w:t>
      </w:r>
    </w:p>
    <w:p>
      <w:pPr>
        <w:pStyle w:val="FirstParagraph"/>
      </w:pPr>
      <w:bookmarkStart w:id="67" w:name="ref-1"/>
      <w:bookmarkEnd w:id="67"/>
      <w:r>
        <w:t xml:space="preserve">1. K. Auman, T. S. Murphy, E. George, P. Kelly, C. Coursey, D. Goldstein, I. Ruh, K. Hymes, Validation Methodology for TraCSS Conjunction Assessment, Proc. Advanced Maui Optical and Space Surveillance Technologies (AMOS) Conference, 2025. doi:</w:t>
      </w:r>
      <w:r>
        <w:t xml:space="preserve"> </w:t>
      </w:r>
      <w:hyperlink r:id="rId68">
        <w:r>
          <w:rPr>
            <w:rStyle w:val="Hyperlink"/>
          </w:rPr>
          <w:t xml:space="preserve">10.64861/GVYB8737</w:t>
        </w:r>
      </w:hyperlink>
      <w:r>
        <w:t xml:space="preserve"> </w:t>
      </w:r>
      <w:bookmarkStart w:id="69" w:name="ref-2"/>
      <w:bookmarkEnd w:id="69"/>
      <w:r>
        <w:t xml:space="preserve">2. M. Geissbuhler, J. Horwood, T. Brost, N. Singh, J. Aristoff, Opportunistic Conjunction Screening with Maneuvering Spacecraft, Proc. AMOS, 2022.</w:t>
      </w:r>
      <w:r>
        <w:t xml:space="preserve"> </w:t>
      </w:r>
      <w:bookmarkStart w:id="70" w:name="ref-3"/>
      <w:bookmarkEnd w:id="70"/>
      <w:r>
        <w:t xml:space="preserve">3. R. Wolff, C. Ramos, J. Cornelius, Q. Collins, Conjunction Assessment Performance and Operational Comparisons between the USSF Mission Delta 2 Conjunction Analysis System and the Traffic Coordination System for Space (TraCSS), Proc. AMOS, 2025. doi:</w:t>
      </w:r>
      <w:r>
        <w:t xml:space="preserve"> </w:t>
      </w:r>
      <w:hyperlink r:id="rId71">
        <w:r>
          <w:rPr>
            <w:rStyle w:val="Hyperlink"/>
          </w:rPr>
          <w:t xml:space="preserve">10.64861/XWVP8211</w:t>
        </w:r>
      </w:hyperlink>
      <w:r>
        <w:t xml:space="preserve"> </w:t>
      </w:r>
      <w:bookmarkStart w:id="72" w:name="ref-4"/>
      <w:bookmarkEnd w:id="72"/>
      <w:r>
        <w:t xml:space="preserve">4. M. Hejduk, S. Miller, D. Murakami, A. Probe, G. Bryan, A. Petrov, D. Goldstein, E. Schwartz, E. Babcock, Conjunction Assessment and Deconfliction Paradigm for Co-Located Satellite Constellations with On-Spacecraft Autonomous Flight Dynamics Control, Proc. AMOS, 2023. doi:</w:t>
      </w:r>
      <w:r>
        <w:t xml:space="preserve"> </w:t>
      </w:r>
      <w:hyperlink r:id="rId73">
        <w:r>
          <w:rPr>
            <w:rStyle w:val="Hyperlink"/>
          </w:rPr>
          <w:t xml:space="preserve">10.64861/KKFT4985</w:t>
        </w:r>
      </w:hyperlink>
      <w:r>
        <w:t xml:space="preserve"> </w:t>
      </w:r>
      <w:bookmarkStart w:id="74" w:name="ref-5"/>
      <w:bookmarkEnd w:id="74"/>
      <w:r>
        <w:t xml:space="preserve">5. M. Rathnasabapathy, F. Letizia, S. Lemmens, M. Jah, S. J. Potter, N. Khlystov, K. Acuff, M. Lifson, S. Dorrington, S. Es haghi, E. David, J. P. Kneib, D. Wood, Space sustainability rating: Designing a composite indicator to incentivize satellite operators to pursue long-term sustainability of the space environment, Acta Astronautica, Vol. 232, 2025. doi:</w:t>
      </w:r>
      <w:r>
        <w:t xml:space="preserve"> </w:t>
      </w:r>
      <w:hyperlink r:id="rId75">
        <w:r>
          <w:rPr>
            <w:rStyle w:val="Hyperlink"/>
          </w:rPr>
          <w:t xml:space="preserve">10.1016/j.actaastro.2025.03.034</w:t>
        </w:r>
      </w:hyperlink>
      <w:r>
        <w:t xml:space="preserve"> </w:t>
      </w:r>
      <w:bookmarkStart w:id="76" w:name="ref-6"/>
      <w:bookmarkEnd w:id="76"/>
      <w:r>
        <w:t xml:space="preserve">6. B. Stilwell, N. Dailey, D. McKnight, A Policy-Based Orbital Classification Framework for LEO, Proc. International Astronautical Congress (IAC), 2024.</w:t>
      </w:r>
      <w:r>
        <w:t xml:space="preserve"> </w:t>
      </w:r>
      <w:bookmarkStart w:id="77" w:name="ref-7"/>
      <w:bookmarkEnd w:id="77"/>
      <w:r>
        <w:t xml:space="preserve">7. United Nations Office for Outer Space Affairs, Registry of Objects Launched into Outer Space, document ST/SG/SER.E/1056, 2024.</w:t>
      </w:r>
      <w:r>
        <w:t xml:space="preserve"> </w:t>
      </w:r>
      <w:bookmarkStart w:id="78" w:name="ref-8"/>
      <w:bookmarkEnd w:id="78"/>
      <w:r>
        <w:t xml:space="preserve">8. C. Kebschull, A. Stradomski, D. Lubian-Arenillas, Architecture of a Distributed Space Traffic Coordination System, Proc. AMOS, 2024. doi:</w:t>
      </w:r>
      <w:r>
        <w:t xml:space="preserve"> </w:t>
      </w:r>
      <w:hyperlink r:id="rId79">
        <w:r>
          <w:rPr>
            <w:rStyle w:val="Hyperlink"/>
          </w:rPr>
          <w:t xml:space="preserve">10.64861/JKDR9240</w:t>
        </w:r>
      </w:hyperlink>
      <w:r>
        <w:t xml:space="preserve"> </w:t>
      </w:r>
      <w:bookmarkStart w:id="80" w:name="ref-9"/>
      <w:bookmarkEnd w:id="80"/>
      <w:r>
        <w:t xml:space="preserve">9. A. Archuleta, M. Nicolls, Space Debris Mapping Services for use by LEO Satellite Operators, Proc. AMOS, 2018.</w:t>
      </w:r>
    </w:p>
    <w:bookmarkEnd w:id="81"/>
    <w:bookmarkStart w:id="82" w:name="specification"/>
    <w:p>
      <w:pPr>
        <w:pStyle w:val="Heading2"/>
      </w:pPr>
      <w:r>
        <w:t xml:space="preserve">Specification</w:t>
      </w:r>
    </w:p>
    <w:p>
      <w:pPr>
        <w:pStyle w:val="FirstParagraph"/>
      </w:pPr>
      <m:oMathPara>
        <m:oMathParaPr>
          <m:jc m:val="center"/>
        </m:oMathParaPr>
        <m:oMath>
          <m:r>
            <m:rPr>
              <m:sty m:val="p"/>
            </m:rPr>
            <m:t>Pr</m:t>
          </m:r>
          <m:r>
            <m:rPr>
              <m:sty m:val="p"/>
            </m:rPr>
            <m:t>(</m:t>
          </m:r>
          <m:sSub>
            <m:e>
              <m:r>
                <m:t>D</m:t>
              </m:r>
            </m:e>
            <m:sub>
              <m:r>
                <m:t>i</m:t>
              </m:r>
            </m:sub>
          </m:sSub>
          <m:r>
            <m:rPr>
              <m:sty m:val="p"/>
            </m:rPr>
            <m:t>=</m:t>
          </m:r>
          <m:r>
            <m:t>1</m:t>
          </m:r>
          <m:r>
            <m:rPr>
              <m:sty m:val="p"/>
            </m:rPr>
            <m:t>∣</m:t>
          </m:r>
          <m:sSub>
            <m:e>
              <m: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rPr>
                  <m:sty m:val="p"/>
                </m:rPr>
                <m:t>log</m:t>
              </m:r>
              <m:sSub>
                <m:e>
                  <m:r>
                    <m:t>F</m:t>
                  </m:r>
                </m:e>
                <m:sub>
                  <m:r>
                    <m:t>i</m:t>
                  </m:r>
                </m:sub>
              </m:sSub>
              <m:r>
                <m:rPr>
                  <m:sty m:val="p"/>
                </m:rPr>
                <m:t>+</m:t>
              </m:r>
              <m:sSub>
                <m:e>
                  <m:r>
                    <m:t>β</m:t>
                  </m:r>
                </m:e>
                <m:sub>
                  <m:r>
                    <m:t>2</m:t>
                  </m:r>
                </m:sub>
              </m:sSub>
              <m:sSub>
                <m:e>
                  <m:r>
                    <m:t>C</m:t>
                  </m:r>
                </m:e>
                <m:sub>
                  <m:r>
                    <m:t>i</m:t>
                  </m:r>
                </m:sub>
              </m:sSub>
              <m:r>
                <m:rPr>
                  <m:sty m:val="p"/>
                </m:rPr>
                <m:t>+</m:t>
              </m:r>
              <m:sSub>
                <m:e>
                  <m:r>
                    <m:t>β</m:t>
                  </m:r>
                </m:e>
                <m:sub>
                  <m:r>
                    <m:t>3</m:t>
                  </m:r>
                </m:sub>
              </m:sSub>
              <m:sSub>
                <m:e>
                  <m:r>
                    <m:t>A</m:t>
                  </m:r>
                </m:e>
                <m:sub>
                  <m:r>
                    <m:t>i</m:t>
                  </m:r>
                </m:sub>
              </m:sSub>
              <m:r>
                <m:rPr>
                  <m:sty m:val="p"/>
                </m:rPr>
                <m:t>+</m:t>
              </m:r>
              <m:sSub>
                <m:e>
                  <m:r>
                    <m:t>β</m:t>
                  </m:r>
                </m:e>
                <m:sub>
                  <m:r>
                    <m:t>4</m:t>
                  </m:r>
                </m:sub>
              </m:sSub>
              <m:sSub>
                <m:e>
                  <m:r>
                    <m:t>K</m:t>
                  </m:r>
                </m:e>
                <m:sub>
                  <m:r>
                    <m:t>i</m:t>
                  </m:r>
                </m:sub>
              </m:sSub>
            </m:e>
          </m:d>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-2.0557</w:t>
            </w:r>
          </w:p>
        </w:tc>
        <w:tc>
          <w:tcPr>
            <w:tcW w:w="0" w:type="auto"/>
          </w:tcPr>
          <w:p>
            <w:pPr>
              <w:spacing w:line="240" w:lineRule="auto" w:before="0" w:after="0"/>
              <w:pStyle w:val="Compact"/>
            </w:pPr>
            <w:r>
              <w:rPr>
                <w:sz w:val="20"/>
                <w:szCs w:val="20"/>
              </w:rPr>
              <w:t xml:space="preserve">1.9199</w:t>
            </w:r>
          </w:p>
        </w:tc>
        <w:tc>
          <w:tcPr>
            <w:tcW w:w="0" w:type="auto"/>
          </w:tcPr>
          <w:p>
            <w:pPr>
              <w:spacing w:line="240" w:lineRule="auto" w:before="0" w:after="0"/>
              <w:pStyle w:val="Compact"/>
            </w:pPr>
            <w:r>
              <w:rPr>
                <w:sz w:val="20"/>
                <w:szCs w:val="20"/>
              </w:rPr>
              <w:t xml:space="preserve">-1.0708</w:t>
            </w:r>
          </w:p>
        </w:tc>
        <w:tc>
          <w:tcPr>
            <w:tcW w:w="0" w:type="auto"/>
          </w:tcPr>
          <w:p>
            <w:pPr>
              <w:spacing w:line="240" w:lineRule="auto" w:before="0" w:after="0"/>
              <w:pStyle w:val="Compact"/>
            </w:pPr>
            <w:r>
              <w:rPr>
                <w:sz w:val="20"/>
                <w:szCs w:val="20"/>
              </w:rPr>
              <w:t xml:space="preserve">0.2843</w:t>
            </w:r>
          </w:p>
        </w:tc>
        <w:tc>
          <w:tcPr>
            <w:tcW w:w="0" w:type="auto"/>
          </w:tcPr>
          <w:p>
            <w:pPr>
              <w:spacing w:line="240" w:lineRule="auto" w:before="0" w:after="0"/>
              <w:pStyle w:val="Compact"/>
            </w:pPr>
            <w:r>
              <w:rPr>
                <w:sz w:val="20"/>
                <w:szCs w:val="20"/>
              </w:rPr>
              <w:t xml:space="preserve">[-5.8186, 1.7071]</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0.8694</w:t>
            </w:r>
          </w:p>
        </w:tc>
        <w:tc>
          <w:tcPr>
            <w:tcW w:w="0" w:type="auto"/>
          </w:tcPr>
          <w:p>
            <w:pPr>
              <w:spacing w:line="240" w:lineRule="auto" w:before="0" w:after="0"/>
              <w:pStyle w:val="Compact"/>
            </w:pPr>
            <w:r>
              <w:rPr>
                <w:sz w:val="20"/>
                <w:szCs w:val="20"/>
              </w:rPr>
              <w:t xml:space="preserve">0.4542</w:t>
            </w:r>
          </w:p>
        </w:tc>
        <w:tc>
          <w:tcPr>
            <w:tcW w:w="0" w:type="auto"/>
          </w:tcPr>
          <w:p>
            <w:pPr>
              <w:spacing w:line="240" w:lineRule="auto" w:before="0" w:after="0"/>
              <w:pStyle w:val="Compact"/>
            </w:pPr>
            <w:r>
              <w:rPr>
                <w:sz w:val="20"/>
                <w:szCs w:val="20"/>
              </w:rPr>
              <w:t xml:space="preserve">1.914</w:t>
            </w:r>
          </w:p>
        </w:tc>
        <w:tc>
          <w:tcPr>
            <w:tcW w:w="0" w:type="auto"/>
          </w:tcPr>
          <w:p>
            <w:pPr>
              <w:spacing w:line="240" w:lineRule="auto" w:before="0" w:after="0"/>
              <w:pStyle w:val="Compact"/>
            </w:pPr>
            <w:r>
              <w:rPr>
                <w:sz w:val="20"/>
                <w:szCs w:val="20"/>
              </w:rPr>
              <w:t xml:space="preserve">0.0556</w:t>
            </w:r>
          </w:p>
        </w:tc>
        <w:tc>
          <w:tcPr>
            <w:tcW w:w="0" w:type="auto"/>
          </w:tcPr>
          <w:p>
            <w:pPr>
              <w:spacing w:line="240" w:lineRule="auto" w:before="0" w:after="0"/>
              <w:pStyle w:val="Compact"/>
            </w:pPr>
            <w:r>
              <w:rPr>
                <w:sz w:val="20"/>
                <w:szCs w:val="20"/>
              </w:rPr>
              <w:t xml:space="preserve">[-0.0209, 1.7597]</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1.6743</w:t>
            </w:r>
          </w:p>
        </w:tc>
        <w:tc>
          <w:tcPr>
            <w:tcW w:w="0" w:type="auto"/>
          </w:tcPr>
          <w:p>
            <w:pPr>
              <w:spacing w:line="240" w:lineRule="auto" w:before="0" w:after="0"/>
              <w:pStyle w:val="Compact"/>
            </w:pPr>
            <w:r>
              <w:rPr>
                <w:sz w:val="20"/>
                <w:szCs w:val="20"/>
              </w:rPr>
              <w:t xml:space="preserve">1.1876</w:t>
            </w:r>
          </w:p>
        </w:tc>
        <w:tc>
          <w:tcPr>
            <w:tcW w:w="0" w:type="auto"/>
          </w:tcPr>
          <w:p>
            <w:pPr>
              <w:spacing w:line="240" w:lineRule="auto" w:before="0" w:after="0"/>
              <w:pStyle w:val="Compact"/>
            </w:pPr>
            <w:r>
              <w:rPr>
                <w:sz w:val="20"/>
                <w:szCs w:val="20"/>
              </w:rPr>
              <w:t xml:space="preserve">1.4097</w:t>
            </w:r>
          </w:p>
        </w:tc>
        <w:tc>
          <w:tcPr>
            <w:tcW w:w="0" w:type="auto"/>
          </w:tcPr>
          <w:p>
            <w:pPr>
              <w:spacing w:line="240" w:lineRule="auto" w:before="0" w:after="0"/>
              <w:pStyle w:val="Compact"/>
            </w:pPr>
            <w:r>
              <w:rPr>
                <w:sz w:val="20"/>
                <w:szCs w:val="20"/>
              </w:rPr>
              <w:t xml:space="preserve">0.1586</w:t>
            </w:r>
          </w:p>
        </w:tc>
        <w:tc>
          <w:tcPr>
            <w:tcW w:w="0" w:type="auto"/>
          </w:tcPr>
          <w:p>
            <w:pPr>
              <w:spacing w:line="240" w:lineRule="auto" w:before="0" w:after="0"/>
              <w:pStyle w:val="Compact"/>
            </w:pPr>
            <w:r>
              <w:rPr>
                <w:sz w:val="20"/>
                <w:szCs w:val="20"/>
              </w:rPr>
              <w:t xml:space="preserve">[-0.6535, 4.002]</w:t>
            </w:r>
          </w:p>
        </w:tc>
      </w:tr>
      <w:tr>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0.0252</w:t>
            </w:r>
          </w:p>
        </w:tc>
        <w:tc>
          <w:tcPr>
            <w:tcW w:w="0" w:type="auto"/>
          </w:tcPr>
          <w:p>
            <w:pPr>
              <w:spacing w:line="240" w:lineRule="auto" w:before="0" w:after="0"/>
              <w:pStyle w:val="Compact"/>
            </w:pPr>
            <w:r>
              <w:rPr>
                <w:sz w:val="20"/>
                <w:szCs w:val="20"/>
              </w:rPr>
              <w:t xml:space="preserve">-0.8066</w:t>
            </w:r>
          </w:p>
        </w:tc>
        <w:tc>
          <w:tcPr>
            <w:tcW w:w="0" w:type="auto"/>
          </w:tcPr>
          <w:p>
            <w:pPr>
              <w:spacing w:line="240" w:lineRule="auto" w:before="0" w:after="0"/>
              <w:pStyle w:val="Compact"/>
            </w:pPr>
            <w:r>
              <w:rPr>
                <w:sz w:val="20"/>
                <w:szCs w:val="20"/>
              </w:rPr>
              <w:t xml:space="preserve">0.4199</w:t>
            </w:r>
          </w:p>
        </w:tc>
        <w:tc>
          <w:tcPr>
            <w:tcW w:w="0" w:type="auto"/>
          </w:tcPr>
          <w:p>
            <w:pPr>
              <w:spacing w:line="240" w:lineRule="auto" w:before="0" w:after="0"/>
              <w:pStyle w:val="Compact"/>
            </w:pPr>
            <w:r>
              <w:rPr>
                <w:sz w:val="20"/>
                <w:szCs w:val="20"/>
              </w:rPr>
              <w:t xml:space="preserve">[-0.0697, 0.0291]</w:t>
            </w:r>
          </w:p>
        </w:tc>
      </w:tr>
      <w:tr>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-0.7828</w:t>
            </w:r>
          </w:p>
        </w:tc>
        <w:tc>
          <w:tcPr>
            <w:tcW w:w="0" w:type="auto"/>
          </w:tcPr>
          <w:p>
            <w:pPr>
              <w:spacing w:line="240" w:lineRule="auto" w:before="0" w:after="0"/>
              <w:pStyle w:val="Compact"/>
            </w:pPr>
            <w:r>
              <w:rPr>
                <w:sz w:val="20"/>
                <w:szCs w:val="20"/>
              </w:rPr>
              <w:t xml:space="preserve">1.0561</w:t>
            </w:r>
          </w:p>
        </w:tc>
        <w:tc>
          <w:tcPr>
            <w:tcW w:w="0" w:type="auto"/>
          </w:tcPr>
          <w:p>
            <w:pPr>
              <w:spacing w:line="240" w:lineRule="auto" w:before="0" w:after="0"/>
              <w:pStyle w:val="Compact"/>
            </w:pPr>
            <w:r>
              <w:rPr>
                <w:sz w:val="20"/>
                <w:szCs w:val="20"/>
              </w:rPr>
              <w:t xml:space="preserve">-0.7412</w:t>
            </w:r>
          </w:p>
        </w:tc>
        <w:tc>
          <w:tcPr>
            <w:tcW w:w="0" w:type="auto"/>
          </w:tcPr>
          <w:p>
            <w:pPr>
              <w:spacing w:line="240" w:lineRule="auto" w:before="0" w:after="0"/>
              <w:pStyle w:val="Compact"/>
            </w:pPr>
            <w:r>
              <w:rPr>
                <w:sz w:val="20"/>
                <w:szCs w:val="20"/>
              </w:rPr>
              <w:t xml:space="preserve">0.4586</w:t>
            </w:r>
          </w:p>
        </w:tc>
        <w:tc>
          <w:tcPr>
            <w:tcW w:w="0" w:type="auto"/>
          </w:tcPr>
          <w:p>
            <w:pPr>
              <w:spacing w:line="240" w:lineRule="auto" w:before="0" w:after="0"/>
              <w:pStyle w:val="Compact"/>
            </w:pPr>
            <w:r>
              <w:rPr>
                <w:sz w:val="20"/>
                <w:szCs w:val="20"/>
              </w:rPr>
              <w:t xml:space="preserve">[-2.8528, 1.2872]</w:t>
            </w:r>
          </w:p>
        </w:tc>
      </w:tr>
    </w:tbl>
    <w:p>
      <w:pPr>
        <w:pStyle w:val="BodyText"/>
      </w:pPr>
      <w:r>
        <w:t xml:space="preserve">Fit: N = 39 pseudo_R2 = 0.1505 LL = -20.45</w:t>
      </w:r>
    </w:p>
    <w:p>
      <w:pPr>
        <w:pStyle w:val="CaptionedFigure"/>
      </w:pPr>
      <w:r>
        <w:drawing>
          <wp:inline>
            <wp:extent cx="5669280" cy="3657600"/>
            <wp:effectExtent b="0" l="0" r="0" t="0"/>
            <wp:docPr descr="Figure 1. Figure 1. Voluntary maneuver disclosure as a function of operator fleet size. Markers are observed operator-level outcomes; the curve is the fitted logistic response from the model in Section 4." title="" id="84" name="Picture"/>
            <a:graphic>
              <a:graphicData uri="http://schemas.openxmlformats.org/drawingml/2006/picture">
                <pic:pic>
                  <pic:nvPicPr>
                    <pic:cNvPr descr="D:\Claude_Code\brain\collegium\candidates\dissertations\STM_CISLUNAR_01\research_papers\p1\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Voluntary maneuver disclosure as a function of operator fleet size. Markers are observed operator-level outcomes; the curve is the fitted logistic response from the model in Section 4.</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jurisdiction_us</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public_ephem</w:t>
            </w:r>
          </w:p>
        </w:tc>
        <w:tc>
          <w:tcPr>
            <w:tcW w:w="0" w:type="auto"/>
          </w:tcPr>
          <w:p>
            <w:pPr>
              <w:spacing w:line="240" w:lineRule="auto" w:before="0" w:after="0"/>
              <w:pStyle w:val="Compact"/>
            </w:pPr>
            <w:r>
              <w:rPr>
                <w:sz w:val="20"/>
                <w:szCs w:val="20"/>
              </w:rPr>
              <w:t xml:space="preserve">discloses_maneuvers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2025 Auman et al. TraCSS validation w/ SpaceX (doi:10.64861/GVYB8737); SpaceX semiannual constellation reports to FCC IBFS SAT-MOD-20200417-00037</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OneWeb sustainability report 2024; AMOS 2024 Kebschull (doi:10.64861/JKDR9240) on operator ephemeris sharing</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Communications 2023 10-K (SEC filing 0001418819-24-000010); Space-Track LeoLabs operator participation</w:t>
            </w:r>
          </w:p>
        </w:tc>
      </w:tr>
      <w:tr>
        <w:tc>
          <w:tcPr>
            <w:tcW w:w="0" w:type="auto"/>
          </w:tcPr>
          <w:p>
            <w:pPr>
              <w:spacing w:line="240" w:lineRule="auto" w:before="0" w:after="0"/>
              <w:pStyle w:val="Compact"/>
            </w:pPr>
            <w:r>
              <w:rPr>
                <w:sz w:val="20"/>
                <w:szCs w:val="20"/>
              </w:rPr>
              <w:t xml:space="preserve">Planet_Labs</w:t>
            </w:r>
          </w:p>
        </w:tc>
        <w:tc>
          <w:tcPr>
            <w:tcW w:w="0" w:type="auto"/>
          </w:tcPr>
          <w:p>
            <w:pPr>
              <w:spacing w:line="240" w:lineRule="auto" w:before="0" w:after="0"/>
              <w:pStyle w:val="Compact"/>
            </w:pPr>
            <w:r>
              <w:rPr>
                <w:sz w:val="20"/>
                <w:szCs w:val="20"/>
              </w:rPr>
              <w:t xml:space="preserve">5.69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Labs PBC 2023 10-K (SEC 0001551152-23-000xxx); AMOS 2018 Archuleta &amp; Nicolls (LeoLabs/DigitalGlobe) on operator CDM workflow</w:t>
            </w:r>
          </w:p>
        </w:tc>
      </w:tr>
      <w:tr>
        <w:tc>
          <w:tcPr>
            <w:tcW w:w="0" w:type="auto"/>
          </w:tcPr>
          <w:p>
            <w:pPr>
              <w:spacing w:line="240" w:lineRule="auto" w:before="0" w:after="0"/>
              <w:pStyle w:val="Compact"/>
            </w:pPr>
            <w:r>
              <w:rPr>
                <w:sz w:val="20"/>
                <w:szCs w:val="20"/>
              </w:rPr>
              <w:t xml:space="preserve">GHGSat</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GHGSat company website operator profile (ghgsat.com); UN Registry of Objects ST/SG/SER.E/1056</w:t>
            </w:r>
          </w:p>
        </w:tc>
      </w:tr>
      <w:tr>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ICEYE 2024 sustainability disclosure; ICEYE press release 2024-03 on TraCSS integration</w:t>
            </w:r>
          </w:p>
        </w:tc>
      </w:tr>
      <w:tr>
        <w:tc>
          <w:tcPr>
            <w:tcW w:w="0" w:type="auto"/>
          </w:tcPr>
          <w:p>
            <w:pPr>
              <w:spacing w:line="240" w:lineRule="auto" w:before="0" w:after="0"/>
              <w:pStyle w:val="Compact"/>
            </w:pPr>
            <w:r>
              <w:rPr>
                <w:sz w:val="20"/>
                <w:szCs w:val="20"/>
              </w:rPr>
              <w:t xml:space="preserve">Spire_Global</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Global 2023 10-K (SEC 0001830033-24-000010); Spire SDA program disclosure 2024</w:t>
            </w:r>
          </w:p>
        </w:tc>
      </w:tr>
      <w:tr>
        <w:tc>
          <w:tcPr>
            <w:tcW w:w="0" w:type="auto"/>
          </w:tcPr>
          <w:p>
            <w:pPr>
              <w:spacing w:line="240" w:lineRule="auto" w:before="0" w:after="0"/>
              <w:pStyle w:val="Compact"/>
            </w:pPr>
            <w:r>
              <w:rPr>
                <w:sz w:val="20"/>
                <w:szCs w:val="20"/>
              </w:rPr>
              <w:t xml:space="preserve">Maxar_Intelligence</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Maxar Technologies 2023 10-K (SEC filing pre-acquisition); AMOS 2018 Archuleta DigitalGlobe operator integration</w:t>
            </w:r>
          </w:p>
        </w:tc>
      </w:tr>
      <w:tr>
        <w:tc>
          <w:tcPr>
            <w:tcW w:w="0" w:type="auto"/>
          </w:tcPr>
          <w:p>
            <w:pPr>
              <w:spacing w:line="240" w:lineRule="auto" w:before="0" w:after="0"/>
              <w:pStyle w:val="Compact"/>
            </w:pPr>
            <w:r>
              <w:rPr>
                <w:sz w:val="20"/>
                <w:szCs w:val="20"/>
              </w:rPr>
              <w:t xml:space="preserve">Airbus_Defence_Space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Airbus DS Skynet/Pleiades operator filings ITU; ESA Space Debris Office annual report 2024 GEN-DB-LOG-00288</w:t>
            </w:r>
          </w:p>
        </w:tc>
      </w:tr>
      <w:tr>
        <w:tc>
          <w:tcPr>
            <w:tcW w:w="0" w:type="auto"/>
          </w:tcPr>
          <w:p>
            <w:pPr>
              <w:spacing w:line="240" w:lineRule="auto" w:before="0" w:after="0"/>
              <w:pStyle w:val="Compact"/>
            </w:pPr>
            <w:r>
              <w:rPr>
                <w:sz w:val="20"/>
                <w:szCs w:val="20"/>
              </w:rPr>
              <w:t xml:space="preserve">Telesat_LightSpeed</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Telesat Corp 2023 10-K (SEC 0001785888-24-000010); Telesat LightSpeed FCC IBFS SAT-MPL-20200526-00053</w:t>
            </w:r>
          </w:p>
        </w:tc>
      </w:tr>
      <w:tr>
        <w:tc>
          <w:tcPr>
            <w:tcW w:w="0" w:type="auto"/>
          </w:tcPr>
          <w:p>
            <w:pPr>
              <w:spacing w:line="240" w:lineRule="auto" w:before="0" w:after="0"/>
              <w:pStyle w:val="Compact"/>
            </w:pPr>
            <w:r>
              <w:rPr>
                <w:sz w:val="20"/>
                <w:szCs w:val="20"/>
              </w:rPr>
              <w:t xml:space="preserve">ESA_Operations</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Debris Office Annual Report GEN-DB-LOG-00288 issue 8 (2024)</w:t>
            </w:r>
          </w:p>
        </w:tc>
      </w:tr>
      <w:tr>
        <w:tc>
          <w:tcPr>
            <w:tcW w:w="0" w:type="auto"/>
          </w:tcPr>
          <w:p>
            <w:pPr>
              <w:spacing w:line="240" w:lineRule="auto" w:before="0" w:after="0"/>
              <w:pStyle w:val="Compact"/>
            </w:pPr>
            <w:r>
              <w:rPr>
                <w:sz w:val="20"/>
                <w:szCs w:val="20"/>
              </w:rPr>
              <w:t xml:space="preserve">NASA_GSFC</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CARA program documentation; GAO-23-106021 (NASA Major Project Assessments 2023)</w:t>
            </w:r>
          </w:p>
        </w:tc>
      </w:tr>
      <w:tr>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Space Tracking and Communications Centre annual report 2024; UN Registry ST/SG/SER.E/1056</w:t>
            </w:r>
          </w:p>
        </w:tc>
      </w:tr>
      <w:tr>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 Registry of Objects launched into outer space ST/SG/SER.E/1056; SeRP/UN COPUOS A/AC.105/2024/CRP.x</w:t>
            </w:r>
          </w:p>
        </w:tc>
      </w:tr>
      <w:tr>
        <w:tc>
          <w:tcPr>
            <w:tcW w:w="0" w:type="auto"/>
          </w:tcPr>
          <w:p>
            <w:pPr>
              <w:spacing w:line="240" w:lineRule="auto" w:before="0" w:after="0"/>
              <w:pStyle w:val="Compact"/>
            </w:pPr>
            <w:r>
              <w:rPr>
                <w:sz w:val="20"/>
                <w:szCs w:val="20"/>
              </w:rPr>
              <w:t xml:space="preserve">CNSA_China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 Registry ST/SG/SER.E/1056; State Council Information Office 2022 white paper</w:t>
            </w:r>
            <w:r>
              <w:rPr>
                <w:sz w:val="20"/>
                <w:szCs w:val="20"/>
              </w:rPr>
              <w:t xml:space="preserve"> </w:t>
            </w:r>
            <w:r>
              <w:rPr>
                <w:sz w:val="20"/>
                <w:szCs w:val="20"/>
              </w:rPr>
              <w:t xml:space="preserve">‘China’s Space Program: A 2021 Perspective’</w:t>
            </w:r>
          </w:p>
        </w:tc>
      </w:tr>
      <w:tr>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 Space Situational Awareness Control Centre 2024 annual report; UN Registry ST/SG/SER.E/1056</w:t>
            </w:r>
          </w:p>
        </w:tc>
      </w:tr>
      <w:tr>
        <w:tc>
          <w:tcPr>
            <w:tcW w:w="0" w:type="auto"/>
          </w:tcPr>
          <w:p>
            <w:pPr>
              <w:spacing w:line="240" w:lineRule="auto" w:before="0" w:after="0"/>
              <w:pStyle w:val="Compact"/>
            </w:pPr>
            <w:r>
              <w:rPr>
                <w:sz w:val="20"/>
                <w:szCs w:val="20"/>
              </w:rPr>
              <w:t xml:space="preserve">Kepler_Communications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Kepler Communications operator profile FCC IBFS SAT-MOD-20210510-00057; Kepler 2024 sustainability brief</w:t>
            </w:r>
          </w:p>
        </w:tc>
      </w:tr>
      <w:tr>
        <w:tc>
          <w:tcPr>
            <w:tcW w:w="0" w:type="auto"/>
          </w:tcPr>
          <w:p>
            <w:pPr>
              <w:spacing w:line="240" w:lineRule="auto" w:before="0" w:after="0"/>
              <w:pStyle w:val="Compact"/>
            </w:pPr>
            <w:r>
              <w:rPr>
                <w:sz w:val="20"/>
                <w:szCs w:val="20"/>
              </w:rPr>
              <w:t xml:space="preserve">Hawkeye_360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HawkEye 360 press release 2024-04 on TraCSS onboarding; HawkEye 360 Cluster filings FCC SAT-MOD-20220801</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BlackSky Technology 2023 10-K (SEC 0001753539-24-000010); BlackSky operator profile FCC</w:t>
            </w:r>
          </w:p>
        </w:tc>
      </w:tr>
      <w:tr>
        <w:tc>
          <w:tcPr>
            <w:tcW w:w="0" w:type="auto"/>
          </w:tcPr>
          <w:p>
            <w:pPr>
              <w:spacing w:line="240" w:lineRule="auto" w:before="0" w:after="0"/>
              <w:pStyle w:val="Compact"/>
            </w:pPr>
            <w:r>
              <w:rPr>
                <w:sz w:val="20"/>
                <w:szCs w:val="20"/>
              </w:rPr>
              <w:t xml:space="preserve">Capella_Space</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Capella Space FCC IBFS SAT-MOD-20210715-00088; AMOS 2025 OSC TraCSS poster (Wolff et al. doi:10.64861/XWVP8211) on commercial integration</w:t>
            </w:r>
          </w:p>
        </w:tc>
      </w:tr>
      <w:tr>
        <w:tc>
          <w:tcPr>
            <w:tcW w:w="0" w:type="auto"/>
          </w:tcPr>
          <w:p>
            <w:pPr>
              <w:spacing w:line="240" w:lineRule="auto" w:before="0" w:after="0"/>
              <w:pStyle w:val="Compact"/>
            </w:pPr>
            <w:r>
              <w:rPr>
                <w:sz w:val="20"/>
                <w:szCs w:val="20"/>
              </w:rPr>
              <w:t xml:space="preserve">SES_O3b</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S.A. 2023 annual report; ESA Space Debris Office Annual Report GEN-DB-LOG-00288</w:t>
            </w:r>
          </w:p>
        </w:tc>
      </w:tr>
      <w:tr>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 2023 annual report (post-emergence); ITU coordination filings</w:t>
            </w:r>
          </w:p>
        </w:tc>
      </w:tr>
      <w:tr>
        <w:tc>
          <w:tcPr>
            <w:tcW w:w="0" w:type="auto"/>
          </w:tcPr>
          <w:p>
            <w:pPr>
              <w:spacing w:line="240" w:lineRule="auto" w:before="0" w:after="0"/>
              <w:pStyle w:val="Compact"/>
            </w:pPr>
            <w:r>
              <w:rPr>
                <w:sz w:val="20"/>
                <w:szCs w:val="20"/>
              </w:rPr>
              <w:t xml:space="preserve">Eutelsat_GEO</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Communications 2023-24 universal registration document</w:t>
            </w:r>
          </w:p>
        </w:tc>
      </w:tr>
      <w:tr>
        <w:tc>
          <w:tcPr>
            <w:tcW w:w="0" w:type="auto"/>
          </w:tcPr>
          <w:p>
            <w:pPr>
              <w:spacing w:line="240" w:lineRule="auto" w:before="0" w:after="0"/>
              <w:pStyle w:val="Compact"/>
            </w:pPr>
            <w:r>
              <w:rPr>
                <w:sz w:val="20"/>
                <w:szCs w:val="20"/>
              </w:rPr>
              <w:t xml:space="preserve">Northrop_Mission_Ext</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Northrop Grumman MEV-1/MEV-2 operator disclosures FCC SAT-LOA-20180611-00045</w:t>
            </w:r>
          </w:p>
        </w:tc>
      </w:tr>
      <w:tr>
        <w:tc>
          <w:tcPr>
            <w:tcW w:w="0" w:type="auto"/>
          </w:tcPr>
          <w:p>
            <w:pPr>
              <w:spacing w:line="240" w:lineRule="auto" w:before="0" w:after="0"/>
              <w:pStyle w:val="Compact"/>
            </w:pPr>
            <w:r>
              <w:rPr>
                <w:sz w:val="20"/>
                <w:szCs w:val="20"/>
              </w:rPr>
              <w:t xml:space="preserve">AST_SpaceMobile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 SpaceMobile 2023 10-K (SEC 0001780312-24-000010); BlueWalker 3 FCC filings IBFS SAT-MOD-20220701-00078</w:t>
            </w:r>
          </w:p>
        </w:tc>
      </w:tr>
      <w:tr>
        <w:tc>
          <w:tcPr>
            <w:tcW w:w="0" w:type="auto"/>
          </w:tcPr>
          <w:p>
            <w:pPr>
              <w:spacing w:line="240" w:lineRule="auto" w:before="0" w:after="0"/>
              <w:pStyle w:val="Compact"/>
            </w:pPr>
            <w:r>
              <w:rPr>
                <w:sz w:val="20"/>
                <w:szCs w:val="20"/>
              </w:rPr>
              <w:t xml:space="preserve">KT_SAT</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KT SAT operator profile; ITU coordination filings; [illustrative] disclosure flag derived from absence of public ephemeris registry entry</w:t>
            </w:r>
          </w:p>
        </w:tc>
      </w:tr>
      <w:tr>
        <w:tc>
          <w:tcPr>
            <w:tcW w:w="0" w:type="auto"/>
          </w:tcPr>
          <w:p>
            <w:pPr>
              <w:spacing w:line="240" w:lineRule="auto" w:before="0" w:after="0"/>
              <w:pStyle w:val="Compact"/>
            </w:pPr>
            <w:r>
              <w:rPr>
                <w:sz w:val="20"/>
                <w:szCs w:val="20"/>
              </w:rPr>
              <w:t xml:space="preserve">SKY_Perfect_JSAT</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SKY Perfect JSAT 2023 integrated report; ITU coordination filings</w:t>
            </w:r>
          </w:p>
        </w:tc>
      </w:tr>
      <w:tr>
        <w:tc>
          <w:tcPr>
            <w:tcW w:w="0" w:type="auto"/>
          </w:tcPr>
          <w:p>
            <w:pPr>
              <w:spacing w:line="240" w:lineRule="auto" w:before="0" w:after="0"/>
              <w:pStyle w:val="Compact"/>
            </w:pPr>
            <w:r>
              <w:rPr>
                <w:sz w:val="20"/>
                <w:szCs w:val="20"/>
              </w:rPr>
              <w:t xml:space="preserve">Yahsat</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Al Yah Satellite Communications 2023 annual report (Yahsat IPO disclosures); ITU filings</w:t>
            </w:r>
          </w:p>
        </w:tc>
      </w:tr>
      <w:tr>
        <w:tc>
          <w:tcPr>
            <w:tcW w:w="0" w:type="auto"/>
          </w:tcPr>
          <w:p>
            <w:pPr>
              <w:spacing w:line="240" w:lineRule="auto" w:before="0" w:after="0"/>
              <w:pStyle w:val="Compact"/>
            </w:pPr>
            <w:r>
              <w:rPr>
                <w:sz w:val="20"/>
                <w:szCs w:val="20"/>
              </w:rPr>
              <w:t xml:space="preserve">Embratel_Star_One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Embratel Star One operator profile ANATEL Brazil; ITU coordination filings; [illustrative] disclosure flag from absence of TraCSS/Space-Track O/O entry</w:t>
            </w:r>
          </w:p>
        </w:tc>
      </w:tr>
      <w:tr>
        <w:tc>
          <w:tcPr>
            <w:tcW w:w="0" w:type="auto"/>
          </w:tcPr>
          <w:p>
            <w:pPr>
              <w:spacing w:line="240" w:lineRule="auto" w:before="0" w:after="0"/>
              <w:pStyle w:val="Compact"/>
            </w:pPr>
            <w:r>
              <w:rPr>
                <w:sz w:val="20"/>
                <w:szCs w:val="20"/>
              </w:rPr>
              <w:t xml:space="preserve">Hispasat</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Hispasat 2023 annual report; ESA SDO operator participation listing</w:t>
            </w:r>
          </w:p>
        </w:tc>
      </w:tr>
      <w:tr>
        <w:tc>
          <w:tcPr>
            <w:tcW w:w="0" w:type="auto"/>
          </w:tcPr>
          <w:p>
            <w:pPr>
              <w:spacing w:line="240" w:lineRule="auto" w:before="0" w:after="0"/>
              <w:pStyle w:val="Compact"/>
            </w:pPr>
            <w:r>
              <w:rPr>
                <w:sz w:val="20"/>
                <w:szCs w:val="20"/>
              </w:rPr>
              <w:t xml:space="preserve">Arabsat</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Arabsat operator profile ITU coordination filings; [illustrative] disclosure flag from absence of public ephemeris registry entry</w:t>
            </w:r>
          </w:p>
        </w:tc>
      </w:tr>
      <w:tr>
        <w:tc>
          <w:tcPr>
            <w:tcW w:w="0" w:type="auto"/>
          </w:tcPr>
          <w:p>
            <w:pPr>
              <w:spacing w:line="240" w:lineRule="auto" w:before="0" w:after="0"/>
              <w:pStyle w:val="Compact"/>
            </w:pPr>
            <w:r>
              <w:rPr>
                <w:sz w:val="20"/>
                <w:szCs w:val="20"/>
              </w:rPr>
              <w:t xml:space="preserve">Es_hailSat</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Es’hailSat 2023 annual report; ITU coordination filings</w:t>
            </w:r>
          </w:p>
        </w:tc>
      </w:tr>
      <w:tr>
        <w:tc>
          <w:tcPr>
            <w:tcW w:w="0" w:type="auto"/>
          </w:tcPr>
          <w:p>
            <w:pPr>
              <w:spacing w:line="240" w:lineRule="auto" w:before="0" w:after="0"/>
              <w:pStyle w:val="Compact"/>
            </w:pPr>
            <w:r>
              <w:rPr>
                <w:sz w:val="20"/>
                <w:szCs w:val="20"/>
              </w:rPr>
              <w:t xml:space="preserve">SatRev</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SatRev STORK constellation FCC IBFS SAT-LOA-20220601-00056; SatRev 2024 mission status disclosure</w:t>
            </w:r>
          </w:p>
        </w:tc>
      </w:tr>
      <w:tr>
        <w:tc>
          <w:tcPr>
            <w:tcW w:w="0" w:type="auto"/>
          </w:tcPr>
          <w:p>
            <w:pPr>
              <w:spacing w:line="240" w:lineRule="auto" w:before="0" w:after="0"/>
              <w:pStyle w:val="Compact"/>
            </w:pPr>
            <w:r>
              <w:rPr>
                <w:sz w:val="20"/>
                <w:szCs w:val="20"/>
              </w:rPr>
              <w:t xml:space="preserve">GalaxySpace</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Galaxy Space Yinhe operator profile; UN Registry ST/SG/SER.E/1056; Chinese MIIT licensing 2023</w:t>
            </w:r>
          </w:p>
        </w:tc>
      </w:tr>
      <w:tr>
        <w:tc>
          <w:tcPr>
            <w:tcW w:w="0" w:type="auto"/>
          </w:tcPr>
          <w:p>
            <w:pPr>
              <w:spacing w:line="240" w:lineRule="auto" w:before="0" w:after="0"/>
              <w:pStyle w:val="Compact"/>
            </w:pPr>
            <w:r>
              <w:rPr>
                <w:sz w:val="20"/>
                <w:szCs w:val="20"/>
              </w:rPr>
              <w:t xml:space="preserve">Mynaric_terminals_op</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Mynaric AG 2023 annual report; ITU coordination filings</w:t>
            </w:r>
          </w:p>
        </w:tc>
      </w:tr>
      <w:tr>
        <w:tc>
          <w:tcPr>
            <w:tcW w:w="0" w:type="auto"/>
          </w:tcPr>
          <w:p>
            <w:pPr>
              <w:spacing w:line="240" w:lineRule="auto" w:before="0" w:after="0"/>
              <w:pStyle w:val="Compact"/>
            </w:pPr>
            <w:r>
              <w:rPr>
                <w:sz w:val="20"/>
                <w:szCs w:val="20"/>
              </w:rPr>
              <w:t xml:space="preserve">Loft_Orbital</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Loft Orbital YAM-series FCC IBFS SAT-MOD-20210812-00126; Loft Orbital 2024 sustainability commitments</w:t>
            </w:r>
          </w:p>
        </w:tc>
      </w:tr>
      <w:tr>
        <w:tc>
          <w:tcPr>
            <w:tcW w:w="0" w:type="auto"/>
          </w:tcPr>
          <w:p>
            <w:pPr>
              <w:spacing w:line="240" w:lineRule="auto" w:before="0" w:after="0"/>
              <w:pStyle w:val="Compact"/>
            </w:pPr>
            <w:r>
              <w:rPr>
                <w:sz w:val="20"/>
                <w:szCs w:val="20"/>
              </w:rPr>
              <w:t xml:space="preserve">D_Orbit_ION</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D-Orbit ION SCV operator profile ASI Italy; D-Orbit 2024 ION operator sustainability disclosure</w:t>
            </w:r>
          </w:p>
        </w:tc>
      </w:tr>
      <w:tr>
        <w:tc>
          <w:tcPr>
            <w:tcW w:w="0" w:type="auto"/>
          </w:tcPr>
          <w:p>
            <w:pPr>
              <w:spacing w:line="240" w:lineRule="auto" w:before="0" w:after="0"/>
              <w:pStyle w:val="Compact"/>
            </w:pPr>
            <w:r>
              <w:rPr>
                <w:sz w:val="20"/>
                <w:szCs w:val="20"/>
              </w:rPr>
              <w:t xml:space="preserve">Astrocast</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Astrocast SA 2023 annual report; Astrocast operator profile FOC Switzerland</w:t>
            </w:r>
          </w:p>
        </w:tc>
      </w:tr>
      <w:tr>
        <w:tc>
          <w:tcPr>
            <w:tcW w:w="0" w:type="auto"/>
          </w:tcPr>
          <w:p>
            <w:pPr>
              <w:spacing w:line="240" w:lineRule="auto" w:before="0" w:after="0"/>
              <w:pStyle w:val="Compact"/>
            </w:pPr>
            <w:r>
              <w:rPr>
                <w:sz w:val="20"/>
                <w:szCs w:val="20"/>
              </w:rPr>
              <w:t xml:space="preserve">Rocket_Lab_Photon</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USA 2023 10-K (SEC 0001819810-24-000010); Photon operator filings FCC</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D_i</w:t>
            </w:r>
          </w:p>
        </w:tc>
        <w:tc>
          <w:tcPr>
            <w:tcW w:w="0" w:type="auto"/>
          </w:tcPr>
          <w:p>
            <w:pPr>
              <w:spacing w:line="240" w:lineRule="auto" w:before="0" w:after="0"/>
              <w:pStyle w:val="Compact"/>
            </w:pPr>
            <w:r>
              <w:rPr>
                <w:sz w:val="20"/>
                <w:szCs w:val="20"/>
              </w:rPr>
              <w:t xml:space="preserve">Binary indicator that operator i publicly discloses maneuver activity (CDM-triggered or planned) via TraCSS, Space-Track, sustainability report, or SEC/exchange filing</w:t>
            </w:r>
          </w:p>
        </w:tc>
        <w:tc>
          <w:tcPr>
            <w:tcW w:w="0" w:type="auto"/>
          </w:tcPr>
          <w:p>
            <w:pPr>
              <w:spacing w:line="240" w:lineRule="auto" w:before="0" w:after="0"/>
              <w:pStyle w:val="Compact"/>
            </w:pPr>
            <w:r>
              <w:rPr>
                <w:sz w:val="20"/>
                <w:szCs w:val="20"/>
              </w:rPr>
              <w:t xml:space="preserve">operator filings; AMOS 2024 Kebschull doi:10.64861/JKDR9240</w:t>
            </w:r>
          </w:p>
        </w:tc>
      </w:tr>
      <w:tr>
        <w:tc>
          <w:tcPr>
            <w:tcW w:w="0" w:type="auto"/>
          </w:tcPr>
          <w:p>
            <w:pPr>
              <w:spacing w:line="240" w:lineRule="auto" w:before="0" w:after="0"/>
              <w:pStyle w:val="Compact"/>
            </w:pPr>
            <w:r>
              <w:rPr>
                <w:sz w:val="20"/>
                <w:szCs w:val="20"/>
              </w:rPr>
              <w:t xml:space="preserve">F_i</w:t>
            </w:r>
          </w:p>
        </w:tc>
        <w:tc>
          <w:tcPr>
            <w:tcW w:w="0" w:type="auto"/>
          </w:tcPr>
          <w:p>
            <w:pPr>
              <w:spacing w:line="240" w:lineRule="auto" w:before="0" w:after="0"/>
              <w:pStyle w:val="Compact"/>
            </w:pPr>
            <w:r>
              <w:rPr>
                <w:sz w:val="20"/>
                <w:szCs w:val="20"/>
              </w:rPr>
              <w:t xml:space="preserve">Operator fleet size (active on-orbit objects), log-transformed</w:t>
            </w:r>
          </w:p>
        </w:tc>
        <w:tc>
          <w:tcPr>
            <w:tcW w:w="0" w:type="auto"/>
          </w:tcPr>
          <w:p>
            <w:pPr>
              <w:spacing w:line="240" w:lineRule="auto" w:before="0" w:after="0"/>
              <w:pStyle w:val="Compact"/>
            </w:pPr>
            <w:r>
              <w:rPr>
                <w:sz w:val="20"/>
                <w:szCs w:val="20"/>
              </w:rPr>
              <w:t xml:space="preserve">UN Registry ST/SG/SER.E/1056; FCC IBFS</w:t>
            </w:r>
          </w:p>
        </w:tc>
      </w:tr>
      <w:tr>
        <w:tc>
          <w:tcPr>
            <w:tcW w:w="0" w:type="auto"/>
          </w:tcPr>
          <w:p>
            <w:pPr>
              <w:spacing w:line="240" w:lineRule="auto" w:before="0" w:after="0"/>
              <w:pStyle w:val="Compact"/>
            </w:pPr>
            <w:r>
              <w:rPr>
                <w:sz w:val="20"/>
                <w:szCs w:val="20"/>
              </w:rPr>
              <w:t xml:space="preserve">U_i</w:t>
            </w:r>
          </w:p>
        </w:tc>
        <w:tc>
          <w:tcPr>
            <w:tcW w:w="0" w:type="auto"/>
          </w:tcPr>
          <w:p>
            <w:pPr>
              <w:spacing w:line="240" w:lineRule="auto" w:before="0" w:after="0"/>
              <w:pStyle w:val="Compact"/>
            </w:pPr>
            <w:r>
              <w:rPr>
                <w:sz w:val="20"/>
                <w:szCs w:val="20"/>
              </w:rPr>
              <w:t xml:space="preserve">Binary indicator that the operator is licensed under US jurisdiction (FCC, NOAA, FAA)</w:t>
            </w:r>
          </w:p>
        </w:tc>
        <w:tc>
          <w:tcPr>
            <w:tcW w:w="0" w:type="auto"/>
          </w:tcPr>
          <w:p>
            <w:pPr>
              <w:spacing w:line="240" w:lineRule="auto" w:before="0" w:after="0"/>
              <w:pStyle w:val="Compact"/>
            </w:pPr>
            <w:r>
              <w:rPr>
                <w:sz w:val="20"/>
                <w:szCs w:val="20"/>
              </w:rPr>
              <w:t xml:space="preserve">FCC IBFS; NOAA NESDIS CRSRA licenses</w:t>
            </w:r>
          </w:p>
        </w:tc>
      </w:tr>
      <w:tr>
        <w:tc>
          <w:tcPr>
            <w:tcW w:w="0" w:type="auto"/>
          </w:tcPr>
          <w:p>
            <w:pPr>
              <w:spacing w:line="240" w:lineRule="auto" w:before="0" w:after="0"/>
              <w:pStyle w:val="Compact"/>
            </w:pPr>
            <w:r>
              <w:rPr>
                <w:sz w:val="20"/>
                <w:szCs w:val="20"/>
              </w:rPr>
              <w:t xml:space="preserve">C_i</w:t>
            </w:r>
          </w:p>
        </w:tc>
        <w:tc>
          <w:tcPr>
            <w:tcW w:w="0" w:type="auto"/>
          </w:tcPr>
          <w:p>
            <w:pPr>
              <w:spacing w:line="240" w:lineRule="auto" w:before="0" w:after="0"/>
              <w:pStyle w:val="Compact"/>
            </w:pPr>
            <w:r>
              <w:rPr>
                <w:sz w:val="20"/>
                <w:szCs w:val="20"/>
              </w:rPr>
              <w:t xml:space="preserve">Binary indicator that the operator is a commercial entity (as opposed to civil-government or military)</w:t>
            </w:r>
          </w:p>
        </w:tc>
        <w:tc>
          <w:tcPr>
            <w:tcW w:w="0" w:type="auto"/>
          </w:tcPr>
          <w:p>
            <w:pPr>
              <w:spacing w:line="240" w:lineRule="auto" w:before="0" w:after="0"/>
              <w:pStyle w:val="Compact"/>
            </w:pPr>
            <w:r>
              <w:rPr>
                <w:sz w:val="20"/>
                <w:szCs w:val="20"/>
              </w:rPr>
              <w:t xml:space="preserve">SEC filings; UN Registry</w:t>
            </w:r>
          </w:p>
        </w:tc>
      </w:tr>
      <w:tr>
        <w:tc>
          <w:tcPr>
            <w:tcW w:w="0" w:type="auto"/>
          </w:tcPr>
          <w:p>
            <w:pPr>
              <w:spacing w:line="240" w:lineRule="auto" w:before="0" w:after="0"/>
              <w:pStyle w:val="Compact"/>
            </w:pPr>
            <w:r>
              <w:rPr>
                <w:sz w:val="20"/>
                <w:szCs w:val="20"/>
              </w:rPr>
              <w:t xml:space="preserve">A_i</w:t>
            </w:r>
          </w:p>
        </w:tc>
        <w:tc>
          <w:tcPr>
            <w:tcW w:w="0" w:type="auto"/>
          </w:tcPr>
          <w:p>
            <w:pPr>
              <w:spacing w:line="240" w:lineRule="auto" w:before="0" w:after="0"/>
              <w:pStyle w:val="Compact"/>
            </w:pPr>
            <w:r>
              <w:rPr>
                <w:sz w:val="20"/>
                <w:szCs w:val="20"/>
              </w:rPr>
              <w:t xml:space="preserve">Operator age in years from incorporation or program establishment to 2024</w:t>
            </w:r>
          </w:p>
        </w:tc>
        <w:tc>
          <w:tcPr>
            <w:tcW w:w="0" w:type="auto"/>
          </w:tcPr>
          <w:p>
            <w:pPr>
              <w:spacing w:line="240" w:lineRule="auto" w:before="0" w:after="0"/>
              <w:pStyle w:val="Compact"/>
            </w:pPr>
            <w:r>
              <w:rPr>
                <w:sz w:val="20"/>
                <w:szCs w:val="20"/>
              </w:rPr>
              <w:t xml:space="preserve">SEC 10-K filings; agency annual reports</w:t>
            </w:r>
          </w:p>
        </w:tc>
      </w:tr>
      <w:tr>
        <w:tc>
          <w:tcPr>
            <w:tcW w:w="0" w:type="auto"/>
          </w:tcPr>
          <w:p>
            <w:pPr>
              <w:spacing w:line="240" w:lineRule="auto" w:before="0" w:after="0"/>
              <w:pStyle w:val="Compact"/>
            </w:pPr>
            <w:r>
              <w:rPr>
                <w:sz w:val="20"/>
                <w:szCs w:val="20"/>
              </w:rPr>
              <w:t xml:space="preserve">K_i</w:t>
            </w:r>
          </w:p>
        </w:tc>
        <w:tc>
          <w:tcPr>
            <w:tcW w:w="0" w:type="auto"/>
          </w:tcPr>
          <w:p>
            <w:pPr>
              <w:spacing w:line="240" w:lineRule="auto" w:before="0" w:after="0"/>
              <w:pStyle w:val="Compact"/>
            </w:pPr>
            <w:r>
              <w:rPr>
                <w:sz w:val="20"/>
                <w:szCs w:val="20"/>
              </w:rPr>
              <w:t xml:space="preserve">Binary indicator that the operator runs a constellation (10+ planned satellites in a single architecture)</w:t>
            </w:r>
          </w:p>
        </w:tc>
        <w:tc>
          <w:tcPr>
            <w:tcW w:w="0" w:type="auto"/>
          </w:tcPr>
          <w:p>
            <w:pPr>
              <w:spacing w:line="240" w:lineRule="auto" w:before="0" w:after="0"/>
              <w:pStyle w:val="Compact"/>
            </w:pPr>
            <w:r>
              <w:rPr>
                <w:sz w:val="20"/>
                <w:szCs w:val="20"/>
              </w:rPr>
              <w:t xml:space="preserve">FCC IBFS; ITU coordination filings</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-2.0557</w:t>
            </w:r>
          </w:p>
        </w:tc>
        <w:tc>
          <w:tcPr>
            <w:tcW w:w="0" w:type="auto"/>
          </w:tcPr>
          <w:p>
            <w:pPr>
              <w:spacing w:line="240" w:lineRule="auto" w:before="0" w:after="0"/>
              <w:pStyle w:val="Compact"/>
            </w:pPr>
            <w:r>
              <w:rPr>
                <w:sz w:val="20"/>
                <w:szCs w:val="20"/>
              </w:rPr>
              <w:t xml:space="preserve">1.9199</w:t>
            </w:r>
          </w:p>
        </w:tc>
        <w:tc>
          <w:tcPr>
            <w:tcW w:w="0" w:type="auto"/>
          </w:tcPr>
          <w:p>
            <w:pPr>
              <w:spacing w:line="240" w:lineRule="auto" w:before="0" w:after="0"/>
              <w:pStyle w:val="Compact"/>
            </w:pPr>
            <w:r>
              <w:rPr>
                <w:sz w:val="20"/>
                <w:szCs w:val="20"/>
              </w:rPr>
              <w:t xml:space="preserve">-1.0708</w:t>
            </w:r>
          </w:p>
        </w:tc>
        <w:tc>
          <w:tcPr>
            <w:tcW w:w="0" w:type="auto"/>
          </w:tcPr>
          <w:p>
            <w:pPr>
              <w:spacing w:line="240" w:lineRule="auto" w:before="0" w:after="0"/>
              <w:pStyle w:val="Compact"/>
            </w:pPr>
            <w:r>
              <w:rPr>
                <w:sz w:val="20"/>
                <w:szCs w:val="20"/>
              </w:rPr>
              <w:t xml:space="preserve">0.2843</w:t>
            </w:r>
          </w:p>
        </w:tc>
        <w:tc>
          <w:tcPr>
            <w:tcW w:w="0" w:type="auto"/>
          </w:tcPr>
          <w:p>
            <w:pPr>
              <w:spacing w:line="240" w:lineRule="auto" w:before="0" w:after="0"/>
              <w:pStyle w:val="Compact"/>
            </w:pPr>
            <w:r>
              <w:rPr>
                <w:sz w:val="20"/>
                <w:szCs w:val="20"/>
              </w:rPr>
              <w:t xml:space="preserve">[-5.8186, 1.7071]</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0.8694</w:t>
            </w:r>
          </w:p>
        </w:tc>
        <w:tc>
          <w:tcPr>
            <w:tcW w:w="0" w:type="auto"/>
          </w:tcPr>
          <w:p>
            <w:pPr>
              <w:spacing w:line="240" w:lineRule="auto" w:before="0" w:after="0"/>
              <w:pStyle w:val="Compact"/>
            </w:pPr>
            <w:r>
              <w:rPr>
                <w:sz w:val="20"/>
                <w:szCs w:val="20"/>
              </w:rPr>
              <w:t xml:space="preserve">0.4542</w:t>
            </w:r>
          </w:p>
        </w:tc>
        <w:tc>
          <w:tcPr>
            <w:tcW w:w="0" w:type="auto"/>
          </w:tcPr>
          <w:p>
            <w:pPr>
              <w:spacing w:line="240" w:lineRule="auto" w:before="0" w:after="0"/>
              <w:pStyle w:val="Compact"/>
            </w:pPr>
            <w:r>
              <w:rPr>
                <w:sz w:val="20"/>
                <w:szCs w:val="20"/>
              </w:rPr>
              <w:t xml:space="preserve">1.914</w:t>
            </w:r>
          </w:p>
        </w:tc>
        <w:tc>
          <w:tcPr>
            <w:tcW w:w="0" w:type="auto"/>
          </w:tcPr>
          <w:p>
            <w:pPr>
              <w:spacing w:line="240" w:lineRule="auto" w:before="0" w:after="0"/>
              <w:pStyle w:val="Compact"/>
            </w:pPr>
            <w:r>
              <w:rPr>
                <w:sz w:val="20"/>
                <w:szCs w:val="20"/>
              </w:rPr>
              <w:t xml:space="preserve">0.0556</w:t>
            </w:r>
          </w:p>
        </w:tc>
        <w:tc>
          <w:tcPr>
            <w:tcW w:w="0" w:type="auto"/>
          </w:tcPr>
          <w:p>
            <w:pPr>
              <w:spacing w:line="240" w:lineRule="auto" w:before="0" w:after="0"/>
              <w:pStyle w:val="Compact"/>
            </w:pPr>
            <w:r>
              <w:rPr>
                <w:sz w:val="20"/>
                <w:szCs w:val="20"/>
              </w:rPr>
              <w:t xml:space="preserve">[-0.0209, 1.7597]</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1.6743</w:t>
            </w:r>
          </w:p>
        </w:tc>
        <w:tc>
          <w:tcPr>
            <w:tcW w:w="0" w:type="auto"/>
          </w:tcPr>
          <w:p>
            <w:pPr>
              <w:spacing w:line="240" w:lineRule="auto" w:before="0" w:after="0"/>
              <w:pStyle w:val="Compact"/>
            </w:pPr>
            <w:r>
              <w:rPr>
                <w:sz w:val="20"/>
                <w:szCs w:val="20"/>
              </w:rPr>
              <w:t xml:space="preserve">1.1876</w:t>
            </w:r>
          </w:p>
        </w:tc>
        <w:tc>
          <w:tcPr>
            <w:tcW w:w="0" w:type="auto"/>
          </w:tcPr>
          <w:p>
            <w:pPr>
              <w:spacing w:line="240" w:lineRule="auto" w:before="0" w:after="0"/>
              <w:pStyle w:val="Compact"/>
            </w:pPr>
            <w:r>
              <w:rPr>
                <w:sz w:val="20"/>
                <w:szCs w:val="20"/>
              </w:rPr>
              <w:t xml:space="preserve">1.4097</w:t>
            </w:r>
          </w:p>
        </w:tc>
        <w:tc>
          <w:tcPr>
            <w:tcW w:w="0" w:type="auto"/>
          </w:tcPr>
          <w:p>
            <w:pPr>
              <w:spacing w:line="240" w:lineRule="auto" w:before="0" w:after="0"/>
              <w:pStyle w:val="Compact"/>
            </w:pPr>
            <w:r>
              <w:rPr>
                <w:sz w:val="20"/>
                <w:szCs w:val="20"/>
              </w:rPr>
              <w:t xml:space="preserve">0.1586</w:t>
            </w:r>
          </w:p>
        </w:tc>
        <w:tc>
          <w:tcPr>
            <w:tcW w:w="0" w:type="auto"/>
          </w:tcPr>
          <w:p>
            <w:pPr>
              <w:spacing w:line="240" w:lineRule="auto" w:before="0" w:after="0"/>
              <w:pStyle w:val="Compact"/>
            </w:pPr>
            <w:r>
              <w:rPr>
                <w:sz w:val="20"/>
                <w:szCs w:val="20"/>
              </w:rPr>
              <w:t xml:space="preserve">[-0.6535, 4.002]</w:t>
            </w:r>
          </w:p>
        </w:tc>
      </w:tr>
      <w:tr>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0.0252</w:t>
            </w:r>
          </w:p>
        </w:tc>
        <w:tc>
          <w:tcPr>
            <w:tcW w:w="0" w:type="auto"/>
          </w:tcPr>
          <w:p>
            <w:pPr>
              <w:spacing w:line="240" w:lineRule="auto" w:before="0" w:after="0"/>
              <w:pStyle w:val="Compact"/>
            </w:pPr>
            <w:r>
              <w:rPr>
                <w:sz w:val="20"/>
                <w:szCs w:val="20"/>
              </w:rPr>
              <w:t xml:space="preserve">-0.8066</w:t>
            </w:r>
          </w:p>
        </w:tc>
        <w:tc>
          <w:tcPr>
            <w:tcW w:w="0" w:type="auto"/>
          </w:tcPr>
          <w:p>
            <w:pPr>
              <w:spacing w:line="240" w:lineRule="auto" w:before="0" w:after="0"/>
              <w:pStyle w:val="Compact"/>
            </w:pPr>
            <w:r>
              <w:rPr>
                <w:sz w:val="20"/>
                <w:szCs w:val="20"/>
              </w:rPr>
              <w:t xml:space="preserve">0.4199</w:t>
            </w:r>
          </w:p>
        </w:tc>
        <w:tc>
          <w:tcPr>
            <w:tcW w:w="0" w:type="auto"/>
          </w:tcPr>
          <w:p>
            <w:pPr>
              <w:spacing w:line="240" w:lineRule="auto" w:before="0" w:after="0"/>
              <w:pStyle w:val="Compact"/>
            </w:pPr>
            <w:r>
              <w:rPr>
                <w:sz w:val="20"/>
                <w:szCs w:val="20"/>
              </w:rPr>
              <w:t xml:space="preserve">[-0.0697, 0.0291]</w:t>
            </w:r>
          </w:p>
        </w:tc>
      </w:tr>
      <w:tr>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-0.7828</w:t>
            </w:r>
          </w:p>
        </w:tc>
        <w:tc>
          <w:tcPr>
            <w:tcW w:w="0" w:type="auto"/>
          </w:tcPr>
          <w:p>
            <w:pPr>
              <w:spacing w:line="240" w:lineRule="auto" w:before="0" w:after="0"/>
              <w:pStyle w:val="Compact"/>
            </w:pPr>
            <w:r>
              <w:rPr>
                <w:sz w:val="20"/>
                <w:szCs w:val="20"/>
              </w:rPr>
              <w:t xml:space="preserve">1.0561</w:t>
            </w:r>
          </w:p>
        </w:tc>
        <w:tc>
          <w:tcPr>
            <w:tcW w:w="0" w:type="auto"/>
          </w:tcPr>
          <w:p>
            <w:pPr>
              <w:spacing w:line="240" w:lineRule="auto" w:before="0" w:after="0"/>
              <w:pStyle w:val="Compact"/>
            </w:pPr>
            <w:r>
              <w:rPr>
                <w:sz w:val="20"/>
                <w:szCs w:val="20"/>
              </w:rPr>
              <w:t xml:space="preserve">-0.7412</w:t>
            </w:r>
          </w:p>
        </w:tc>
        <w:tc>
          <w:tcPr>
            <w:tcW w:w="0" w:type="auto"/>
          </w:tcPr>
          <w:p>
            <w:pPr>
              <w:spacing w:line="240" w:lineRule="auto" w:before="0" w:after="0"/>
              <w:pStyle w:val="Compact"/>
            </w:pPr>
            <w:r>
              <w:rPr>
                <w:sz w:val="20"/>
                <w:szCs w:val="20"/>
              </w:rPr>
              <w:t xml:space="preserve">0.4586</w:t>
            </w:r>
          </w:p>
        </w:tc>
        <w:tc>
          <w:tcPr>
            <w:tcW w:w="0" w:type="auto"/>
          </w:tcPr>
          <w:p>
            <w:pPr>
              <w:spacing w:line="240" w:lineRule="auto" w:before="0" w:after="0"/>
              <w:pStyle w:val="Compact"/>
            </w:pPr>
            <w:r>
              <w:rPr>
                <w:sz w:val="20"/>
                <w:szCs w:val="20"/>
              </w:rPr>
              <w:t xml:space="preserve">[-2.8528, 1.2872]</w:t>
            </w:r>
          </w:p>
        </w:tc>
      </w:tr>
    </w:tbl>
    <w:p>
      <w:pPr>
        <w:pStyle w:val="BodyText"/>
      </w:pPr>
      <w:r>
        <w:t xml:space="preserve">Fit: N = 39 pseudo_R2 = 0.1505 LL = -20.45</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5" Target="https://doi.org/10.1016/j.actaastro.2025.03.034" TargetMode="External" /><Relationship Type="http://schemas.openxmlformats.org/officeDocument/2006/relationships/hyperlink" Id="rId68" Target="https://doi.org/10.64861/GVYB8737" TargetMode="External" /><Relationship Type="http://schemas.openxmlformats.org/officeDocument/2006/relationships/hyperlink" Id="rId79" Target="https://doi.org/10.64861/JKDR9240" TargetMode="External" /><Relationship Type="http://schemas.openxmlformats.org/officeDocument/2006/relationships/hyperlink" Id="rId73" Target="https://doi.org/10.64861/KKFT4985" TargetMode="External" /><Relationship Type="http://schemas.openxmlformats.org/officeDocument/2006/relationships/hyperlink" Id="rId71" Target="https://doi.org/10.64861/XWVP8211"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5.03.034" TargetMode="External" /><Relationship Type="http://schemas.openxmlformats.org/officeDocument/2006/relationships/hyperlink" Id="rId68" Target="https://doi.org/10.64861/GVYB8737" TargetMode="External" /><Relationship Type="http://schemas.openxmlformats.org/officeDocument/2006/relationships/hyperlink" Id="rId79" Target="https://doi.org/10.64861/JKDR9240" TargetMode="External" /><Relationship Type="http://schemas.openxmlformats.org/officeDocument/2006/relationships/hyperlink" Id="rId73" Target="https://doi.org/10.64861/KKFT4985" TargetMode="External" /><Relationship Type="http://schemas.openxmlformats.org/officeDocument/2006/relationships/hyperlink" Id="rId71" Target="https://doi.org/10.64861/XWVP821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2026-06-26T16:46:19Z</dcterms:created>
  <dcterms:modified xsi:type="dcterms:W3CDTF">2026-06-26T16:46:19Z</dcterms:modified>
</cp:coreProperties>
</file>

<file path=docProps/custom.xml><?xml version="1.0" encoding="utf-8"?>
<Properties xmlns="http://schemas.openxmlformats.org/officeDocument/2006/custom-properties" xmlns:vt="http://schemas.openxmlformats.org/officeDocument/2006/docPropsVTypes"/>
</file>