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MANEUVER-DISCLOSURE COMPLIANCE AND THE HIDDEN COST OF VOLUNTARY STM NORMS IN LEO</w:t>
      </w:r>
    </w:p>
    <w:p>
      <w:pPr>
        <w:jc w:val="center"/>
      </w:pPr>
    </w:p>
    <w:p>
      <w:pPr>
        <w:jc w:val="center"/>
      </w:pPr>
      <w:r>
        <w:rPr>
          <w:rFonts w:ascii="Times New Roman" w:hAnsi="Times New Roman"/>
          <w:sz w:val="24"/>
        </w:rPr>
        <w:t>by</w:t>
      </w:r>
    </w:p>
    <w:p>
      <w:pPr>
        <w:jc w:val="center"/>
      </w:pPr>
      <w:r>
        <w:rPr>
          <w:rFonts w:ascii="Times New Roman" w:hAnsi="Times New Roman"/>
          <w:b/>
          <w:sz w:val="28"/>
        </w:rPr>
        <w:t>Nadia Suzuki</w:t>
      </w:r>
    </w:p>
    <w:p>
      <w:pPr>
        <w:jc w:val="center"/>
      </w:pPr>
      <w:r>
        <w:rPr>
          <w:rFonts w:ascii="Times New Roman" w:hAnsi="Times New Roman"/>
          <w:sz w:val="24"/>
        </w:rPr>
        <w:t>1B-SDA-078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Low Earth orbit (LEO) has crossed the threshold at which collision avoidance is no longer episodic but routine. The Traffic Coordination System for Space (TraCSS), now operational and validated against the legacy United States Space Force Mission Delta 2 analysis chain, screens conjunctions at a scale that presumes operator participation</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The European Union Space Surveillance and Tracking service provides a parallel public architecture whose technical comparison with the United States system has been documented in detail</w:t>
      </w:r>
      <w:r>
        <w:t xml:space="preserve"> </w:t>
      </w:r>
      <w:hyperlink w:anchor="ref-18">
        <w:r>
          <w:rPr>
            <w:rStyle w:val="Hyperlink"/>
          </w:rPr>
          <w:t xml:space="preserve">[18]</w:t>
        </w:r>
      </w:hyperlink>
      <w:r>
        <w:t xml:space="preserve">. Across both architectures, the operational gain from operator-provided ephemerides and pre-maneuver notifications is well established: collaborative space situational awareness reduces false-alarm rates and tightens Probability-of-Collision estimates relative to catalogs that rely on inferred orbits alone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Yet none of this scaffolding rests on a binding international maneuver-disclosure rule. Operators choose, on a voluntary basis, whether to publish ephemeris, whether to signal planned maneuvers, and whether to participate in the emerging norms that frame the public-private STM architecture.</w:t>
      </w:r>
    </w:p>
    <w:p>
      <w:pPr>
        <w:pStyle w:val="BodyText"/>
        <w:spacing w:line="480" w:lineRule="auto"/>
        <w:ind w:firstLine="720"/>
      </w:pPr>
      <w:r>
        <w:t xml:space="preserve">The premise on which this voluntary architecture rests is that the marginal cost of disclosure is negligible. The reasoning is intuitive. An operator already planning a collision-avoidance burn loses nothing, the argument runs, by announcing it; the collective gain in catalog completeness is large; the residual risk to the disclosing operator is small. Composite sustainability indicators have been designed around exactly this premise, rewarding operators who participate in voluntary disclosure with reputational and capital-market signals on the assumption that participation imposes no material private cost</w:t>
      </w:r>
      <w:r>
        <w:t xml:space="preserve"> </w:t>
      </w:r>
      <w:hyperlink w:anchor="ref-12">
        <w:r>
          <w:rPr>
            <w:rStyle w:val="Hyperlink"/>
          </w:rPr>
          <w:t xml:space="preserve">[12]</w:t>
        </w:r>
      </w:hyperlink>
      <w:r>
        <w:t xml:space="preserve">. Distributed STM architectures presuppose voluntary contribution by independent operator nodes</w:t>
      </w:r>
      <w:r>
        <w:t xml:space="preserve"> </w:t>
      </w:r>
      <w:hyperlink w:anchor="ref-15">
        <w:r>
          <w:rPr>
            <w:rStyle w:val="Hyperlink"/>
          </w:rPr>
          <w:t xml:space="preserve">[15]</w:t>
        </w:r>
      </w:hyperlink>
      <w:r>
        <w:t xml:space="preserve">. Outreach efforts proceed on the premise that the technical case for disclosure, once understood, will produce broad participation</w:t>
      </w:r>
      <w:r>
        <w:t xml:space="preserve"> </w:t>
      </w:r>
      <w:hyperlink w:anchor="ref-31">
        <w:r>
          <w:rPr>
            <w:rStyle w:val="Hyperlink"/>
          </w:rPr>
          <w:t xml:space="preserve">[31]</w:t>
        </w:r>
      </w:hyperlink>
      <w:r>
        <w:t xml:space="preserve">.</w:t>
      </w:r>
    </w:p>
    <w:p>
      <w:pPr>
        <w:pStyle w:val="BodyText"/>
        <w:spacing w:line="480" w:lineRule="auto"/>
        <w:ind w:firstLine="720"/>
      </w:pPr>
      <w:r>
        <w:t xml:space="preserve">The empirical record of voluntary STM compliance does not match this premise. Adherence is partial and selective. Some operators disclose richly; others disclose sparingly or not at all; and disclosure behavior varies not only across operators but across maneuvers within the same operator’s fleet. The discourse-network analysis of the emerging socio-technical regime for space-debris governance documents that voluntary transparency is contested precisely along the dual-use seam, with operators that hold national-security customers and intelligence-community contracts participating in transparency forums but resisting publication of operationally informative data</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The pattern is not what the negligible-cost premise predicts.</w:t>
      </w:r>
    </w:p>
    <w:p>
      <w:pPr>
        <w:pStyle w:val="BodyText"/>
        <w:spacing w:line="480" w:lineRule="auto"/>
        <w:ind w:firstLine="720"/>
      </w:pPr>
      <w:r>
        <w:t xml:space="preserve">This dissertation contests the negligible-cost premise. The central argument is that maneuver disclosure imposes a measurable, asymmetric private cost on the disclosing operator. A disclosed maneuver reveals more than its safety relevance. Its timing, magnitude, and direction permit an external observer to infer the operator’s propulsion budget, mission tempo, and station-keeping strategy. For dual-use platforms, the same observable burn that improves the public catalog reveals operational intent to a competitor or adversary. Maneuver-path information that is valuable for cooperative deconfliction</w:t>
      </w:r>
      <w:r>
        <w:t xml:space="preserve"> </w:t>
      </w:r>
      <w:hyperlink w:anchor="ref-1">
        <w:r>
          <w:rPr>
            <w:rStyle w:val="Hyperlink"/>
          </w:rPr>
          <w:t xml:space="preserve">[1]</w:t>
        </w:r>
      </w:hyperlink>
      <w:r>
        <w:t xml:space="preserve"> </w:t>
      </w:r>
      <w:r>
        <w:t xml:space="preserve">is equally valuable to a third party seeking to characterize a spacecraft. Recent geometry-sensitivity work on recently-maneuvered satellites</w:t>
      </w:r>
      <w:r>
        <w:t xml:space="preserve"> </w:t>
      </w:r>
      <w:hyperlink w:anchor="ref-26">
        <w:r>
          <w:rPr>
            <w:rStyle w:val="Hyperlink"/>
          </w:rPr>
          <w:t xml:space="preserve">[26]</w:t>
        </w:r>
      </w:hyperlink>
      <w:r>
        <w:t xml:space="preserve"> </w:t>
      </w:r>
      <w:r>
        <w:t xml:space="preserve">and supervised-learning classification of GEO maneuvers</w:t>
      </w:r>
      <w:r>
        <w:t xml:space="preserve"> </w:t>
      </w:r>
      <w:hyperlink w:anchor="ref-27">
        <w:r>
          <w:rPr>
            <w:rStyle w:val="Hyperlink"/>
          </w:rPr>
          <w:t xml:space="preserve">[27]</w:t>
        </w:r>
      </w:hyperlink>
      <w:r>
        <w:t xml:space="preserve"> </w:t>
      </w:r>
      <w:r>
        <w:t xml:space="preserve">establish that the inferential pipeline from observed burn to operational characterization is mature and accessible. The operator who discloses therefore confronts a trade-off between the collective benefit of a complete catalog and the private cost of revealing exploitable information. This trade-off, not negligence and not lack of outreach, is the proposed mechanism behind the observed pattern of selective non-compliance.</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are not abstract. NASA operates one of the most concentrated civil portfolios of LEO assets in the world, including the International Space Station and a series of large Earth-observing platforms whose collision-avoidance budgets are non-trivial line items in mission cost. Conjunction screening for the agency’s civil assets depends on the same TraCSS architecture whose validation methodology the Air Force documented in 2025</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 and on the operator-data integration pathway that the Traffic Coordination System now implements. The catalog completeness on which that screening depends is a direct function of how many of the relevant maneuvers in the catalog’s neighborhood are disclosed rather than inferred. If voluntary disclosure is structurally bounded below the level that the architecture presumes, NASA’s screening service is being delivered against a partial picture, and the agency is absorbing the resulting false-alarm and missed-detection cost in its mission-operations budget.</w:t>
      </w:r>
    </w:p>
    <w:p>
      <w:pPr>
        <w:pStyle w:val="BodyText"/>
        <w:spacing w:line="480" w:lineRule="auto"/>
        <w:ind w:firstLine="720"/>
      </w:pPr>
      <w:r>
        <w:t xml:space="preserve">The Jet Propulsion Laboratory carries a particular exposure. JPL’s portfolio of civil missions is increasingly cislunar and interplanetary, and the cislunar STM frameworks now under discussion</w:t>
      </w:r>
      <w:r>
        <w:t xml:space="preserve"> </w:t>
      </w:r>
      <w:hyperlink w:anchor="ref-22">
        <w:r>
          <w:rPr>
            <w:rStyle w:val="Hyperlink"/>
          </w:rPr>
          <w:t xml:space="preserve">[22]</w:t>
        </w:r>
      </w:hyperlink>
      <w:r>
        <w:t xml:space="preserve"> </w:t>
      </w:r>
      <w:r>
        <w:t xml:space="preserve">explicitly inherit the voluntary-norm template developed in LEO. If the LEO template carries a hidden private cost that systematically suppresses participation, the cislunar extension of that template will inherit the same suppression at a higher altitude where catalog redundancy is far weaker. The downstream cost lands on the same flight-safety budget lines that fund JPL mission operations. The point is sharper still for NASA’s role in the Moon-to-Mars program, where the strategic frameworks for cislunar and cismartian STM are being authored under the assumption that voluntary disclosure scales. If disclosure does not scale, the architecture is being designed against a premise that the LEO record contradicts.</w:t>
      </w:r>
    </w:p>
    <w:p>
      <w:pPr>
        <w:pStyle w:val="BodyText"/>
        <w:spacing w:line="480" w:lineRule="auto"/>
        <w:ind w:firstLine="720"/>
      </w:pPr>
      <w:r>
        <w:t xml:space="preserve">The stakes for NASA also bear on the agency’s standing as a norm leader. The United Nations Long-Term Sustainability guidelines and adjacent voluntary frameworks have been advanced under the premise that broad endorsement, technical assistance, and outreach are sufficient to produce compliance</w:t>
      </w:r>
      <w:r>
        <w:t xml:space="preserve"> </w:t>
      </w:r>
      <w:hyperlink w:anchor="ref-31">
        <w:r>
          <w:rPr>
            <w:rStyle w:val="Hyperlink"/>
          </w:rPr>
          <w:t xml:space="preserve">[31]</w:t>
        </w:r>
      </w:hyperlink>
      <w:r>
        <w:t xml:space="preserve">. NASA has been a primary advocate of this approach. If the empirical pattern of compliance is in fact governed by a private cost that voluntary norms cannot price, then the agency is investing diplomatic and technical capital in a policy instrument that the data say is mis-specified. The reframing this dissertation offers is not adversarial to that investment. It is a correction that makes the instrument more defensible, by identifying the channel through which voluntary norms underperform and pointing toward the compensating mechanisms that would close the gap.</w:t>
      </w:r>
    </w:p>
    <w:p>
      <w:pPr>
        <w:pStyle w:val="BodyText"/>
        <w:spacing w:line="480" w:lineRule="auto"/>
        <w:ind w:firstLine="720"/>
      </w:pPr>
      <w:r>
        <w:t xml:space="preserve">For JPL specifically, the relevance is also methodological. The laboratory’s mission-design and flight-dynamics culture is built around quantitative identification: the orbital determination community has matured a substantial methodological apparatus for inference under measurement noise</w:t>
      </w:r>
      <w:r>
        <w:t xml:space="preserve"> </w:t>
      </w:r>
      <w:hyperlink w:anchor="ref-37">
        <w:r>
          <w:rPr>
            <w:rStyle w:val="Hyperlink"/>
          </w:rPr>
          <w:t xml:space="preserve">[37]</w:t>
        </w:r>
      </w:hyperlink>
      <w:r>
        <w:t xml:space="preserve">, and the JPL flight-dynamics community routinely operates against catalogs whose quality is itself an inferential product. A quantitative model of disclosure compliance that the lab can interrogate, replicate, and extend is the form in which the policy finding becomes operationally legible to mission-operations planners. That is the form this dissertation produces.</w:t>
      </w:r>
    </w:p>
    <w:bookmarkEnd w:id="62"/>
    <w:bookmarkStart w:id="63" w:name="X04c4ba10df3097e4fcef9fbb768c4194f977a02"/>
    <w:p>
      <w:pPr>
        <w:pStyle w:val="Heading2"/>
        <w:spacing w:line="480" w:lineRule="auto"/>
      </w:pPr>
      <w:r>
        <w:t xml:space="preserve">1.3 The Gap Between Domain Literature and Econometric Method</w:t>
      </w:r>
    </w:p>
    <w:p>
      <w:pPr>
        <w:pStyle w:val="FirstParagraph"/>
        <w:spacing w:line="480" w:lineRule="auto"/>
      </w:pPr>
      <w:r>
        <w:t xml:space="preserve">The intellectual gap that motivates this dissertation lies at the intersection of three literatures, none of which on its own can answer the central question.</w:t>
      </w:r>
    </w:p>
    <w:p>
      <w:pPr>
        <w:pStyle w:val="BodyText"/>
        <w:spacing w:line="480" w:lineRule="auto"/>
        <w:ind w:firstLine="720"/>
      </w:pPr>
      <w:r>
        <w:t xml:space="preserve">The first is the technical Space Situational Awareness and STM literature on maneuver detection, conjunction screening, and catalog maintenance. This literature has established that maneuvers are detectable from public catalogs</w:t>
      </w:r>
      <w:r>
        <w:t xml:space="preserve"> </w:t>
      </w:r>
      <w:hyperlink w:anchor="ref-3">
        <w:r>
          <w:rPr>
            <w:rStyle w:val="Hyperlink"/>
          </w:rPr>
          <w:t xml:space="preserve">[3]</w:t>
        </w:r>
      </w:hyperlink>
      <w:r>
        <w:t xml:space="preserve">, that maneuver geometry is informative and computable from observation alone</w:t>
      </w:r>
      <w:r>
        <w:t xml:space="preserve"> </w:t>
      </w:r>
      <w:hyperlink w:anchor="ref-1">
        <w:r>
          <w:rPr>
            <w:rStyle w:val="Hyperlink"/>
          </w:rPr>
          <w:t xml:space="preserve">[1]</w:t>
        </w:r>
      </w:hyperlink>
      <w:r>
        <w:t xml:space="preserve">, that opportunistic conjunction screening with maneuvering spacecraft is operationally feasible</w:t>
      </w:r>
      <w:r>
        <w:t xml:space="preserve"> </w:t>
      </w:r>
      <w:hyperlink w:anchor="ref-9">
        <w:r>
          <w:rPr>
            <w:rStyle w:val="Hyperlink"/>
          </w:rPr>
          <w:t xml:space="preserve">[9]</w:t>
        </w:r>
      </w:hyperlink>
      <w:r>
        <w:t xml:space="preserve">, and that public SSA services in the United States and the European Union are technically capable of ingesting operator-provided data at scale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Commercial conjunction-assessment services have demonstrated AI-enabled STM products that explicitly ingest maneuver information</w:t>
      </w:r>
      <w:r>
        <w:t xml:space="preserve"> </w:t>
      </w:r>
      <w:hyperlink w:anchor="ref-2">
        <w:r>
          <w:rPr>
            <w:rStyle w:val="Hyperlink"/>
          </w:rPr>
          <w:t xml:space="preserve">[2]</w:t>
        </w:r>
      </w:hyperlink>
      <w:r>
        <w:t xml:space="preserve">, and the Kayhan coordinated-avoidance framework</w:t>
      </w:r>
      <w:r>
        <w:t xml:space="preserve"> </w:t>
      </w:r>
      <w:hyperlink w:anchor="ref-30">
        <w:r>
          <w:rPr>
            <w:rStyle w:val="Hyperlink"/>
          </w:rPr>
          <w:t xml:space="preserve">[30]</w:t>
        </w:r>
      </w:hyperlink>
      <w:r>
        <w:t xml:space="preserve"> </w:t>
      </w:r>
      <w:r>
        <w:t xml:space="preserve">and operator-autonomous flight-dynamics architectures</w:t>
      </w:r>
      <w:r>
        <w:t xml:space="preserve"> </w:t>
      </w:r>
      <w:hyperlink w:anchor="ref-11">
        <w:r>
          <w:rPr>
            <w:rStyle w:val="Hyperlink"/>
          </w:rPr>
          <w:t xml:space="preserve">[11]</w:t>
        </w:r>
      </w:hyperlink>
      <w:r>
        <w:t xml:space="preserve"> </w:t>
      </w:r>
      <w:r>
        <w:t xml:space="preserve">establish that the operational pipeline from disclosed maneuver to coordinated outcome is mature. Debris-mapping services built for LEO satellite operators round out the technical surface</w:t>
      </w:r>
      <w:r>
        <w:t xml:space="preserve"> </w:t>
      </w:r>
      <w:hyperlink w:anchor="ref-16">
        <w:r>
          <w:rPr>
            <w:rStyle w:val="Hyperlink"/>
          </w:rPr>
          <w:t xml:space="preserve">[16]</w:t>
        </w:r>
      </w:hyperlink>
      <w:r>
        <w:t xml:space="preserve">. This literature treats disclosure as a data-availability problem. It models the supply side of maneuver information. It does not model the operator’s decision of whether to supply.</w:t>
      </w:r>
    </w:p>
    <w:p>
      <w:pPr>
        <w:pStyle w:val="BodyText"/>
        <w:spacing w:line="480" w:lineRule="auto"/>
        <w:ind w:firstLine="720"/>
      </w:pPr>
      <w:r>
        <w:t xml:space="preserve">The second is the space-economics and sustainability literature on orbital carrying capacity, externalities, and governance instruments. This literature has formalized the divergence between orbital carrying capacity and debris-growth trajectories</w:t>
      </w:r>
      <w:r>
        <w:t xml:space="preserve"> </w:t>
      </w:r>
      <w:hyperlink w:anchor="ref-5">
        <w:r>
          <w:rPr>
            <w:rStyle w:val="Hyperlink"/>
          </w:rPr>
          <w:t xml:space="preserve">[5]</w:t>
        </w:r>
      </w:hyperlink>
      <w:r>
        <w:t xml:space="preserve">, embedded carrying capacity in policy-classification frameworks for LEO</w:t>
      </w:r>
      <w:r>
        <w:t xml:space="preserve"> </w:t>
      </w:r>
      <w:hyperlink w:anchor="ref-13">
        <w:r>
          <w:rPr>
            <w:rStyle w:val="Hyperlink"/>
          </w:rPr>
          <w:t xml:space="preserve">[13]</w:t>
        </w:r>
      </w:hyperlink>
      <w:r>
        <w:t xml:space="preserve">, specified residual externalities that persist after technological mitigation</w:t>
      </w:r>
      <w:r>
        <w:t xml:space="preserve"> </w:t>
      </w:r>
      <w:hyperlink w:anchor="ref-6">
        <w:r>
          <w:rPr>
            <w:rStyle w:val="Hyperlink"/>
          </w:rPr>
          <w:t xml:space="preserve">[6]</w:t>
        </w:r>
      </w:hyperlink>
      <w:r>
        <w:t xml:space="preserve">, surveyed the role of space in sustainability and security</w:t>
      </w:r>
      <w:r>
        <w:t xml:space="preserve"> </w:t>
      </w:r>
      <w:hyperlink w:anchor="ref-4">
        <w:r>
          <w:rPr>
            <w:rStyle w:val="Hyperlink"/>
          </w:rPr>
          <w:t xml:space="preserve">[4]</w:t>
        </w:r>
      </w:hyperlink>
      <w:r>
        <w:t xml:space="preserve">, and built composite sustainability indicators around voluntary disclosure participation</w:t>
      </w:r>
      <w:r>
        <w:t xml:space="preserve"> </w:t>
      </w:r>
      <w:hyperlink w:anchor="ref-12">
        <w:r>
          <w:rPr>
            <w:rStyle w:val="Hyperlink"/>
          </w:rPr>
          <w:t xml:space="preserve">[12]</w:t>
        </w:r>
      </w:hyperlink>
      <w:r>
        <w:t xml:space="preserve">,</w:t>
      </w:r>
      <w:r>
        <w:t xml:space="preserve"> </w:t>
      </w:r>
      <w:hyperlink w:anchor="ref-29">
        <w:r>
          <w:rPr>
            <w:rStyle w:val="Hyperlink"/>
          </w:rPr>
          <w:t xml:space="preserve">[29]</w:t>
        </w:r>
      </w:hyperlink>
      <w:r>
        <w:t xml:space="preserve">. It has documented the source-sink evolutionary models on which environmental governance increasingly depends</w:t>
      </w:r>
      <w:r>
        <w:t xml:space="preserve"> </w:t>
      </w:r>
      <w:hyperlink w:anchor="ref-28">
        <w:r>
          <w:rPr>
            <w:rStyle w:val="Hyperlink"/>
          </w:rPr>
          <w:t xml:space="preserve">[28]</w:t>
        </w:r>
      </w:hyperlink>
      <w:r>
        <w:t xml:space="preserve">, the circular-economy framing of long-term sustainability</w:t>
      </w:r>
      <w:r>
        <w:t xml:space="preserve"> </w:t>
      </w:r>
      <w:hyperlink w:anchor="ref-7">
        <w:r>
          <w:rPr>
            <w:rStyle w:val="Hyperlink"/>
          </w:rPr>
          <w:t xml:space="preserve">[7]</w:t>
        </w:r>
      </w:hyperlink>
      <w:r>
        <w:t xml:space="preserve">, and the transdisciplinary and bi-cultural pressures on the sustainability agenda</w:t>
      </w:r>
      <w:r>
        <w:t xml:space="preserve"> </w:t>
      </w:r>
      <w:hyperlink w:anchor="ref-36">
        <w:r>
          <w:rPr>
            <w:rStyle w:val="Hyperlink"/>
          </w:rPr>
          <w:t xml:space="preserve">[36]</w:t>
        </w:r>
      </w:hyperlink>
      <w:r>
        <w:t xml:space="preserve">. It treats the orbital environment as a common-pool resource subject to congestion externalities. The externality it models is debris and congestion. The act of disclosure, and the private informational cost it imposes, is absent from these models. The literature treats the contributor to the public good as either a willing participant or a defector; it does not endogenize the contribution decision as a function of the informational content of the contribution.</w:t>
      </w:r>
    </w:p>
    <w:p>
      <w:pPr>
        <w:pStyle w:val="BodyText"/>
        <w:spacing w:line="480" w:lineRule="auto"/>
        <w:ind w:firstLine="720"/>
      </w:pPr>
      <w:r>
        <w:t xml:space="preserve">The third is the governance, norms, and policy literature on STM compliance. This literature documents the development of safety norms for space security</w:t>
      </w:r>
      <w:r>
        <w:t xml:space="preserve"> </w:t>
      </w:r>
      <w:hyperlink w:anchor="ref-24">
        <w:r>
          <w:rPr>
            <w:rStyle w:val="Hyperlink"/>
          </w:rPr>
          <w:t xml:space="preserve">[24]</w:t>
        </w:r>
      </w:hyperlink>
      <w:r>
        <w:t xml:space="preserve">, the case for sharing operational risk information to facilitate norms development and monitoring</w:t>
      </w:r>
      <w:r>
        <w:t xml:space="preserve"> </w:t>
      </w:r>
      <w:hyperlink w:anchor="ref-25">
        <w:r>
          <w:rPr>
            <w:rStyle w:val="Hyperlink"/>
          </w:rPr>
          <w:t xml:space="preserve">[25]</w:t>
        </w:r>
      </w:hyperlink>
      <w:r>
        <w:t xml:space="preserve">, potential collision-maneuver guidelines for future STM</w:t>
      </w:r>
      <w:r>
        <w:t xml:space="preserve"> </w:t>
      </w:r>
      <w:hyperlink w:anchor="ref-23">
        <w:r>
          <w:rPr>
            <w:rStyle w:val="Hyperlink"/>
          </w:rPr>
          <w:t xml:space="preserve">[23]</w:t>
        </w:r>
      </w:hyperlink>
      <w:r>
        <w:t xml:space="preserve">, and the prototyping of operational autonomy for STM</w:t>
      </w:r>
      <w:r>
        <w:t xml:space="preserve"> </w:t>
      </w:r>
      <w:hyperlink w:anchor="ref-34">
        <w:r>
          <w:rPr>
            <w:rStyle w:val="Hyperlink"/>
          </w:rPr>
          <w:t xml:space="preserve">[34]</w:t>
        </w:r>
      </w:hyperlink>
      <w:r>
        <w:t xml:space="preserve">. The discourse-network analysis of the global debris regime documents who participates and who resists in transparency forums</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Outreach work argues for participation</w:t>
      </w:r>
      <w:r>
        <w:t xml:space="preserve"> </w:t>
      </w:r>
      <w:hyperlink w:anchor="ref-31">
        <w:r>
          <w:rPr>
            <w:rStyle w:val="Hyperlink"/>
          </w:rPr>
          <w:t xml:space="preserve">[31]</w:t>
        </w:r>
      </w:hyperlink>
      <w:r>
        <w:t xml:space="preserve">. This body of work frames the policy question and identifies the contested seams. It does not produce a quantitative model that predicts who complies, with which maneuvers, and when. Compliance is described, not estimated.</w:t>
      </w:r>
    </w:p>
    <w:p>
      <w:pPr>
        <w:pStyle w:val="BodyText"/>
        <w:spacing w:line="480" w:lineRule="auto"/>
        <w:ind w:firstLine="720"/>
      </w:pPr>
      <w:r>
        <w:t xml:space="preserve">The methodological literature that would close this gap is the discrete-choice econometric literature on compliance with voluntary regimes. That literature is mature in environmental, financial, and public-health domains. It is largely absent from STM. The published quantitative work in space sustainability has concentrated on environmental dynamics, on rating-system design, and on operational autonomy. It has not, with the partial exception of the two operator-level logit analyses developed as research papers in this dissertation, produced a falsifiable operator-level model of the disclosure decision. The gap is not a gap in any one literature. It is the absence of the bridge between the domain literatures, which establish that disclosure matters and is contested, and the econometric method literature, which knows how to estimate the choice but has not been applied to this object.</w:t>
      </w:r>
    </w:p>
    <w:p>
      <w:pPr>
        <w:pStyle w:val="BodyText"/>
        <w:spacing w:line="480" w:lineRule="auto"/>
        <w:ind w:firstLine="720"/>
      </w:pPr>
      <w:r>
        <w:t xml:space="preserve">The two research papers that anchor this dissertation construct the bridge. Paper one estimates a logit model of operator-level voluntary disclosure on a thirty-nine-operator cross-section and identifies fleet-size, jurisdiction, and prior ephemeris-community participation as the structural axes of compliance, with the non-disclosing tail concentrated outside US jurisdiction and outside the established ephemeris-sharing community. Paper two estimates a logit on a twenty-eight-operator cross-section in which dual-use posture is a robustly negative predictor of disclosure at the one-percent threshold, conditional on flight-safety urgency. Both papers operate at the operator-cross-section level. The dissertation extends the bridge to the maneuver level, where the within-operator identification that the prospectus specifies becomes possible and the falsification criterion sharpens.</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of the dissertation is a quantitative model of maneuver-disclosure compliance estimated at the maneuver level, identifying disclosure suppression as a function of the inferential value of the maneuver, net of flight-safety urgency and operator-fixed capacity. The contribution is stated as a single directional hypothesis and is refuted on a single coefficient.</w:t>
      </w:r>
    </w:p>
    <w:p>
      <w:pPr>
        <w:pStyle w:val="BodyText"/>
        <w:spacing w:line="480" w:lineRule="auto"/>
        <w:ind w:firstLine="720"/>
      </w:pPr>
      <w:r>
        <w:t xml:space="preserve">The null hypothesis is that, conditional on the flight-safety urgency of a maneuver, the probability that the responsible operator discloses the maneuver is statistically independent of the maneuver’s inferential value to external observers. Under the null, disclosure behavior is explained by safety urgency, by operator-fixed capacity, and by noise, and the informational characteristics of the maneuver carry no additional explanatory weight beyond those channels.</w:t>
      </w:r>
    </w:p>
    <w:p>
      <w:pPr>
        <w:pStyle w:val="BodyText"/>
        <w:spacing w:line="480" w:lineRule="auto"/>
        <w:ind w:firstLine="720"/>
      </w:pPr>
      <w:r>
        <w:t xml:space="preserve">The alternative hypothesis is that, conditional on flight-safety urgency, the probability that the operator discloses the maneuver declines monotonically as the maneuver’s inferential value rises. Maneuvers whose timing, magnitude, and geometry reveal more about propulsion budget, mission tempo, or operational intent are disclosed less often and less promptly than maneuvers of comparable safety urgency that reveal less.</w:t>
      </w:r>
    </w:p>
    <w:p>
      <w:pPr>
        <w:pStyle w:val="BodyText"/>
        <w:spacing w:line="480" w:lineRule="auto"/>
        <w:ind w:firstLine="720"/>
      </w:pPr>
      <w:r>
        <w:t xml:space="preserve">The hypothesis is falsified if, in the estimated compliance model, the coefficient on the inferential-value covariate is statistically indistinguishable from zero once safety urgency and operator-fixed effects are absorbed; or if its sign is positive, that is, if greater inferential value is associated with more disclosure. The model is therefore directional and refutable on a single estimated parameter. The unit of analysis is the individual detected maneuver; the outcome is binary disclosed/not-disclosed, complemented by a discrete-time hazard of disclosure measured in hours from maneuver execution; the treatment is the inferential value of the maneuver, constructed from maneuver geometry and magnitude using the established result that maneuver paths for conjunctive resident space objects are computable and informative from observation alone</w:t>
      </w:r>
      <w:r>
        <w:t xml:space="preserve"> </w:t>
      </w:r>
      <w:hyperlink w:anchor="ref-1">
        <w:r>
          <w:rPr>
            <w:rStyle w:val="Hyperlink"/>
          </w:rPr>
          <w:t xml:space="preserve">[1]</w:t>
        </w:r>
      </w:hyperlink>
      <w:r>
        <w:t xml:space="preserve">; the safety-urgency control is built from the conjunction-data-message stream that the conjunction-assessment infrastructure produces</w:t>
      </w:r>
      <w:r>
        <w:t xml:space="preserve"> </w:t>
      </w:r>
      <w:hyperlink w:anchor="ref-10">
        <w:r>
          <w:rPr>
            <w:rStyle w:val="Hyperlink"/>
          </w:rPr>
          <w:t xml:space="preserve">[10]</w:t>
        </w:r>
      </w:hyperlink>
      <w:r>
        <w:t xml:space="preserve">,</w:t>
      </w:r>
      <w:r>
        <w:t xml:space="preserve"> </w:t>
      </w:r>
      <w:hyperlink w:anchor="ref-19">
        <w:r>
          <w:rPr>
            <w:rStyle w:val="Hyperlink"/>
          </w:rPr>
          <w:t xml:space="preserve">[19]</w:t>
        </w:r>
      </w:hyperlink>
      <w:r>
        <w:t xml:space="preserve">. The estimator is a panel logit with operator-fixed effects, complemented by a discrete-time hazard specification for the timing dimension.</w:t>
      </w:r>
    </w:p>
    <w:p>
      <w:pPr>
        <w:pStyle w:val="BodyText"/>
        <w:spacing w:line="480" w:lineRule="auto"/>
        <w:ind w:firstLine="720"/>
      </w:pPr>
      <w:r>
        <w:t xml:space="preserve">The contribution is single and falsifiable. It is not a survey of compliance. It is not a typology of disclosure regimes. It is one coefficient, on one covariate, against one pre-specified directional prediction, estimated from public data with a fully scriptable pipeline. If the coefficient is zero or wrong-signed, the hidden-cost account is refuted and the negligible-cost premise survives. If the coefficient is negative and statistically distinguishable from zero, the negligible-cost premise is refuted and voluntary STM norms are revealed as a policy instrument that systematically under-supplies the public good they are meant to provide.</w:t>
      </w:r>
    </w:p>
    <w:bookmarkEnd w:id="64"/>
    <w:bookmarkStart w:id="65" w:name="roadmap"/>
    <w:p>
      <w:pPr>
        <w:pStyle w:val="Heading2"/>
        <w:spacing w:line="480" w:lineRule="auto"/>
      </w:pPr>
      <w:r>
        <w:t xml:space="preserve">1.5 Roadmap</w:t>
      </w:r>
    </w:p>
    <w:p>
      <w:pPr>
        <w:pStyle w:val="FirstParagraph"/>
        <w:spacing w:line="480" w:lineRule="auto"/>
      </w:pPr>
      <w:r>
        <w:t xml:space="preserve">The dissertation is organized as follows.</w:t>
      </w:r>
    </w:p>
    <w:p>
      <w:pPr>
        <w:pStyle w:val="BodyText"/>
        <w:spacing w:line="480" w:lineRule="auto"/>
        <w:ind w:firstLine="720"/>
      </w:pPr>
      <w:r>
        <w:t xml:space="preserve">Chapter 2 develops the theoretical model of the disclosure decision. It frames the operator as a constrained decision-maker who balances the collective benefit of catalog completeness against the private cost of revealing operationally exploitable information. It situates the model within the common-pool-resource framing of orbital congestion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 extends that framing to the externality of information rather than the externality of debris, and derives the directional prediction that disclosure declines in inferential value, conditional on safety urgency. It connects the model to the discourse-network evidence on the dual-use seam</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w:t>
      </w:r>
      <w:r>
        <w:t xml:space="preserve">and to the sustainability-rating literature’s treatment of voluntary participation</w:t>
      </w:r>
      <w:r>
        <w:t xml:space="preserve"> </w:t>
      </w:r>
      <w:hyperlink w:anchor="ref-12">
        <w:r>
          <w:rPr>
            <w:rStyle w:val="Hyperlink"/>
          </w:rPr>
          <w:t xml:space="preserve">[12]</w:t>
        </w:r>
      </w:hyperlink>
      <w:r>
        <w:t xml:space="preserve">,</w:t>
      </w:r>
      <w:r>
        <w:t xml:space="preserve"> </w:t>
      </w:r>
      <w:hyperlink w:anchor="ref-29">
        <w:r>
          <w:rPr>
            <w:rStyle w:val="Hyperlink"/>
          </w:rPr>
          <w:t xml:space="preserve">[29]</w:t>
        </w:r>
      </w:hyperlink>
      <w:r>
        <w:t xml:space="preserve">.</w:t>
      </w:r>
    </w:p>
    <w:p>
      <w:pPr>
        <w:pStyle w:val="BodyText"/>
        <w:spacing w:line="480" w:lineRule="auto"/>
        <w:ind w:firstLine="720"/>
      </w:pPr>
      <w:r>
        <w:t xml:space="preserve">Chapter 3 reviews the three bodies of empirical and methodological literature whose intersection the dissertation occupies: the technical SSA and STM literature on detection, screening, and operator data integration</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30">
        <w:r>
          <w:rPr>
            <w:rStyle w:val="Hyperlink"/>
          </w:rPr>
          <w:t xml:space="preserve">[30]</w:t>
        </w:r>
      </w:hyperlink>
      <w:r>
        <w:t xml:space="preserve">,</w:t>
      </w:r>
      <w:r>
        <w:t xml:space="preserve"> </w:t>
      </w:r>
      <w:hyperlink w:anchor="ref-34">
        <w:r>
          <w:rPr>
            <w:rStyle w:val="Hyperlink"/>
          </w:rPr>
          <w:t xml:space="preserve">[34]</w:t>
        </w:r>
      </w:hyperlink>
      <w:r>
        <w:t xml:space="preserve">,</w:t>
      </w:r>
      <w:r>
        <w:t xml:space="preserve"> </w:t>
      </w:r>
      <w:hyperlink w:anchor="ref-37">
        <w:r>
          <w:rPr>
            <w:rStyle w:val="Hyperlink"/>
          </w:rPr>
          <w:t xml:space="preserve">[37]</w:t>
        </w:r>
      </w:hyperlink>
      <w:r>
        <w:t xml:space="preserve">; the space-economics and sustainability literature on carrying capacity, externalities, and rating regimes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28">
        <w:r>
          <w:rPr>
            <w:rStyle w:val="Hyperlink"/>
          </w:rPr>
          <w:t xml:space="preserve">[28]</w:t>
        </w:r>
      </w:hyperlink>
      <w:r>
        <w:t xml:space="preserve">,</w:t>
      </w:r>
      <w:r>
        <w:t xml:space="preserve"> </w:t>
      </w:r>
      <w:hyperlink w:anchor="ref-29">
        <w:r>
          <w:rPr>
            <w:rStyle w:val="Hyperlink"/>
          </w:rPr>
          <w:t xml:space="preserve">[29]</w:t>
        </w:r>
      </w:hyperlink>
      <w:r>
        <w:t xml:space="preserve">,</w:t>
      </w:r>
      <w:r>
        <w:t xml:space="preserve"> </w:t>
      </w:r>
      <w:hyperlink w:anchor="ref-33">
        <w:r>
          <w:rPr>
            <w:rStyle w:val="Hyperlink"/>
          </w:rPr>
          <w:t xml:space="preserve">[33]</w:t>
        </w:r>
      </w:hyperlink>
      <w:r>
        <w:t xml:space="preserve">,</w:t>
      </w:r>
      <w:r>
        <w:t xml:space="preserve"> </w:t>
      </w:r>
      <w:hyperlink w:anchor="ref-35">
        <w:r>
          <w:rPr>
            <w:rStyle w:val="Hyperlink"/>
          </w:rPr>
          <w:t xml:space="preserve">[35]</w:t>
        </w:r>
      </w:hyperlink>
      <w:r>
        <w:t xml:space="preserve">,</w:t>
      </w:r>
      <w:r>
        <w:t xml:space="preserve"> </w:t>
      </w:r>
      <w:hyperlink w:anchor="ref-36">
        <w:r>
          <w:rPr>
            <w:rStyle w:val="Hyperlink"/>
          </w:rPr>
          <w:t xml:space="preserve">[36]</w:t>
        </w:r>
      </w:hyperlink>
      <w:r>
        <w:t xml:space="preserve">; and the governance and norms literature on STM compliance and transparency</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w:t>
      </w:r>
      <w:r>
        <w:t xml:space="preserve"> </w:t>
      </w:r>
      <w:hyperlink w:anchor="ref-31">
        <w:r>
          <w:rPr>
            <w:rStyle w:val="Hyperlink"/>
          </w:rPr>
          <w:t xml:space="preserve">[31]</w:t>
        </w:r>
      </w:hyperlink>
      <w:r>
        <w:t xml:space="preserve">,</w:t>
      </w:r>
      <w:r>
        <w:t xml:space="preserve"> </w:t>
      </w:r>
      <w:hyperlink w:anchor="ref-32">
        <w:r>
          <w:rPr>
            <w:rStyle w:val="Hyperlink"/>
          </w:rPr>
          <w:t xml:space="preserve">[32]</w:t>
        </w:r>
      </w:hyperlink>
      <w:r>
        <w:t xml:space="preserve">,</w:t>
      </w:r>
      <w:r>
        <w:t xml:space="preserve"> </w:t>
      </w:r>
      <w:hyperlink w:anchor="ref-38">
        <w:r>
          <w:rPr>
            <w:rStyle w:val="Hyperlink"/>
          </w:rPr>
          <w:t xml:space="preserve">[38]</w:t>
        </w:r>
      </w:hyperlink>
      <w:r>
        <w:t xml:space="preserve">. The chapter establishes the gap and locates the dissertation in it.</w:t>
      </w:r>
    </w:p>
    <w:p>
      <w:pPr>
        <w:pStyle w:val="BodyText"/>
        <w:spacing w:line="480" w:lineRule="auto"/>
        <w:ind w:firstLine="720"/>
      </w:pPr>
      <w:r>
        <w:t xml:space="preserve">Chapter 4 specifies the data and the maneuver-detection pipeline. The empirical core rests on the United States Space Force Space-Track.org catalog and conjunction-data-message service, supplemented by operator-provided ephemerides and maneuver notifications published through Space-Track Operator Data and equivalent public services. Maneuver detection from the published catalog history follows the inferential apparatus that the commercial SSA literature has matured</w:t>
      </w:r>
      <w:r>
        <w:t xml:space="preserve"> </w:t>
      </w:r>
      <w:hyperlink w:anchor="ref-3">
        <w:r>
          <w:rPr>
            <w:rStyle w:val="Hyperlink"/>
          </w:rPr>
          <w:t xml:space="preserve">[3]</w:t>
        </w:r>
      </w:hyperlink>
      <w:r>
        <w:t xml:space="preserve">, using the geometry results that the maneuver-path literature provides</w:t>
      </w:r>
      <w:r>
        <w:t xml:space="preserve"> </w:t>
      </w:r>
      <w:hyperlink w:anchor="ref-1">
        <w:r>
          <w:rPr>
            <w:rStyle w:val="Hyperlink"/>
          </w:rPr>
          <w:t xml:space="preserve">[1]</w:t>
        </w:r>
      </w:hyperlink>
      <w:r>
        <w:t xml:space="preserve">,</w:t>
      </w:r>
      <w:r>
        <w:t xml:space="preserve"> </w:t>
      </w:r>
      <w:hyperlink w:anchor="ref-26">
        <w:r>
          <w:rPr>
            <w:rStyle w:val="Hyperlink"/>
          </w:rPr>
          <w:t xml:space="preserve">[26]</w:t>
        </w:r>
      </w:hyperlink>
      <w:r>
        <w:t xml:space="preserve">. The chapter documents provenance, access terms, the share of illustrative versus measured cells, and the replication-pipeline release plan. No classified, proprietary, or internal-meeting source enters the estimation.</w:t>
      </w:r>
    </w:p>
    <w:p>
      <w:pPr>
        <w:pStyle w:val="BodyText"/>
        <w:spacing w:line="480" w:lineRule="auto"/>
        <w:ind w:firstLine="720"/>
      </w:pPr>
      <w:r>
        <w:t xml:space="preserve">Chapter 5 specifies the empirical model. It defines the binary disclosure outcome, the discrete-time hazard, the inferential-value treatment, the conjunction-driven safety-urgency control, and the operator-fixed effects. It documents the identification strategy that the prospectus specifies: conditioning on conjunction-driven urgency, deriving the treatment from maneuver physics rather than the outcome it is meant to explain, and exploiting within-operator within-urgency variation. It builds on the two operator-cross-section logits that the dissertation’s research papers have produced, the fleet-and-jurisdiction model of paper one and the dual-use model of paper two, and extends the identification to the maneuver level where the falsification criterion sharpens.</w:t>
      </w:r>
    </w:p>
    <w:p>
      <w:pPr>
        <w:pStyle w:val="BodyText"/>
        <w:spacing w:line="480" w:lineRule="auto"/>
        <w:ind w:firstLine="720"/>
      </w:pPr>
      <w:r>
        <w:t xml:space="preserve">Chapter 6 reports the estimation results. It presents the principal coefficient on the inferential-value covariate, its sign and statistical distinguishability, and the panel-logit and discrete-time-hazard specifications side by side. It reports the robustness checks the prospectus specifies: operator-by-orbital-regime fixed effects, placebo tests on maneuvers with no plausible inferential content, and sensitivity to alternative urgency proxies. It addresses the four threats to validity the prospectus enumerates: measurement error in the dependent variable, the endogeneity of inferential value to safety urgency, selection in maneuver detection itself, and external validity across orbital regimes</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Chapter 7 develops the policy implications. It returns to the stakes for NASA and JPL identified in this introduction, and reads the estimated coefficient against the cislunar STM frameworks that the Moon-to-Mars program is now authoring</w:t>
      </w:r>
      <w:r>
        <w:t xml:space="preserve"> </w:t>
      </w:r>
      <w:hyperlink w:anchor="ref-22">
        <w:r>
          <w:rPr>
            <w:rStyle w:val="Hyperlink"/>
          </w:rPr>
          <w:t xml:space="preserve">[22]</w:t>
        </w:r>
      </w:hyperlink>
      <w:r>
        <w:t xml:space="preserve">. It treats the implications for the sustainability-rating apparatus</w:t>
      </w:r>
      <w:r>
        <w:t xml:space="preserve"> </w:t>
      </w:r>
      <w:hyperlink w:anchor="ref-12">
        <w:r>
          <w:rPr>
            <w:rStyle w:val="Hyperlink"/>
          </w:rPr>
          <w:t xml:space="preserve">[12]</w:t>
        </w:r>
      </w:hyperlink>
      <w:r>
        <w:t xml:space="preserve">, for the LEO classification framework</w:t>
      </w:r>
      <w:r>
        <w:t xml:space="preserve"> </w:t>
      </w:r>
      <w:hyperlink w:anchor="ref-13">
        <w:r>
          <w:rPr>
            <w:rStyle w:val="Hyperlink"/>
          </w:rPr>
          <w:t xml:space="preserve">[13]</w:t>
        </w:r>
      </w:hyperlink>
      <w:r>
        <w:t xml:space="preserve">, for the distributed coordination architecture</w:t>
      </w:r>
      <w:r>
        <w:t xml:space="preserve"> </w:t>
      </w:r>
      <w:hyperlink w:anchor="ref-15">
        <w:r>
          <w:rPr>
            <w:rStyle w:val="Hyperlink"/>
          </w:rPr>
          <w:t xml:space="preserve">[15]</w:t>
        </w:r>
      </w:hyperlink>
      <w:r>
        <w:t xml:space="preserve">, and for the compensating-mechanism question that the dual-use seam raises: what instrument would price the informational cost that voluntary norms cannot reach. The chapter is normative but is constrained by what the estimated model warrants.</w:t>
      </w:r>
    </w:p>
    <w:p>
      <w:pPr>
        <w:pStyle w:val="BodyText"/>
        <w:spacing w:line="480" w:lineRule="auto"/>
        <w:ind w:firstLine="720"/>
      </w:pPr>
      <w:r>
        <w:t xml:space="preserve">Chapter 8 concludes. It restates the contribution as a single falsifiable claim, summarizes the conditions under which the claim was refutable and the verdict the data delivered, and identifies the extensions that the methodological apparatus supports: cislunar extrapolation, instrumented dual-use treatment through prior contract awards, and the operator-quarter panel that the two operator-cross-section papers anticipate. The chapter closes on the question this dissertation is built to answer for NASA and JPL: whether the voluntary-norm template on which the next generation of STM architecture is being built can carry the load that the architecture asks of it, or whether the hidden private cost of disclosure has been quietly setting the ceiling all along.</w:t>
      </w:r>
    </w:p>
    <w:bookmarkEnd w:id="65"/>
    <w:bookmarkEnd w:id="66"/>
    <w:bookmarkStart w:id="82" w:name="chapter-2.-literature-review"/>
    <w:p>
      <w:pPr>
        <w:pStyle w:val="Heading1"/>
        <w:spacing w:line="480" w:lineRule="auto"/>
      </w:pPr>
      <w:r>
        <w:t xml:space="preserve">Chapter 2. Literature Review</w:t>
      </w:r>
    </w:p>
    <w:bookmarkStart w:id="67" w:name="Xe8e42d1df99e316903cf997fdc5528d913d179d"/>
    <w:p>
      <w:pPr>
        <w:pStyle w:val="Heading2"/>
        <w:spacing w:line="480" w:lineRule="auto"/>
      </w:pPr>
      <w:r>
        <w:t xml:space="preserve">2.1 Orientation: Two Literatures That Do Not Speak to Each Other</w:t>
      </w:r>
    </w:p>
    <w:p>
      <w:pPr>
        <w:pStyle w:val="FirstParagraph"/>
        <w:spacing w:line="480" w:lineRule="auto"/>
      </w:pPr>
      <w:r>
        <w:t xml:space="preserve">The empirical puzzle motivating this dissertation, the systematic and selective non-disclosure of maneuvers by operators in low Earth orbit despite a public discourse that treats disclosure as costless, sits at the intersection of two scholarly traditions that have, to date, developed largely in isolation. The first is the technical literature on space situational awareness (SSA), space traffic management (STM), and orbital governance produced principally within the aerospace engineering, conjunction-assessment, and space-policy communities. The second is the cliometric and econometric tradition in which observed behavior is treated as the outcome of an incentive structure, identification is the central methodological problem, and the analyst’s task is to recover a structural parameter from non-experimental data subject to selection, endogeneity, and measurement error. The technical STM literature has produced an exquisitely detailed account of what disclosure does for catalog quality and conjunction screening but says almost nothing about why an operator would choose to disclose or refuse. The cliometric tradition has produced a powerful toolkit for recovering compliance parameters from observational data but has not been turned on the maneuver-disclosure decision. This chapter reviews both literatures, identifies the conceptual seam where they fail to meet, and locates the contribution of this dissertation in that seam.</w:t>
      </w:r>
    </w:p>
    <w:p>
      <w:pPr>
        <w:pStyle w:val="BodyText"/>
        <w:spacing w:line="480" w:lineRule="auto"/>
        <w:ind w:firstLine="720"/>
      </w:pPr>
      <w:r>
        <w:t xml:space="preserve">The review proceeds in four parts. Section 2.2 reviews the technical SSA, conjunction-assessment, and operator-data-integration literature. Section 2.3 reviews the policy, sustainability, and norms-governance literature that has framed voluntary disclosure as a public-good problem. Section 2.4 reviews the methodological tradition this dissertation imports, namely cliometric and econometric estimation of compliance behavior with explicit attention to identification and selection. Section 2.5 synthesizes the gap and states the conceptual contribution.</w:t>
      </w:r>
    </w:p>
    <w:bookmarkEnd w:id="67"/>
    <w:bookmarkStart w:id="71" w:name="X8809a161f6d373fa7ef28da3b129ae20269648f"/>
    <w:p>
      <w:pPr>
        <w:pStyle w:val="Heading2"/>
        <w:spacing w:line="480" w:lineRule="auto"/>
      </w:pPr>
      <w:r>
        <w:t xml:space="preserve">2.2 The Technical Literature: Detection, Screening, and the Data-Availability Frame</w:t>
      </w:r>
    </w:p>
    <w:p>
      <w:pPr>
        <w:pStyle w:val="FirstParagraph"/>
        <w:spacing w:line="480" w:lineRule="auto"/>
      </w:pPr>
      <w:r>
        <w:t xml:space="preserve">The technical literature on STM in LEO is organized around three intertwined problems: detecting and characterizing operator maneuvers from sensor data, screening for conjunctions between objects whose orbits are imperfectly known, and integrating operator-provided ephemerides into the resulting safety pipeline. Each problem has produced a mature body of work whose conclusions are largely complementary.</w:t>
      </w:r>
    </w:p>
    <w:bookmarkStart w:id="68" w:name="Xada53a75a76ada51907304637f8ee6dfb189a86"/>
    <w:p>
      <w:pPr>
        <w:pStyle w:val="Heading3"/>
        <w:spacing w:line="480" w:lineRule="auto"/>
      </w:pPr>
      <w:r>
        <w:t xml:space="preserve">2.2.1 Maneuver detection, characterization, and catalog maintenance</w:t>
      </w:r>
    </w:p>
    <w:p>
      <w:pPr>
        <w:pStyle w:val="FirstParagraph"/>
        <w:spacing w:line="480" w:lineRule="auto"/>
      </w:pPr>
      <w:r>
        <w:t xml:space="preserve">The foundational result on which this dissertation depends is that operator maneuvers are detectable from public catalog data and that their detection and characterization is central to catalog quality. Hall and Johnson’s analysis of commercial SSA catalog performance established the baseline observation that undisclosed maneuvers introduce a discontinuity in the propagated orbit that degrades screening accuracy until the discontinuity is detected and the catalog updated</w:t>
      </w:r>
      <w:r>
        <w:t xml:space="preserve"> </w:t>
      </w:r>
      <w:hyperlink w:anchor="ref-3">
        <w:r>
          <w:rPr>
            <w:rStyle w:val="Hyperlink"/>
          </w:rPr>
          <w:t xml:space="preserve">[3]</w:t>
        </w:r>
      </w:hyperlink>
      <w:r>
        <w:t xml:space="preserve">. Subsequent work has refined the detection problem. Kazemi and colleagues’ survey of orbit determination for SSA documents the state of the art in recovering maneuvering and non-maneuvering orbits from heterogeneous sensor data</w:t>
      </w:r>
      <w:r>
        <w:t xml:space="preserve"> </w:t>
      </w:r>
      <w:hyperlink w:anchor="ref-37">
        <w:r>
          <w:rPr>
            <w:rStyle w:val="Hyperlink"/>
          </w:rPr>
          <w:t xml:space="preserve">[37]</w:t>
        </w:r>
      </w:hyperlink>
      <w:r>
        <w:t xml:space="preserve">. Roberts and Linares demonstrate that geosynchronous satellite maneuvers can be classified into operational categories using supervised machine learning trained on public element-set time series</w:t>
      </w:r>
      <w:r>
        <w:t xml:space="preserve"> </w:t>
      </w:r>
      <w:hyperlink w:anchor="ref-27">
        <w:r>
          <w:rPr>
            <w:rStyle w:val="Hyperlink"/>
          </w:rPr>
          <w:t xml:space="preserve">[27]</w:t>
        </w:r>
      </w:hyperlink>
      <w:r>
        <w:t xml:space="preserve">, establishing that maneuver inference is not merely a binary detect-or-not problem but extends to characterization of intent. Penn and colleagues’ geometry sensitivity study of a recently maneuvered satellite quantifies how much information about an operator’s burn is recoverable from a sparse post-maneuver observation campaign</w:t>
      </w:r>
      <w:r>
        <w:t xml:space="preserve"> </w:t>
      </w:r>
      <w:hyperlink w:anchor="ref-26">
        <w:r>
          <w:rPr>
            <w:rStyle w:val="Hyperlink"/>
          </w:rPr>
          <w:t xml:space="preserve">[26]</w:t>
        </w:r>
      </w:hyperlink>
      <w:r>
        <w:t xml:space="preserve">. The cumulative implication is that maneuver disclosure does not control whether an operator’s maneuvers can be characterized by external observers; it controls only the latency and confidence with which they can be characterized. This is a finding the present work treats as foundational, because it removes the most obvious objection to the hidden-cost thesis: an operator who chooses not to disclose is not thereby hiding the maneuver, but only its provenance and timing.</w:t>
      </w:r>
    </w:p>
    <w:p>
      <w:pPr>
        <w:pStyle w:val="BodyText"/>
        <w:spacing w:line="480" w:lineRule="auto"/>
        <w:ind w:firstLine="720"/>
      </w:pPr>
      <w:r>
        <w:t xml:space="preserve">The catalog-maintenance problem has been recast since 2020 by the operational stand-up of the United States Traffic Coordination System for Space (TraCSS) and the parallel European Union Space Surveillance and Tracking (EU SST) service. Auman and colleagues describe the TraCSS validation methodology, including the role of operator-provided ephemerides as the reference truth against which Space Force conjunction screening is calibrated</w:t>
      </w:r>
      <w:r>
        <w:t xml:space="preserve"> </w:t>
      </w:r>
      <w:hyperlink w:anchor="ref-8">
        <w:r>
          <w:rPr>
            <w:rStyle w:val="Hyperlink"/>
          </w:rPr>
          <w:t xml:space="preserve">[8]</w:t>
        </w:r>
      </w:hyperlink>
      <w:r>
        <w:t xml:space="preserve">. Wolff and colleagues report the operational comparison between the TraCSS service and the legacy Mission Delta 2 conjunction analysis system and demonstrate that operator data integration is now a measurable, audited input to the public safety pipeline rather than a private convenience</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Borowitz and colleagues’ technical comparison of public SSA services in the United States and the European Union shows that both architectures depend structurally on voluntary operator data sharing and that the participating operator lists, while overlapping, are not identical</w:t>
      </w:r>
      <w:r>
        <w:t xml:space="preserve"> </w:t>
      </w:r>
      <w:hyperlink w:anchor="ref-18">
        <w:r>
          <w:rPr>
            <w:rStyle w:val="Hyperlink"/>
          </w:rPr>
          <w:t xml:space="preserve">[18]</w:t>
        </w:r>
      </w:hyperlink>
      <w:r>
        <w:t xml:space="preserve">. Kebschull and colleagues’ description of a distributed space traffic coordination system makes explicit the architectural assumption that operator data flows into the coordination layer in a form that can be cross-referenced across providers</w:t>
      </w:r>
      <w:r>
        <w:t xml:space="preserve"> </w:t>
      </w:r>
      <w:hyperlink w:anchor="ref-15">
        <w:r>
          <w:rPr>
            <w:rStyle w:val="Hyperlink"/>
          </w:rPr>
          <w:t xml:space="preserve">[15]</w:t>
        </w:r>
      </w:hyperlink>
      <w:r>
        <w:t xml:space="preserve">. Kelso, Vallado, and colleagues’ early formulation of improved conjunction analysis via collaborative SSA articulated the principle that the marginal value of an additional operator’s ephemeris depends on the existing density of disclosed orbits in the same screening volume</w:t>
      </w:r>
      <w:r>
        <w:t xml:space="preserve"> </w:t>
      </w:r>
      <w:hyperlink w:anchor="ref-19">
        <w:r>
          <w:rPr>
            <w:rStyle w:val="Hyperlink"/>
          </w:rPr>
          <w:t xml:space="preserve">[19]</w:t>
        </w:r>
      </w:hyperlink>
      <w:r>
        <w:t xml:space="preserve">; that principle is now operational rather than aspirational.</w:t>
      </w:r>
    </w:p>
    <w:bookmarkEnd w:id="68"/>
    <w:bookmarkStart w:id="69" w:name="Xddaae0aac1ccc8045f3e6f2c07e08ab6c63c1ac"/>
    <w:p>
      <w:pPr>
        <w:pStyle w:val="Heading3"/>
        <w:spacing w:line="480" w:lineRule="auto"/>
      </w:pPr>
      <w:r>
        <w:t xml:space="preserve">2.2.2 Conjunction screening and operator-data integration</w:t>
      </w:r>
    </w:p>
    <w:p>
      <w:pPr>
        <w:pStyle w:val="FirstParagraph"/>
        <w:spacing w:line="480" w:lineRule="auto"/>
      </w:pPr>
      <w:r>
        <w:t xml:space="preserve">The conjunction-screening literature has converged on two related claims. The first is that operator-provided ephemerides materially improve the accuracy of Probability-of-Collision estimates and reduce false-alarm rates relative to catalogs that rely on inferred orbits alone. Sorge and colleagues’ survey of collision-avoidance improvements in the COLA pipeline documents the operational gains from operator data integration across the major conjunction-assessment programs</w:t>
      </w:r>
      <w:r>
        <w:t xml:space="preserve"> </w:t>
      </w:r>
      <w:hyperlink w:anchor="ref-20">
        <w:r>
          <w:rPr>
            <w:rStyle w:val="Hyperlink"/>
          </w:rPr>
          <w:t xml:space="preserve">[20]</w:t>
        </w:r>
      </w:hyperlink>
      <w:r>
        <w:t xml:space="preserve">. Geissbuhler and colleagues’ analysis of opportunistic conjunction screening with maneuvering spacecraft shows that maneuver information, when available, allows the screening system to anticipate rather than chase the post-maneuver orbit, and that the gain is largest precisely for the high-frequency-maneuver operators whose conjunction loads dominate the queue</w:t>
      </w:r>
      <w:r>
        <w:t xml:space="preserve"> </w:t>
      </w:r>
      <w:hyperlink w:anchor="ref-9">
        <w:r>
          <w:rPr>
            <w:rStyle w:val="Hyperlink"/>
          </w:rPr>
          <w:t xml:space="preserve">[9]</w:t>
        </w:r>
      </w:hyperlink>
      <w:r>
        <w:t xml:space="preserve">. Hejduk and colleagues’ conjunction-assessment and deconfliction paradigm for co-located constellations with on-spacecraft autonomous flight dynamics control extends the same logic to the regime where maneuvers are frequent, automated, and tightly coupled across spacecraft</w:t>
      </w:r>
      <w:r>
        <w:t xml:space="preserve"> </w:t>
      </w:r>
      <w:hyperlink w:anchor="ref-11">
        <w:r>
          <w:rPr>
            <w:rStyle w:val="Hyperlink"/>
          </w:rPr>
          <w:t xml:space="preserve">[11]</w:t>
        </w:r>
      </w:hyperlink>
      <w:r>
        <w:t xml:space="preserve">; in this regime, disclosure is not merely useful but is the only practicable means by which an external screening system can keep up.</w:t>
      </w:r>
    </w:p>
    <w:p>
      <w:pPr>
        <w:pStyle w:val="BodyText"/>
        <w:spacing w:line="480" w:lineRule="auto"/>
        <w:ind w:firstLine="720"/>
      </w:pPr>
      <w:r>
        <w:t xml:space="preserve">The second claim is that the value of operator data integration depends on its completeness and timeliness. Archuleta and Nicolls’ description of space debris mapping services for LEO operators establishes that the screening pipeline degrades gracefully under partial data availability but that the degradation is non-uniform across operators and orbital regimes</w:t>
      </w:r>
      <w:r>
        <w:t xml:space="preserve"> </w:t>
      </w:r>
      <w:hyperlink w:anchor="ref-16">
        <w:r>
          <w:rPr>
            <w:rStyle w:val="Hyperlink"/>
          </w:rPr>
          <w:t xml:space="preserve">[16]</w:t>
        </w:r>
      </w:hyperlink>
      <w:r>
        <w:t xml:space="preserve">. de Sa and colleagues’ characterization of a coordinated optimal avoidance maneuver framework for STM shows that the gains from coordination scale with the number of participating operators and the latency of their disclosure</w:t>
      </w:r>
      <w:r>
        <w:t xml:space="preserve"> </w:t>
      </w:r>
      <w:hyperlink w:anchor="ref-30">
        <w:r>
          <w:rPr>
            <w:rStyle w:val="Hyperlink"/>
          </w:rPr>
          <w:t xml:space="preserve">[30]</w:t>
        </w:r>
      </w:hyperlink>
      <w:r>
        <w:t xml:space="preserve">. Cha and colleagues’ DVD-COOP framework for maneuver path optimization of conjunctive resident space objects demonstrates that the maneuver geometry itself is informative and computable from observation, so that an operator who declines to disclose does not thereby withhold the geometry from a sufficiently instrumented observer</w:t>
      </w:r>
      <w:r>
        <w:t xml:space="preserve"> </w:t>
      </w:r>
      <w:hyperlink w:anchor="ref-1">
        <w:r>
          <w:rPr>
            <w:rStyle w:val="Hyperlink"/>
          </w:rPr>
          <w:t xml:space="preserve">[1]</w:t>
        </w:r>
      </w:hyperlink>
      <w:r>
        <w:t xml:space="preserve">. Nag and colleagues’ prototyping of operational autonomy for STM extends the same point to autonomous-coordination architectures in which the disclosure latency is the binding constraint on the achievable safety margin</w:t>
      </w:r>
      <w:r>
        <w:t xml:space="preserve"> </w:t>
      </w:r>
      <w:hyperlink w:anchor="ref-34">
        <w:r>
          <w:rPr>
            <w:rStyle w:val="Hyperlink"/>
          </w:rPr>
          <w:t xml:space="preserve">[34]</w:t>
        </w:r>
      </w:hyperlink>
      <w:r>
        <w:t xml:space="preserve">. Ingram and colleagues’ report on a year of AI-enabled STM services at GEO documents that the commercial market for operator data integration has matured to the point at which the marginal value of disclosure is priced, at least at GEO, and that the pricing is observable to the disclosing operator</w:t>
      </w:r>
      <w:r>
        <w:t xml:space="preserve"> </w:t>
      </w:r>
      <w:hyperlink w:anchor="ref-2">
        <w:r>
          <w:rPr>
            <w:rStyle w:val="Hyperlink"/>
          </w:rPr>
          <w:t xml:space="preserve">[2]</w:t>
        </w:r>
      </w:hyperlink>
      <w:r>
        <w:t xml:space="preserve">.</w:t>
      </w:r>
    </w:p>
    <w:bookmarkEnd w:id="69"/>
    <w:bookmarkStart w:id="70" w:name="X5e6d510f0bcbd05eb3978f56fba9e407a3c7464"/>
    <w:p>
      <w:pPr>
        <w:pStyle w:val="Heading3"/>
        <w:spacing w:line="480" w:lineRule="auto"/>
      </w:pPr>
      <w:r>
        <w:t xml:space="preserve">2.2.3 The unstated assumption: disclosure as a data-availability problem</w:t>
      </w:r>
    </w:p>
    <w:p>
      <w:pPr>
        <w:pStyle w:val="FirstParagraph"/>
        <w:spacing w:line="480" w:lineRule="auto"/>
      </w:pPr>
      <w:r>
        <w:t xml:space="preserve">The technical literature treats disclosure as a data-availability problem to be solved by better sensors, better algorithms, better protocols, and better coordination architectures. The operator’s decision to disclose is, almost without exception, left unmodeled. The literature observes that some operators disclose richly and that others do not; it does not ask why, except in occasional brief asides about institutional capacity or legacy practices. Where the literature does engage the operator’s decision, as in Reed and colleagues’ framework for sharing operational risk information in the space domain to facilitate norms development and compliance monitoring</w:t>
      </w:r>
      <w:r>
        <w:t xml:space="preserve"> </w:t>
      </w:r>
      <w:hyperlink w:anchor="ref-25">
        <w:r>
          <w:rPr>
            <w:rStyle w:val="Hyperlink"/>
          </w:rPr>
          <w:t xml:space="preserve">[25]</w:t>
        </w:r>
      </w:hyperlink>
      <w:r>
        <w:t xml:space="preserve"> </w:t>
      </w:r>
      <w:r>
        <w:t xml:space="preserve">or in Borowitz, Gunter, and colleagues’ investigation into potential collision maneuver guidelines for future STM</w:t>
      </w:r>
      <w:r>
        <w:t xml:space="preserve"> </w:t>
      </w:r>
      <w:hyperlink w:anchor="ref-23">
        <w:r>
          <w:rPr>
            <w:rStyle w:val="Hyperlink"/>
          </w:rPr>
          <w:t xml:space="preserve">[23]</w:t>
        </w:r>
      </w:hyperlink>
      <w:r>
        <w:t xml:space="preserve">, the engagement is normative rather than positive: the work proposes what operators should do, not what they do or why. Anilkumar and colleagues’ synthesis of cislunar STM challenges and strategic frameworks identifies the disclosure question as central to the extension of LEO norms into cislunar space but does not estimate the underlying compliance function</w:t>
      </w:r>
      <w:r>
        <w:t xml:space="preserve"> </w:t>
      </w:r>
      <w:hyperlink w:anchor="ref-22">
        <w:r>
          <w:rPr>
            <w:rStyle w:val="Hyperlink"/>
          </w:rPr>
          <w:t xml:space="preserve">[22]</w:t>
        </w:r>
      </w:hyperlink>
      <w:r>
        <w:t xml:space="preserve">.</w:t>
      </w:r>
    </w:p>
    <w:p>
      <w:pPr>
        <w:pStyle w:val="BodyText"/>
        <w:spacing w:line="480" w:lineRule="auto"/>
        <w:ind w:firstLine="720"/>
      </w:pPr>
      <w:r>
        <w:t xml:space="preserve">The result is a literature in which the technical detectability of maneuvers is established, the technical value of disclosure is established, and the operational architectures for ingesting disclosure are mature, but the question of why disclosure rates fall short of what those architectures are built to absorb is treated as a residual to be addressed by exhortation or by future binding regulation. This dissertation argues that the residual is the phenomenon to be explained.</w:t>
      </w:r>
    </w:p>
    <w:bookmarkEnd w:id="70"/>
    <w:bookmarkEnd w:id="71"/>
    <w:bookmarkStart w:id="75" w:name="X354f43cde922c82f307088fe4e681fb09f1c04a"/>
    <w:p>
      <w:pPr>
        <w:pStyle w:val="Heading2"/>
        <w:spacing w:line="480" w:lineRule="auto"/>
      </w:pPr>
      <w:r>
        <w:t xml:space="preserve">2.3 The Policy, Sustainability, and Norms Literature</w:t>
      </w:r>
    </w:p>
    <w:p>
      <w:pPr>
        <w:pStyle w:val="FirstParagraph"/>
        <w:spacing w:line="480" w:lineRule="auto"/>
      </w:pPr>
      <w:r>
        <w:t xml:space="preserve">A parallel literature has developed within the policy and sustainability communities that frames the disclosure problem in terms of common-pool resource theory, voluntary norms, and composite incentive design. This literature has produced the conceptual vocabulary in which voluntary STM compliance is now discussed, but it shares with the technical literature the absence of an estimated compliance function.</w:t>
      </w:r>
    </w:p>
    <w:bookmarkStart w:id="72" w:name="Xef8230cfefce570f3d879fc7f93dbe926d051ab"/>
    <w:p>
      <w:pPr>
        <w:pStyle w:val="Heading3"/>
        <w:spacing w:line="480" w:lineRule="auto"/>
      </w:pPr>
      <w:r>
        <w:t xml:space="preserve">2.3.1 Orbital carrying capacity and the common-pool framing</w:t>
      </w:r>
    </w:p>
    <w:p>
      <w:pPr>
        <w:pStyle w:val="FirstParagraph"/>
        <w:spacing w:line="480" w:lineRule="auto"/>
      </w:pPr>
      <w:r>
        <w:t xml:space="preserve">Stilwell, Dailey, and McKnight’s policy-based orbital classification framework for LEO articulates the central claim that orbital carrying capacity is a safety metric and that improvements in collision-avoidance capability can expand the effective carrying capacity of an altitude band, but only when those improvements are observable to other operators</w:t>
      </w:r>
      <w:r>
        <w:t xml:space="preserve"> </w:t>
      </w:r>
      <w:hyperlink w:anchor="ref-13">
        <w:r>
          <w:rPr>
            <w:rStyle w:val="Hyperlink"/>
          </w:rPr>
          <w:t xml:space="preserve">[13]</w:t>
        </w:r>
      </w:hyperlink>
      <w:r>
        <w:t xml:space="preserve">. The same authors’ integration of orbital carrying capacity into international policy constructs and their classification work on debris extend the carrying-capacity frame from a technical bound to a policy instrument</w:t>
      </w:r>
      <w:r>
        <w:t xml:space="preserve"> </w:t>
      </w:r>
      <w:hyperlink w:anchor="ref-5">
        <w:r>
          <w:rPr>
            <w:rStyle w:val="Hyperlink"/>
          </w:rPr>
          <w:t xml:space="preserve">[5]</w:t>
        </w:r>
      </w:hyperlink>
      <w:r>
        <w:t xml:space="preserve">. The implication, made explicit in their work, is that voluntary disclosure is the mechanism by which collision-avoidance capability becomes observable and therefore the mechanism by which the carrying-capacity gains are realized.</w:t>
      </w:r>
    </w:p>
    <w:p>
      <w:pPr>
        <w:pStyle w:val="BodyText"/>
        <w:spacing w:line="480" w:lineRule="auto"/>
        <w:ind w:firstLine="720"/>
      </w:pPr>
      <w:r>
        <w:t xml:space="preserve">Weinzierl’s analysis of space as an economic frontier and the related work on socio-technological transformation of space-use norms situate the orbital environment as a common-pool resource subject to congestion externalities whose internalization depends on the legibility of operator behavior</w:t>
      </w:r>
      <w:r>
        <w:t xml:space="preserve"> </w:t>
      </w:r>
      <w:hyperlink w:anchor="ref-6">
        <w:r>
          <w:rPr>
            <w:rStyle w:val="Hyperlink"/>
          </w:rPr>
          <w:t xml:space="preserve">[6]</w:t>
        </w:r>
      </w:hyperlink>
      <w:r>
        <w:t xml:space="preserve">. The argument is structurally analogous to the canonical common-pool problem in resource economics: contributions to the public good (here, disclosure that improves catalog completeness) are privately costly, and rational operators free-ride unless an institutional structure aligns private and collective incentives. The framing identifies the externality of congestion and debris. It does not identify the externality of information, which is the omission this dissertation takes up. The act of disclosure is treated as a transfer of data, not as the revelation of operationally exploitable information about the disclosing operator.</w:t>
      </w:r>
    </w:p>
    <w:bookmarkEnd w:id="72"/>
    <w:bookmarkStart w:id="73" w:name="X55d90ca96928954c9c51b08f3b8d95e4ef51472"/>
    <w:p>
      <w:pPr>
        <w:pStyle w:val="Heading3"/>
        <w:spacing w:line="480" w:lineRule="auto"/>
      </w:pPr>
      <w:r>
        <w:t xml:space="preserve">2.3.2 Composite indicators, sustainability ratings, and voluntary alignment</w:t>
      </w:r>
    </w:p>
    <w:p>
      <w:pPr>
        <w:pStyle w:val="FirstParagraph"/>
        <w:spacing w:line="480" w:lineRule="auto"/>
      </w:pPr>
      <w:r>
        <w:t xml:space="preserve">Rathnasabapathy and colleagues’ design of the Space Sustainability Rating as a composite indicator to incentivize satellite operators to pursue long-term sustainability of the space environment is the most fully developed attempt to operationalize the voluntary-disclosure regime</w:t>
      </w:r>
      <w:r>
        <w:t xml:space="preserve"> </w:t>
      </w:r>
      <w:hyperlink w:anchor="ref-12">
        <w:r>
          <w:rPr>
            <w:rStyle w:val="Hyperlink"/>
          </w:rPr>
          <w:t xml:space="preserve">[12]</w:t>
        </w:r>
      </w:hyperlink>
      <w:r>
        <w:t xml:space="preserve">. The rating system, including its earlier articulation in Letizia and colleagues’ definition of the SSA-data contribution</w:t>
      </w:r>
      <w:r>
        <w:t xml:space="preserve"> </w:t>
      </w:r>
      <w:hyperlink w:anchor="ref-29">
        <w:r>
          <w:rPr>
            <w:rStyle w:val="Hyperlink"/>
          </w:rPr>
          <w:t xml:space="preserve">[29]</w:t>
        </w:r>
      </w:hyperlink>
      <w:r>
        <w:t xml:space="preserve">, aggregates operator behavior across multiple dimensions, including disclosure, into a single score intended to be legible to insurers, investors, and regulators. The implicit theory is that voluntary disclosure can be sustained at high participation rates if the private gains from a high rating exceed the private costs of disclosure. The empirical record this dissertation engages, however, is that participation in the rating regime is itself selected, and that the operators who decline to participate are precisely those whose disclosure would be most informative. The rating mechanism is responsive to the distributional structure of voluntary compliance but does not, on its own, alter the underlying private-cost calculus.</w:t>
      </w:r>
    </w:p>
    <w:p>
      <w:pPr>
        <w:pStyle w:val="BodyText"/>
        <w:spacing w:line="480" w:lineRule="auto"/>
        <w:ind w:firstLine="720"/>
      </w:pPr>
      <w:r>
        <w:t xml:space="preserve">A related strand engages the question of how norms are constructed and contested. Yap, Heiberg, and Truffer’s discourse-network analysis of the emerging global socio-technical regime for tackling space debris demonstrates that voluntary transparency is contested precisely along the dual-use seam, with operators that have national-security customers or intelligence-community contracts participating in transparency forums but resisting publication of operationally informative data</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Porras and Zarkan’s framework for safety norms for space security argues that the development of STM norms can strengthen security in space but only if the norm architecture acknowledges the dual-use seam explicitly</w:t>
      </w:r>
      <w:r>
        <w:t xml:space="preserve"> </w:t>
      </w:r>
      <w:hyperlink w:anchor="ref-24">
        <w:r>
          <w:rPr>
            <w:rStyle w:val="Hyperlink"/>
          </w:rPr>
          <w:t xml:space="preserve">[24]</w:t>
        </w:r>
      </w:hyperlink>
      <w:r>
        <w:t xml:space="preserve">. Hurova’s analysis of gamification as a tool to address space-debris challenges extends the same insight into the design of voluntary participation mechanisms</w:t>
      </w:r>
      <w:r>
        <w:t xml:space="preserve"> </w:t>
      </w:r>
      <w:hyperlink w:anchor="ref-38">
        <w:r>
          <w:rPr>
            <w:rStyle w:val="Hyperlink"/>
          </w:rPr>
          <w:t xml:space="preserve">[38]</w:t>
        </w:r>
      </w:hyperlink>
      <w:r>
        <w:t xml:space="preserve">. Sánchez-Ortíz and colleagues’ outreach work on STM documents the difficulty of converting general endorsement of disclosure norms into operational compliance</w:t>
      </w:r>
      <w:r>
        <w:t xml:space="preserve"> </w:t>
      </w:r>
      <w:hyperlink w:anchor="ref-31">
        <w:r>
          <w:rPr>
            <w:rStyle w:val="Hyperlink"/>
          </w:rPr>
          <w:t xml:space="preserve">[31]</w:t>
        </w:r>
      </w:hyperlink>
      <w:r>
        <w:t xml:space="preserve">. Varughese and colleagues’ work on the intersection of space and sustainability and the related call for a transdisciplinary, bi-cultural approach establishes that the norm-construction process is itself a site of contestation about what disclosure means and to whom it is owed</w:t>
      </w:r>
      <w:r>
        <w:t xml:space="preserve"> </w:t>
      </w:r>
      <w:hyperlink w:anchor="ref-36">
        <w:r>
          <w:rPr>
            <w:rStyle w:val="Hyperlink"/>
          </w:rPr>
          <w:t xml:space="preserve">[36]</w:t>
        </w:r>
      </w:hyperlink>
      <w:r>
        <w:t xml:space="preserve">.</w:t>
      </w:r>
    </w:p>
    <w:bookmarkEnd w:id="73"/>
    <w:bookmarkStart w:id="74" w:name="Xf5933c943b1b833c51015e6d9deff071c7e5809"/>
    <w:p>
      <w:pPr>
        <w:pStyle w:val="Heading3"/>
        <w:spacing w:line="480" w:lineRule="auto"/>
      </w:pPr>
      <w:r>
        <w:t xml:space="preserve">2.3.3 The unstated assumption: compliance follows from articulation</w:t>
      </w:r>
    </w:p>
    <w:p>
      <w:pPr>
        <w:pStyle w:val="FirstParagraph"/>
        <w:spacing w:line="480" w:lineRule="auto"/>
      </w:pPr>
      <w:r>
        <w:t xml:space="preserve">The policy and sustainability literature shares with the technical literature an unstated assumption: that compliance follows from the articulation of a norm and the construction of a supporting architecture. The discourse-network literature identifies the contested character of voluntary transparency but does not estimate the compliance function. The composite-indicator literature designs the incentive but does not measure the responsiveness. The carrying-capacity literature establishes the public-good frame but does not endogenize the contribution decision. The result is a literature rich in theory of how voluntary norms ought to work and poor in evidence on the structure of who actually complies and why. The role-of-space-in-sustainability-security-and-development synthesis represented by the SD13 contribution</w:t>
      </w:r>
      <w:r>
        <w:t xml:space="preserve"> </w:t>
      </w:r>
      <w:hyperlink w:anchor="ref-4">
        <w:r>
          <w:rPr>
            <w:rStyle w:val="Hyperlink"/>
          </w:rPr>
          <w:t xml:space="preserve">[4]</w:t>
        </w:r>
      </w:hyperlink>
      <w:r>
        <w:t xml:space="preserve"> </w:t>
      </w:r>
      <w:r>
        <w:t xml:space="preserve">and the circular-economy framing of space sustainability</w:t>
      </w:r>
      <w:r>
        <w:t xml:space="preserve"> </w:t>
      </w:r>
      <w:hyperlink w:anchor="ref-7">
        <w:r>
          <w:rPr>
            <w:rStyle w:val="Hyperlink"/>
          </w:rPr>
          <w:t xml:space="preserve">[7]</w:t>
        </w:r>
      </w:hyperlink>
      <w:r>
        <w:t xml:space="preserve"> </w:t>
      </w:r>
      <w:r>
        <w:t xml:space="preserve">develop the normative case for voluntary alignment but do not estimate it.</w:t>
      </w:r>
    </w:p>
    <w:p>
      <w:pPr>
        <w:pStyle w:val="BodyText"/>
        <w:spacing w:line="480" w:lineRule="auto"/>
        <w:ind w:firstLine="720"/>
      </w:pPr>
      <w:r>
        <w:t xml:space="preserve">Two adjacencies in this literature deserve note because they bear on the operator population this dissertation studies. The first is the registry of objects launched into outer space maintained by the United Nations Office for Outer Space Affairs (ST/SG/SER.E/1056), which provides the canonical public roster of on-orbit assets and their registering states</w:t>
      </w:r>
      <w:r>
        <w:t xml:space="preserve"> </w:t>
      </w:r>
      <w:hyperlink w:anchor="ref-14">
        <w:r>
          <w:rPr>
            <w:rStyle w:val="Hyperlink"/>
          </w:rPr>
          <w:t xml:space="preserve">[14]</w:t>
        </w:r>
      </w:hyperlink>
      <w:r>
        <w:t xml:space="preserve">. The registry is the foundation on which fleet-size and jurisdictional covariates are constructed in any quantitative analysis of operator behavior. The second is the feasibility-study literature on commercial space stations in low Earth orbit, which documents the rapid expansion of the commercial operator population whose disclosure behavior is at issue</w:t>
      </w:r>
      <w:r>
        <w:t xml:space="preserve"> </w:t>
      </w:r>
      <w:hyperlink w:anchor="ref-33">
        <w:r>
          <w:rPr>
            <w:rStyle w:val="Hyperlink"/>
          </w:rPr>
          <w:t xml:space="preserve">[33]</w:t>
        </w:r>
      </w:hyperlink>
      <w:r>
        <w:t xml:space="preserve">, and the CubeSat-constellation architecture literature, which establishes that the operator population is increasingly composed of distributed, software-defined fleets whose maneuver tempo differs structurally from legacy single-asset operators</w:t>
      </w:r>
      <w:r>
        <w:t xml:space="preserve"> </w:t>
      </w:r>
      <w:hyperlink w:anchor="ref-35">
        <w:r>
          <w:rPr>
            <w:rStyle w:val="Hyperlink"/>
          </w:rPr>
          <w:t xml:space="preserve">[35]</w:t>
        </w:r>
      </w:hyperlink>
      <w:r>
        <w:t xml:space="preserve">.</w:t>
      </w:r>
    </w:p>
    <w:bookmarkEnd w:id="74"/>
    <w:bookmarkEnd w:id="75"/>
    <w:bookmarkStart w:id="80"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The methodological tradition this dissertation imports is the cliometric and econometric study of compliance behavior under voluntary or partially binding regimes. The tradition’s defining commitment is that observed behavior is the outcome of an incentive structure and that the analyst’s central task is to recover a structural parameter, in this case the responsiveness of disclosure to its private informational cost, from non-experimental data subject to selection, endogeneity, and measurement error. The tradition has been developed most fully in environmental, financial, and labor economics, but its tools are general and its application to space behavior is, on the evidence reviewed here, novel.</w:t>
      </w:r>
    </w:p>
    <w:bookmarkStart w:id="76" w:name="the-compliance-function-tradition"/>
    <w:p>
      <w:pPr>
        <w:pStyle w:val="Heading3"/>
        <w:spacing w:line="480" w:lineRule="auto"/>
      </w:pPr>
      <w:r>
        <w:t xml:space="preserve">2.4.1 The compliance-function tradition</w:t>
      </w:r>
    </w:p>
    <w:p>
      <w:pPr>
        <w:pStyle w:val="FirstParagraph"/>
        <w:spacing w:line="480" w:lineRule="auto"/>
      </w:pPr>
      <w:r>
        <w:t xml:space="preserve">The compliance-function tradition treats the decision to comply with a voluntary norm as a discrete choice whose probability is modeled as a function of observable covariates including the costs and benefits of compliance, the actor’s capacity, and the institutional context. The estimating equation is typically a logit or probit, with extensions to discrete-time hazard models when the outcome of interest is the timing rather than the occurrence of compliance, and to panel models with fixed effects when within-actor variation is the identifying source. The two empirical papers from which this chapter inherits its method (the cross-sectional logit analyses reported in this dissertation’s Paper 1 and Paper 2) follow this tradition directly. Paper 1 estimates the probability of voluntary maneuver disclosure as a function of log fleet size, commercial status, operator age, and constellation status on a 39-operator cross-section and recovers a fleet-size coefficient of 0.8694 with a standard error of 0.4542, significant at the 10 percent level and consistent with the public-good prediction that larger fleets internalize more of the externality. Paper 2 estimates the probability of ephemeris publication on a 28-operator cross-section as a function of dual-use status, log fleet size, and log conjunction events and recovers a dual-use coefficient of -3.18 with a standard error of 1.06 and a p-value of 0.003, consistent with the hidden-cost prediction that the inferential value of disclosure to outside observers suppresses the disclosure decision.</w:t>
      </w:r>
    </w:p>
    <w:p>
      <w:pPr>
        <w:pStyle w:val="BodyText"/>
        <w:spacing w:line="480" w:lineRule="auto"/>
        <w:ind w:firstLine="720"/>
      </w:pPr>
      <w:r>
        <w:t xml:space="preserve">The methodological lineage of these estimators is the broad logit-and-survival tradition that is canonical in compliance analysis. The relevant adaptations for the maneuver-disclosure setting are three. The first is the handling of empirical separation, which arose explicitly in Paper 1 where US jurisdiction and pre-existing public ephemeris participation each perfectly predicted disclosure within the sample and had to be dropped from the multivariate logit. Separation is itself a substantive finding about the structure of voluntary compliance and is, in the cliometric tradition, treated as informative about the operative selection mechanism rather than as a nuisance. The second is the use of operator-fixed effects to absorb time-invariant capacity and culture, identifying the parameter of interest from within-operator variation across maneuvers of differing informational content. The third is the conditioning on safety urgency to isolate the informational-cost channel from the safety-incentive channel, an identification strategy whose validity rests on the independence of the maneuver-detection signal from the conjunction-screening signal documented in</w:t>
      </w:r>
      <w:r>
        <w:t xml:space="preserve"> </w:t>
      </w:r>
      <w:hyperlink w:anchor="ref-3">
        <w:r>
          <w:rPr>
            <w:rStyle w:val="Hyperlink"/>
          </w:rPr>
          <w:t xml:space="preserve">[3]</w:t>
        </w:r>
      </w:hyperlink>
      <w:r>
        <w:t xml:space="preserve"> </w:t>
      </w:r>
      <w:r>
        <w:t xml:space="preserve">and on the construction of the inferential-value covariate from maneuver geometry alone as established by</w:t>
      </w:r>
      <w:r>
        <w:t xml:space="preserve"> </w:t>
      </w:r>
      <w:hyperlink w:anchor="ref-1">
        <w:r>
          <w:rPr>
            <w:rStyle w:val="Hyperlink"/>
          </w:rPr>
          <w:t xml:space="preserve">[1]</w:t>
        </w:r>
      </w:hyperlink>
      <w:r>
        <w:t xml:space="preserve">.</w:t>
      </w:r>
    </w:p>
    <w:bookmarkEnd w:id="76"/>
    <w:bookmarkStart w:id="77" w:name="X9e0c2c79fab2b08c27481d63bd961ccc7dbe6da"/>
    <w:p>
      <w:pPr>
        <w:pStyle w:val="Heading3"/>
        <w:spacing w:line="480" w:lineRule="auto"/>
      </w:pPr>
      <w:r>
        <w:t xml:space="preserve">2.4.2 Identification under selection and endogeneity</w:t>
      </w:r>
    </w:p>
    <w:p>
      <w:pPr>
        <w:pStyle w:val="FirstParagraph"/>
        <w:spacing w:line="480" w:lineRule="auto"/>
      </w:pPr>
      <w:r>
        <w:t xml:space="preserve">The identification problem the dissertation confronts is structurally familiar to the cliometric tradition. The inferential value of a maneuver and its flight-safety urgency may be correlated, because high-energy maneuvers are both more informative and more safety-relevant. The dissertation’s identification strategy, conditioning on a conjunction-derived urgency measure, exploiting within-operator within-urgency variation, and constructing the inferential-value covariate from the physics of the maneuver rather than from the disclosure outcome, follows the canonical cliometric template for breaking such correlation. The reasoning that residual omitted-variable bias would attenuate rather than manufacture the hidden-cost coefficient, and that a confirmed alternative hypothesis is therefore conservative, is the standard cliometric move when full instrumentation is unavailable.</w:t>
      </w:r>
    </w:p>
    <w:p>
      <w:pPr>
        <w:pStyle w:val="BodyText"/>
        <w:spacing w:line="480" w:lineRule="auto"/>
        <w:ind w:firstLine="720"/>
      </w:pPr>
      <w:r>
        <w:t xml:space="preserve">Two adjacent econometric problems deserve brief mention. The first is measurement error in the dependent variable, which biases against the alternative hypothesis by adding noise. The second is selection in maneuver detection itself, which the technical literature has characterized in detail</w:t>
      </w:r>
      <w:r>
        <w:t xml:space="preserve"> </w:t>
      </w:r>
      <w:hyperlink w:anchor="ref-3">
        <w:r>
          <w:rPr>
            <w:rStyle w:val="Hyperlink"/>
          </w:rPr>
          <w:t xml:space="preserve">[3]</w:t>
        </w:r>
      </w:hyperlink>
      <w:r>
        <w:t xml:space="preserve">,</w:t>
      </w:r>
      <w:r>
        <w:t xml:space="preserve"> </w:t>
      </w:r>
      <w:hyperlink w:anchor="ref-37">
        <w:r>
          <w:rPr>
            <w:rStyle w:val="Hyperlink"/>
          </w:rPr>
          <w:t xml:space="preserve">[37]</w:t>
        </w:r>
      </w:hyperlink>
      <w:r>
        <w:t xml:space="preserve"> </w:t>
      </w:r>
      <w:r>
        <w:t xml:space="preserve">and which the dissertation models explicitly through a detectability floor. Both adaptations follow the cliometric template of bounding rather than eliminating the identification threat and reporting results subject to the bound.</w:t>
      </w:r>
    </w:p>
    <w:bookmarkEnd w:id="77"/>
    <w:bookmarkStart w:id="78" w:name="X52c99ecbe448e26f6928192dc73ab003ba11913"/>
    <w:p>
      <w:pPr>
        <w:pStyle w:val="Heading3"/>
        <w:spacing w:line="480" w:lineRule="auto"/>
      </w:pPr>
      <w:r>
        <w:t xml:space="preserve">2.4.3 The Lifson source-sink frame as a methodological bridge</w:t>
      </w:r>
    </w:p>
    <w:p>
      <w:pPr>
        <w:pStyle w:val="FirstParagraph"/>
        <w:spacing w:line="480" w:lineRule="auto"/>
      </w:pPr>
      <w:r>
        <w:t xml:space="preserve">A particularly relevant methodological adjacency is Lifson, Jang, and Linares’s work on space-environmental governance and decision-support using source-sink evolutionary environmental models</w:t>
      </w:r>
      <w:r>
        <w:t xml:space="preserve"> </w:t>
      </w:r>
      <w:hyperlink w:anchor="ref-28">
        <w:r>
          <w:rPr>
            <w:rStyle w:val="Hyperlink"/>
          </w:rPr>
          <w:t xml:space="preserve">[28]</w:t>
        </w:r>
      </w:hyperlink>
      <w:r>
        <w:t xml:space="preserve">. The source-sink frame is structurally cliometric: it treats the orbital environment as a system whose evolution is governed by an aggregation of operator decisions, parameterized by observable covariates, and estimable from historical data. The frame does not itself estimate the disclosure decision, but it establishes that an operator-level compliance function is methodologically tractable within the same modeling architecture that the technical sustainability community has begun to adopt. The present work can be read as a complementary contribution within that architecture: the source-sink frame supplies the aggregate-environment model, and the compliance function supplied here parameterizes the operator-level disclosure decision that the environment model takes as given.</w:t>
      </w:r>
    </w:p>
    <w:bookmarkEnd w:id="78"/>
    <w:bookmarkStart w:id="79" w:name="the-methodological-gap"/>
    <w:p>
      <w:pPr>
        <w:pStyle w:val="Heading3"/>
        <w:spacing w:line="480" w:lineRule="auto"/>
      </w:pPr>
      <w:r>
        <w:t xml:space="preserve">2.4.4 The methodological gap</w:t>
      </w:r>
    </w:p>
    <w:p>
      <w:pPr>
        <w:pStyle w:val="FirstParagraph"/>
        <w:spacing w:line="480" w:lineRule="auto"/>
      </w:pPr>
      <w:r>
        <w:t xml:space="preserve">The cliometric tradition has not, on the evidence assembled here, been turned on the maneuver-disclosure decision. The space-economics literature has adopted incentive-structure framing but has not estimated a compliance function. The technical STM literature has documented the disclosure shortfall but has not modeled it. The sustainability-rating literature has designed a composite incentive but has not estimated its responsiveness. The discourse-network literature has identified the dual-use seam but has not quantified it. The methodological gap, in short, is the absence of an identified, estimated compliance function for maneuver disclosure under voluntary STM norms.</w:t>
      </w:r>
    </w:p>
    <w:bookmarkEnd w:id="79"/>
    <w:bookmarkEnd w:id="80"/>
    <w:bookmarkStart w:id="81" w:name="synthesis-the-unjoined-seam"/>
    <w:p>
      <w:pPr>
        <w:pStyle w:val="Heading2"/>
        <w:spacing w:line="480" w:lineRule="auto"/>
      </w:pPr>
      <w:r>
        <w:t xml:space="preserve">2.5 Synthesis: The Unjoined Seam</w:t>
      </w:r>
    </w:p>
    <w:p>
      <w:pPr>
        <w:pStyle w:val="FirstParagraph"/>
        <w:spacing w:line="480" w:lineRule="auto"/>
      </w:pPr>
      <w:r>
        <w:t xml:space="preserve">The two literatures meet, in the present state of the field, at a single conceptual seam they do not cross. The technical literature establishes that disclosure matters, that its absence is detectable, and that its presence is operationally ingested by mature coordination architectures; it does not model the decision to disclose. The cliometric literature has the tools to model that decision; it has not been turned on this problem. The policy and sustainability literature has the conceptual vocabulary of common-pool resources and voluntary norms; it has not estimated the underlying compliance function. The discourse-network literature has identified the dual-use seam as the locus of contested transparency; it has not quantified the suppressive effect.</w:t>
      </w:r>
    </w:p>
    <w:p>
      <w:pPr>
        <w:pStyle w:val="BodyText"/>
        <w:spacing w:line="480" w:lineRule="auto"/>
        <w:ind w:firstLine="720"/>
      </w:pPr>
      <w:r>
        <w:t xml:space="preserve">The conceptual contribution of this dissertation is to join the two literatures at that seam. The empirical core, developed across the two papers whose results are summarized above and extended in the chapters that follow, is a quantitative compliance model of maneuver disclosure under voluntary STM norms, estimated on publicly observable operator and maneuver records, identified through the conditioning and within-variation strategy described in the prospectus, and interpreted within the public-good and informational-externality frames inherited from the policy literature. The contribution is therefore neither purely technical nor purely methodological: it is the demonstration that the operator decision the technical literature has left unmodeled is in fact estimable, that the parameter the policy literature has assumed away is in fact non-zero, and that the structural character of voluntary STM compliance is recoverable from the data the public SSA architecture already produces.</w:t>
      </w:r>
    </w:p>
    <w:p>
      <w:pPr>
        <w:pStyle w:val="BodyText"/>
        <w:spacing w:line="480" w:lineRule="auto"/>
        <w:ind w:firstLine="720"/>
      </w:pPr>
      <w:r>
        <w:t xml:space="preserve">Three implications of this synthesis structure the remainder of the dissertation. First, the hidden-cost thesis is not a critique of the technical case for operator data integration, which the conjunction-assessment literature continues to validate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w:t>
      </w:r>
      <w:r>
        <w:t xml:space="preserve"> </w:t>
      </w:r>
      <w:hyperlink w:anchor="ref-20">
        <w:r>
          <w:rPr>
            <w:rStyle w:val="Hyperlink"/>
          </w:rPr>
          <w:t xml:space="preserve">[20]</w:t>
        </w:r>
      </w:hyperlink>
      <w:r>
        <w:t xml:space="preserve">; it is a critique of the assumption that operator participation in that integration is costless and therefore complete. Second, the empirical finding that dual-use posture is the dominant suppressor of disclosure, conditional on safety urgency, identifies a private informational cost that public SSA architectures do not currently price; the design of an instrument that compensates the disclosing operator for the informational loss is therefore a policy question the present work makes tractable. Third, the extension of the LEO compliance function to cislunar space, where the operator population is more concentrated, the dual-use share is higher, and the coordination architecture is younger</w:t>
      </w:r>
      <w:r>
        <w:t xml:space="preserve"> </w:t>
      </w:r>
      <w:hyperlink w:anchor="ref-22">
        <w:r>
          <w:rPr>
            <w:rStyle w:val="Hyperlink"/>
          </w:rPr>
          <w:t xml:space="preserve">[22]</w:t>
        </w:r>
      </w:hyperlink>
      <w:r>
        <w:t xml:space="preserve">, inherits the same incentive structure and will need to address it before the voluntary template is extended beyond LEO. The chapters that follow estimate the compliance function, characterize its dual-use and fleet-size structure, examine its dynamic properties in the post-TraCSS launch window, and assess its policy implications under the carrying-capacity frame established by</w:t>
      </w:r>
      <w:r>
        <w:t xml:space="preserve"> </w:t>
      </w:r>
      <w:hyperlink w:anchor="ref-5">
        <w:r>
          <w:rPr>
            <w:rStyle w:val="Hyperlink"/>
          </w:rPr>
          <w:t xml:space="preserve">[5]</w:t>
        </w:r>
      </w:hyperlink>
      <w:r>
        <w:t xml:space="preserve"> </w:t>
      </w:r>
      <w:r>
        <w:t xml:space="preserve">and</w:t>
      </w:r>
      <w:r>
        <w:t xml:space="preserve"> </w:t>
      </w:r>
      <w:hyperlink w:anchor="ref-13">
        <w:r>
          <w:rPr>
            <w:rStyle w:val="Hyperlink"/>
          </w:rPr>
          <w:t xml:space="preserve">[13]</w:t>
        </w:r>
      </w:hyperlink>
      <w:r>
        <w:t xml:space="preserve">.</w:t>
      </w:r>
    </w:p>
    <w:bookmarkEnd w:id="81"/>
    <w:bookmarkEnd w:id="82"/>
    <w:bookmarkStart w:id="90" w:name="Xcfcc00a3ded59aed0c781c16bfc121f2a509603"/>
    <w:p>
      <w:pPr>
        <w:pStyle w:val="Heading1"/>
        <w:spacing w:line="480" w:lineRule="auto"/>
      </w:pPr>
      <w:r>
        <w:t xml:space="preserve">Chapter 3. Theoretical Framework and Hypotheses</w:t>
      </w:r>
    </w:p>
    <w:bookmarkStart w:id="83" w:name="orientation"/>
    <w:p>
      <w:pPr>
        <w:pStyle w:val="Heading2"/>
        <w:spacing w:line="480" w:lineRule="auto"/>
      </w:pPr>
      <w:r>
        <w:t xml:space="preserve">3.1 Orientation</w:t>
      </w:r>
    </w:p>
    <w:p>
      <w:pPr>
        <w:pStyle w:val="FirstParagraph"/>
        <w:spacing w:line="480" w:lineRule="auto"/>
      </w:pPr>
      <w:r>
        <w:t xml:space="preserve">This chapter develops the theoretical apparatus that the empirical chapters will test. The dissertation argues that voluntary maneuver-disclosure norms in low Earth orbit (LEO) impose an asymmetric private cost on the disclosing operator, that this cost is informational rather than logistical, and that the cost is large enough to predict the observed pattern of partial and selective compliance with voluntary space traffic management (STM) norms. The argument is constructed in four moves. Section 3.2 specifies the structural setting in which disclosure occurs and identifies the public good at stake. Section 3.3 develops the central theoretical mechanism: disclosure is a signal whose informational content has positive value to outside observers and therefore positive private cost to the disclosing operator. Section 3.4 lays out the causal logic by which this private cost translates into a measurable compliance pattern across operators and within an operator’s fleet. Section 3.5 states the formal null and alternative hypotheses (H0 and H1), defines the falsification criterion, and specifies the auxiliary predictions on which the principal hypothesis depends. Section 3.6 derives the comparative-statics predictions that the empirical chapters will exploit for identification. Section 3.7 closes by situating the framework relative to the three prior literatures that bound it.</w:t>
      </w:r>
    </w:p>
    <w:p>
      <w:pPr>
        <w:pStyle w:val="BodyText"/>
        <w:spacing w:line="480" w:lineRule="auto"/>
        <w:ind w:firstLine="720"/>
      </w:pPr>
      <w:r>
        <w:t xml:space="preserve">The framework is deliberately parsimonious. It rests on three primitives: a detectable maneuver, an operator who chooses whether to disclose, and an outside observer whose inferential ability is bounded by the information that disclosure releases. These primitives are sufficient to generate the directional prediction that the dissertation tests on a single coefficient. The framework does not require the operator to be strategic in a game-theoretic equilibrium sense; it requires only that the operator’s disclosure decision respond to the informational stakes of the maneuver. That requirement is empirically testable and falsifiable.</w:t>
      </w:r>
    </w:p>
    <w:bookmarkEnd w:id="83"/>
    <w:bookmarkStart w:id="84" w:name="the-structural-setting"/>
    <w:p>
      <w:pPr>
        <w:pStyle w:val="Heading2"/>
        <w:spacing w:line="480" w:lineRule="auto"/>
      </w:pPr>
      <w:r>
        <w:t xml:space="preserve">3.2 The Structural Setting</w:t>
      </w:r>
    </w:p>
    <w:p>
      <w:pPr>
        <w:pStyle w:val="FirstParagraph"/>
        <w:spacing w:line="480" w:lineRule="auto"/>
      </w:pPr>
      <w:r>
        <w:t xml:space="preserve">The operational environment of LEO is one in which conjunction assessment, collision avoidance, and the maintenance of the resident-space-object catalog all depend on a shared, complete, and timely picture of where objects are and where they intend to go. Catalog incompleteness is not a residual; it is the binding constraint on screening accuracy, on false-alarm suppression, and on the calibration of collision-avoidance maneuvers themselves. The technical literature on commercial space situational awareness (SSA) has established that catalog quality is a direct function of the maneuver-detection pipeline, because an undisclosed maneuver introduces a discontinuity in the propagated orbit that no propagation model can anticipate from element sets alone</w:t>
      </w:r>
      <w:r>
        <w:t xml:space="preserve"> </w:t>
      </w:r>
      <w:hyperlink w:anchor="ref-3">
        <w:r>
          <w:rPr>
            <w:rStyle w:val="Hyperlink"/>
          </w:rPr>
          <w:t xml:space="preserve">[3]</w:t>
        </w:r>
      </w:hyperlink>
      <w:r>
        <w:t xml:space="preserve">. The same literature has demonstrated that AI-enabled STM services, whose operational value scales with the share of maneuvers that are disclosed rather than inferred, deliver materially higher screening fidelity when operator-provided ephemerides are integrated into the conjunction pipeline</w:t>
      </w:r>
      <w:r>
        <w:t xml:space="preserve"> </w:t>
      </w:r>
      <w:hyperlink w:anchor="ref-2">
        <w:r>
          <w:rPr>
            <w:rStyle w:val="Hyperlink"/>
          </w:rPr>
          <w:t xml:space="preserve">[2]</w:t>
        </w:r>
      </w:hyperlink>
      <w:r>
        <w:t xml:space="preserve">. The economic value of maneuver-path information has been formalized in the optimization literature on conjunctive resident space objects, which shows that the geometry, magnitude, and timing of a maneuver are computable and informative from observation alone</w:t>
      </w:r>
      <w:r>
        <w:t xml:space="preserve"> </w:t>
      </w:r>
      <w:hyperlink w:anchor="ref-1">
        <w:r>
          <w:rPr>
            <w:rStyle w:val="Hyperlink"/>
          </w:rPr>
          <w:t xml:space="preserve">[1]</w:t>
        </w:r>
      </w:hyperlink>
      <w:r>
        <w:t xml:space="preserve">.</w:t>
      </w:r>
    </w:p>
    <w:p>
      <w:pPr>
        <w:pStyle w:val="BodyText"/>
        <w:spacing w:line="480" w:lineRule="auto"/>
        <w:ind w:firstLine="720"/>
      </w:pPr>
      <w:r>
        <w:t xml:space="preserve">Two features of this setting are central to the theoretical framework that follows. First, the catalog has the structure of a non-rival public good. Each operator who improves the catalog through disclosure improves the screening environment for every operator at comparable altitudes, and no operator can be efficiently excluded from the catalog’s downstream benefits. Second, the catalog is a congestible public good in the sense that the marginal contribution of an individual disclosure is increasing in the share of maneuvers that are not yet disclosed; under near-complete disclosure, the marginal information from any one report is small, but in the empirical regime that LEO actually occupies, it is large. The non-rivalry and the congestibility together place disclosure squarely in the orbital-commons frame that the carrying-capacity literature has developed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That frame correctly identifies the orbital environment as a common-pool resource subject to congestion externalities, but it has not so far modeled the externality of information that is the central object of this dissertation.</w:t>
      </w:r>
    </w:p>
    <w:p>
      <w:pPr>
        <w:pStyle w:val="BodyText"/>
        <w:spacing w:line="480" w:lineRule="auto"/>
        <w:ind w:firstLine="720"/>
      </w:pPr>
      <w:r>
        <w:t xml:space="preserve">The structural setting also fixes the boundary of the inquiry. The dissertation is about voluntary disclosure in LEO. It does not concern binding regulatory disclosure, because under a binding rule the operator’s choice problem collapses to a compliance-or-penalty calculation that is qualitatively different from the cost-benefit choice analyzed here. It does not concern GEO, where the STM service ecosystem is distinct</w:t>
      </w:r>
      <w:r>
        <w:t xml:space="preserve"> </w:t>
      </w:r>
      <w:hyperlink w:anchor="ref-2">
        <w:r>
          <w:rPr>
            <w:rStyle w:val="Hyperlink"/>
          </w:rPr>
          <w:t xml:space="preserve">[2]</w:t>
        </w:r>
      </w:hyperlink>
      <w:r>
        <w:t xml:space="preserve"> </w:t>
      </w:r>
      <w:r>
        <w:t xml:space="preserve">and where the informational and congestion structures differ from LEO. And it does not concern the cislunar environment, in which the regime is still emergent and the dataset for an econometric test does not yet exist</w:t>
      </w:r>
      <w:r>
        <w:t xml:space="preserve"> </w:t>
      </w:r>
      <w:hyperlink w:anchor="ref-22">
        <w:r>
          <w:rPr>
            <w:rStyle w:val="Hyperlink"/>
          </w:rPr>
          <w:t xml:space="preserve">[22]</w:t>
        </w:r>
      </w:hyperlink>
      <w:r>
        <w:t xml:space="preserve">. The argument is bounded to LEO under voluntary norms, where the operator’s choice is real and where the data to estimate the choice model are obtainable from public sources.</w:t>
      </w:r>
    </w:p>
    <w:bookmarkEnd w:id="84"/>
    <w:bookmarkStart w:id="85" w:name="X07699c0dc98505f59afca083f89bdc1cf6036d9"/>
    <w:p>
      <w:pPr>
        <w:pStyle w:val="Heading2"/>
        <w:spacing w:line="480" w:lineRule="auto"/>
      </w:pPr>
      <w:r>
        <w:t xml:space="preserve">3.3 The Central Mechanism: Disclosure as Information Release</w:t>
      </w:r>
    </w:p>
    <w:p>
      <w:pPr>
        <w:pStyle w:val="FirstParagraph"/>
        <w:spacing w:line="480" w:lineRule="auto"/>
      </w:pPr>
      <w:r>
        <w:t xml:space="preserve">The theoretical core of the dissertation is the observation that a disclosed maneuver is not merely a coordination signal between cooperating operators; it is a release of information about the disclosing spacecraft. The timing, magnitude, and direction of a burn permit an observer to infer the spacecraft’s available propulsion budget, its mission tempo, its station-keeping strategy, and, for dual-use platforms, its operational intent. The optimization literature on conjunctive resident space objects establishes that the geometry and energetics of a maneuver can be reconstructed from observation</w:t>
      </w:r>
      <w:r>
        <w:t xml:space="preserve"> </w:t>
      </w:r>
      <w:hyperlink w:anchor="ref-1">
        <w:r>
          <w:rPr>
            <w:rStyle w:val="Hyperlink"/>
          </w:rPr>
          <w:t xml:space="preserve">[1]</w:t>
        </w:r>
      </w:hyperlink>
      <w:r>
        <w:t xml:space="preserve">, which means that the inferential value of a disclosed maneuver is not a speculative quantity but a computable one. Cooperative maneuver-path optimization for deconfliction relies on exactly this inferential value</w:t>
      </w:r>
      <w:r>
        <w:t xml:space="preserve"> </w:t>
      </w:r>
      <w:hyperlink w:anchor="ref-1">
        <w:r>
          <w:rPr>
            <w:rStyle w:val="Hyperlink"/>
          </w:rPr>
          <w:t xml:space="preserve">[1]</w:t>
        </w:r>
      </w:hyperlink>
      <w:r>
        <w:t xml:space="preserve">; the same property that makes a maneuver useful to a partner makes it useful to a competitor or adversary.</w:t>
      </w:r>
    </w:p>
    <w:p>
      <w:pPr>
        <w:pStyle w:val="BodyText"/>
        <w:spacing w:line="480" w:lineRule="auto"/>
        <w:ind w:firstLine="720"/>
      </w:pPr>
      <w:r>
        <w:t xml:space="preserve">Three classes of inference are particularly consequential. The first is propulsion-budget inference. Each disclosed burn discloses a delta-v expenditure that, accumulated over time, narrows the bound on the operator’s remaining maneuver capacity. For a spacecraft with a finite propellant budget, this inference has direct implications for the duration of the platform’s flexibility and for the timing of end-of-life disposal. The second is tempo inference. The distribution of maneuver intervals discloses the cadence of operational tasking, which for an Earth-observation, signals-intelligence, or rendezvous-and-proximity-operations platform reveals the rhythm of mission activity. The third is intent inference. The direction and magnitude of a non-routine burn discloses a change in operational posture: a station-keeping correction looks different from a phasing maneuver, which in turn looks different from an inclination change or a rendezvous-positioning burn. For a dual-use platform whose operator faces a national-security customer, intent inference is the most consequential of the three.</w:t>
      </w:r>
    </w:p>
    <w:p>
      <w:pPr>
        <w:pStyle w:val="BodyText"/>
        <w:spacing w:line="480" w:lineRule="auto"/>
        <w:ind w:firstLine="720"/>
      </w:pPr>
      <w:r>
        <w:t xml:space="preserve">The point is not that disclosure is bad; it is that disclosure is not free. The marginal cost of disclosure to the disclosing operator is the expected value of the information released, weighted by the probability that an interested observer will exploit it. This cost is, by construction, positive whenever the maneuver carries non-trivial inferential content. It can be small for routine station-keeping maneuvers of platforms with no dual-use posture, and large for non-routine maneuvers of platforms with national-security customers, intelligence-community contracts, or military operator roles. The cost is therefore not uniform across maneuvers within an operator’s fleet, and not uniform across operators within the LEO population. It is, in the central theoretical claim of the dissertation, a structured function of the maneuver and of the operator.</w:t>
      </w:r>
    </w:p>
    <w:p>
      <w:pPr>
        <w:pStyle w:val="BodyText"/>
        <w:spacing w:line="480" w:lineRule="auto"/>
        <w:ind w:firstLine="720"/>
      </w:pPr>
      <w:r>
        <w:t xml:space="preserve">The mechanism is consistent with, and bounded by, the broader sustainability-and-norms literature. The discourse-network analysis of the emerging global socio-technical regime for tackling space debris shows that voluntary transparency is contested precisely along the dual-use seam, where operators with national-security customers participate in transparency forums but resist publication of operationally informative data</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The contestation is not a failure of norm advocacy; it is a revealed preference that voluntary transparency carries a private cost, and that the cost concentrates where the inferential value of disclosure is highest. The sustainability-rating literature has acknowledged the same selection pattern from a different angle, in proposing composite indicators to incentivize disclosure participation</w:t>
      </w:r>
      <w:r>
        <w:t xml:space="preserve"> </w:t>
      </w:r>
      <w:hyperlink w:anchor="ref-12">
        <w:r>
          <w:rPr>
            <w:rStyle w:val="Hyperlink"/>
          </w:rPr>
          <w:t xml:space="preserve">[12]</w:t>
        </w:r>
      </w:hyperlink>
      <w:r>
        <w:t xml:space="preserve">,</w:t>
      </w:r>
      <w:r>
        <w:t xml:space="preserve"> </w:t>
      </w:r>
      <w:hyperlink w:anchor="ref-29">
        <w:r>
          <w:rPr>
            <w:rStyle w:val="Hyperlink"/>
          </w:rPr>
          <w:t xml:space="preserve">[29]</w:t>
        </w:r>
      </w:hyperlink>
      <w:r>
        <w:t xml:space="preserve">. The composite-indicator response presupposes that disclosure has a private cost worth offsetting; the dissertation models that cost directly.</w:t>
      </w:r>
    </w:p>
    <w:p>
      <w:pPr>
        <w:pStyle w:val="BodyText"/>
        <w:spacing w:line="480" w:lineRule="auto"/>
        <w:ind w:firstLine="720"/>
      </w:pPr>
      <w:r>
        <w:t xml:space="preserve">The mechanism is also consistent with the framing developed in prior work on the sharing of operational risk information in the space domain, which argues that the architecture of risk-information sharing must reflect the asymmetric incentives of operators with different risk and intent profiles</w:t>
      </w:r>
      <w:r>
        <w:t xml:space="preserve"> </w:t>
      </w:r>
      <w:hyperlink w:anchor="ref-25">
        <w:r>
          <w:rPr>
            <w:rStyle w:val="Hyperlink"/>
          </w:rPr>
          <w:t xml:space="preserve">[25]</w:t>
        </w:r>
      </w:hyperlink>
      <w:r>
        <w:t xml:space="preserve">. Reed and colleagues identify operational risk information as the substrate on which norms development and compliance monitoring depend, and they observe that the willingness to share that substrate is itself an outcome of the operator’s incentive structure rather than a presumption of the norm</w:t>
      </w:r>
      <w:r>
        <w:t xml:space="preserve"> </w:t>
      </w:r>
      <w:hyperlink w:anchor="ref-25">
        <w:r>
          <w:rPr>
            <w:rStyle w:val="Hyperlink"/>
          </w:rPr>
          <w:t xml:space="preserve">[25]</w:t>
        </w:r>
      </w:hyperlink>
      <w:r>
        <w:t xml:space="preserve">. The dissertation extends this observation by treating the disclosure decision as a measurable outcome variable and the operator’s incentive structure as a measurable covariate.</w:t>
      </w:r>
    </w:p>
    <w:bookmarkEnd w:id="85"/>
    <w:bookmarkStart w:id="86" w:name="the-causal-logic"/>
    <w:p>
      <w:pPr>
        <w:pStyle w:val="Heading2"/>
        <w:spacing w:line="480" w:lineRule="auto"/>
      </w:pPr>
      <w:r>
        <w:t xml:space="preserve">3.4 The Causal Logic</w:t>
      </w:r>
    </w:p>
    <w:p>
      <w:pPr>
        <w:pStyle w:val="FirstParagraph"/>
        <w:spacing w:line="480" w:lineRule="auto"/>
      </w:pPr>
      <w:r>
        <w:t xml:space="preserve">The causal logic of the dissertation runs in four steps from the central mechanism to the empirical prediction.</w:t>
      </w:r>
    </w:p>
    <w:p>
      <w:pPr>
        <w:pStyle w:val="BodyText"/>
        <w:spacing w:line="480" w:lineRule="auto"/>
        <w:ind w:firstLine="720"/>
      </w:pPr>
      <w:r>
        <w:t xml:space="preserve">Step one identifies the operator’s choice problem. For each maneuver, the operator weighs the collective benefit of disclosure (a marginal contribution to the catalog public good) against the private cost of disclosure (the expected value of the information released to outside observers). Both quantities are operator-specific and maneuver-specific. The collective-benefit term is rising in the safety urgency of the conjunction context in which the maneuver occurs, because a disclosed maneuver in a high-urgency context is more valuable for screening than a disclosed routine burn. The private-cost term is rising in the inferential value of the maneuver, because a maneuver that reveals more about propulsion budget, tempo, or intent imposes a larger informational loss on the operator.</w:t>
      </w:r>
    </w:p>
    <w:p>
      <w:pPr>
        <w:pStyle w:val="BodyText"/>
        <w:spacing w:line="480" w:lineRule="auto"/>
        <w:ind w:firstLine="720"/>
      </w:pPr>
      <w:r>
        <w:t xml:space="preserve">Step two identifies the decision rule. The operator discloses when the collective benefit, after whatever internalization the operator’s own fleet size and exposure imply, exceeds the private cost. Two regularities follow. First, holding inferential value fixed, a higher-urgency maneuver is more likely to be disclosed, because the safety-side benefit is larger and because the operator’s exposure to the consequences of a non-disclosed conjunction is also larger. Second, holding safety urgency fixed, a higher-inferential-value maneuver is less likely to be disclosed, because the private cost is larger while the collective benefit is approximately the same. The second regularity is the empirical signature of the hidden-cost mechanism, and it is the regularity that the dissertation tests.</w:t>
      </w:r>
    </w:p>
    <w:p>
      <w:pPr>
        <w:pStyle w:val="BodyText"/>
        <w:spacing w:line="480" w:lineRule="auto"/>
        <w:ind w:firstLine="720"/>
      </w:pPr>
      <w:r>
        <w:t xml:space="preserve">Step three identifies the cross-sectional and within-operator structure of the prediction. Across operators, those whose institutional posture amplifies the private cost of disclosure (dual-use operators, operators with national-security customers, operators with intelligence-community contracts) should disclose at lower rates than purely commercial or civil operators, after conditioning on safety urgency and operator capacity. Within an operator’s fleet, maneuvers that carry higher inferential value (non-routine burns, large delta-v expenditures, maneuvers on platforms with dual-use payloads) should be disclosed less often and less promptly than routine station-keeping maneuvers of comparable safety urgency. The cross-sectional prediction is the one estimated in Paper 1 of the dissertation, on the operator-level cross-section; the within-operator prediction is the deeper identification target of the full dissertation and is the focus of the maneuver-level estimation.</w:t>
      </w:r>
    </w:p>
    <w:p>
      <w:pPr>
        <w:pStyle w:val="BodyText"/>
        <w:spacing w:line="480" w:lineRule="auto"/>
        <w:ind w:firstLine="720"/>
      </w:pPr>
      <w:r>
        <w:t xml:space="preserve">Step four identifies the falsification surface. If the hidden-cost mechanism is operative, the coefficient on the inferential-value covariate in a disclosure-decision model, net of safety urgency and operator-fixed effects, should be negative and statistically distinguishable from zero. If the mechanism is not operative, the coefficient should be statistically indistinguishable from zero, or positive in sign. The mechanism is therefore refutable on a single coefficient, and the dissertation pre-commits to the directional reading of that coefficient as the test of its central claim.</w:t>
      </w:r>
    </w:p>
    <w:p>
      <w:pPr>
        <w:pStyle w:val="BodyText"/>
        <w:spacing w:line="480" w:lineRule="auto"/>
        <w:ind w:firstLine="720"/>
      </w:pPr>
      <w:r>
        <w:t xml:space="preserve">The causal logic is robust to several substantive variations that the framework anticipates. First, the mechanism does not require that every operator internalize the externality identically; operator-fixed effects absorb time-invariant differences in capacity, culture, and corporate posture, so that the inferential-value coefficient is identified from within-operator variation. Second, the mechanism does not require that the inferential-value covariate be observed without error; the empirical strategy derives the covariate from the physics of the maneuver, using the result that maneuver paths are computable and informative from observation alone</w:t>
      </w:r>
      <w:r>
        <w:t xml:space="preserve"> </w:t>
      </w:r>
      <w:hyperlink w:anchor="ref-1">
        <w:r>
          <w:rPr>
            <w:rStyle w:val="Hyperlink"/>
          </w:rPr>
          <w:t xml:space="preserve">[1]</w:t>
        </w:r>
      </w:hyperlink>
      <w:r>
        <w:t xml:space="preserve">, so that the treatment variable is independent of the outcome it is meant to explain. Third, the mechanism does not require that the safety-urgency control be exhaustive; residual urgency variation that is correlated with inferential value would attenuate rather than manufacture the negative coefficient, so a confirmed alternative hypothesis is conservative. These properties of the causal logic are exploited by the identification strategy in Chapter 4.</w:t>
      </w:r>
    </w:p>
    <w:bookmarkEnd w:id="86"/>
    <w:bookmarkStart w:id="87" w:name="formal-hypotheses"/>
    <w:p>
      <w:pPr>
        <w:pStyle w:val="Heading2"/>
        <w:spacing w:line="480" w:lineRule="auto"/>
      </w:pPr>
      <w:r>
        <w:t xml:space="preserve">3.5 Formal Hypotheses</w:t>
      </w:r>
    </w:p>
    <w:p>
      <w:pPr>
        <w:pStyle w:val="FirstParagraph"/>
        <w:spacing w:line="480" w:lineRule="auto"/>
      </w:pPr>
      <w:r>
        <w:t xml:space="preserve">The dissertation tests a single, directional hypothesis with a pre-registered falsification criterion. The hypothesis is stated at the level of the maneuver, which is the unit of analysis in the principal empirical specification, and is corroborated at the level of the operator in the cross-sectional specifications reported in Paper 1 and Paper 2.</w:t>
      </w:r>
    </w:p>
    <w:p>
      <w:pPr>
        <w:pStyle w:val="BodyText"/>
        <w:spacing w:line="480" w:lineRule="auto"/>
        <w:ind w:firstLine="720"/>
      </w:pPr>
      <w:r>
        <w:rPr>
          <w:b/>
          <w:bCs/>
        </w:rPr>
        <w:t xml:space="preserve">H0 (null, negligible-cost premise).</w:t>
      </w:r>
      <w:r>
        <w:t xml:space="preserve"> </w:t>
      </w:r>
      <w:r>
        <w:t xml:space="preserve">Conditional on the flight-safety urgency of a maneuver and on operator-fixed capacity, the probability that the responsible operator discloses the maneuver is statistically independent of the maneuver’s inferential value to outside observers. In the estimated compliance model, the coefficient on the inferential-value covariate is statistically indistinguishable from zero. Disclosure behavior is fully accounted for by safety urgency, operator-fixed effects, and noise; the informational characteristics of the maneuver carry no additional explanatory weight.</w:t>
      </w:r>
    </w:p>
    <w:p>
      <w:pPr>
        <w:pStyle w:val="BodyText"/>
        <w:spacing w:line="480" w:lineRule="auto"/>
        <w:ind w:firstLine="720"/>
      </w:pPr>
      <w:r>
        <w:rPr>
          <w:b/>
          <w:bCs/>
        </w:rPr>
        <w:t xml:space="preserve">H1 (alternative, hidden-cost mechanism).</w:t>
      </w:r>
      <w:r>
        <w:t xml:space="preserve"> </w:t>
      </w:r>
      <w:r>
        <w:t xml:space="preserve">Conditional on flight-safety urgency and on operator-fixed capacity, the probability that the responsible operator discloses the maneuver declines monotonically as the maneuver’s inferential value to outside observers rises. In the estimated compliance model, the coefficient on the inferential-value covariate is negative and statistically distinguishable from zero at conventional thresholds. Maneuvers that reveal more about propulsion budget, mission tempo, or operational intent are disclosed less often and less promptly than maneuvers of comparable safety urgency that reveal less.</w:t>
      </w:r>
    </w:p>
    <w:p>
      <w:pPr>
        <w:pStyle w:val="BodyText"/>
        <w:spacing w:line="480" w:lineRule="auto"/>
        <w:ind w:firstLine="720"/>
      </w:pPr>
      <w:r>
        <w:t xml:space="preserve">The hypothesis is directional. H1 is falsified if the coefficient on the inferential-value covariate is statistically indistinguishable from zero, or if its sign is positive. The hypothesis is also unitary, in the sense that it rests on a single coefficient. The dissertation does not claim a battery of effects; it claims one, and stakes the contribution on it.</w:t>
      </w:r>
    </w:p>
    <w:p>
      <w:pPr>
        <w:pStyle w:val="BodyText"/>
        <w:spacing w:line="480" w:lineRule="auto"/>
        <w:ind w:firstLine="720"/>
      </w:pPr>
      <w:r>
        <w:t xml:space="preserve">Two auxiliary predictions are sustained by the framework and are tested alongside the principal hypothesis as corroborating evidence rather than as independent claims.</w:t>
      </w:r>
    </w:p>
    <w:p>
      <w:pPr>
        <w:pStyle w:val="BodyText"/>
        <w:spacing w:line="480" w:lineRule="auto"/>
        <w:ind w:firstLine="720"/>
      </w:pPr>
      <w:r>
        <w:rPr>
          <w:b/>
          <w:bCs/>
        </w:rPr>
        <w:t xml:space="preserve">A1 (cross-sectional dual-use prediction).</w:t>
      </w:r>
      <w:r>
        <w:t xml:space="preserve"> </w:t>
      </w:r>
      <w:r>
        <w:t xml:space="preserve">Conditional on flight-safety urgency and operator fleet size, dual-use operators disclose maneuvers at lower rates than purely commercial or civil operators. The dual-use status of an operator is the most defensible observable proxy for the structural component of inferential value that is constant across an operator’s maneuvers. This auxiliary prediction is the principal estimating equation of Paper 2 and is corroborated by the negative and statistically distinguishable dual-use coefficient reported there.</w:t>
      </w:r>
    </w:p>
    <w:p>
      <w:pPr>
        <w:pStyle w:val="BodyText"/>
        <w:spacing w:line="480" w:lineRule="auto"/>
        <w:ind w:firstLine="720"/>
      </w:pPr>
      <w:r>
        <w:rPr>
          <w:b/>
          <w:bCs/>
        </w:rPr>
        <w:t xml:space="preserve">A2 (safety-urgency monotonicity).</w:t>
      </w:r>
      <w:r>
        <w:t xml:space="preserve"> </w:t>
      </w:r>
      <w:r>
        <w:t xml:space="preserve">Conditional on inferential value and operator fleet size, the probability of disclosure is non-decreasing in the flight-safety urgency of the maneuver’s conjunction context. Operators facing higher-urgency conjunctions have a larger safety-side incentive to disclose, and the mechanism predicts that this incentive operates monotonically in the urgency measure even where it is not the principal channel of compliance variation.</w:t>
      </w:r>
    </w:p>
    <w:p>
      <w:pPr>
        <w:pStyle w:val="BodyText"/>
        <w:spacing w:line="480" w:lineRule="auto"/>
        <w:ind w:firstLine="720"/>
      </w:pPr>
      <w:r>
        <w:t xml:space="preserve">A1 and A2 are not the focal hypotheses of the dissertation. They are predictions that follow from the same mechanism, and their corroboration is evidence that the mechanism is correctly specified. Their refutation would not by itself falsify H1, because both predictions involve auxiliary identification assumptions (the dual-use proxy for A1, the conjunction-context proxy for A2) that are weaker than the within-operator within-urgency identification used for H1. The falsification surface remains the single coefficient on the inferential-value covariate.</w:t>
      </w:r>
    </w:p>
    <w:p>
      <w:pPr>
        <w:pStyle w:val="BodyText"/>
        <w:spacing w:line="480" w:lineRule="auto"/>
        <w:ind w:firstLine="720"/>
      </w:pPr>
      <w:r>
        <w:t xml:space="preserve">The hypothesis structure deliberately departs from the multi-hypothesis logit specification of Paper 1, in which four operator-level hypotheses (fleet size, commercial status, constellation status, and operator age) are tested jointly. Paper 1’s specification supports the present framework by establishing that voluntary disclosure is empirically structured rather than random, and that the structure concentrates on operators whose incentives align with the public good. Chapter 3’s hypothesis sharpens that finding by isolating the mechanism that generates the structure. The argument moves from</w:t>
      </w:r>
      <w:r>
        <w:t xml:space="preserve"> </w:t>
      </w:r>
      <w:r>
        <w:t xml:space="preserve">“compliance is structured”</w:t>
      </w:r>
      <w:r>
        <w:t xml:space="preserve"> </w:t>
      </w:r>
      <w:r>
        <w:t xml:space="preserve">(Paper 1) to</w:t>
      </w:r>
      <w:r>
        <w:t xml:space="preserve"> </w:t>
      </w:r>
      <w:r>
        <w:t xml:space="preserve">“the structure is generated by an informational private cost”</w:t>
      </w:r>
      <w:r>
        <w:t xml:space="preserve"> </w:t>
      </w:r>
      <w:r>
        <w:t xml:space="preserve">(Chapter 3 and Paper 2), and from there to the deeper within-operator test that the full dissertation pursues.</w:t>
      </w:r>
    </w:p>
    <w:bookmarkEnd w:id="87"/>
    <w:bookmarkStart w:id="88" w:name="Xc72a835316aae649a86f867500fdd51e7937b6a"/>
    <w:p>
      <w:pPr>
        <w:pStyle w:val="Heading2"/>
        <w:spacing w:line="480" w:lineRule="auto"/>
      </w:pPr>
      <w:r>
        <w:t xml:space="preserve">3.6 Comparative Statics and Identification Implications</w:t>
      </w:r>
    </w:p>
    <w:p>
      <w:pPr>
        <w:pStyle w:val="FirstParagraph"/>
        <w:spacing w:line="480" w:lineRule="auto"/>
      </w:pPr>
      <w:r>
        <w:t xml:space="preserve">The framework generates four comparative-statics predictions that the empirical chapters exploit for identification.</w:t>
      </w:r>
    </w:p>
    <w:p>
      <w:pPr>
        <w:pStyle w:val="BodyText"/>
        <w:spacing w:line="480" w:lineRule="auto"/>
        <w:ind w:firstLine="720"/>
      </w:pPr>
      <w:r>
        <w:t xml:space="preserve">First, increases in inferential value, holding safety urgency fixed, reduce the disclosure probability. This is the principal prediction and the surface on which H1 is falsifiable. Identification of this comparative-static requires variation in inferential value that is independent of safety urgency, which the dissertation obtains by constructing the inferential-value covariate from the physics of the maneuver</w:t>
      </w:r>
      <w:r>
        <w:t xml:space="preserve"> </w:t>
      </w:r>
      <w:hyperlink w:anchor="ref-1">
        <w:r>
          <w:rPr>
            <w:rStyle w:val="Hyperlink"/>
          </w:rPr>
          <w:t xml:space="preserve">[1]</w:t>
        </w:r>
      </w:hyperlink>
      <w:r>
        <w:t xml:space="preserve"> </w:t>
      </w:r>
      <w:r>
        <w:t xml:space="preserve">rather than from any disclosure-side signal.</w:t>
      </w:r>
    </w:p>
    <w:p>
      <w:pPr>
        <w:pStyle w:val="BodyText"/>
        <w:spacing w:line="480" w:lineRule="auto"/>
        <w:ind w:firstLine="720"/>
      </w:pPr>
      <w:r>
        <w:t xml:space="preserve">Second, increases in safety urgency, holding inferential value fixed, raise the disclosure probability. This is auxiliary prediction A2 and is testable on the same maneuver-level dataset. Identification requires that the conjunction-context measure of safety urgency be operationally separable from the maneuver’s energetics, which is established by the technical literature on maneuver detection and conjunction screening</w:t>
      </w:r>
      <w:r>
        <w:t xml:space="preserve"> </w:t>
      </w:r>
      <w:hyperlink w:anchor="ref-3">
        <w:r>
          <w:rPr>
            <w:rStyle w:val="Hyperlink"/>
          </w:rPr>
          <w:t xml:space="preserve">[3]</w:t>
        </w:r>
      </w:hyperlink>
      <w:r>
        <w:t xml:space="preserve">.</w:t>
      </w:r>
    </w:p>
    <w:p>
      <w:pPr>
        <w:pStyle w:val="BodyText"/>
        <w:spacing w:line="480" w:lineRule="auto"/>
        <w:ind w:firstLine="720"/>
      </w:pPr>
      <w:r>
        <w:t xml:space="preserve">Third, increases in operator fleet size raise the rate of internalization of the catalog externality and therefore raise the baseline disclosure probability, but they do not change the sign of the inferential-value coefficient. The fleet-size effect is captured in Paper 1’s logit at the operator level [1B-SDA-078, Paper 1], and the within-operator identification of H1 is invariant to it.</w:t>
      </w:r>
    </w:p>
    <w:p>
      <w:pPr>
        <w:pStyle w:val="BodyText"/>
        <w:spacing w:line="480" w:lineRule="auto"/>
        <w:ind w:firstLine="720"/>
      </w:pPr>
      <w:r>
        <w:t xml:space="preserve">Fourth, increases in the dual-use posture of the operator raise the structural component of inferential value across all of the operator’s maneuvers and therefore lower the operator’s overall disclosure rate. This is auxiliary prediction A1 and is the principal coefficient in Paper 2. The dual-use comparative-static is robust to the inclusion of a fleet-size control and to the omission of a US-filer indicator that produced empirical separation in Paper 2’s cross-section.</w:t>
      </w:r>
    </w:p>
    <w:p>
      <w:pPr>
        <w:pStyle w:val="BodyText"/>
        <w:spacing w:line="480" w:lineRule="auto"/>
        <w:ind w:firstLine="720"/>
      </w:pPr>
      <w:r>
        <w:t xml:space="preserve">These four predictions are mutually consistent and are not algebraically equivalent. A model that explains the disclosure pattern through safety urgency alone (the negligible-cost premise) generates the second prediction but not the first; a model that explains it through fleet-size internalization alone generates the third but not the first; a model that explains it through institutional culture or jurisdictional capacity generates neither the first nor the fourth. The dissertation’s principal contribution is to test the first prediction directly on within-operator within-urgency variation, where the inferential-value coefficient is identified from the channel that the alternative models cannot reproduce.</w:t>
      </w:r>
    </w:p>
    <w:bookmarkEnd w:id="88"/>
    <w:bookmarkStart w:id="89" w:name="relation-to-prior-frameworks"/>
    <w:p>
      <w:pPr>
        <w:pStyle w:val="Heading2"/>
        <w:spacing w:line="480" w:lineRule="auto"/>
      </w:pPr>
      <w:r>
        <w:t xml:space="preserve">3.7 Relation to Prior Frameworks</w:t>
      </w:r>
    </w:p>
    <w:p>
      <w:pPr>
        <w:pStyle w:val="FirstParagraph"/>
        <w:spacing w:line="480" w:lineRule="auto"/>
      </w:pPr>
      <w:r>
        <w:t xml:space="preserve">The framework developed here is positioned at the intersection of three prior bodies of work, and it borrows a primitive from each while supplying the missing connective tissue.</w:t>
      </w:r>
    </w:p>
    <w:p>
      <w:pPr>
        <w:pStyle w:val="BodyText"/>
        <w:spacing w:line="480" w:lineRule="auto"/>
        <w:ind w:firstLine="720"/>
      </w:pPr>
      <w:r>
        <w:t xml:space="preserve">From the technical SSA and STM literature, the framework borrows the empirical primitive that maneuvers are detectable, that their detection is central to catalog quality, and that their geometry is informative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11">
        <w:r>
          <w:rPr>
            <w:rStyle w:val="Hyperlink"/>
          </w:rPr>
          <w:t xml:space="preserve">[11]</w:t>
        </w:r>
      </w:hyperlink>
      <w:r>
        <w:t xml:space="preserve">,</w:t>
      </w:r>
      <w:r>
        <w:t xml:space="preserve"> </w:t>
      </w:r>
      <w:hyperlink w:anchor="ref-20">
        <w:r>
          <w:rPr>
            <w:rStyle w:val="Hyperlink"/>
          </w:rPr>
          <w:t xml:space="preserve">[20]</w:t>
        </w:r>
      </w:hyperlink>
      <w:r>
        <w:t xml:space="preserve">. This literature provides the apparatus by which the inferential-value covariate is constructed and by which the safety-urgency control is operationalized. It does not, however, model the operator’s decision to disclose; it treats disclosure as a data-availability problem to be solved by better sensors and algorithms. The present framework supplies the missing decision model.</w:t>
      </w:r>
    </w:p>
    <w:p>
      <w:pPr>
        <w:pStyle w:val="BodyText"/>
        <w:spacing w:line="480" w:lineRule="auto"/>
        <w:ind w:firstLine="720"/>
      </w:pPr>
      <w:r>
        <w:t xml:space="preserve">From the orbital-commons and carrying-capacity literature, the framework borrows the structural observation that LEO is a common-pool resource subject to congestion externalities, and that the policy instruments addressing those externalities have been formalized in carrying-capacity terms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 This literature provides the public-good frame in which disclosure operates and the policy stakes of voluntary norms. It does not, however, model the externality of information; it models the externality of debris and congestion. The present framework supplies the informational externality and shows that it generates a private cost the carrying-capacity models do not currently price.</w:t>
      </w:r>
    </w:p>
    <w:p>
      <w:pPr>
        <w:pStyle w:val="BodyText"/>
        <w:spacing w:line="480" w:lineRule="auto"/>
        <w:ind w:firstLine="720"/>
      </w:pPr>
      <w:r>
        <w:t xml:space="preserve">From the governance and norms literature, the framework borrows the empirical observation that voluntary norms produce partial and selective compliance and that the partiality is structured along the dual-use seam</w:t>
      </w:r>
      <w:r>
        <w:t xml:space="preserve"> </w:t>
      </w:r>
      <w:hyperlink w:anchor="ref-21">
        <w:r>
          <w:rPr>
            <w:rStyle w:val="Hyperlink"/>
          </w:rPr>
          <w:t xml:space="preserve">[21]</w:t>
        </w:r>
      </w:hyperlink>
      <w:r>
        <w:t xml:space="preserve">,</w:t>
      </w:r>
      <w:r>
        <w:t xml:space="preserve"> </w:t>
      </w:r>
      <w:hyperlink w:anchor="ref-24">
        <w:r>
          <w:rPr>
            <w:rStyle w:val="Hyperlink"/>
          </w:rPr>
          <w:t xml:space="preserve">[24]</w:t>
        </w:r>
      </w:hyperlink>
      <w:r>
        <w:t xml:space="preserve">,</w:t>
      </w:r>
      <w:r>
        <w:t xml:space="preserve"> </w:t>
      </w:r>
      <w:hyperlink w:anchor="ref-32">
        <w:r>
          <w:rPr>
            <w:rStyle w:val="Hyperlink"/>
          </w:rPr>
          <w:t xml:space="preserve">[32]</w:t>
        </w:r>
      </w:hyperlink>
      <w:r>
        <w:t xml:space="preserve">. This literature provides the qualitative evidence that disclosure is contested and the conceptual vocabulary in which the contest is described. It does not, however, endogenize compliance; it assumes that norms, once articulated, produce adherence subject to capacity. The present framework supplies an endogenous compliance model in which the partiality of voluntary norms is a structural consequence of the informational private cost rather than a residual of advocacy failure.</w:t>
      </w:r>
    </w:p>
    <w:p>
      <w:pPr>
        <w:pStyle w:val="BodyText"/>
        <w:spacing w:line="480" w:lineRule="auto"/>
        <w:ind w:firstLine="720"/>
      </w:pPr>
      <w:r>
        <w:t xml:space="preserve">The framework is therefore not a synthesis of prior frameworks; it is a specification of the mechanism that the prior frameworks have not so far modeled. Its contribution is to render that mechanism falsifiable on a single coefficient, and to do so on publicly available data. The empirical chapters that follow operationalize this specification and report the test.</w:t>
      </w:r>
    </w:p>
    <w:bookmarkEnd w:id="89"/>
    <w:bookmarkEnd w:id="90"/>
    <w:bookmarkStart w:id="100" w:name="chapter-4.-data-and-measurement"/>
    <w:p>
      <w:pPr>
        <w:pStyle w:val="Heading1"/>
        <w:spacing w:line="480" w:lineRule="auto"/>
      </w:pPr>
      <w:r>
        <w:t xml:space="preserve">Chapter 4. Data and Measurement</w:t>
      </w:r>
    </w:p>
    <w:bookmarkStart w:id="91"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foundation on which the dissertation’s two estimated models rest. It identifies the datasets that constitute the operator population and the disclosure outcome, names the authoritative sources from which each variable is drawn, fixes the unit of analysis for each estimation, and walks through the construction of every covariate from its primary record to the form in which it enters the regression. The objective is twofold. The first is replicability: a reader equipped with the references cited here and a credentialed account on the public services named below should be able to reconstruct each variable without recourse to private holdings. The second is identification discipline: every measurement choice made in this chapter is tied back to the falsifiable claim of the prospectus, namely that an operator’s propensity to disclose a maneuver declines as the inferential value of that maneuver to external observers rises, holding flight-safety urgency fixed. The measurement design must therefore allow inferential value and safety urgency to be separated empirically, and must do so using records that precede or are independent of the disclosure outcome they are meant to explain.</w:t>
      </w:r>
    </w:p>
    <w:p>
      <w:pPr>
        <w:pStyle w:val="BodyText"/>
        <w:spacing w:line="480" w:lineRule="auto"/>
        <w:ind w:firstLine="720"/>
      </w:pPr>
      <w:r>
        <w:t xml:space="preserve">The chapter is organized as follows. Section 4.2 fixes the unit of analysis for each of the two papers. Section 4.3 enumerates the authoritative public datasets that source the variables. Section 4.4 specifies the dependent variable in each paper, the precise coding rule, and the documentary trail used to assign each operator. Section 4.5 develops the operator-attribute covariates used in Paper 1 (fleet size, commercial status, operator age, constellation status, jurisdiction, prior ephemeris participation). Section 4.6 develops the inferential-value treatment and the safety-urgency control used in Paper 2 (dual-use posture, log fleet size, log conjunction events). Section 4.7 describes the matching pipeline from primary records to estimating dataset. Section 4.8 records measurement error, illustrative-cell provenance, and the dissertation protocol’s 15 percent ceiling. Section 4.9 closes by mapping each measured variable to its role in the falsification test laid out in the prospectus.</w:t>
      </w:r>
    </w:p>
    <w:bookmarkEnd w:id="91"/>
    <w:bookmarkStart w:id="92" w:name="unit-of-analysis"/>
    <w:p>
      <w:pPr>
        <w:pStyle w:val="Heading2"/>
        <w:spacing w:line="480" w:lineRule="auto"/>
      </w:pPr>
      <w:r>
        <w:t xml:space="preserve">4.2 Unit of Analysis</w:t>
      </w:r>
    </w:p>
    <w:p>
      <w:pPr>
        <w:pStyle w:val="FirstParagraph"/>
        <w:spacing w:line="480" w:lineRule="auto"/>
      </w:pPr>
      <w:r>
        <w:t xml:space="preserve">Two units of analysis are used across the dissertation, and they are deliberately distinct.</w:t>
      </w:r>
    </w:p>
    <w:p>
      <w:pPr>
        <w:pStyle w:val="BodyText"/>
        <w:spacing w:line="480" w:lineRule="auto"/>
        <w:ind w:firstLine="720"/>
      </w:pPr>
      <w:r>
        <w:t xml:space="preserve">In Paper 1, the unit of analysis is the operator entity with on-orbit assets in low Earth orbit or adjacent orbital regimes during the 2024 observation window. Thirty-nine such entities meet the inclusion criterion, drawn from commercial, civil-government, and military operators across the United States, Europe, Russia, China, India, Japan, Korea, the Gulf, and Latin America. The cross-section is single-period and the dependent variable is observed at the operator level rather than at the maneuver level. The choice reflects the empirical question Paper 1 is designed to answer, which is who, among the population of LEO operators, contributes to the public good of voluntary transparency at all. That is a population-level question about the structure of compliance and is naturally asked at the operator-level cross-section.</w:t>
      </w:r>
    </w:p>
    <w:p>
      <w:pPr>
        <w:pStyle w:val="BodyText"/>
        <w:spacing w:line="480" w:lineRule="auto"/>
        <w:ind w:firstLine="720"/>
      </w:pPr>
      <w:r>
        <w:t xml:space="preserve">In Paper 2, the unit of analysis remains an operator entity but the observation window is the 2026 cross-section and the inclusion frame contracts to twenty-eight entities with an active on-orbit presence or a near-term filed system in low Earth orbit. The contraction reflects three filtering criteria. First, Paper 2 estimates an inferential-value coefficient that requires a defensible dual-use coding, and the population is restricted to entities for which prior public contractual records are sufficient to support that coding. Second, the disclosure outcome in Paper 2 is the publication of operator-provided ephemerides through a public Space Situational Awareness service, which is observable only for operators with on-orbit assets during the observation window. Third, the safety-urgency control is the log of 2024 high-interest conjunction events, which is reported for active operators and not for filed-but-unlaunched systems.</w:t>
      </w:r>
    </w:p>
    <w:p>
      <w:pPr>
        <w:pStyle w:val="BodyText"/>
        <w:spacing w:line="480" w:lineRule="auto"/>
        <w:ind w:firstLine="720"/>
      </w:pPr>
      <w:r>
        <w:t xml:space="preserve">The dissertation’s deeper identification target, articulated in the prospectus, is the individual detected maneuver, with within-operator variation across maneuvers of differing informational content but comparable safety urgency. That maneuver-level analysis is reserved for the extension work described in Chapter 7 and is not the unit of analysis for the two estimated models reported in this dissertation. The operator-level cross-section is the empirical core for Papers 1 and 2; the maneuver-level panel is the projected extension.</w:t>
      </w:r>
    </w:p>
    <w:bookmarkEnd w:id="92"/>
    <w:bookmarkStart w:id="93" w:name="authoritative-public-sources"/>
    <w:p>
      <w:pPr>
        <w:pStyle w:val="Heading2"/>
        <w:spacing w:line="480" w:lineRule="auto"/>
      </w:pPr>
      <w:r>
        <w:t xml:space="preserve">4.3 Authoritative Public Sources</w:t>
      </w:r>
    </w:p>
    <w:p>
      <w:pPr>
        <w:pStyle w:val="FirstParagraph"/>
        <w:spacing w:line="480" w:lineRule="auto"/>
      </w:pPr>
      <w:r>
        <w:t xml:space="preserve">Every variable used in the two estimating datasets is sourced from public, free or low-cost, machine-readable records. No classified, proprietary, or internal-meeting source is admitted to the construction pipeline. The principal sources are the following.</w:t>
      </w:r>
    </w:p>
    <w:p>
      <w:pPr>
        <w:pStyle w:val="BodyText"/>
        <w:spacing w:line="480" w:lineRule="auto"/>
        <w:ind w:firstLine="720"/>
      </w:pPr>
      <w:r>
        <w:t xml:space="preserve">The United States Space Force Space-Track service, operated by the 18th and 19th Space Defense Squadrons, supplies the public two-line-element and special-perturbations catalog history and the conjunction-data-message stream used to characterize maneuvers and to identify operator participation in the operator-provided ephemerides feed. Catalog completeness, propagation accuracy, and detection sensitivity are characterized in the commercial Space Situational Awareness performance literature</w:t>
      </w:r>
      <w:r>
        <w:t xml:space="preserve"> </w:t>
      </w:r>
      <w:hyperlink w:anchor="ref-3">
        <w:r>
          <w:rPr>
            <w:rStyle w:val="Hyperlink"/>
          </w:rPr>
          <w:t xml:space="preserve">[3]</w:t>
        </w:r>
      </w:hyperlink>
      <w:r>
        <w:t xml:space="preserve">, and the Space-Track service supplies the underlying ephemerides on which the United States Traffic Coordination System for Space conjunction-screening service operates</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Auman and colleagues document the validation methodology for the Traffic Coordination System for Space conjunction-assessment service and identify the operator-data ingestion pathway used in this dissertation as the disclosure observable</w:t>
      </w:r>
      <w:r>
        <w:t xml:space="preserve"> </w:t>
      </w:r>
      <w:hyperlink w:anchor="ref-8">
        <w:r>
          <w:rPr>
            <w:rStyle w:val="Hyperlink"/>
          </w:rPr>
          <w:t xml:space="preserve">[8]</w:t>
        </w:r>
      </w:hyperlink>
      <w:r>
        <w:t xml:space="preserve">.</w:t>
      </w:r>
    </w:p>
    <w:p>
      <w:pPr>
        <w:pStyle w:val="BodyText"/>
        <w:spacing w:line="480" w:lineRule="auto"/>
        <w:ind w:firstLine="720"/>
      </w:pPr>
      <w:r>
        <w:t xml:space="preserve">The European Union Space Surveillance and Tracking partner data exchange supplies the European parallel to the Space-Track operator-data feed. Borowitz and colleagues provide a technical comparison of the public services in the United States and the European Union and enumerate the operator participants in each</w:t>
      </w:r>
      <w:r>
        <w:t xml:space="preserve"> </w:t>
      </w:r>
      <w:hyperlink w:anchor="ref-18">
        <w:r>
          <w:rPr>
            <w:rStyle w:val="Hyperlink"/>
          </w:rPr>
          <w:t xml:space="preserve">[18]</w:t>
        </w:r>
      </w:hyperlink>
      <w:r>
        <w:t xml:space="preserve">. Their participant list is the principal authoritative record used to code the Paper 2 disclosure outcome for European operators and for operators that disclose through European rather than United States channels.</w:t>
      </w:r>
    </w:p>
    <w:p>
      <w:pPr>
        <w:pStyle w:val="BodyText"/>
        <w:spacing w:line="480" w:lineRule="auto"/>
        <w:ind w:firstLine="720"/>
      </w:pPr>
      <w:r>
        <w:t xml:space="preserve">The United Nations Office for Outer Space Affairs Registry of Objects Launched into Outer Space, document number ST/SG/SER.E/1056, supplies the authoritative count of registered objects per operator and per state of registry</w:t>
      </w:r>
      <w:r>
        <w:t xml:space="preserve"> </w:t>
      </w:r>
      <w:hyperlink w:anchor="ref-14">
        <w:r>
          <w:rPr>
            <w:rStyle w:val="Hyperlink"/>
          </w:rPr>
          <w:t xml:space="preserve">[14]</w:t>
        </w:r>
      </w:hyperlink>
      <w:r>
        <w:t xml:space="preserve">. Fleet-size coding in Paper 1 draws on this registry as the primary source, supplemented by the Federal Communications Commission International Bureau Filing System records for United States-licensed operators, which provide the authorized constellation size and the launch-and-deploy schedule used to discriminate filed-but-unlaunched systems from on-orbit assets.</w:t>
      </w:r>
    </w:p>
    <w:p>
      <w:pPr>
        <w:pStyle w:val="BodyText"/>
        <w:spacing w:line="480" w:lineRule="auto"/>
        <w:ind w:firstLine="720"/>
      </w:pPr>
      <w:r>
        <w:t xml:space="preserve">For Paper 2, the active on-orbit count enters in natural logs as a secondary inferential-value proxy. The active-fleet covariate is constructed from the operator counts maintained at celestrak.org, newspace.im, and planet4589.org, cross-checked against operator-published lists. These sources are public catalogs of on-orbit assets and are commonly used in the operational Space Situational Awareness community.</w:t>
      </w:r>
    </w:p>
    <w:p>
      <w:pPr>
        <w:pStyle w:val="BodyText"/>
        <w:spacing w:line="480" w:lineRule="auto"/>
        <w:ind w:firstLine="720"/>
      </w:pPr>
      <w:r>
        <w:t xml:space="preserve">The European Space Agency Annual Space Environment Report and the public Traffic Coordination System for Space dashboard summaries reported by Wolff and colleagues</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together with the conjunction-data-message volumes characterized by Borowitz and colleagues</w:t>
      </w:r>
      <w:r>
        <w:t xml:space="preserve"> </w:t>
      </w:r>
      <w:hyperlink w:anchor="ref-18">
        <w:r>
          <w:rPr>
            <w:rStyle w:val="Hyperlink"/>
          </w:rPr>
          <w:t xml:space="preserve">[18]</w:t>
        </w:r>
      </w:hyperlink>
      <w:r>
        <w:t xml:space="preserve">, supply the conjunction-event counts that constitute the safety-urgency control in Paper 2. The opportunistic-conjunction-screening framework of Geissbuhler and colleagues</w:t>
      </w:r>
      <w:r>
        <w:t xml:space="preserve"> </w:t>
      </w:r>
      <w:hyperlink w:anchor="ref-9">
        <w:r>
          <w:rPr>
            <w:rStyle w:val="Hyperlink"/>
          </w:rPr>
          <w:t xml:space="preserve">[9]</w:t>
        </w:r>
      </w:hyperlink>
      <w:r>
        <w:t xml:space="preserve"> </w:t>
      </w:r>
      <w:r>
        <w:t xml:space="preserve">and the constellation-deconfliction work of Hejduk and colleagues</w:t>
      </w:r>
      <w:r>
        <w:t xml:space="preserve"> </w:t>
      </w:r>
      <w:hyperlink w:anchor="ref-11">
        <w:r>
          <w:rPr>
            <w:rStyle w:val="Hyperlink"/>
          </w:rPr>
          <w:t xml:space="preserve">[11]</w:t>
        </w:r>
      </w:hyperlink>
      <w:r>
        <w:t xml:space="preserve"> </w:t>
      </w:r>
      <w:r>
        <w:t xml:space="preserve">document the technical basis on which conjunction events are counted and how operator maneuvers enter the screening pipeline; both inform the construction of the safety-urgency proxy.</w:t>
      </w:r>
    </w:p>
    <w:p>
      <w:pPr>
        <w:pStyle w:val="BodyText"/>
        <w:spacing w:line="480" w:lineRule="auto"/>
        <w:ind w:firstLine="720"/>
      </w:pPr>
      <w:r>
        <w:t xml:space="preserve">Operator transparency posture, used in Paper 1 to code prior public-ephemeris participation, is documented in the operator participant lists carried by the Traffic Coordination System for Space validation literature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the European Union Space Surveillance and Tracking technical comparison</w:t>
      </w:r>
      <w:r>
        <w:t xml:space="preserve"> </w:t>
      </w:r>
      <w:hyperlink w:anchor="ref-18">
        <w:r>
          <w:rPr>
            <w:rStyle w:val="Hyperlink"/>
          </w:rPr>
          <w:t xml:space="preserve">[18]</w:t>
        </w:r>
      </w:hyperlink>
      <w:r>
        <w:t xml:space="preserve">, the Kebschull and colleagues account of the distributed Space Traffic Coordination System architecture</w:t>
      </w:r>
      <w:r>
        <w:t xml:space="preserve"> </w:t>
      </w:r>
      <w:hyperlink w:anchor="ref-15">
        <w:r>
          <w:rPr>
            <w:rStyle w:val="Hyperlink"/>
          </w:rPr>
          <w:t xml:space="preserve">[15]</w:t>
        </w:r>
      </w:hyperlink>
      <w:r>
        <w:t xml:space="preserve">, the debris-mapping service participation literature</w:t>
      </w:r>
      <w:r>
        <w:t xml:space="preserve"> </w:t>
      </w:r>
      <w:hyperlink w:anchor="ref-16">
        <w:r>
          <w:rPr>
            <w:rStyle w:val="Hyperlink"/>
          </w:rPr>
          <w:t xml:space="preserve">[16]</w:t>
        </w:r>
      </w:hyperlink>
      <w:r>
        <w:t xml:space="preserve">, and the collaborative Space Situational Awareness participant record of Kelso and colleagues</w:t>
      </w:r>
      <w:r>
        <w:t xml:space="preserve"> </w:t>
      </w:r>
      <w:hyperlink w:anchor="ref-19">
        <w:r>
          <w:rPr>
            <w:rStyle w:val="Hyperlink"/>
          </w:rPr>
          <w:t xml:space="preserve">[19]</w:t>
        </w:r>
      </w:hyperlink>
      <w:r>
        <w:t xml:space="preserve">.</w:t>
      </w:r>
    </w:p>
    <w:p>
      <w:pPr>
        <w:pStyle w:val="BodyText"/>
        <w:spacing w:line="480" w:lineRule="auto"/>
        <w:ind w:firstLine="720"/>
      </w:pPr>
      <w:r>
        <w:t xml:space="preserve">Dual-use coding in Paper 2 draws on public Department of Defense and Intelligence Community contract announcements, Government Accountability Office reports on national-security space, and publicly available China Aerospace Studies Institute and Defense Intelligence Agency assessments for non-United States operators. The discourse-network analysis of Yap, Heiberg, and Truffer establishes the empirical pattern that operators with national-security customers or intelligence-community contracts participate in transparency forums but resist publication of operationally informative data, which is the substantive content of the dual-use seam coded in Paper 2</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w:t>
      </w:r>
    </w:p>
    <w:p>
      <w:pPr>
        <w:pStyle w:val="BodyText"/>
        <w:spacing w:line="480" w:lineRule="auto"/>
        <w:ind w:firstLine="720"/>
      </w:pPr>
      <w:r>
        <w:t xml:space="preserve">The composite sustainability rating literature</w:t>
      </w:r>
      <w:r>
        <w:t xml:space="preserve"> </w:t>
      </w:r>
      <w:hyperlink w:anchor="ref-12">
        <w:r>
          <w:rPr>
            <w:rStyle w:val="Hyperlink"/>
          </w:rPr>
          <w:t xml:space="preserve">[12]</w:t>
        </w:r>
      </w:hyperlink>
      <w:r>
        <w:t xml:space="preserve">,</w:t>
      </w:r>
      <w:r>
        <w:t xml:space="preserve"> </w:t>
      </w:r>
      <w:hyperlink w:anchor="ref-29">
        <w:r>
          <w:rPr>
            <w:rStyle w:val="Hyperlink"/>
          </w:rPr>
          <w:t xml:space="preserve">[29]</w:t>
        </w:r>
      </w:hyperlink>
      <w:r>
        <w:t xml:space="preserve"> </w:t>
      </w:r>
      <w:r>
        <w:t xml:space="preserve">is used in Paper 1 to validate operator-level transparency posture against an independent voluntary-disclosure regime, on the reasoning that an operator that participates in the Space Sustainability Rating composite is observable as a disclosing entity through a channel orthogonal to Space-Track. The Stilwell, Dailey, and McKnight policy-based orbital classification framework</w:t>
      </w:r>
      <w:r>
        <w:t xml:space="preserve"> </w:t>
      </w:r>
      <w:hyperlink w:anchor="ref-13">
        <w:r>
          <w:rPr>
            <w:rStyle w:val="Hyperlink"/>
          </w:rPr>
          <w:t xml:space="preserve">[13]</w:t>
        </w:r>
      </w:hyperlink>
      <w:r>
        <w:t xml:space="preserve"> </w:t>
      </w:r>
      <w:r>
        <w:t xml:space="preserve">is the source of the LEO altitude band assignments used to scope the cross-section to LEO and adjacent orbital regimes.</w:t>
      </w:r>
    </w:p>
    <w:bookmarkEnd w:id="93"/>
    <w:bookmarkStart w:id="94" w:name="dependent-variable"/>
    <w:p>
      <w:pPr>
        <w:pStyle w:val="Heading2"/>
        <w:spacing w:line="480" w:lineRule="auto"/>
      </w:pPr>
      <w:r>
        <w:t xml:space="preserve">4.4 Dependent Variable</w:t>
      </w:r>
    </w:p>
    <w:p>
      <w:pPr>
        <w:pStyle w:val="FirstParagraph"/>
        <w:spacing w:line="480" w:lineRule="auto"/>
      </w:pPr>
      <w:r>
        <w:t xml:space="preserve">The dependent variable in Paper 1 is the binary indicator that takes the value one if the operator publicly discloses voluntary maneuver information through any of three documented channels and zero otherwise. The three channels are, first, publication of operator-provided ephemerides or pre-maneuver notifications through Space-Track operator data; second, operator participation in the published Traffic Coordination System for Space onboarding cohort as recorded by Auman and colleagues</w:t>
      </w:r>
      <w:r>
        <w:t xml:space="preserve"> </w:t>
      </w:r>
      <w:hyperlink w:anchor="ref-8">
        <w:r>
          <w:rPr>
            <w:rStyle w:val="Hyperlink"/>
          </w:rPr>
          <w:t xml:space="preserve">[8]</w:t>
        </w:r>
      </w:hyperlink>
      <w:r>
        <w:t xml:space="preserve"> </w:t>
      </w:r>
      <w:r>
        <w:t xml:space="preserve">and by Wolff and colleagues</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and third, the operator’s sustainability disclosure or annual report listing participation in conjunction-assessment workflows documented in the technical literature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11">
        <w:r>
          <w:rPr>
            <w:rStyle w:val="Hyperlink"/>
          </w:rPr>
          <w:t xml:space="preserve">[11]</w:t>
        </w:r>
      </w:hyperlink>
      <w:r>
        <w:t xml:space="preserve">. The coding rule is conjunctive in the documentary sense: an operator is coded as disclosing if any one of the three channels yields a positive observation in the 2024 observation window, on the reasoning that disclosure through any channel renders the operator’s maneuver information available to the wider community.</w:t>
      </w:r>
    </w:p>
    <w:p>
      <w:pPr>
        <w:pStyle w:val="BodyText"/>
        <w:spacing w:line="480" w:lineRule="auto"/>
        <w:ind w:firstLine="720"/>
      </w:pPr>
      <w:r>
        <w:t xml:space="preserve">Of the 39 operators in the Paper 1 sample, 27 disclose under this rule and 12 do not, producing an unconditional disclosure rate of 0.692. The non-disclosing tail is concentrated, as discussed in Paper 1, among operators outside United States jurisdiction and outside the existing public-ephemeris community.</w:t>
      </w:r>
    </w:p>
    <w:p>
      <w:pPr>
        <w:pStyle w:val="BodyText"/>
        <w:spacing w:line="480" w:lineRule="auto"/>
        <w:ind w:firstLine="720"/>
      </w:pPr>
      <w:r>
        <w:t xml:space="preserve">The dependent variable in Paper 2 narrows the disclosure outcome to a single, technically precise observable. The Paper 2 indicator takes the value one if the operator publishes operator-provided ephemerides or maneuver notifications through the Space-Track Operator Data feed, the European Union Space Surveillance and Tracking partner data exchange, or an equivalent public Space Situational Awareness service, and zero otherwise. Coding follows the participant lists documented by Borowitz and colleagues for the European Union Space Surveillance and Tracking service and the United States public services</w:t>
      </w:r>
      <w:r>
        <w:t xml:space="preserve"> </w:t>
      </w:r>
      <w:hyperlink w:anchor="ref-18">
        <w:r>
          <w:rPr>
            <w:rStyle w:val="Hyperlink"/>
          </w:rPr>
          <w:t xml:space="preserve">[18]</w:t>
        </w:r>
      </w:hyperlink>
      <w:r>
        <w:t xml:space="preserve">, the Traffic Coordination System for Space comparison reported by Wolff and colleagues</w:t>
      </w:r>
      <w:r>
        <w:t xml:space="preserve"> </w:t>
      </w:r>
      <w:hyperlink w:anchor="ref-17">
        <w:r>
          <w:rPr>
            <w:rStyle w:val="Hyperlink"/>
          </w:rPr>
          <w:t xml:space="preserve">[17]</w:t>
        </w:r>
      </w:hyperlink>
      <w:r>
        <w:t xml:space="preserve">, and the operator transparency patterns identified by Yap, Heiberg, and Truffer in the discourse-network analysis of the debris regime</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The Paper 2 outcome is more restrictive than the Paper 1 outcome by design: Paper 2 estimates an inferential-value coefficient that requires the disclosure act to be technically informative in the orbit-determination sense, and the operator-provided ephemerides feed is the channel through which that informational content flows.</w:t>
      </w:r>
    </w:p>
    <w:p>
      <w:pPr>
        <w:pStyle w:val="BodyText"/>
        <w:spacing w:line="480" w:lineRule="auto"/>
        <w:ind w:firstLine="720"/>
      </w:pPr>
      <w:r>
        <w:t xml:space="preserve">In the Paper 2 cross-section of 28 operators, the disclosing share is close to one-half, which is the source of the near-zero constant in the estimated logit. The asymmetry of the two unconditional rates reflects the difference in coding rules across the two papers and not a change in the underlying population: a number of operators that disclose under the inclusive Paper 1 rule do not publish operator-provided ephemerides under the strict Paper 2 rule, and several of those are dual-use operators whose contractual record precludes ephemeris publication while permitting onboarding to the broader transparency cohort.</w:t>
      </w:r>
    </w:p>
    <w:bookmarkEnd w:id="94"/>
    <w:bookmarkStart w:id="95" w:name="operator-attribute-covariates-paper-1"/>
    <w:p>
      <w:pPr>
        <w:pStyle w:val="Heading2"/>
        <w:spacing w:line="480" w:lineRule="auto"/>
      </w:pPr>
      <w:r>
        <w:t xml:space="preserve">4.5 Operator-Attribute Covariates (Paper 1)</w:t>
      </w:r>
    </w:p>
    <w:p>
      <w:pPr>
        <w:pStyle w:val="FirstParagraph"/>
        <w:spacing w:line="480" w:lineRule="auto"/>
      </w:pPr>
      <w:r>
        <w:t xml:space="preserve">Paper 1’s covariate set is built from the operator-attribute records enumerated in Section 4.3 and enters the logit in the following constructed forms.</w:t>
      </w:r>
    </w:p>
    <w:p>
      <w:pPr>
        <w:pStyle w:val="BodyText"/>
        <w:spacing w:line="480" w:lineRule="auto"/>
        <w:ind w:firstLine="720"/>
      </w:pPr>
      <w:r>
        <w:t xml:space="preserve">Fleet size is the count of active on-orbit assets attributed to the operator entity in the 2024 observation window. The primary source is the United Nations Office for Outer Space Affairs Registry of Objects Launched into Outer Space</w:t>
      </w:r>
      <w:r>
        <w:t xml:space="preserve"> </w:t>
      </w:r>
      <w:hyperlink w:anchor="ref-14">
        <w:r>
          <w:rPr>
            <w:rStyle w:val="Hyperlink"/>
          </w:rPr>
          <w:t xml:space="preserve">[14]</w:t>
        </w:r>
      </w:hyperlink>
      <w:r>
        <w:t xml:space="preserve">, cross-checked against the Federal Communications Commission International Bureau Filing System records for United States-licensed operators. Fleet size enters the regression in natural logs to permit declining marginal information per additional spacecraft, on the technical reasoning developed in the maneuver-detection literature</w:t>
      </w:r>
      <w:r>
        <w:t xml:space="preserve"> </w:t>
      </w:r>
      <w:hyperlink w:anchor="ref-3">
        <w:r>
          <w:rPr>
            <w:rStyle w:val="Hyperlink"/>
          </w:rPr>
          <w:t xml:space="preserve">[3]</w:t>
        </w:r>
      </w:hyperlink>
      <w:r>
        <w:t xml:space="preserve"> </w:t>
      </w:r>
      <w:r>
        <w:t xml:space="preserve">and consistent with the constellation-screening load characterized by Geissbuhler and colleagues</w:t>
      </w:r>
      <w:r>
        <w:t xml:space="preserve"> </w:t>
      </w:r>
      <w:hyperlink w:anchor="ref-9">
        <w:r>
          <w:rPr>
            <w:rStyle w:val="Hyperlink"/>
          </w:rPr>
          <w:t xml:space="preserve">[9]</w:t>
        </w:r>
      </w:hyperlink>
      <w:r>
        <w:t xml:space="preserve"> </w:t>
      </w:r>
      <w:r>
        <w:t xml:space="preserve">and Hejduk and colleagues</w:t>
      </w:r>
      <w:r>
        <w:t xml:space="preserve"> </w:t>
      </w:r>
      <w:hyperlink w:anchor="ref-11">
        <w:r>
          <w:rPr>
            <w:rStyle w:val="Hyperlink"/>
          </w:rPr>
          <w:t xml:space="preserve">[11]</w:t>
        </w:r>
      </w:hyperlink>
      <w:r>
        <w:t xml:space="preserve">. The estimated log-fleet coefficient in Paper 1 is 0.8694 with a standard error of 0.4542 and a p-value of 0.0556, significant at the ten-percent threshold and approaching the five-percent threshold.</w:t>
      </w:r>
    </w:p>
    <w:p>
      <w:pPr>
        <w:pStyle w:val="BodyText"/>
        <w:spacing w:line="480" w:lineRule="auto"/>
        <w:ind w:firstLine="720"/>
      </w:pPr>
      <w:r>
        <w:t xml:space="preserve">Commercial status is a binary indicator that takes the value one if the operator’s primary revenue-and-financing posture is commercial, as documented in Securities and Exchange Commission filings, public annual reports, and agency program-establishment records, and zero if the operator is a civil-government or military entity. Coding excludes mixed-revenue entities from the commercial category unless the commercial share is dominant in the most recent published reporting period. The estimated commercial coefficient in Paper 1 is 1.6743 with a standard error of 1.1876 and a p-value of 0.1586, with the predicted sign but imprecise estimation given the moderate sample size.</w:t>
      </w:r>
    </w:p>
    <w:p>
      <w:pPr>
        <w:pStyle w:val="BodyText"/>
        <w:spacing w:line="480" w:lineRule="auto"/>
        <w:ind w:firstLine="720"/>
      </w:pPr>
      <w:r>
        <w:t xml:space="preserve">Operator age is the integer number of years between the operator’s incorporation or program-establishment year and the 2024 observation. Coding draws on incorporation records for commercial entities and on agency program-establishment records for civil entities. The estimated age coefficient is small and negative at minus 0.0203 with a standard error of 0.0252 and a p-value of 0.4199, consistent with the prospectus expectation of no monotone effect once fleet size and commercial status are accounted for.</w:t>
      </w:r>
    </w:p>
    <w:p>
      <w:pPr>
        <w:pStyle w:val="BodyText"/>
        <w:spacing w:line="480" w:lineRule="auto"/>
        <w:ind w:firstLine="720"/>
      </w:pPr>
      <w:r>
        <w:t xml:space="preserve">Constellation status is a binary indicator that takes the value one if the operator’s most recently filed Federal Communications Commission International Bureau Filing System filing or International Telecommunication Union coordination filing describes a constellation in the regulatory sense, defined as more than ten operational spacecraft in a coordinated orbital architecture. The estimated constellation coefficient is minus 0.7828 with a standard error of 1.0561 and a p-value of 0.4586, not statistically distinguishable from zero. The unconditional cross-tabulation shows that constellation operators disclose at a higher rate than non-constellation operators, fourteen of eighteen against thirteen of twenty-one, but the marginal effect washes through once fleet size is conditioned on.</w:t>
      </w:r>
    </w:p>
    <w:p>
      <w:pPr>
        <w:pStyle w:val="BodyText"/>
        <w:spacing w:line="480" w:lineRule="auto"/>
        <w:ind w:firstLine="720"/>
      </w:pPr>
      <w:r>
        <w:t xml:space="preserve">Two further indicators, United States jurisdiction and pre-existing public-ephemeris participation, were dropped from the multivariate logit because each perfectly predicts disclosure within the sample. Every operator with United States jurisdiction in the 39-operator cross-section discloses, and every operator with pre-existing public-ephemeris participation discloses with two exceptions. The separation is itself a substantive finding about the structure of voluntary compliance, and Paper 1 reports it directly. The multivariate logit identifies on the variation that survives once the perfectly predicting regressors are removed.</w:t>
      </w:r>
    </w:p>
    <w:bookmarkEnd w:id="95"/>
    <w:bookmarkStart w:id="96" w:name="X777015f7bbff7da8b7ec29c6a848d9aebcc30aa"/>
    <w:p>
      <w:pPr>
        <w:pStyle w:val="Heading2"/>
        <w:spacing w:line="480" w:lineRule="auto"/>
      </w:pPr>
      <w:r>
        <w:t xml:space="preserve">4.6 Inferential-Value Treatment and Safety-Urgency Control (Paper 2)</w:t>
      </w:r>
    </w:p>
    <w:p>
      <w:pPr>
        <w:pStyle w:val="FirstParagraph"/>
        <w:spacing w:line="480" w:lineRule="auto"/>
      </w:pPr>
      <w:r>
        <w:t xml:space="preserve">Paper 2’s covariate set is built around the dual-use indicator, with log fleet size and log conjunction events entering as a secondary inferential-value proxy and a safety-urgency control respectively.</w:t>
      </w:r>
    </w:p>
    <w:p>
      <w:pPr>
        <w:pStyle w:val="BodyText"/>
        <w:spacing w:line="480" w:lineRule="auto"/>
        <w:ind w:firstLine="720"/>
      </w:pPr>
      <w:r>
        <w:t xml:space="preserve">Dual-use posture takes the value one if the operator has a documented dual-use posture as of the 2026 observation, defined as a declared or publicly contracted national-security customer, intelligence-community contract, or military operator role, and zero if the operator is purely commercial or civil. The temporal ordering matters: the dual-use indicator is coded from prior contractual and institutional records that precede the 2026 disclosure observation, which breaks the most obvious source of reverse causation and supports the identification claim that the treatment does not respond to the outcome it is meant to explain. The substantive coding draws on the public Department of Defense and Intelligence Community contract record for United States operators, on Government Accountability Office reports on national-security space, on China Aerospace Studies Institute and Defense Intelligence Agency public assessments for non-United States operators, and on the discourse-network record of transparency contestation along the dual-use seam</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The estimated dual-use coefficient is minus 3.18 with a standard error of 1.06 and a p-value of 0.003, statistically distinguishable from zero at the one-percent threshold. Exponentiating, the odds ratio is on the order of 0.04, a substantial reduction in the odds of publishing ephemerides relative to an otherwise comparable purely civil or commercial operator.</w:t>
      </w:r>
    </w:p>
    <w:p>
      <w:pPr>
        <w:pStyle w:val="BodyText"/>
        <w:spacing w:line="480" w:lineRule="auto"/>
        <w:ind w:firstLine="720"/>
      </w:pPr>
      <w:r>
        <w:t xml:space="preserve">Log fleet size enters Paper 2 as a secondary inferential-value proxy on the reasoning that larger fleets reveal more about an operator’s tempo and propulsion budget when individual maneuvers become observable. The covariate is constructed from active on-orbit counts maintained at celestrak.org, newspace.im, and planet4589.org and cross-checked against operator-published lists, and enters the regression in natural logs. The estimated coefficient is minus 0.38 with a standard error of 0.41 and a p-value of 0.35, directionally consistent with the inferential-value account but not statistically distinguishable from zero; the inferential-cost mechanism appears to operate principally through the dual-use channel in this cross-section.</w:t>
      </w:r>
    </w:p>
    <w:p>
      <w:pPr>
        <w:pStyle w:val="BodyText"/>
        <w:spacing w:line="480" w:lineRule="auto"/>
        <w:ind w:firstLine="720"/>
      </w:pPr>
      <w:r>
        <w:t xml:space="preserve">Log conjunction events enters as the flight-safety urgency control. The covariate is constructed as the natural log of the operator’s count of high-interest conjunction events in 2024, drawn from the European Space Agency Annual Space Environment Report, the public Traffic Coordination System for Space dashboard summaries reported by Wolff and colleagues</w:t>
      </w:r>
      <w:r>
        <w:t xml:space="preserve"> </w:t>
      </w:r>
      <w:hyperlink w:anchor="ref-17">
        <w:r>
          <w:rPr>
            <w:rStyle w:val="Hyperlink"/>
          </w:rPr>
          <w:t xml:space="preserve">[17]</w:t>
        </w:r>
      </w:hyperlink>
      <w:r>
        <w:t xml:space="preserve">, and the conjunction-data-message volume reported by Borowitz and colleagues</w:t>
      </w:r>
      <w:r>
        <w:t xml:space="preserve"> </w:t>
      </w:r>
      <w:hyperlink w:anchor="ref-18">
        <w:r>
          <w:rPr>
            <w:rStyle w:val="Hyperlink"/>
          </w:rPr>
          <w:t xml:space="preserve">[18]</w:t>
        </w:r>
      </w:hyperlink>
      <w:r>
        <w:t xml:space="preserve">. Conditioning on the safety-urgency proxy is the empirical operationalization of the prospectus identification strategy: it captures the safety-side incentive to disclose without absorbing the informational-cost side. The estimated coefficient is plus 0.56 with a standard error of 0.57 and a p-value of 0.32, sign-consistent with the prediction that operators facing more conjunction events have a stronger safety incentive to disclose, but imprecisely estimated; the dual-use coefficient is identified net of this control.</w:t>
      </w:r>
    </w:p>
    <w:p>
      <w:pPr>
        <w:pStyle w:val="BodyText"/>
        <w:spacing w:line="480" w:lineRule="auto"/>
        <w:ind w:firstLine="720"/>
      </w:pPr>
      <w:r>
        <w:t xml:space="preserve">A United States filer indicator was tested in preliminary specifications and dropped from the final Paper 2 model because, in the 28-operator cross-section, the combination of United States filer status and dual-use posture produced an empirical-separation pattern that drove the maximum-likelihood estimator to non-convergence with implausible standard errors. The retained three-covariate specification converges cleanly and isolates the dual-use channel from the safety-urgency channel without forcing the estimator to fit a near-separating regressor.</w:t>
      </w:r>
    </w:p>
    <w:bookmarkEnd w:id="96"/>
    <w:bookmarkStart w:id="97" w:name="matching-pipeline"/>
    <w:p>
      <w:pPr>
        <w:pStyle w:val="Heading2"/>
        <w:spacing w:line="480" w:lineRule="auto"/>
      </w:pPr>
      <w:r>
        <w:t xml:space="preserve">4.7 Matching Pipeline</w:t>
      </w:r>
    </w:p>
    <w:p>
      <w:pPr>
        <w:pStyle w:val="FirstParagraph"/>
        <w:spacing w:line="480" w:lineRule="auto"/>
      </w:pPr>
      <w:r>
        <w:t xml:space="preserve">The estimating dataset in each paper is built by a documented matching pipeline that joins the primary records enumerated in Section 4.3 to the operator entity defined in Section 4.2.</w:t>
      </w:r>
    </w:p>
    <w:p>
      <w:pPr>
        <w:pStyle w:val="BodyText"/>
        <w:spacing w:line="480" w:lineRule="auto"/>
        <w:ind w:firstLine="720"/>
      </w:pPr>
      <w:r>
        <w:t xml:space="preserve">The pipeline begins with the operator-entity universe drawn from the United Nations Office for Outer Space Affairs Registry of Objects Launched into Outer Space</w:t>
      </w:r>
      <w:r>
        <w:t xml:space="preserve"> </w:t>
      </w:r>
      <w:hyperlink w:anchor="ref-14">
        <w:r>
          <w:rPr>
            <w:rStyle w:val="Hyperlink"/>
          </w:rPr>
          <w:t xml:space="preserve">[14]</w:t>
        </w:r>
      </w:hyperlink>
      <w:r>
        <w:t xml:space="preserve">, the Federal Communications Commission International Bureau Filing System, and the International Telecommunication Union coordination record. Operators are deduplicated against parent-corporate relationships, with subsidiary operations rolled up to the parent entity when the parent is the licensee of record and the operating-entity name is a wholly owned subsidiary. The deduplication step is documented in the per-row source column of the underlying data table.</w:t>
      </w:r>
    </w:p>
    <w:p>
      <w:pPr>
        <w:pStyle w:val="BodyText"/>
        <w:spacing w:line="480" w:lineRule="auto"/>
        <w:ind w:firstLine="720"/>
      </w:pPr>
      <w:r>
        <w:t xml:space="preserve">The disclosure outcome is then attached to each operator entity by cross-referencing the operator name against the Space-Track operator-data participant list as documented in the Traffic Coordination System for Space validation literature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the European Union Space Surveillance and Tracking partner participant list documented by Borowitz and colleagues</w:t>
      </w:r>
      <w:r>
        <w:t xml:space="preserve"> </w:t>
      </w:r>
      <w:hyperlink w:anchor="ref-18">
        <w:r>
          <w:rPr>
            <w:rStyle w:val="Hyperlink"/>
          </w:rPr>
          <w:t xml:space="preserve">[18]</w:t>
        </w:r>
      </w:hyperlink>
      <w:r>
        <w:t xml:space="preserve">, and the supplementary participant records carried in the Kebschull and colleagues distributed-coordination work</w:t>
      </w:r>
      <w:r>
        <w:t xml:space="preserve"> </w:t>
      </w:r>
      <w:hyperlink w:anchor="ref-15">
        <w:r>
          <w:rPr>
            <w:rStyle w:val="Hyperlink"/>
          </w:rPr>
          <w:t xml:space="preserve">[15]</w:t>
        </w:r>
      </w:hyperlink>
      <w:r>
        <w:t xml:space="preserve">, the debris-mapping participation literature</w:t>
      </w:r>
      <w:r>
        <w:t xml:space="preserve"> </w:t>
      </w:r>
      <w:hyperlink w:anchor="ref-16">
        <w:r>
          <w:rPr>
            <w:rStyle w:val="Hyperlink"/>
          </w:rPr>
          <w:t xml:space="preserve">[16]</w:t>
        </w:r>
      </w:hyperlink>
      <w:r>
        <w:t xml:space="preserve">, and the Kelso and colleagues collaborative Space Situational Awareness record</w:t>
      </w:r>
      <w:r>
        <w:t xml:space="preserve"> </w:t>
      </w:r>
      <w:hyperlink w:anchor="ref-19">
        <w:r>
          <w:rPr>
            <w:rStyle w:val="Hyperlink"/>
          </w:rPr>
          <w:t xml:space="preserve">[19]</w:t>
        </w:r>
      </w:hyperlink>
      <w:r>
        <w:t xml:space="preserve">. Operators that participate through any channel are coded as disclosing for Paper 1; operators that publish operator-provided ephemerides specifically are coded as disclosing for Paper 2.</w:t>
      </w:r>
    </w:p>
    <w:p>
      <w:pPr>
        <w:pStyle w:val="BodyText"/>
        <w:spacing w:line="480" w:lineRule="auto"/>
        <w:ind w:firstLine="720"/>
      </w:pPr>
      <w:r>
        <w:t xml:space="preserve">The operator-attribute covariates are attached by joining the deduplicated operator-entity list to the fleet-size, commercial-status, age, constellation-status, jurisdiction, and prior-ephemeris-participation records. Each cell carries a source identifier. The dual-use indicator is attached from the prior contractual record described in Section 4.6. The safety-urgency control is attached from the conjunction-event records described in the same section.</w:t>
      </w:r>
    </w:p>
    <w:p>
      <w:pPr>
        <w:pStyle w:val="BodyText"/>
        <w:spacing w:line="480" w:lineRule="auto"/>
        <w:ind w:firstLine="720"/>
      </w:pPr>
      <w:r>
        <w:t xml:space="preserve">The resulting estimating datasets are 39 rows by six covariates for Paper 1, with the binary disclosure outcome, and 28 rows by three covariates for Paper 2, with the binary ephemeris-publication outcome. Both are released with the dissertation in machine-readable form together with the per-row provenance file.</w:t>
      </w:r>
    </w:p>
    <w:bookmarkEnd w:id="97"/>
    <w:bookmarkStart w:id="98" w:name="X683d432f6d92cbfc9205116a77f79958f3d5bc7"/>
    <w:p>
      <w:pPr>
        <w:pStyle w:val="Heading2"/>
        <w:spacing w:line="480" w:lineRule="auto"/>
      </w:pPr>
      <w:r>
        <w:t xml:space="preserve">4.8 Measurement Error, Illustrative Cells, and the 15 Percent Ceiling</w:t>
      </w:r>
    </w:p>
    <w:p>
      <w:pPr>
        <w:pStyle w:val="FirstParagraph"/>
        <w:spacing w:line="480" w:lineRule="auto"/>
      </w:pPr>
      <w:r>
        <w:t xml:space="preserve">Four classes of measurement error are anticipated and bounded.</w:t>
      </w:r>
    </w:p>
    <w:p>
      <w:pPr>
        <w:pStyle w:val="BodyText"/>
        <w:spacing w:line="480" w:lineRule="auto"/>
        <w:ind w:firstLine="720"/>
      </w:pPr>
      <w:r>
        <w:t xml:space="preserve">The first is measurement error in the dependent variable. A maneuver disclosed through a non-public channel that is not enumerated in the Section 4.3 sources will be coded as undisclosed. The error biases against the inferential-value coefficient by adding noise to the outcome, so a confirmed alternative is conservative.</w:t>
      </w:r>
    </w:p>
    <w:p>
      <w:pPr>
        <w:pStyle w:val="BodyText"/>
        <w:spacing w:line="480" w:lineRule="auto"/>
        <w:ind w:firstLine="720"/>
      </w:pPr>
      <w:r>
        <w:t xml:space="preserve">The second is measurement error in the safety-urgency control. The conjunction-event count is reported with reporting-lag and threshold discretion across the European Space Agency, the Traffic Coordination System for Space, and the European Union Space Surveillance and Tracking sources. The covariate is constructed by averaging across sources where they overlap and by taking the higher count where they do not. Two cells in the Paper 2 dataset, the conjunction-event count for Roscosmos civil and the conjunction-event count for the Hongyan demonstration system, are flagged in the per-row source column as illustrative because the public conjunction-event record for those entities is incomplete in the 2024 window. The illustrative-cell share in the Paper 2 dataset is two cells in the safety-urgency control out of 28 operator rows, which is below the 15 percent ceiling stipulated by the dissertation protocol and is concentrated in the safety-urgency control rather than in the dual-use treatment. In the Paper 1 dataset, two cells are marked illustrative for non-disclosing operators where the absence of disclosure is itself observable through absence from the public participant lists; the share is again well below the 15 percent ceiling.</w:t>
      </w:r>
    </w:p>
    <w:p>
      <w:pPr>
        <w:pStyle w:val="BodyText"/>
        <w:spacing w:line="480" w:lineRule="auto"/>
        <w:ind w:firstLine="720"/>
      </w:pPr>
      <w:r>
        <w:t xml:space="preserve">The third is measurement error in the dual-use treatment. The dual-use coding relies on the public contractual record, which is comprehensive for United States operators and is supported by independent assessment literature for non-United States operators. The bound is one-sided: operators with classified or otherwise non-public dual-use contracts will be miscoded as commercial or civil, which attenuates the dual-use coefficient toward zero. The estimated coefficient is therefore conservative.</w:t>
      </w:r>
    </w:p>
    <w:p>
      <w:pPr>
        <w:pStyle w:val="BodyText"/>
        <w:spacing w:line="480" w:lineRule="auto"/>
        <w:ind w:firstLine="720"/>
      </w:pPr>
      <w:r>
        <w:t xml:space="preserve">The fourth is selection in the operator-entity universe. Entities below a documented on-orbit threshold or below a documented filing threshold are excluded from the Paper 2 sample. The exclusion is documented in the inclusion-criterion record and is mechanical rather than judgmental.</w:t>
      </w:r>
    </w:p>
    <w:bookmarkEnd w:id="98"/>
    <w:bookmarkStart w:id="99" w:name="mapping-to-the-falsification-test"/>
    <w:p>
      <w:pPr>
        <w:pStyle w:val="Heading2"/>
        <w:spacing w:line="480" w:lineRule="auto"/>
      </w:pPr>
      <w:r>
        <w:t xml:space="preserve">4.9 Mapping to the Falsification Test</w:t>
      </w:r>
    </w:p>
    <w:p>
      <w:pPr>
        <w:pStyle w:val="FirstParagraph"/>
        <w:spacing w:line="480" w:lineRule="auto"/>
      </w:pPr>
      <w:r>
        <w:t xml:space="preserve">Each variable measured in this chapter has a specific role in the falsification test laid out in the prospectus.</w:t>
      </w:r>
    </w:p>
    <w:p>
      <w:pPr>
        <w:pStyle w:val="BodyText"/>
        <w:spacing w:line="480" w:lineRule="auto"/>
        <w:ind w:firstLine="720"/>
      </w:pPr>
      <w:r>
        <w:t xml:space="preserve">The Paper 2 dual-use indicator is the operationalization of the inferential-value treatment that the prospectus identifies as the test of the null. A negative and statistically distinguishable dual-use coefficient, net of safety urgency and fleet size, is the empirical content of the alternative hypothesis. The estimated coefficient is minus 3.18 with a p-value of 0.003 and is consistent with the alternative.</w:t>
      </w:r>
    </w:p>
    <w:p>
      <w:pPr>
        <w:pStyle w:val="BodyText"/>
        <w:spacing w:line="480" w:lineRule="auto"/>
        <w:ind w:firstLine="720"/>
      </w:pPr>
      <w:r>
        <w:t xml:space="preserve">The Paper 2 log conjunction-events covariate is the empirical operationalization of the safety-urgency control. Conditioning on it is the mechanism by which the inferential-value coefficient is identified net of the safety-side incentive to disclose.</w:t>
      </w:r>
    </w:p>
    <w:p>
      <w:pPr>
        <w:pStyle w:val="BodyText"/>
        <w:spacing w:line="480" w:lineRule="auto"/>
        <w:ind w:firstLine="720"/>
      </w:pPr>
      <w:r>
        <w:t xml:space="preserve">The Paper 2 log fleet-size covariate is the secondary inferential-value proxy that captures the within-operator scale margin. Its imprecisely estimated negative coefficient is sign-consistent with the inferential-value account and does not contradict the alternative; the principal estimation weight runs through the dual-use channel.</w:t>
      </w:r>
    </w:p>
    <w:p>
      <w:pPr>
        <w:pStyle w:val="BodyText"/>
        <w:spacing w:line="480" w:lineRule="auto"/>
        <w:ind w:firstLine="720"/>
      </w:pPr>
      <w:r>
        <w:t xml:space="preserve">The Paper 1 operator-attribute covariates collectively characterize the cross-sectional structure of voluntary compliance and identify the population on which the inferential-value mechanism operates. The fleet-size, commercial-status, and constellation-status results together with the separation pattern on jurisdiction and prior-ephemeris participation establish that the disclosing population is concentrated among large commercial United States-jurisdiction operators already embedded in the public-ephemeris community, which is the population characterization on which the Paper 2 dual-use test is then conducted.</w:t>
      </w:r>
    </w:p>
    <w:p>
      <w:pPr>
        <w:pStyle w:val="BodyText"/>
        <w:spacing w:line="480" w:lineRule="auto"/>
        <w:ind w:firstLine="720"/>
      </w:pPr>
      <w:r>
        <w:t xml:space="preserve">The measurement design is therefore a coherent two-paper structure. Paper 1 measures who discloses, using six operator-attribute covariates constructed from public registries and licensing records. Paper 2 measures whether dual-use posture suppresses ephemeris publication net of safety urgency, using a dual-use treatment constructed from prior contractual records, a fleet-size proxy constructed from public on-orbit catalogs, and a conjunction-event control constructed from public conjunction-screening reports. Every variable is reproducible from the sources identified in Section 4.3, every cell carries a per-row source identifier, and every measurement choice traces to the identification logic of the prospectus.</w:t>
      </w:r>
    </w:p>
    <w:p>
      <w:pPr>
        <w:pStyle w:val="BodyText"/>
        <w:spacing w:line="480" w:lineRule="auto"/>
        <w:ind w:firstLine="720"/>
      </w:pPr>
      <w:r>
        <w:t xml:space="preserve">The chapter that follows turns from measurement to estimation and reports the full specification, diagnostic battery, and robustness checks for the two logit models whose results have been previewed here.</w:t>
      </w:r>
    </w:p>
    <w:bookmarkEnd w:id="99"/>
    <w:bookmarkEnd w:id="100"/>
    <w:bookmarkStart w:id="122" w:name="chapter-5.-methods-and-identification"/>
    <w:p>
      <w:pPr>
        <w:pStyle w:val="Heading1"/>
        <w:spacing w:line="480" w:lineRule="auto"/>
      </w:pPr>
      <w:r>
        <w:t xml:space="preserve">Chapter 5. Methods and Identification</w:t>
      </w:r>
    </w:p>
    <w:bookmarkStart w:id="101" w:name="overview-and-role-of-the-chapter"/>
    <w:p>
      <w:pPr>
        <w:pStyle w:val="Heading2"/>
        <w:spacing w:line="480" w:lineRule="auto"/>
      </w:pPr>
      <w:r>
        <w:t xml:space="preserve">5.1 Overview and Role of the Chapter</w:t>
      </w:r>
    </w:p>
    <w:p>
      <w:pPr>
        <w:pStyle w:val="FirstParagraph"/>
        <w:spacing w:line="480" w:lineRule="auto"/>
      </w:pPr>
      <w:r>
        <w:t xml:space="preserve">This chapter specifies the estimators, the identification strategy, and the threats to validity that govern the empirical claims of the dissertation. Chapters 3 and 4 motivated a single falsifiable contention: that an operator’s propensity to disclose a maneuver declines as the inferential value of that maneuver to outside observers rises, holding flight-safety urgency fixed. Chapter 5 closes the gap between that contention and the data by stating, with the precision that doctoral econometric work requires, exactly which functional forms are fit, which variation in the data identifies which coefficients, and which threats to inference are addressed by design rather than by argument. The chapter is built so that any reader can, in principle, reconstruct the entire estimation pipeline from publicly available datasets, replicating both the operator-level cross-sectional logits reported in Papers 1 and 2 and the maneuver-level panel extension that the dissertation contributes beyond them.</w:t>
      </w:r>
    </w:p>
    <w:p>
      <w:pPr>
        <w:pStyle w:val="BodyText"/>
        <w:spacing w:line="480" w:lineRule="auto"/>
        <w:ind w:firstLine="720"/>
      </w:pPr>
      <w:r>
        <w:t xml:space="preserve">Three estimators are used, each tied to a distinct unit of analysis. The first is a binary logit on the operator entity, used to characterize who discloses at all; this is the estimator deployed in Papers 1 and 2. The second is a maneuver-level panel logit with operator-fixed effects, used to identify the inferential-value coefficient from within-operator variation across maneuvers. The third is a discrete-time complementary-log-log hazard, used to distinguish promptness of disclosure from its occurrence. All three estimators share a common identifying logic: conditional on a directly measured flight-safety-urgency control, residual variation in disclosure that correlates with the informational characteristics of a maneuver is attributed to the inferential-value channel.</w:t>
      </w:r>
    </w:p>
    <w:p>
      <w:pPr>
        <w:pStyle w:val="BodyText"/>
        <w:spacing w:line="480" w:lineRule="auto"/>
        <w:ind w:firstLine="720"/>
      </w:pPr>
      <w:r>
        <w:t xml:space="preserve">The identification strategy is conservative in three respects. It treats unobserved operator capacity as a fixed effect rather than as a covariate to be tuned. It derives the inferential-value treatment from the physics of the maneuver, using the geometric content shown to be computable from observation in the conjunctive-resident-space-object work of Cha and colleagues</w:t>
      </w:r>
      <w:r>
        <w:t xml:space="preserve"> </w:t>
      </w:r>
      <w:hyperlink w:anchor="ref-1">
        <w:r>
          <w:rPr>
            <w:rStyle w:val="Hyperlink"/>
          </w:rPr>
          <w:t xml:space="preserve">[1]</w:t>
        </w:r>
      </w:hyperlink>
      <w:r>
        <w:t xml:space="preserve"> </w:t>
      </w:r>
      <w:r>
        <w:t xml:space="preserve">and from the maneuver-classification work of Roberts and Linares</w:t>
      </w:r>
      <w:r>
        <w:t xml:space="preserve"> </w:t>
      </w:r>
      <w:hyperlink w:anchor="ref-27">
        <w:r>
          <w:rPr>
            <w:rStyle w:val="Hyperlink"/>
          </w:rPr>
          <w:t xml:space="preserve">[27]</w:t>
        </w:r>
      </w:hyperlink>
      <w:r>
        <w:t xml:space="preserve">, so that the treatment variable does not respond to the outcome it is meant to explain. And it conditions on flight-safety urgency through a conjunction-derived measure that is operationally separable from maneuver energy, exploiting the separation of detection from screening shown in the commercial catalog-performance literature</w:t>
      </w:r>
      <w:r>
        <w:t xml:space="preserve"> </w:t>
      </w:r>
      <w:hyperlink w:anchor="ref-3">
        <w:r>
          <w:rPr>
            <w:rStyle w:val="Hyperlink"/>
          </w:rPr>
          <w:t xml:space="preserve">[3]</w:t>
        </w:r>
      </w:hyperlink>
      <w:r>
        <w:t xml:space="preserve">, in the maneuvering-spacecraft screening work of Geissbuhler and colleagues</w:t>
      </w:r>
      <w:r>
        <w:t xml:space="preserve"> </w:t>
      </w:r>
      <w:hyperlink w:anchor="ref-9">
        <w:r>
          <w:rPr>
            <w:rStyle w:val="Hyperlink"/>
          </w:rPr>
          <w:t xml:space="preserve">[9]</w:t>
        </w:r>
      </w:hyperlink>
      <w:r>
        <w:t xml:space="preserve">, and in the TraCSS validation methodology of Auman and colleagues</w:t>
      </w:r>
      <w:r>
        <w:t xml:space="preserve"> </w:t>
      </w:r>
      <w:hyperlink w:anchor="ref-8">
        <w:r>
          <w:rPr>
            <w:rStyle w:val="Hyperlink"/>
          </w:rPr>
          <w:t xml:space="preserve">[8]</w:t>
        </w:r>
      </w:hyperlink>
      <w:r>
        <w:t xml:space="preserve">.</w:t>
      </w:r>
    </w:p>
    <w:bookmarkEnd w:id="101"/>
    <w:bookmarkStart w:id="105" w:name="estimators"/>
    <w:p>
      <w:pPr>
        <w:pStyle w:val="Heading2"/>
        <w:spacing w:line="480" w:lineRule="auto"/>
      </w:pPr>
      <w:r>
        <w:t xml:space="preserve">5.2 Estimators</w:t>
      </w:r>
    </w:p>
    <w:bookmarkStart w:id="102" w:name="operator-level-logit-estimator-a"/>
    <w:p>
      <w:pPr>
        <w:pStyle w:val="Heading3"/>
        <w:spacing w:line="480" w:lineRule="auto"/>
      </w:pPr>
      <w:r>
        <w:t xml:space="preserve">5.2.1 Operator-level logit (Estimator A)</w:t>
      </w:r>
    </w:p>
    <w:p>
      <w:pPr>
        <w:pStyle w:val="FirstParagraph"/>
        <w:spacing w:line="480" w:lineRule="auto"/>
      </w:pPr>
      <w:r>
        <w:t xml:space="preserve">The operator-level estimator targets the cross-sectional question of who discloses at all. The unit of analysis is the operator entity i. The outcome y_i takes the value one if operator i publishes operator-provided ephemerides or maneuver notifications through a public Space Situational Awareness service during the observation window, and zero otherwise. The probability of disclosure is modeled as the logistic transform of a linear index in observable operator characteristics, principally log fleet size, a commercial-status indicator, a constellation indicator, operator age, and a dual-use indicator. The estimator is maximum likelihood with default robust standard errors.</w:t>
      </w:r>
    </w:p>
    <w:p>
      <w:pPr>
        <w:pStyle w:val="BodyText"/>
        <w:spacing w:line="480" w:lineRule="auto"/>
        <w:ind w:firstLine="720"/>
      </w:pPr>
      <w:r>
        <w:t xml:space="preserve">This is the estimator used to produce the Paper 1 result on fleet size and the Paper 2 result on dual-use status. Its empirical content is the conditional partial correlation between disclosure and each covariate, identified from the cross-section of operators that are observable in the same calendar window. Its limitation, acknowledged in both papers, is that it cannot separate operator capacity from operator incentive, because both are absorbed into the operator entity. Estimator A therefore characterizes the distribution of disclosure across operators; it does not, on its own, identify the within-operator mechanism that the dissertation theorizes.</w:t>
      </w:r>
    </w:p>
    <w:p>
      <w:pPr>
        <w:pStyle w:val="BodyText"/>
        <w:spacing w:line="480" w:lineRule="auto"/>
        <w:ind w:firstLine="720"/>
      </w:pPr>
      <w:r>
        <w:t xml:space="preserve">A standard separation diagnostic is run before estimation. Covariates that perfectly predict the outcome are dropped, as Paper 1 dropped United States jurisdiction and pre-existing public ephemeris participation. Where retention is substantively required, the model is re-estimated under Firth penalization as a robustness check, and the penalized point estimates are reported alongside the unpenalized ones.</w:t>
      </w:r>
    </w:p>
    <w:bookmarkEnd w:id="102"/>
    <w:bookmarkStart w:id="103" w:name="Xdddadfa108ca67de9f8ff5d80463b728db84b8d"/>
    <w:p>
      <w:pPr>
        <w:pStyle w:val="Heading3"/>
        <w:spacing w:line="480" w:lineRule="auto"/>
      </w:pPr>
      <w:r>
        <w:t xml:space="preserve">5.2.2 Maneuver-level panel logit with operator-fixed effects (Estimator B)</w:t>
      </w:r>
    </w:p>
    <w:p>
      <w:pPr>
        <w:pStyle w:val="FirstParagraph"/>
        <w:spacing w:line="480" w:lineRule="auto"/>
      </w:pPr>
      <w:r>
        <w:t xml:space="preserve">The dissertation’s principal estimator, contributed beyond the published-paper baseline, is a maneuver-level panel logit. The unit of analysis is the individual detected maneuver j, executed by operator i. The outcome y_{ij} takes the value one if maneuver j is disclosed through any public channel by operator i within a pre-specified disclosure window after execution, and zero otherwise. The estimating equation is the logistic transform of a linear index that includes the inferential-value treatment v_{ij}, the flight-safety-urgency control u_{ij}, a vector of maneuver-level controls x_{ij}, and an operator fixed effect alpha_i. Where the within-operator distribution of the outcome permits, the model is estimated by conditional maximum likelihood, so that the operator fixed effects are not directly estimated but are differenced out by conditioning on the operator-specific count of disclosures, in the standard panel-logit fashion. Where the conditional likelihood is degenerate for a subset of operators (those who disclose all maneuvers or none), those operators contribute to the descriptive tabulation but not to the identification of the treatment coefficient.</w:t>
      </w:r>
    </w:p>
    <w:p>
      <w:pPr>
        <w:pStyle w:val="BodyText"/>
        <w:spacing w:line="480" w:lineRule="auto"/>
        <w:ind w:firstLine="720"/>
      </w:pPr>
      <w:r>
        <w:t xml:space="preserve">Operator-fixed effects absorb time-invariant capacity, organizational culture, jurisdiction, and licensing posture. Identification of the coefficient on v_{ij} therefore comes from within-operator variation across maneuvers of differing informational content but comparable safety urgency. This is the design feature that allows the dissertation to claim identification of the inferential-cost mechanism rather than merely a cross-sectional correlation.</w:t>
      </w:r>
    </w:p>
    <w:p>
      <w:pPr>
        <w:pStyle w:val="BodyText"/>
        <w:spacing w:line="480" w:lineRule="auto"/>
        <w:ind w:firstLine="720"/>
      </w:pPr>
      <w:r>
        <w:t xml:space="preserve">As a robustness check, Estimator B is re-fit as a linear probability model with operator-fixed effects and cluster-robust standard errors clustered at the operator. The linear probability variant is reported alongside the logit to address the well-known incidental-parameters concern with fixed-effects nonlinear models on short panels, and to confirm that the sign and significance of the inferential-value coefficient are not artifacts of the logit functional form.</w:t>
      </w:r>
    </w:p>
    <w:bookmarkEnd w:id="103"/>
    <w:bookmarkStart w:id="104" w:name="X3cdd88be7fd29baf3f50e2c49767ef03237675d"/>
    <w:p>
      <w:pPr>
        <w:pStyle w:val="Heading3"/>
        <w:spacing w:line="480" w:lineRule="auto"/>
      </w:pPr>
      <w:r>
        <w:t xml:space="preserve">5.2.3 Discrete-time hazard of disclosure (Estimator C)</w:t>
      </w:r>
    </w:p>
    <w:p>
      <w:pPr>
        <w:pStyle w:val="FirstParagraph"/>
        <w:spacing w:line="480" w:lineRule="auto"/>
      </w:pPr>
      <w:r>
        <w:t xml:space="preserve">Estimator C addresses promptness rather than occurrence. The unit of observation is the maneuver-hour: each detected maneuver j contributes one row per hour from execution until disclosure, censoring, or the end of the observation window. The hazard h_{ij}(t) of disclosure in hour t is modeled as a complementary-log-log function of v_{ij}, u_{ij}, x_{ij}, the operator fixed effect alpha_i, and a flexible baseline hazard parameterized either as a piecewise-constant function over hour bins or as a low-order polynomial in elapsed time. The complementary-log-log link is preferred to the logit at the hazard stage because it is the discrete-time analog of the continuous-time proportional-hazards model, which permits direct comparison of hazard ratios across operators with different baseline disclosure tempos.</w:t>
      </w:r>
    </w:p>
    <w:p>
      <w:pPr>
        <w:pStyle w:val="BodyText"/>
        <w:spacing w:line="480" w:lineRule="auto"/>
        <w:ind w:firstLine="720"/>
      </w:pPr>
      <w:r>
        <w:t xml:space="preserve">Estimator C tests a distinct prediction. Under the inferential-cost mechanism, operators may eventually disclose informative maneuvers but delay disclosure until the informational content is degraded by elapsed time and by subsequent maneuvers. A negative coefficient on v_{ij} in the hazard model, even when the coefficient in the occurrence model is small, would identify the suppression of promptness rather than of disclosure itself. This is a substantive extension of the published-paper baseline.</w:t>
      </w:r>
    </w:p>
    <w:bookmarkEnd w:id="104"/>
    <w:bookmarkEnd w:id="105"/>
    <w:bookmarkStart w:id="110" w:name="X0ecd1f710f1c9c569f7dc7a103abc6c6922a49d"/>
    <w:p>
      <w:pPr>
        <w:pStyle w:val="Heading2"/>
        <w:spacing w:line="480" w:lineRule="auto"/>
      </w:pPr>
      <w:r>
        <w:t xml:space="preserve">5.3 Construction of the Variables of Interest</w:t>
      </w:r>
    </w:p>
    <w:bookmarkStart w:id="106" w:name="the-disclosure-outcome"/>
    <w:p>
      <w:pPr>
        <w:pStyle w:val="Heading3"/>
        <w:spacing w:line="480" w:lineRule="auto"/>
      </w:pPr>
      <w:r>
        <w:t xml:space="preserve">5.3.1 The disclosure outcome</w:t>
      </w:r>
    </w:p>
    <w:p>
      <w:pPr>
        <w:pStyle w:val="FirstParagraph"/>
        <w:spacing w:line="480" w:lineRule="auto"/>
      </w:pPr>
      <w:r>
        <w:t xml:space="preserve">The binary disclosure outcome is constructed by matching each detected maneuver against the public disclosure record. Detected maneuvers are drawn from the Space-Track.org catalog history, using the discontinuity-based detection logic that commercial catalog maintainers apply</w:t>
      </w:r>
      <w:r>
        <w:t xml:space="preserve"> </w:t>
      </w:r>
      <w:hyperlink w:anchor="ref-3">
        <w:r>
          <w:rPr>
            <w:rStyle w:val="Hyperlink"/>
          </w:rPr>
          <w:t xml:space="preserve">[3]</w:t>
        </w:r>
      </w:hyperlink>
      <w:r>
        <w:t xml:space="preserve"> </w:t>
      </w:r>
      <w:r>
        <w:t xml:space="preserve">and that the TraCSS validation methodology operationalizes</w:t>
      </w:r>
      <w:r>
        <w:t xml:space="preserve"> </w:t>
      </w:r>
      <w:hyperlink w:anchor="ref-8">
        <w:r>
          <w:rPr>
            <w:rStyle w:val="Hyperlink"/>
          </w:rPr>
          <w:t xml:space="preserve">[8]</w:t>
        </w:r>
      </w:hyperlink>
      <w:r>
        <w:t xml:space="preserve">. Disclosed maneuvers are drawn from the operator-provided ephemeris and pre-maneuver notification channels documented for the United States and European Union public services in the technical comparison of Borowitz and colleagues</w:t>
      </w:r>
      <w:r>
        <w:t xml:space="preserve"> </w:t>
      </w:r>
      <w:hyperlink w:anchor="ref-18">
        <w:r>
          <w:rPr>
            <w:rStyle w:val="Hyperlink"/>
          </w:rPr>
          <w:t xml:space="preserve">[18]</w:t>
        </w:r>
      </w:hyperlink>
      <w:r>
        <w:t xml:space="preserve">, the operational comparison of TraCSS and the Mission Delta 2 Conjunction Analysis System reported by Wolff and colleagues</w:t>
      </w:r>
      <w:r>
        <w:t xml:space="preserve"> </w:t>
      </w:r>
      <w:hyperlink w:anchor="ref-10">
        <w:r>
          <w:rPr>
            <w:rStyle w:val="Hyperlink"/>
          </w:rPr>
          <w:t xml:space="preserve">[10]</w:t>
        </w:r>
      </w:hyperlink>
      <w:r>
        <w:t xml:space="preserve"> </w:t>
      </w:r>
      <w:r>
        <w:t xml:space="preserve">and</w:t>
      </w:r>
      <w:r>
        <w:t xml:space="preserve"> </w:t>
      </w:r>
      <w:hyperlink w:anchor="ref-17">
        <w:r>
          <w:rPr>
            <w:rStyle w:val="Hyperlink"/>
          </w:rPr>
          <w:t xml:space="preserve">[17]</w:t>
        </w:r>
      </w:hyperlink>
      <w:r>
        <w:t xml:space="preserve">, and the distributed-coordination architecture described by Kebschull and colleagues</w:t>
      </w:r>
      <w:r>
        <w:t xml:space="preserve"> </w:t>
      </w:r>
      <w:hyperlink w:anchor="ref-15">
        <w:r>
          <w:rPr>
            <w:rStyle w:val="Hyperlink"/>
          </w:rPr>
          <w:t xml:space="preserve">[15]</w:t>
        </w:r>
      </w:hyperlink>
      <w:r>
        <w:t xml:space="preserve">. The matching window is pre-specified at seventy-two hours from execution for the binary outcome and is varied as a robustness check.</w:t>
      </w:r>
    </w:p>
    <w:p>
      <w:pPr>
        <w:pStyle w:val="BodyText"/>
        <w:spacing w:line="480" w:lineRule="auto"/>
        <w:ind w:firstLine="720"/>
      </w:pPr>
      <w:r>
        <w:t xml:space="preserve">The construction of the outcome is therefore fully derived from public services. The two perfect-predictor variables identified in Paper 1, United States jurisdiction and pre-existing public ephemeris participation, are retained as descriptive stratifiers in the maneuver-level analysis even though they cannot enter Estimator A under standard identification.</w:t>
      </w:r>
    </w:p>
    <w:bookmarkEnd w:id="106"/>
    <w:bookmarkStart w:id="107" w:name="the-inferential-value-treatment-v_ij"/>
    <w:p>
      <w:pPr>
        <w:pStyle w:val="Heading3"/>
        <w:spacing w:line="480" w:lineRule="auto"/>
      </w:pPr>
      <w:r>
        <w:t xml:space="preserve">5.3.2 The inferential-value treatment v_{ij}</w:t>
      </w:r>
    </w:p>
    <w:p>
      <w:pPr>
        <w:pStyle w:val="FirstParagraph"/>
        <w:spacing w:line="480" w:lineRule="auto"/>
      </w:pPr>
      <w:r>
        <w:t xml:space="preserve">The treatment variable v_{ij} is constructed from the geometry and magnitude of the detected maneuver, drawing on three established results. First, the work of Cha and colleagues on maneuver-path optimization for conjunctive resident space objects establishes that maneuver paths are computable from observation and that their geometric content is informative</w:t>
      </w:r>
      <w:r>
        <w:t xml:space="preserve"> </w:t>
      </w:r>
      <w:hyperlink w:anchor="ref-1">
        <w:r>
          <w:rPr>
            <w:rStyle w:val="Hyperlink"/>
          </w:rPr>
          <w:t xml:space="preserve">[1]</w:t>
        </w:r>
      </w:hyperlink>
      <w:r>
        <w:t xml:space="preserve">. Second, the geometry-sensitivity study of Penn and colleagues on a recently maneuvered satellite shows that maneuver geometry carries distinguishing content relative to the pre-maneuver orbit</w:t>
      </w:r>
      <w:r>
        <w:t xml:space="preserve"> </w:t>
      </w:r>
      <w:hyperlink w:anchor="ref-26">
        <w:r>
          <w:rPr>
            <w:rStyle w:val="Hyperlink"/>
          </w:rPr>
          <w:t xml:space="preserve">[26]</w:t>
        </w:r>
      </w:hyperlink>
      <w:r>
        <w:t xml:space="preserve">. Third, the supervised-learning work of Roberts and Linares on geosynchronous maneuver classification demonstrates that maneuver characteristics support reliable classification, which is the operational meaning of inferential value</w:t>
      </w:r>
      <w:r>
        <w:t xml:space="preserve"> </w:t>
      </w:r>
      <w:hyperlink w:anchor="ref-27">
        <w:r>
          <w:rPr>
            <w:rStyle w:val="Hyperlink"/>
          </w:rPr>
          <w:t xml:space="preserve">[27]</w:t>
        </w:r>
      </w:hyperlink>
      <w:r>
        <w:t xml:space="preserve">. The treatment is constructed as a continuous index combining the magnitude of the delta-v inferred from the catalog discontinuity, the angular separation of the maneuver from the operator’s prevailing station-keeping direction, and an indicator for maneuvers that fall outside the modal cadence of the operator’s prior maneuver history. The index is standardized within orbital regime so that its scale is comparable across operators whose baseline maneuver tempos differ.</w:t>
      </w:r>
    </w:p>
    <w:p>
      <w:pPr>
        <w:pStyle w:val="BodyText"/>
        <w:spacing w:line="480" w:lineRule="auto"/>
        <w:ind w:firstLine="720"/>
      </w:pPr>
      <w:r>
        <w:t xml:space="preserve">The crucial property of v_{ij} is that it is derived from the physics of the maneuver, not from the disclosure outcome. The maneuver’s geometric and magnitude content is observable to any well-instrumented external party; this is the entire premise of the inferential-cost mechanism. Constructing v_{ij} from this content rather than from a downstream classification of the maneuver as</w:t>
      </w:r>
      <w:r>
        <w:t xml:space="preserve"> </w:t>
      </w:r>
      <w:r>
        <w:t xml:space="preserve">“sensitive”</w:t>
      </w:r>
      <w:r>
        <w:t xml:space="preserve"> </w:t>
      </w:r>
      <w:r>
        <w:t xml:space="preserve">guards against circularity. The index is reported with a sensitivity table that varies the weights on its components and confirms that the treatment coefficient on v_{ij} is not driven by a single component.</w:t>
      </w:r>
    </w:p>
    <w:bookmarkEnd w:id="107"/>
    <w:bookmarkStart w:id="108" w:name="the-safety-urgency-control-u_ij"/>
    <w:p>
      <w:pPr>
        <w:pStyle w:val="Heading3"/>
        <w:spacing w:line="480" w:lineRule="auto"/>
      </w:pPr>
      <w:r>
        <w:t xml:space="preserve">5.3.3 The safety-urgency control u_{ij}</w:t>
      </w:r>
    </w:p>
    <w:p>
      <w:pPr>
        <w:pStyle w:val="FirstParagraph"/>
        <w:spacing w:line="480" w:lineRule="auto"/>
      </w:pPr>
      <w:r>
        <w:t xml:space="preserve">The safety-urgency control u_{ij} is built from the conjunction context in which the maneuver was executed. For each maneuver, I record the highest-probability conjunction-data message that the responsible spacecraft received in the seven days prior to execution, the time-to-closest-approach at the time of the message, the miss distance, and the probability of collision reported. Where multiple conjunction-data messages are present, the operationally dominant one is selected by the same criterion that the COLA-improvement work of Sorge and colleagues identifies for collision-avoidance decisions</w:t>
      </w:r>
      <w:r>
        <w:t xml:space="preserve"> </w:t>
      </w:r>
      <w:hyperlink w:anchor="ref-20">
        <w:r>
          <w:rPr>
            <w:rStyle w:val="Hyperlink"/>
          </w:rPr>
          <w:t xml:space="preserve">[20]</w:t>
        </w:r>
      </w:hyperlink>
      <w:r>
        <w:t xml:space="preserve">. The conjunction-data-message stream is sourced from Space-Track and cross-checked against the EU SST architecture documented by Borowitz and colleagues</w:t>
      </w:r>
      <w:r>
        <w:t xml:space="preserve"> </w:t>
      </w:r>
      <w:hyperlink w:anchor="ref-18">
        <w:r>
          <w:rPr>
            <w:rStyle w:val="Hyperlink"/>
          </w:rPr>
          <w:t xml:space="preserve">[18]</w:t>
        </w:r>
      </w:hyperlink>
      <w:r>
        <w:t xml:space="preserve"> </w:t>
      </w:r>
      <w:r>
        <w:t xml:space="preserve">for operators whose European data are available.</w:t>
      </w:r>
    </w:p>
    <w:p>
      <w:pPr>
        <w:pStyle w:val="BodyText"/>
        <w:spacing w:line="480" w:lineRule="auto"/>
        <w:ind w:firstLine="720"/>
      </w:pPr>
      <w:r>
        <w:t xml:space="preserve">The separation of u_{ij} from v_{ij} is supported by the operational separability of detection and screening shown in the commercial catalog-performance work</w:t>
      </w:r>
      <w:r>
        <w:t xml:space="preserve"> </w:t>
      </w:r>
      <w:hyperlink w:anchor="ref-3">
        <w:r>
          <w:rPr>
            <w:rStyle w:val="Hyperlink"/>
          </w:rPr>
          <w:t xml:space="preserve">[3]</w:t>
        </w:r>
      </w:hyperlink>
      <w:r>
        <w:t xml:space="preserve">, the maneuvering-spacecraft screening work</w:t>
      </w:r>
      <w:r>
        <w:t xml:space="preserve"> </w:t>
      </w:r>
      <w:hyperlink w:anchor="ref-9">
        <w:r>
          <w:rPr>
            <w:rStyle w:val="Hyperlink"/>
          </w:rPr>
          <w:t xml:space="preserve">[9]</w:t>
        </w:r>
      </w:hyperlink>
      <w:r>
        <w:t xml:space="preserve">, and the TraCSS validation framework</w:t>
      </w:r>
      <w:r>
        <w:t xml:space="preserve"> </w:t>
      </w:r>
      <w:hyperlink w:anchor="ref-8">
        <w:r>
          <w:rPr>
            <w:rStyle w:val="Hyperlink"/>
          </w:rPr>
          <w:t xml:space="preserve">[8]</w:t>
        </w:r>
      </w:hyperlink>
      <w:r>
        <w:t xml:space="preserve">. Operators face two distinct decision pressures, one from the safety stream and one from the informational stream, and the dissertation’s identifying claim is that these pressures are sufficiently distinguishable in the data to support an estimate of v_{ij}’s coefficient net of u_{ij}.</w:t>
      </w:r>
    </w:p>
    <w:bookmarkEnd w:id="108"/>
    <w:bookmarkStart w:id="109" w:name="maneuver-level-controls-x_ij"/>
    <w:p>
      <w:pPr>
        <w:pStyle w:val="Heading3"/>
        <w:spacing w:line="480" w:lineRule="auto"/>
      </w:pPr>
      <w:r>
        <w:t xml:space="preserve">5.3.4 Maneuver-level controls x_{ij}</w:t>
      </w:r>
    </w:p>
    <w:p>
      <w:pPr>
        <w:pStyle w:val="FirstParagraph"/>
        <w:spacing w:line="480" w:lineRule="auto"/>
      </w:pPr>
      <w:r>
        <w:t xml:space="preserve">The control vector x_{ij} includes the orbital regime (a low-Earth-orbit altitude band), the time elapsed since the operator’s last detected maneuver, an indicator for maneuvers executed during the post-TraCSS launch window described by Wolff and colleagues</w:t>
      </w:r>
      <w:r>
        <w:t xml:space="preserve"> </w:t>
      </w:r>
      <w:hyperlink w:anchor="ref-10">
        <w:r>
          <w:rPr>
            <w:rStyle w:val="Hyperlink"/>
          </w:rPr>
          <w:t xml:space="preserve">[10]</w:t>
        </w:r>
      </w:hyperlink>
      <w:r>
        <w:t xml:space="preserve"> </w:t>
      </w:r>
      <w:r>
        <w:t xml:space="preserve">and</w:t>
      </w:r>
      <w:r>
        <w:t xml:space="preserve"> </w:t>
      </w:r>
      <w:hyperlink w:anchor="ref-17">
        <w:r>
          <w:rPr>
            <w:rStyle w:val="Hyperlink"/>
          </w:rPr>
          <w:t xml:space="preserve">[17]</w:t>
        </w:r>
      </w:hyperlink>
      <w:r>
        <w:t xml:space="preserve">, and an indicator for maneuvers executed by spacecraft that participate in the autonomous flight-dynamics-control architecture documented by Hejduk and colleagues for co-located constellations</w:t>
      </w:r>
      <w:r>
        <w:t xml:space="preserve"> </w:t>
      </w:r>
      <w:hyperlink w:anchor="ref-11">
        <w:r>
          <w:rPr>
            <w:rStyle w:val="Hyperlink"/>
          </w:rPr>
          <w:t xml:space="preserve">[11]</w:t>
        </w:r>
      </w:hyperlink>
      <w:r>
        <w:t xml:space="preserve">. The regime band is included because the externality structure and disclosure incentives differ across regimes, consistent with the policy-based orbital-classification framework of Stilwell and colleagues</w:t>
      </w:r>
      <w:r>
        <w:t xml:space="preserve"> </w:t>
      </w:r>
      <w:hyperlink w:anchor="ref-13">
        <w:r>
          <w:rPr>
            <w:rStyle w:val="Hyperlink"/>
          </w:rPr>
          <w:t xml:space="preserve">[13]</w:t>
        </w:r>
      </w:hyperlink>
      <w:r>
        <w:t xml:space="preserve">. The autonomous-flight-dynamics indicator is included because the disclosure channel for those operators is technically distinct.</w:t>
      </w:r>
    </w:p>
    <w:bookmarkEnd w:id="109"/>
    <w:bookmarkEnd w:id="110"/>
    <w:bookmarkStart w:id="111" w:name="identification-strategy"/>
    <w:p>
      <w:pPr>
        <w:pStyle w:val="Heading2"/>
        <w:spacing w:line="480" w:lineRule="auto"/>
      </w:pPr>
      <w:r>
        <w:t xml:space="preserve">5.4 Identification Strategy</w:t>
      </w:r>
    </w:p>
    <w:p>
      <w:pPr>
        <w:pStyle w:val="FirstParagraph"/>
        <w:spacing w:line="480" w:lineRule="auto"/>
      </w:pPr>
      <w:r>
        <w:t xml:space="preserve">The identification strategy of the dissertation is a within-operator, within-urgency-band research design. It rests on four pillars.</w:t>
      </w:r>
    </w:p>
    <w:p>
      <w:pPr>
        <w:pStyle w:val="BodyText"/>
        <w:spacing w:line="480" w:lineRule="auto"/>
        <w:ind w:firstLine="720"/>
      </w:pPr>
      <w:r>
        <w:t xml:space="preserve">The first pillar is the operator fixed effect alpha_i. By absorbing time-invariant operator capacity, culture, jurisdiction, and licensing posture, alpha_i removes the principal confounders that have historically conflated capacity with incentive in the voluntary-norms literature. Estimator A characterizes the distribution of disclosure across operators; Estimator B identifies the mechanism within operators. The contribution to identification is that an operator who discloses some maneuvers and not others reveals, through the contrast, the marginal incentive that governs the disclosure decision.</w:t>
      </w:r>
    </w:p>
    <w:p>
      <w:pPr>
        <w:pStyle w:val="BodyText"/>
        <w:spacing w:line="480" w:lineRule="auto"/>
        <w:ind w:firstLine="720"/>
      </w:pPr>
      <w:r>
        <w:t xml:space="preserve">The second pillar is direct conditioning on flight-safety urgency. Because u_{ij} is built from the conjunction stream rather than from maneuver characteristics, it captures the safety-side incentive to disclose without absorbing the informational-cost side. This is the separation that the published technical literature treats as operationally routine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w:t>
      </w:r>
      <w:r>
        <w:t xml:space="preserve">and that the dissertation operationalizes for inference.</w:t>
      </w:r>
    </w:p>
    <w:p>
      <w:pPr>
        <w:pStyle w:val="BodyText"/>
        <w:spacing w:line="480" w:lineRule="auto"/>
        <w:ind w:firstLine="720"/>
      </w:pPr>
      <w:r>
        <w:t xml:space="preserve">The third pillar is the derivation of v_{ij} from the physics of the maneuver rather than from the outcome. The treatment is constructed from delta-v magnitude, geometric content</w:t>
      </w:r>
      <w:r>
        <w:t xml:space="preserve"> </w:t>
      </w:r>
      <w:hyperlink w:anchor="ref-1">
        <w:r>
          <w:rPr>
            <w:rStyle w:val="Hyperlink"/>
          </w:rPr>
          <w:t xml:space="preserve">[1]</w:t>
        </w:r>
      </w:hyperlink>
      <w:r>
        <w:t xml:space="preserve">,</w:t>
      </w:r>
      <w:r>
        <w:t xml:space="preserve"> </w:t>
      </w:r>
      <w:hyperlink w:anchor="ref-26">
        <w:r>
          <w:rPr>
            <w:rStyle w:val="Hyperlink"/>
          </w:rPr>
          <w:t xml:space="preserve">[26]</w:t>
        </w:r>
      </w:hyperlink>
      <w:r>
        <w:t xml:space="preserve">, and classification-relevant signatures</w:t>
      </w:r>
      <w:r>
        <w:t xml:space="preserve"> </w:t>
      </w:r>
      <w:hyperlink w:anchor="ref-27">
        <w:r>
          <w:rPr>
            <w:rStyle w:val="Hyperlink"/>
          </w:rPr>
          <w:t xml:space="preserve">[27]</w:t>
        </w:r>
      </w:hyperlink>
      <w:r>
        <w:t xml:space="preserve">, none of which depends on whether the maneuver was disclosed. This breaks the most obvious source of reverse causation, in which an analyst codes a maneuver as informationally sensitive because it was not disclosed.</w:t>
      </w:r>
    </w:p>
    <w:p>
      <w:pPr>
        <w:pStyle w:val="BodyText"/>
        <w:spacing w:line="480" w:lineRule="auto"/>
        <w:ind w:firstLine="720"/>
      </w:pPr>
      <w:r>
        <w:t xml:space="preserve">The fourth pillar is the use of a placebo class of maneuvers. The dissertation identifies a class of routine station-keeping maneuvers with low geometric content and no plausible inferential value, executed by operators who otherwise vary widely in their disclosure behavior. If the inferential-value coefficient on this placebo class is statistically indistinguishable from zero, while the coefficient on the substantive class is negative and distinguishable from zero, the placebo confirms that the estimated effect is not an artifact of operator-level disclosure habits applied uniformly to all maneuvers.</w:t>
      </w:r>
    </w:p>
    <w:p>
      <w:pPr>
        <w:pStyle w:val="BodyText"/>
        <w:spacing w:line="480" w:lineRule="auto"/>
        <w:ind w:firstLine="720"/>
      </w:pPr>
      <w:r>
        <w:t xml:space="preserve">These four pillars together yield an identification claim that is stronger than the cross-sectional inference of Papers 1 and 2 and that supports the dissertation’s central contention as a causal statement about the mechanism, not merely a correlational statement about the population.</w:t>
      </w:r>
    </w:p>
    <w:bookmarkEnd w:id="111"/>
    <w:bookmarkStart w:id="120" w:name="X1d189e0776bd0a9225211f020d00b109bd29bed"/>
    <w:p>
      <w:pPr>
        <w:pStyle w:val="Heading2"/>
        <w:spacing w:line="480" w:lineRule="auto"/>
      </w:pPr>
      <w:r>
        <w:t xml:space="preserve">5.5 Threats to Validity and How Each Is Bounded</w:t>
      </w:r>
    </w:p>
    <w:bookmarkStart w:id="112" w:name="X7931169b0654705e8332bd5f9b25342c06ff955"/>
    <w:p>
      <w:pPr>
        <w:pStyle w:val="Heading3"/>
        <w:spacing w:line="480" w:lineRule="auto"/>
      </w:pPr>
      <w:r>
        <w:t xml:space="preserve">5.5.1 Measurement error in the dependent variable</w:t>
      </w:r>
    </w:p>
    <w:p>
      <w:pPr>
        <w:pStyle w:val="FirstParagraph"/>
        <w:spacing w:line="480" w:lineRule="auto"/>
      </w:pPr>
      <w:r>
        <w:t xml:space="preserve">A maneuver coded as undisclosed may have been disclosed through a channel not captured in the public record. This biases against the alternative hypothesis by adding noise to the outcome, so a confirmed alternative is conservative. The sample is restricted to operators whose disclosure channels are public and enumerable</w:t>
      </w:r>
      <w:r>
        <w:t xml:space="preserve"> </w:t>
      </w:r>
      <w:hyperlink w:anchor="ref-10">
        <w:r>
          <w:rPr>
            <w:rStyle w:val="Hyperlink"/>
          </w:rPr>
          <w:t xml:space="preserve">[10]</w:t>
        </w:r>
      </w:hyperlink>
      <w:r>
        <w:t xml:space="preserve">,</w:t>
      </w:r>
      <w:r>
        <w:t xml:space="preserve"> </w:t>
      </w:r>
      <w:hyperlink w:anchor="ref-15">
        <w:r>
          <w:rPr>
            <w:rStyle w:val="Hyperlink"/>
          </w:rPr>
          <w:t xml:space="preserve">[15]</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and a sensitivity analysis re-fits the model after dropping any operator whose disclosure infrastructure is suspected to be incomplete in the public record.</w:t>
      </w:r>
    </w:p>
    <w:bookmarkEnd w:id="112"/>
    <w:bookmarkStart w:id="113" w:name="X97d9a7c9afbe78d3c600553b966ee2327bf5857"/>
    <w:p>
      <w:pPr>
        <w:pStyle w:val="Heading3"/>
        <w:spacing w:line="480" w:lineRule="auto"/>
      </w:pPr>
      <w:r>
        <w:t xml:space="preserve">5.5.2 Endogeneity of inferential value to safety urgency</w:t>
      </w:r>
    </w:p>
    <w:p>
      <w:pPr>
        <w:pStyle w:val="FirstParagraph"/>
        <w:spacing w:line="480" w:lineRule="auto"/>
      </w:pPr>
      <w:r>
        <w:t xml:space="preserve">High-energy maneuvers may be both more informative and more safety-relevant. The design addresses this in three ways: by conditioning on conjunction-derived urgency</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by deriving v_{ij} from maneuver physics rather than from outcomes</w:t>
      </w:r>
      <w:r>
        <w:t xml:space="preserve"> </w:t>
      </w:r>
      <w:hyperlink w:anchor="ref-1">
        <w:r>
          <w:rPr>
            <w:rStyle w:val="Hyperlink"/>
          </w:rPr>
          <w:t xml:space="preserve">[1]</w:t>
        </w:r>
      </w:hyperlink>
      <w:r>
        <w:t xml:space="preserve">,</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 and by exploiting within-operator within-urgency-band variation through the operator fixed effects in Estimator B. Residual correlation between v_{ij} and u_{ij} would attenuate rather than manufacture the treatment coefficient, so a confirmed alternative remains a conservative inference.</w:t>
      </w:r>
    </w:p>
    <w:bookmarkEnd w:id="113"/>
    <w:bookmarkStart w:id="114" w:name="selection-in-maneuver-detection"/>
    <w:p>
      <w:pPr>
        <w:pStyle w:val="Heading3"/>
        <w:spacing w:line="480" w:lineRule="auto"/>
      </w:pPr>
      <w:r>
        <w:t xml:space="preserve">5.5.3 Selection in maneuver detection</w:t>
      </w:r>
    </w:p>
    <w:p>
      <w:pPr>
        <w:pStyle w:val="FirstParagraph"/>
        <w:spacing w:line="480" w:lineRule="auto"/>
      </w:pPr>
      <w:r>
        <w:t xml:space="preserve">Small maneuvers may escape detection, and detectability may correlate with inferential value. Because the technical literature establishes that detection sensitivity is a characterizable function of tracking cadence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the detection threshold is modeled explicitly and the primary results are reported on the subsample above a conservative detectability floor. A second sensitivity analysis varies the floor and reports the treatment coefficient at each level; a stable coefficient across floors indicates that selection in detection does not drive the result.</w:t>
      </w:r>
    </w:p>
    <w:bookmarkEnd w:id="114"/>
    <w:bookmarkStart w:id="115" w:name="X1ba0055a974bdd38196c53ece08e6b34cc2f068"/>
    <w:p>
      <w:pPr>
        <w:pStyle w:val="Heading3"/>
        <w:spacing w:line="480" w:lineRule="auto"/>
      </w:pPr>
      <w:r>
        <w:t xml:space="preserve">5.5.4 Operator strategic response to disclosure infrastructure</w:t>
      </w:r>
    </w:p>
    <w:p>
      <w:pPr>
        <w:pStyle w:val="FirstParagraph"/>
        <w:spacing w:line="480" w:lineRule="auto"/>
      </w:pPr>
      <w:r>
        <w:t xml:space="preserve">Operators may respond to the introduction of the Traffic Coordination System for Space by changing both their maneuver behavior and their disclosure behavior in correlated ways</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This is partially absorbed by the post-TraCSS indicator in x_{ij}, but a residual concern remains that the post-TraCSS regime changes the meaning of v_{ij} itself. The dissertation reports stratified results within and outside the post-TraCSS window, so that the treatment coefficient can be inspected for regime sensitivity rather than averaged across regimes.</w:t>
      </w:r>
    </w:p>
    <w:bookmarkEnd w:id="115"/>
    <w:bookmarkStart w:id="116" w:name="external-validity-across-orbital-regimes"/>
    <w:p>
      <w:pPr>
        <w:pStyle w:val="Heading3"/>
        <w:spacing w:line="480" w:lineRule="auto"/>
      </w:pPr>
      <w:r>
        <w:t xml:space="preserve">5.5.5 External validity across orbital regimes</w:t>
      </w:r>
    </w:p>
    <w:p>
      <w:pPr>
        <w:pStyle w:val="FirstParagraph"/>
        <w:spacing w:line="480" w:lineRule="auto"/>
      </w:pPr>
      <w:r>
        <w:t xml:space="preserve">The mechanism is theorized for low Earth orbit, where the externality structure is most acute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Geosynchronous disclosure dynamics, served by a distinct service ecosystem</w:t>
      </w:r>
      <w:r>
        <w:t xml:space="preserve"> </w:t>
      </w:r>
      <w:hyperlink w:anchor="ref-2">
        <w:r>
          <w:rPr>
            <w:rStyle w:val="Hyperlink"/>
          </w:rPr>
          <w:t xml:space="preserve">[2]</w:t>
        </w:r>
      </w:hyperlink>
      <w:r>
        <w:t xml:space="preserve"> </w:t>
      </w:r>
      <w:r>
        <w:t xml:space="preserve">and characterized by a different maneuver-classification literature</w:t>
      </w:r>
      <w:r>
        <w:t xml:space="preserve"> </w:t>
      </w:r>
      <w:hyperlink w:anchor="ref-27">
        <w:r>
          <w:rPr>
            <w:rStyle w:val="Hyperlink"/>
          </w:rPr>
          <w:t xml:space="preserve">[27]</w:t>
        </w:r>
      </w:hyperlink>
      <w:r>
        <w:t xml:space="preserve">, may obey a different incentive logic. The primary claim is therefore confined to low Earth orbit, with any geosynchronous result reported descriptively. The cislunar extensions discussed in the Anilkumar collaborative work</w:t>
      </w:r>
      <w:r>
        <w:t xml:space="preserve"> </w:t>
      </w:r>
      <w:hyperlink w:anchor="ref-22">
        <w:r>
          <w:rPr>
            <w:rStyle w:val="Hyperlink"/>
          </w:rPr>
          <w:t xml:space="preserve">[22]</w:t>
        </w:r>
      </w:hyperlink>
      <w:r>
        <w:t xml:space="preserve"> </w:t>
      </w:r>
      <w:r>
        <w:t xml:space="preserve">are treated as out of sample.</w:t>
      </w:r>
    </w:p>
    <w:bookmarkEnd w:id="116"/>
    <w:bookmarkStart w:id="117" w:name="Xcecdc0fa54b9773ceea3676f80931120b3e6d9f"/>
    <w:p>
      <w:pPr>
        <w:pStyle w:val="Heading3"/>
        <w:spacing w:line="480" w:lineRule="auto"/>
      </w:pPr>
      <w:r>
        <w:t xml:space="preserve">5.5.6 Dual-use coding and contractual provenance</w:t>
      </w:r>
    </w:p>
    <w:p>
      <w:pPr>
        <w:pStyle w:val="FirstParagraph"/>
        <w:spacing w:line="480" w:lineRule="auto"/>
      </w:pPr>
      <w:r>
        <w:t xml:space="preserve">The dual-use indicator central to Paper 2 carries its own measurement concern: an operator’s documented dual-use posture is itself a function of contracts that may evolve. The coding pipeline records each operator’s dual-use determination with a contract-level provenance entry and re-codes the indicator at multiple cutoff dates as a sensitivity test, so that the treatment coefficient on the dual-use channel can be inspected for stability across coding vintages. This addresses the discourse-network observation that the dual-use seam is contested over time</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w:t>
      </w:r>
      <w:r>
        <w:t xml:space="preserve">and ensures that the dissertation’s empirical claim does not rest on a single coding snapshot.</w:t>
      </w:r>
    </w:p>
    <w:bookmarkEnd w:id="117"/>
    <w:bookmarkStart w:id="118" w:name="outreach-and-reporting-culture"/>
    <w:p>
      <w:pPr>
        <w:pStyle w:val="Heading3"/>
        <w:spacing w:line="480" w:lineRule="auto"/>
      </w:pPr>
      <w:r>
        <w:t xml:space="preserve">5.5.7 Outreach and reporting culture</w:t>
      </w:r>
    </w:p>
    <w:p>
      <w:pPr>
        <w:pStyle w:val="FirstParagraph"/>
        <w:spacing w:line="480" w:lineRule="auto"/>
      </w:pPr>
      <w:r>
        <w:t xml:space="preserve">Voluntary disclosure behavior is shaped not only by incentives but by the outreach and educational infrastructure surrounding STM</w:t>
      </w:r>
      <w:r>
        <w:t xml:space="preserve"> </w:t>
      </w:r>
      <w:hyperlink w:anchor="ref-31">
        <w:r>
          <w:rPr>
            <w:rStyle w:val="Hyperlink"/>
          </w:rPr>
          <w:t xml:space="preserve">[31]</w:t>
        </w:r>
      </w:hyperlink>
      <w:r>
        <w:t xml:space="preserve"> </w:t>
      </w:r>
      <w:r>
        <w:t xml:space="preserve">and by the institutional culture that the discourse-network analysis identifies</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The operator fixed effect alpha_i absorbs the time-invariant component of this culture. A residual concern is that operator culture shifts within the observation window. A robustness specification interacts alpha_i with a coarse time indicator and reports the treatment coefficient under this richer fixed-effect structure.</w:t>
      </w:r>
    </w:p>
    <w:bookmarkEnd w:id="118"/>
    <w:bookmarkStart w:id="119" w:name="sample-size-and-statistical-power"/>
    <w:p>
      <w:pPr>
        <w:pStyle w:val="Heading3"/>
        <w:spacing w:line="480" w:lineRule="auto"/>
      </w:pPr>
      <w:r>
        <w:t xml:space="preserve">5.5.8 Sample size and statistical power</w:t>
      </w:r>
    </w:p>
    <w:p>
      <w:pPr>
        <w:pStyle w:val="FirstParagraph"/>
        <w:spacing w:line="480" w:lineRule="auto"/>
      </w:pPr>
      <w:r>
        <w:t xml:space="preserve">The published-paper baseline (twenty-eight operators in Paper 2, thirty-nine in Paper 1) is small relative to the parameter space. The maneuver-level extension materially increases the unit count by moving from operator-cross-section to maneuver-panel, but the effective sample for the conditional likelihood is bounded by the number of operators who disclose some maneuvers and not others. The dissertation reports the effective sample explicitly at each estimation, alongside the Firth-penalized robustness specification for cases in which separation re-emerges at the maneuver level.</w:t>
      </w:r>
    </w:p>
    <w:bookmarkEnd w:id="119"/>
    <w:bookmarkEnd w:id="120"/>
    <w:bookmarkStart w:id="121" w:name="pre-registration-and-replication"/>
    <w:p>
      <w:pPr>
        <w:pStyle w:val="Heading2"/>
        <w:spacing w:line="480" w:lineRule="auto"/>
      </w:pPr>
      <w:r>
        <w:t xml:space="preserve">5.6 Pre-Registration and Replication</w:t>
      </w:r>
    </w:p>
    <w:p>
      <w:pPr>
        <w:pStyle w:val="FirstParagraph"/>
        <w:spacing w:line="480" w:lineRule="auto"/>
      </w:pPr>
      <w:r>
        <w:t xml:space="preserve">The estimation pipeline, including the construction of v_{ij}, the construction of u_{ij}, the matching window for the disclosure outcome, and the placebo class of routine station-keeping maneuvers, is pre-registered before the maneuver-level data extraction is finalized. The pipeline is built in scripted form against public services</w:t>
      </w:r>
      <w:r>
        <w:t xml:space="preserve"> </w:t>
      </w:r>
      <w:hyperlink w:anchor="ref-10">
        <w:r>
          <w:rPr>
            <w:rStyle w:val="Hyperlink"/>
          </w:rPr>
          <w:t xml:space="preserve">[10]</w:t>
        </w:r>
      </w:hyperlink>
      <w:r>
        <w:t xml:space="preserve">,</w:t>
      </w:r>
      <w:r>
        <w:t xml:space="preserve"> </w:t>
      </w:r>
      <w:hyperlink w:anchor="ref-15">
        <w:r>
          <w:rPr>
            <w:rStyle w:val="Hyperlink"/>
          </w:rPr>
          <w:t xml:space="preserve">[15]</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w:t>
      </w:r>
      <w:r>
        <w:t xml:space="preserve">so that any reader with credentials on those services can replicate the maneuver detection, the matching, and the estimation. The replication package distinguishes the operator-level results that reproduce Papers 1 and 2 from the maneuver-level results that constitute the dissertation’s contribution beyond them. This is consistent with the broader call for transparent provenance in STM analysis and with the sustainability-rating tradition of reproducible scoring</w:t>
      </w:r>
      <w:r>
        <w:t xml:space="preserve"> </w:t>
      </w:r>
      <w:hyperlink w:anchor="ref-12">
        <w:r>
          <w:rPr>
            <w:rStyle w:val="Hyperlink"/>
          </w:rPr>
          <w:t xml:space="preserve">[12]</w:t>
        </w:r>
      </w:hyperlink>
      <w:r>
        <w:t xml:space="preserve">,</w:t>
      </w:r>
      <w:r>
        <w:t xml:space="preserve"> </w:t>
      </w:r>
      <w:hyperlink w:anchor="ref-29">
        <w:r>
          <w:rPr>
            <w:rStyle w:val="Hyperlink"/>
          </w:rPr>
          <w:t xml:space="preserve">[29]</w:t>
        </w:r>
      </w:hyperlink>
      <w:r>
        <w:t xml:space="preserve">. The pipeline is documented so that subsequent users, including those working in the source-sink environmental modeling tradition</w:t>
      </w:r>
      <w:r>
        <w:t xml:space="preserve"> </w:t>
      </w:r>
      <w:hyperlink w:anchor="ref-28">
        <w:r>
          <w:rPr>
            <w:rStyle w:val="Hyperlink"/>
          </w:rPr>
          <w:t xml:space="preserve">[28]</w:t>
        </w:r>
      </w:hyperlink>
      <w:r>
        <w:t xml:space="preserve"> </w:t>
      </w:r>
      <w:r>
        <w:t xml:space="preserve">and in coordinated avoidance-maneuver framework development</w:t>
      </w:r>
      <w:r>
        <w:t xml:space="preserve"> </w:t>
      </w:r>
      <w:hyperlink w:anchor="ref-30">
        <w:r>
          <w:rPr>
            <w:rStyle w:val="Hyperlink"/>
          </w:rPr>
          <w:t xml:space="preserve">[30]</w:t>
        </w:r>
      </w:hyperlink>
      <w:r>
        <w:t xml:space="preserve">, can re-use the maneuver-detection and matching components without re-implementation.</w:t>
      </w:r>
    </w:p>
    <w:p>
      <w:pPr>
        <w:pStyle w:val="BodyText"/>
        <w:spacing w:line="480" w:lineRule="auto"/>
        <w:ind w:firstLine="720"/>
      </w:pPr>
      <w:r>
        <w:t xml:space="preserve">The chapter closes by noting what the methods do not do. They do not infer intent. They do not assign blame. They identify, from public data, the conditional partial association between the informational content of a maneuver and the probability and promptness of its disclosure, net of the safety urgency that voluntary norms are designed to address, and within the operator. If that conditional association is negative and statistically distinguishable from zero, the negligible-cost premise of voluntary STM norms is empirically rejected, and the policy implications elaborated in subsequent chapters follow.</w:t>
      </w:r>
    </w:p>
    <w:bookmarkEnd w:id="121"/>
    <w:bookmarkEnd w:id="122"/>
    <w:bookmarkStart w:id="126"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estimated compliance models that constitute the quantitative core of the dissertation. Paper 1 estimates the structural correlates of voluntary maneuver-disclosure compliance across a cross-section of thirty-nine low Earth orbit operators, using observable operator characteristics that the prior literature treats as proxies for capacity, regulatory exposure, and operational tempo</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Paper 2 estimates a logit model on a twenty-eight operator cross-section that introduces the dual-use indicator as a direct measure of the inferential cost of disclosure, alongside a flight-safety urgency control derived from public conjunction reporting</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The two specifications are complementary rather than competing. Paper 1 maps the surface of the compliance distribution. Paper 2 isolates the mechanism by which the hidden private cost of disclosure expresses itself in operator behavior. Both models are read against the falsification criterion set out in the prospectus: that the coefficient on the variable proxying for inferential value should be statistically distinguishable from zero, with a sign consistent with disclosure suppression, after the safety incentive to disclose has been controlled for</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chapter reports the estimated coefficients, standard errors, and significance levels exactly as produced by the maximum-likelihood estimator, situates each within the theoretical structure articulated in chapters two and three, and discusses the substantive magnitude of the findings without rehearsing the formal tables, which are embedded as Appendix A.</w:t>
      </w:r>
    </w:p>
    <w:bookmarkStart w:id="123" w:name="X4d7d5b626dc9b9a461afc865ad826b64616822b"/>
    <w:p>
      <w:pPr>
        <w:pStyle w:val="Heading2"/>
        <w:spacing w:line="480" w:lineRule="auto"/>
      </w:pPr>
      <w:r>
        <w:t xml:space="preserve">6.1 Operator-Level Correlates of Voluntary Disclosure (Paper 1)</w:t>
      </w:r>
    </w:p>
    <w:p>
      <w:pPr>
        <w:pStyle w:val="FirstParagraph"/>
        <w:spacing w:line="480" w:lineRule="auto"/>
      </w:pPr>
      <w:r>
        <w:t xml:space="preserve">Paper 1 estimates a binary logit on thirty-nine LEO and adjacent-orbit operators, with the dependent variable coded one if the operator publishes maneuver notifications or operator-provided ephemerides through a public service of the kind catalogued by the technical SSA literature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w:t>
      </w:r>
      <w:r>
        <w:t xml:space="preserve"> </w:t>
      </w:r>
      <w:hyperlink w:anchor="ref-16">
        <w:r>
          <w:rPr>
            <w:rStyle w:val="Hyperlink"/>
          </w:rPr>
          <w:t xml:space="preserve">[16]</w:t>
        </w:r>
      </w:hyperlink>
      <w:r>
        <w:t xml:space="preserve">. The retained specification includes the natural log of fleet size, a commercial-status indicator, operator age in years, and a constellation indicator. Two further candidates, United States jurisdiction and pre-existing public ephemeris participation, were dropped at the model-construction stage because each perfectly predicts the outcome in the sample. Their exclusion is itself an empirical finding and is discussed below before the multivariate results are interpreted.</w:t>
      </w:r>
    </w:p>
    <w:p>
      <w:pPr>
        <w:pStyle w:val="BodyText"/>
        <w:spacing w:line="480" w:lineRule="auto"/>
        <w:ind w:firstLine="720"/>
      </w:pPr>
      <w:r>
        <w:t xml:space="preserve">The estimator converges cleanly without warnings on the thirty-nine operator sample. The model achieves a McFadden pseudo R-squared of 0.1505 and a log-likelihood of negative 20.45. The pseudo R-squared lies in the range that the discrete-choice literature treats as a substantively meaningful improvement over the intercept-only baseline for a four-covariate specification estimated on a sample of this size, and the log-likelihood is consistent with a model that captures real structure in the disclosure decision rather than fitting noise. Twenty-seven of the thirty-nine operators disclose, for a sample disclosure rate of 0.6923. The model is therefore being asked to predict a moderately imbalanced binary outcome with a small number of explanatory variables, and the diagnostic statistics indicate that it does so without strain.</w:t>
      </w:r>
    </w:p>
    <w:p>
      <w:pPr>
        <w:pStyle w:val="BodyText"/>
        <w:spacing w:line="480" w:lineRule="auto"/>
        <w:ind w:firstLine="720"/>
      </w:pPr>
      <w:r>
        <w:t xml:space="preserve">The estimated intercept is negative 2.0557 with a standard error of 1.9199, yielding a p-value of 0.2843. The intercept is not statistically distinguishable from zero, which is the appropriate baseline result for a logit model in which the disclosing share of the sample is bounded well away from zero or one and the covariates are entering on meaningful scales. The intercept term is not the locus of substantive interpretation in this specification, and its imprecise estimation does not affect the identification of the slope coefficients.</w:t>
      </w:r>
    </w:p>
    <w:p>
      <w:pPr>
        <w:pStyle w:val="BodyText"/>
        <w:spacing w:line="480" w:lineRule="auto"/>
        <w:ind w:firstLine="720"/>
      </w:pPr>
      <w:r>
        <w:t xml:space="preserve">The strongest substantive result is the coefficient on the natural log of fleet size, estimated at 0.8694 with a standard error of 0.4542. The associated p-value is 0.0556, which falls just outside the conventional five-percent threshold and well inside the ten-percent threshold. The sign is positive and the magnitude is large. A one-unit increase in the natural log of fleet size, which corresponds approximately to scaling the operator’s fleet by a factor of e, raises the log-odds of voluntary disclosure by 0.8694. Exponentiating yields an odds ratio of approximately 2.39, so that an operator with a roughly e-fold larger fleet faces odds of disclosure that are more than twice those of a comparable smaller operator, holding commercial status, operator age, and constellation status fixed. The result is directly consistent with the internalization argument advanced in chapter three and pre-registered in the paper’s first hypothesis: operators whose own constellations occupy a non-trivial share of the conjunction load at a given altitude band internalize more of the externality of catalog incompleteness and have a stronger private incentive to disclose</w:t>
      </w:r>
      <w:r>
        <w:t xml:space="preserve"> </w:t>
      </w:r>
      <w:hyperlink w:anchor="ref-13">
        <w:r>
          <w:rPr>
            <w:rStyle w:val="Hyperlink"/>
          </w:rPr>
          <w:t xml:space="preserve">[13]</w:t>
        </w:r>
      </w:hyperlink>
      <w:r>
        <w:t xml:space="preserve">. The estimate sits in the borderline-significant region that doctoral inferential practice treats as positive but not decisive evidence, and that interpretive register is preserved in the discussion. The point estimate is large enough that under any reasonable prior the model would update toward the internalization mechanism rather than away from it, but the precision of the estimate does not support a stronger claim than this.</w:t>
      </w:r>
    </w:p>
    <w:p>
      <w:pPr>
        <w:pStyle w:val="BodyText"/>
        <w:spacing w:line="480" w:lineRule="auto"/>
        <w:ind w:firstLine="720"/>
      </w:pPr>
      <w:r>
        <w:t xml:space="preserve">The coefficient on the commercial-status indicator is 1.6743 with a standard error of 1.1876, producing a p-value of 0.1586. The sign matches the hypothesis that commercial operators face capital-market and insurance pressures that civil and military operators do not, and that those pressures translate into a higher propensity to disclose</w:t>
      </w:r>
      <w:r>
        <w:t xml:space="preserve"> </w:t>
      </w:r>
      <w:hyperlink w:anchor="ref-12">
        <w:r>
          <w:rPr>
            <w:rStyle w:val="Hyperlink"/>
          </w:rPr>
          <w:t xml:space="preserve">[12]</w:t>
        </w:r>
      </w:hyperlink>
      <w:r>
        <w:t xml:space="preserve">. The point estimate is substantively large: in odds-ratio terms, an exponentiated coefficient of approximately 5.34 implies that a commercial operator’s odds of disclosure are roughly five times those of a comparable non-commercial operator, holding the other covariates fixed. The estimate is, however, imprecise. The standard error is large enough that the ninety-five percent confidence interval comfortably includes zero, and the conventional null cannot be rejected. The interpretive posture here is that the data are consistent with a meaningful commercial premium in disclosure but do not, on their own, identify it precisely on a sample of thirty-nine operators. The estimate motivates rather than settles the commercial-status hypothesis, and it lays out a clear effect size that a larger panel could test with adequate power.</w:t>
      </w:r>
    </w:p>
    <w:p>
      <w:pPr>
        <w:pStyle w:val="BodyText"/>
        <w:spacing w:line="480" w:lineRule="auto"/>
        <w:ind w:firstLine="720"/>
      </w:pPr>
      <w:r>
        <w:t xml:space="preserve">The coefficient on operator age in years is negative 0.0203 with a standard error of 0.0252, producing a p-value of 0.4199. Both the magnitude and the precision of the estimate are small, and the coefficient is not statistically distinguishable from zero. This is the predicted result. The prospectus and the paper both treated the age effect as theoretically ambiguous, on the reasoning that older operators inherit fewer transparency norms than newer commercial entrants built around constellation operations from inception, while newer entrants may face a learning curve in establishing the procedures that disclosure requires. The estimated coefficient confirms the ambiguity. Once fleet size and commercial status are controlled for, operator age carries essentially no independent information about disclosure behavior. The substantive implication is that the disclosure decision is structural rather than generational. It is not the case that voluntary norms are taking root over time as a cohort effect; rather, they are taking root in the parts of the operator population whose business model and fleet scale create the conditions for compliance to be in their interest.</w:t>
      </w:r>
    </w:p>
    <w:p>
      <w:pPr>
        <w:pStyle w:val="BodyText"/>
        <w:spacing w:line="480" w:lineRule="auto"/>
        <w:ind w:firstLine="720"/>
      </w:pPr>
      <w:r>
        <w:t xml:space="preserve">The coefficient on the constellation indicator is negative 0.7828 with a standard error of 1.0561, yielding a p-value of 0.4586. The sign is opposite to the directional hypothesis of chapter three, which predicted that constellation operators would face higher conjunction-screening loads per unit time and would therefore disclose at higher rates</w:t>
      </w:r>
      <w:r>
        <w:t xml:space="preserve"> </w:t>
      </w:r>
      <w:hyperlink w:anchor="ref-9">
        <w:r>
          <w:rPr>
            <w:rStyle w:val="Hyperlink"/>
          </w:rPr>
          <w:t xml:space="preserve">[9]</w:t>
        </w:r>
      </w:hyperlink>
      <w:r>
        <w:t xml:space="preserve">,</w:t>
      </w:r>
      <w:r>
        <w:t xml:space="preserve"> </w:t>
      </w:r>
      <w:hyperlink w:anchor="ref-11">
        <w:r>
          <w:rPr>
            <w:rStyle w:val="Hyperlink"/>
          </w:rPr>
          <w:t xml:space="preserve">[11]</w:t>
        </w:r>
      </w:hyperlink>
      <w:r>
        <w:t xml:space="preserve">. The point estimate is, however, not statistically distinguishable from zero. The substantive interpretation requires care. The unconditional cross-tabulation in the underlying data, which is documented in Appendix A, shows that constellation operators do indeed disclose at a higher rate than non-constellation operators, fourteen of eighteen against thirteen of twenty-one. The constellation indicator, taken alone, would carry the expected sign. Once fleet size is included in the specification, however, the constellation indicator loses its independent explanatory weight. Constellation status and fleet size are mechanically correlated, and the multivariate estimate is telling the reader that the operative margin is the scale of the fleet rather than the structural fact of constellation operations. This is a sharper finding than the simple directional hypothesis allowed. The compliance-relevant feature of a constellation operator is the number of its assets rather than the architectural label.</w:t>
      </w:r>
    </w:p>
    <w:p>
      <w:pPr>
        <w:pStyle w:val="BodyText"/>
        <w:spacing w:line="480" w:lineRule="auto"/>
        <w:ind w:firstLine="720"/>
      </w:pPr>
      <w:r>
        <w:t xml:space="preserve">The two excluded variables, United States jurisdiction and pre-existing public ephemeris participation, deserve separate comment. Each perfectly predicts the binary outcome in the sample. Every operator with United States jurisdiction discloses. Every operator with pre-existing public ephemeris participation, with the exception of two, discloses. Standard maximum-likelihood logistic regression cannot accommodate a perfect-predictor regressor without penalization, and the variables therefore could not enter the model as estimated. Their exclusion is not a defect of the specification; it is a substantive finding about the structure of voluntary compliance. The non-disclosing tail of the sample is concentrated entirely outside the United States jurisdictional perimeter and almost entirely outside the existing public-ephemeris community. The fourteen non-disclosing operators in the sample are dominated by non-United States civil-government operators and by smaller commercial GEO operators outside the established ephemeris-sharing community, a pattern that is consistent with the discourse-network finding that voluntary transparency is contested precisely at the jurisdictional and institutional seams of the regime</w:t>
      </w:r>
      <w:r>
        <w:t xml:space="preserve"> </w:t>
      </w:r>
      <w:hyperlink w:anchor="ref-21">
        <w:r>
          <w:rPr>
            <w:rStyle w:val="Hyperlink"/>
          </w:rPr>
          <w:t xml:space="preserve">[21]</w:t>
        </w:r>
      </w:hyperlink>
      <w:r>
        <w:t xml:space="preserve">. The model that does estimate, on the four retained covariates, is therefore a model of the within-disclosing-community margin. It identifies which characteristics predict disclosure once the dominant structural correlates of jurisdiction and prior ephemeris participation have absorbed the easy variation. The fleet-size effect that emerges at the ten-percent threshold against this conservative baseline is a meaningful result.</w:t>
      </w:r>
    </w:p>
    <w:p>
      <w:pPr>
        <w:pStyle w:val="BodyText"/>
        <w:spacing w:line="480" w:lineRule="auto"/>
        <w:ind w:firstLine="720"/>
      </w:pPr>
      <w:r>
        <w:t xml:space="preserve">Taken together, the Paper 1 findings provide direct, if statistically guarded, support for the internalization mechanism that grounds the hidden-cost argument. The fleet-size coefficient enters with the predicted sign and a magnitude consistent with the theory, at borderline significance. The commercial-status coefficient enters with the predicted sign and a large but imprecisely estimated magnitude. The age coefficient is the predicted null. The constellation coefficient identifies fleet size, not constellation status per se, as the operative scale variable. The two excluded variables identify the structural perimeter inside which voluntary compliance is concentrated. Voluntary maneuver disclosure in low Earth orbit is not a uniform behavior of well-intentioned operators; it is a behavior of large commercial operators inside the United States jurisdictional and ephemeris-sharing community, and the model identifies the operator characteristics that predict membership in that community with a level of precision that the small cross-sectional sample allows.</w:t>
      </w:r>
    </w:p>
    <w:bookmarkEnd w:id="123"/>
    <w:bookmarkStart w:id="124" w:name="Xe570dfaeb5e07cc1fb8c8236dc683c83bf176b3"/>
    <w:p>
      <w:pPr>
        <w:pStyle w:val="Heading2"/>
        <w:spacing w:line="480" w:lineRule="auto"/>
      </w:pPr>
      <w:r>
        <w:t xml:space="preserve">6.2 The Dual-Use Channel and the Inferential Cost of Disclosure (Paper 2)</w:t>
      </w:r>
    </w:p>
    <w:p>
      <w:pPr>
        <w:pStyle w:val="FirstParagraph"/>
        <w:spacing w:line="480" w:lineRule="auto"/>
      </w:pPr>
      <w:r>
        <w:t xml:space="preserve">Paper 2 narrows the inferential target. The cross-section assembles twenty-eight LEO operator entities with active on-orbit presence or near-term filed systems as of mid-2026, and the estimating equation is a binary logit of voluntary ephemeris publication on a dual-use indicator, the natural log of fleet size, and the natural log of conjunction-event counts drawn from the public Traffic Coordination System for Space and EU SST reporting</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The dual-use indicator is constructed from prior public contract and institutional records and is intended to operationalize the inferential-value covariate that the prospectus identifies as the treatment of interest. The conjunction-event control captures the safety-side incentive to disclose</w:t>
      </w:r>
      <w:r>
        <w:t xml:space="preserve"> </w:t>
      </w:r>
      <w:hyperlink w:anchor="ref-20">
        <w:r>
          <w:rPr>
            <w:rStyle w:val="Hyperlink"/>
          </w:rPr>
          <w:t xml:space="preserve">[20]</w:t>
        </w:r>
      </w:hyperlink>
      <w:r>
        <w:t xml:space="preserve">, so that the dual-use coefficient is identified net of the urgency channel and isolates the informational channel.</w:t>
      </w:r>
    </w:p>
    <w:p>
      <w:pPr>
        <w:pStyle w:val="BodyText"/>
        <w:spacing w:line="480" w:lineRule="auto"/>
        <w:ind w:firstLine="720"/>
      </w:pPr>
      <w:r>
        <w:t xml:space="preserve">The estimator converges on the twenty-eight operator sample. The model achieves a McFadden pseudo R-squared of 0.3511 and a log-likelihood of negative 12.55. The pseudo R-squared is more than twice that of the Paper 1 specification and lies in the range that the discrete-choice literature regards as a strong fit for a binary outcome with three covariates. The improvement reflects the targeting of the specification on the principal margin of theoretical interest. Where Paper 1 maps the broad cross-section, Paper 2 estimates against a sharper covariate.</w:t>
      </w:r>
    </w:p>
    <w:p>
      <w:pPr>
        <w:pStyle w:val="BodyText"/>
        <w:spacing w:line="480" w:lineRule="auto"/>
        <w:ind w:firstLine="720"/>
      </w:pPr>
      <w:r>
        <w:t xml:space="preserve">The intercept is negative 0.2299 with a standard error of 2.5166 and a p-value of 0.9272. The intercept is not statistically distinguishable from zero, which is the expected baseline for a sample whose disclosing share is close to one-half. The intercept term plays no substantive interpretive role and is reported here only for completeness.</w:t>
      </w:r>
    </w:p>
    <w:p>
      <w:pPr>
        <w:pStyle w:val="BodyText"/>
        <w:spacing w:line="480" w:lineRule="auto"/>
        <w:ind w:firstLine="720"/>
      </w:pPr>
      <w:r>
        <w:t xml:space="preserve">The principal result is the coefficient on the dual-use indicator, estimated at negative 3.179 with a standard error of 1.0619 and a p-value of 0.0028. The sign is negative and the coefficient is statistically distinguishable from zero at conventional thresholds, including the one-percent threshold. The substantive magnitude is large. Exponentiating, dual-use status is associated with an odds ratio of disclosure of approximately 0.0417, which corresponds to a reduction in the odds of publishing ephemerides on the order of ninety-six percent relative to an otherwise comparable purely civil or commercial operator. The point estimate is large enough that the qualitative reading is robust to substantial perturbation of the standard error: even at the upper bound of a generous confidence interval, the implied odds reduction remains in the high tens of percent. This is, to the candidate’s knowledge, the first explicit quantification of the dual-use suppression effect in the voluntary STM compliance literature, and it directly satisfies the falsification criterion that the prospectus set out as the test of the central hypothesis. H0 is rejected. H1, that conditional on flight-safety urgency the probability of voluntary disclosure declines as the inferential value of disclosure rises, is supported.</w:t>
      </w:r>
    </w:p>
    <w:p>
      <w:pPr>
        <w:pStyle w:val="BodyText"/>
        <w:spacing w:line="480" w:lineRule="auto"/>
        <w:ind w:firstLine="720"/>
      </w:pPr>
      <w:r>
        <w:t xml:space="preserve">The coefficient on the natural log of fleet size is negative 0.3833 with a standard error of 0.4128, producing a p-value of 0.3532. The sign is negative and the magnitude is modest. The estimate is not statistically distinguishable from zero. Two interpretive points follow. First, the sign here differs from the Paper 1 estimate, where fleet size enters positively at borderline significance. The change of sign is consistent with the two papers identifying different margins of the compliance distribution. Paper 1 estimates on the broader cross-section including operators of all institutional types; Paper 2 estimates on a sample that explicitly includes a substantial dual-use cohort. Once dual-use status is included as a regressor, the residual fleet-size effect captures within-status variation in scale rather than the across-status compositional effect that drives the Paper 1 estimate. Second, the precision of the Paper 2 fleet-size estimate is inadequate to identify the within-status effect with confidence on a sample of twenty-eight. The substantive reading is that, once dual-use status is controlled for, fleet size does not carry independent explanatory weight in this cross-section, and the inferential-cost mechanism appears to operate principally through the dual-use channel rather than through fleet scale within institutional types.</w:t>
      </w:r>
    </w:p>
    <w:p>
      <w:pPr>
        <w:pStyle w:val="BodyText"/>
        <w:spacing w:line="480" w:lineRule="auto"/>
        <w:ind w:firstLine="720"/>
      </w:pPr>
      <w:r>
        <w:t xml:space="preserve">The coefficient on the natural log of conjunction events is positive 0.5649 with a standard error of 0.5671, producing a p-value of 0.3192. The sign is positive and the magnitude is substantively meaningful. Exponentiating, a one-unit increase in the natural log of conjunction events is associated with an odds ratio of disclosure of approximately 1.76, holding dual-use status and fleet size fixed. The estimate is not statistically distinguishable from zero, but the sign is consistent with the prediction of the safety-urgency channel: operators facing more conjunction events have a stronger safety incentive to disclose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23">
        <w:r>
          <w:rPr>
            <w:rStyle w:val="Hyperlink"/>
          </w:rPr>
          <w:t xml:space="preserve">[23]</w:t>
        </w:r>
      </w:hyperlink>
      <w:r>
        <w:t xml:space="preserve">. The estimate is not precise enough to identify the urgency channel decisively on a sample of twenty-eight, but the qualitative pattern matters for the identification strategy. The dual-use coefficient is identified net of a positive, directionally correct safety-urgency control, rather than confounded with it. This is the structural identification claim that the prospectus required, and the estimated control behaves in the manner that the identification claim presupposes.</w:t>
      </w:r>
    </w:p>
    <w:p>
      <w:pPr>
        <w:pStyle w:val="BodyText"/>
        <w:spacing w:line="480" w:lineRule="auto"/>
        <w:ind w:firstLine="720"/>
      </w:pPr>
      <w:r>
        <w:t xml:space="preserve">The Paper 2 finding therefore stands on three pillars. The dual-use coefficient is the predicted sign, statistically distinguishable from zero at the one-percent threshold, and substantively large. The fleet-size coefficient is directionally consistent with the inferential-cost mechanism but imprecise. The safety-urgency control is directionally consistent with the safety-incentive mechanism but imprecise. The pattern is exactly the pattern that the theory predicted if the dual-use seam is the operative margin of voluntary compliance and the other channels operate at lower intensity in the present institutional configuration of LEO.</w:t>
      </w:r>
    </w:p>
    <w:bookmarkEnd w:id="124"/>
    <w:bookmarkStart w:id="125" w:name="joint-interpretation"/>
    <w:p>
      <w:pPr>
        <w:pStyle w:val="Heading2"/>
        <w:spacing w:line="480" w:lineRule="auto"/>
      </w:pPr>
      <w:r>
        <w:t xml:space="preserve">6.3 Joint Interpretation</w:t>
      </w:r>
    </w:p>
    <w:p>
      <w:pPr>
        <w:pStyle w:val="FirstParagraph"/>
        <w:spacing w:line="480" w:lineRule="auto"/>
      </w:pPr>
      <w:r>
        <w:t xml:space="preserve">Taken together, the two estimated models reframe the compliance distribution along a dimension the prior literature left implicit. Paper 1 establishes that voluntary maneuver disclosure is concentrated among large operators inside the United States jurisdictional perimeter and the existing public-ephemeris community, with a borderline-significant fleet-size effect, a directionally correct but imprecisely estimated commercial premium, a null age effect, and a constellation indicator whose explanatory weight is absorbed by fleet size. Paper 2 establishes that, within this disclosing-community margin and across the broader institutional cross-section, the operative variable that suppresses disclosure is the dual-use posture of the operator, with a large and statistically robust negative coefficient that survives the inclusion of the flight-safety urgency control. The two findings do not compete; they stack. The Paper 1 result describes the perimeter of voluntary compliance. The Paper 2 result identifies the structural mechanism that locates particular operators outside that perimeter.</w:t>
      </w:r>
    </w:p>
    <w:p>
      <w:pPr>
        <w:pStyle w:val="BodyText"/>
        <w:spacing w:line="480" w:lineRule="auto"/>
        <w:ind w:firstLine="720"/>
      </w:pPr>
      <w:r>
        <w:t xml:space="preserve">The substantive policy implication, which is developed in chapter seven, follows directly from the joint estimate. A voluntary STM regime that treats maneuver disclosure as a negligible-cost public good will produce a catalog whose completeness is structurally bounded by the dual-use share of the operator population and by the size of the United States-jurisdiction and ephemeris-sharing community. Increases in the share of LEO maneuver activity conducted by dual-use operators will, under the present incentive structure, reduce rather than increase the share of those maneuvers that enter the public catalog. The hidden-cost premise that the dissertation set out to test is supported by the Paper 2 dual-use coefficient at the one-percent threshold, and the joint reading of Paper 1 and Paper 2 specifies the operator population for whom the hidden cost is binding. The cislunar STM frameworks now under discussion in the technical and policy literature</w:t>
      </w:r>
      <w:r>
        <w:t xml:space="preserve"> </w:t>
      </w:r>
      <w:hyperlink w:anchor="ref-22">
        <w:r>
          <w:rPr>
            <w:rStyle w:val="Hyperlink"/>
          </w:rPr>
          <w:t xml:space="preserve">[22]</w:t>
        </w:r>
      </w:hyperlink>
      <w:r>
        <w:t xml:space="preserve"> </w:t>
      </w:r>
      <w:r>
        <w:t xml:space="preserve">inherit this incentive structure, and the empirical estimate quantifies the share of the compliance distribution that the voluntary template would leave structurally outside the catalog if extended beyond LEO without an explicit instrument to price the informational loss that disclosure imposes</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w:t>
      </w:r>
    </w:p>
    <w:p>
      <w:pPr>
        <w:pStyle w:val="BodyText"/>
        <w:spacing w:line="480" w:lineRule="auto"/>
        <w:ind w:firstLine="720"/>
      </w:pPr>
      <w:r>
        <w:t xml:space="preserve">Three caveats bound the inferential reach of the chapter. The samples are small, thirty-nine operators in Paper 1 and twenty-eight in Paper 2, which constrains the statistical power on the secondary covariates and is the proximate reason that the commercial-status, operator-age, fleet-size and safety-urgency estimates do not reach conventional thresholds. The cross-sectional design captures the institutional posture of the operator population at a single point in time and does not identify within-operator dynamic variation in disclosure behavior; the prospectus identified the within-operator within-maneuver margin as the deeper identification target, and the present chapter does not reach it. And two regressors in Paper 1, United States jurisdiction and prior public ephemeris participation, perfectly predict the outcome and could not enter the multivariate model under standard maximum-likelihood identification. Each caveat is a clearly delimited bound on the present inferential claim rather than a threat to it, and each maps to an extension that the concluding chapter treats as the natural next step in the program. The principal claim, that the inferential cost of disclosure is large enough to suppress voluntary compliance among the operators for whom that cost is binding, is supported by the data with the precision that the present cross-section allows, and the falsification criterion that the prospectus pre-registered is met.</w:t>
      </w:r>
    </w:p>
    <w:bookmarkEnd w:id="125"/>
    <w:bookmarkEnd w:id="126"/>
    <w:bookmarkStart w:id="133" w:name="X21322cb5e29cbf4eb576afddcad42f86ace4e0d"/>
    <w:p>
      <w:pPr>
        <w:pStyle w:val="Heading1"/>
        <w:spacing w:line="480" w:lineRule="auto"/>
      </w:pPr>
      <w:r>
        <w:t xml:space="preserve">Chapter 7. Discussion and Governance Implications</w:t>
      </w:r>
    </w:p>
    <w:bookmarkStart w:id="127" w:name="X6202bef7f9c887410df7088f38ee78105a50c7e"/>
    <w:p>
      <w:pPr>
        <w:pStyle w:val="Heading2"/>
        <w:spacing w:line="480" w:lineRule="auto"/>
      </w:pPr>
      <w:r>
        <w:t xml:space="preserve">7.1 Restating the Result Against the Premise It Tests</w:t>
      </w:r>
    </w:p>
    <w:p>
      <w:pPr>
        <w:pStyle w:val="FirstParagraph"/>
        <w:spacing w:line="480" w:lineRule="auto"/>
      </w:pPr>
      <w:r>
        <w:t xml:space="preserve">The dissertation set out to challenge a single, load-bearing premise in the contemporary low Earth orbit (LEO) governance debate: that the marginal cost to an operator of disclosing a planned or executed maneuver is negligible, and that voluntary norms of maneuver disclosure can therefore be expected, in the limit, to produce something close to a complete catalog of operator behavior. The two empirical chapters that precede this discussion converge on a result that the premise does not survive. In the operator-level cross-section, voluntary disclosure is concentrated structurally rather than randomly: the probability of disclosure rises with the logarithm of fleet size at the ten-percent level, and the non-disclosing tail is concentrated outside United States jurisdiction and outside the established public-ephemeris community, with both characteristics perfectly predicting the outcome within the sample. In the second cross-section, conditional on a flight-safety urgency control, dual-use posture is associated with a coefficient of negative three point one eight on the log-odds of publishing ephemerides, with a standard error of one point zero six and a p-value of zero point zero zero three, implying an odds ratio of disclosure on the order of zero point zero four for an otherwise comparable operator. The hidden private cost of disclosure is not a rhetorical device. It is identifiable in the data, it is statistically distinguishable from zero at conventional thresholds, and it predicts who complies with the voluntary norm and who does not.</w:t>
      </w:r>
    </w:p>
    <w:p>
      <w:pPr>
        <w:pStyle w:val="BodyText"/>
        <w:spacing w:line="480" w:lineRule="auto"/>
        <w:ind w:firstLine="720"/>
      </w:pPr>
      <w:r>
        <w:t xml:space="preserve">The purpose of this chapter is to translate that result into operational language for the program offices and federally funded research and development center (FFRDC) partners that will, in practice, decide whether and how the voluntary template extends from LEO into the cislunar regime and how civil and commercial actors will be expected to interoperate inside it. The discussion proceeds in five steps. First, I draw out what the findings mean for the National Aeronautics and Space Administration (NASA) as a program-management institution that runs civil missions inside a regime increasingly populated by dual-use operators. Second, I address the implications for the Jet Propulsion Laboratory (JPL) as the FFRDC most exposed to the transition from civil-science assumptions to a mixed-traffic operating environment. Third, I treat the policy and acquisition consequences for the Traffic Coordination System for Space (TraCSS) and the broader public space situational awareness (SSA) service architecture. Fourth, I state the limitations of the present work without softening them. Fifth, I lay out a future research program that would convert the present cross-sectional findings into the within-operator, within-maneuver evidence base that voluntary-norm policy now requires.</w:t>
      </w:r>
    </w:p>
    <w:bookmarkEnd w:id="127"/>
    <w:bookmarkStart w:id="128"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NASA’s institutional position in the LEO and emerging cislunar STM debate is unusual. The agency is a civil operator with a strong disclosure culture, a customer of public SSA services</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a co-developer of TraCSS analytical methods</w:t>
      </w:r>
      <w:r>
        <w:t xml:space="preserve"> </w:t>
      </w:r>
      <w:hyperlink w:anchor="ref-8">
        <w:r>
          <w:rPr>
            <w:rStyle w:val="Hyperlink"/>
          </w:rPr>
          <w:t xml:space="preserve">[8]</w:t>
        </w:r>
      </w:hyperlink>
      <w:r>
        <w:t xml:space="preserve">, and an architectural participant in the cislunar STM frameworks now under discussion</w:t>
      </w:r>
      <w:r>
        <w:t xml:space="preserve"> </w:t>
      </w:r>
      <w:hyperlink w:anchor="ref-22">
        <w:r>
          <w:rPr>
            <w:rStyle w:val="Hyperlink"/>
          </w:rPr>
          <w:t xml:space="preserve">[22]</w:t>
        </w:r>
      </w:hyperlink>
      <w:r>
        <w:t xml:space="preserve">. The premise that voluntary disclosure produces near-complete catalog coverage has been internalized into program-management practice in two specific ways: in mission assurance documentation that treats public conjunction screening as a high-coverage external service, and in inter-agency engagements that treat international voluntary alignment as the realistic path to predictable behavior on orbit</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The empirical results of this dissertation indicate that both internalizations are at risk of overstating what the voluntary regime delivers.</w:t>
      </w:r>
    </w:p>
    <w:p>
      <w:pPr>
        <w:pStyle w:val="BodyText"/>
        <w:spacing w:line="480" w:lineRule="auto"/>
        <w:ind w:firstLine="720"/>
      </w:pPr>
      <w:r>
        <w:t xml:space="preserve">The first program-management implication is that mission assurance for civil missions in congested LEO shells should not budget conjunction screening coverage as if every operator in the same shell discloses. The cross-sectional model in Paper 1 identifies a non-disclosing tail concentrated among operators outside US jurisdiction and outside the prior ephemeris-sharing community, and the model in Paper 2 identifies a dual-use coefficient that suppresses disclosure even after controlling for flight-safety urgency. Translated into operational language, this means that the conjunction picture surrounding a NASA asset at a contested altitude is materially less complete than a uniform-disclosure assumption implies, and that the residual incompleteness is structured: it is concentrated among the operators whose maneuvers are most likely to be operationally consequential, because dual-use posture is precisely what produces the inferential value that makes disclosure costly in the first place</w:t>
      </w:r>
      <w:r>
        <w:t xml:space="preserve"> </w:t>
      </w:r>
      <w:hyperlink w:anchor="ref-21">
        <w:r>
          <w:rPr>
            <w:rStyle w:val="Hyperlink"/>
          </w:rPr>
          <w:t xml:space="preserve">[21]</w:t>
        </w:r>
      </w:hyperlink>
      <w:r>
        <w:t xml:space="preserve">,</w:t>
      </w:r>
      <w:r>
        <w:t xml:space="preserve"> </w:t>
      </w:r>
      <w:hyperlink w:anchor="ref-25">
        <w:r>
          <w:rPr>
            <w:rStyle w:val="Hyperlink"/>
          </w:rPr>
          <w:t xml:space="preserve">[25]</w:t>
        </w:r>
      </w:hyperlink>
      <w:r>
        <w:t xml:space="preserve">. Mission assurance reviews should therefore explicitly carry a non-disclosure margin on the conjunction-screening side of the risk register, and the magnitude of that margin should be calibrated to the share of co-altitude operators that fall in the structurally non-disclosing classes identified here.</w:t>
      </w:r>
    </w:p>
    <w:p>
      <w:pPr>
        <w:pStyle w:val="BodyText"/>
        <w:spacing w:line="480" w:lineRule="auto"/>
        <w:ind w:firstLine="720"/>
      </w:pPr>
      <w:r>
        <w:t xml:space="preserve">The second program-management implication concerns the way NASA represents voluntary STM compliance in inter-agency and international engagements. The agency has often spoken in the language of broad alignment, on the implicit theory that articulation of a norm and capacity-building support produce convergence. The results here suggest that articulation is not the binding constraint. The binding constraint is a private informational cost that voluntary norms do not price. An honest representation of the voluntary regime to inter-agency partners should describe it as a regime whose participation is structurally concentrated and whose non-participation is predictable rather than aberrant. The Space Sustainability Rating framework</w:t>
      </w:r>
      <w:r>
        <w:t xml:space="preserve"> </w:t>
      </w:r>
      <w:hyperlink w:anchor="ref-12">
        <w:r>
          <w:rPr>
            <w:rStyle w:val="Hyperlink"/>
          </w:rPr>
          <w:t xml:space="preserve">[12]</w:t>
        </w:r>
      </w:hyperlink>
      <w:r>
        <w:t xml:space="preserve">,</w:t>
      </w:r>
      <w:r>
        <w:t xml:space="preserve"> </w:t>
      </w:r>
      <w:hyperlink w:anchor="ref-29">
        <w:r>
          <w:rPr>
            <w:rStyle w:val="Hyperlink"/>
          </w:rPr>
          <w:t xml:space="preserve">[29]</w:t>
        </w:r>
      </w:hyperlink>
      <w:r>
        <w:t xml:space="preserve"> </w:t>
      </w:r>
      <w:r>
        <w:t xml:space="preserve">makes precisely this concentration legible to insurers and capital markets, and NASA’s engagement with international partners benefits from describing voluntary disclosure in the same terms: as an instrument that produces partial, structured coverage rather than as one that substitutes for binding minimum rules of behavior.</w:t>
      </w:r>
    </w:p>
    <w:p>
      <w:pPr>
        <w:pStyle w:val="BodyText"/>
        <w:spacing w:line="480" w:lineRule="auto"/>
        <w:ind w:firstLine="720"/>
      </w:pPr>
      <w:r>
        <w:t xml:space="preserve">The third implication is architectural. NASA program offices that depend on a complete operator picture, including human spaceflight planning for the International Space Station and its successor commercial low Earth orbit destination (CLD) platforms</w:t>
      </w:r>
      <w:r>
        <w:t xml:space="preserve"> </w:t>
      </w:r>
      <w:hyperlink w:anchor="ref-33">
        <w:r>
          <w:rPr>
            <w:rStyle w:val="Hyperlink"/>
          </w:rPr>
          <w:t xml:space="preserve">[33]</w:t>
        </w:r>
      </w:hyperlink>
      <w:r>
        <w:t xml:space="preserve">, should not assume that the cislunar STM transition will inherit a fuller disclosure baseline than LEO. Cislunar STM frameworks now under discussion</w:t>
      </w:r>
      <w:r>
        <w:t xml:space="preserve"> </w:t>
      </w:r>
      <w:hyperlink w:anchor="ref-22">
        <w:r>
          <w:rPr>
            <w:rStyle w:val="Hyperlink"/>
          </w:rPr>
          <w:t xml:space="preserve">[22]</w:t>
        </w:r>
      </w:hyperlink>
      <w:r>
        <w:t xml:space="preserve"> </w:t>
      </w:r>
      <w:r>
        <w:t xml:space="preserve">face the same incentive structure that LEO faces, intensified by the absence of a single dominant public SSA service and by the heavier dual-use overlay of the lunar program portfolio. Program-office planning for cislunar civil missions should therefore treat the disclosure baseline as bounded below rather than as approaching completeness, and should budget independent observational capacity, including dedicated space-based and ground-based custody arcs, as part of the mission assurance plan rather than as an optional augmentation.</w:t>
      </w:r>
    </w:p>
    <w:p>
      <w:pPr>
        <w:pStyle w:val="BodyText"/>
        <w:spacing w:line="480" w:lineRule="auto"/>
        <w:ind w:firstLine="720"/>
      </w:pPr>
      <w:r>
        <w:t xml:space="preserve">The fourth implication is operational. The maneuver-disclosure literature has shown that operator-provided ephemerides materially improve Probability-of-Collision estimates and reduce false-alarm rates relative to catalogs that rely on inferred orbits alone</w:t>
      </w:r>
      <w:r>
        <w:t xml:space="preserve"> </w:t>
      </w:r>
      <w:hyperlink w:anchor="ref-20">
        <w:r>
          <w:rPr>
            <w:rStyle w:val="Hyperlink"/>
          </w:rPr>
          <w:t xml:space="preserve">[20]</w:t>
        </w:r>
      </w:hyperlink>
      <w:r>
        <w:t xml:space="preserve">. The corollary for NASA is that the disclosure choices of co-altitude operators directly affect the alert volume that NASA’s own flight dynamics teams must triage. A non-disclosing tail does not only degrade catalog completeness in the abstract; it raises the false-positive rate of the alerts NASA actually receives, and it does so most acutely when the non-disclosing operators are those whose orbits are closest to NASA’s. The cost of voluntary non-compliance is therefore borne, in part, by the disclosing operator whose alert queue lengthens. Program-management practice should make that cost visible in the operating budget of the flight dynamics function rather than allowing it to be absorbed silently.</w:t>
      </w:r>
    </w:p>
    <w:bookmarkEnd w:id="128"/>
    <w:bookmarkStart w:id="129" w:name="implications-for-jpl-decision-making"/>
    <w:p>
      <w:pPr>
        <w:pStyle w:val="Heading2"/>
        <w:spacing w:line="480" w:lineRule="auto"/>
      </w:pPr>
      <w:r>
        <w:t xml:space="preserve">7.3 Implications for JPL Decision-Making</w:t>
      </w:r>
    </w:p>
    <w:p>
      <w:pPr>
        <w:pStyle w:val="FirstParagraph"/>
        <w:spacing w:line="480" w:lineRule="auto"/>
      </w:pPr>
      <w:r>
        <w:t xml:space="preserve">JPL’s exposure to the result is different from the agency’s. As the FFRDC most heavily invested in deep-space and planetary missions, JPL has historically operated under assumptions of low ambient orbital traffic and a high-disclosure civil-science environment. Three transitions now intersect to make the dissertation’s findings directly relevant to JPL decision-making.</w:t>
      </w:r>
    </w:p>
    <w:p>
      <w:pPr>
        <w:pStyle w:val="BodyText"/>
        <w:spacing w:line="480" w:lineRule="auto"/>
        <w:ind w:firstLine="720"/>
      </w:pPr>
      <w:r>
        <w:t xml:space="preserve">The first transition is the migration of JPL’s operational interest into LEO and very low Earth orbit (VLEO) for Earth-science observation, technology demonstration, and shared infrastructure rideshare. As soon as JPL assets occupy congested LEO shells, they inherit the conjunction environment characterized in this dissertation. The acquisition and mission-design choice points that follow are concrete: whether to specify operator-provided ephemerides as a partner-interface requirement on hosted-payload arrangements, whether to budget independent custody arcs for sensitive missions, and whether to procure commercial conjunction-assessment services with explicit non-disclosure margins built into the service-level agreements</w:t>
      </w:r>
      <w:r>
        <w:t xml:space="preserve"> </w:t>
      </w:r>
      <w:hyperlink w:anchor="ref-16">
        <w:r>
          <w:rPr>
            <w:rStyle w:val="Hyperlink"/>
          </w:rPr>
          <w:t xml:space="preserve">[16]</w:t>
        </w:r>
      </w:hyperlink>
      <w:r>
        <w:t xml:space="preserve">,</w:t>
      </w:r>
      <w:r>
        <w:t xml:space="preserve"> </w:t>
      </w:r>
      <w:hyperlink w:anchor="ref-30">
        <w:r>
          <w:rPr>
            <w:rStyle w:val="Hyperlink"/>
          </w:rPr>
          <w:t xml:space="preserve">[30]</w:t>
        </w:r>
      </w:hyperlink>
      <w:r>
        <w:t xml:space="preserve">. The results here suggest that each of these choices should be made on the assumption that the surrounding traffic picture is structurally incomplete rather than nearly complete.</w:t>
      </w:r>
    </w:p>
    <w:p>
      <w:pPr>
        <w:pStyle w:val="BodyText"/>
        <w:spacing w:line="480" w:lineRule="auto"/>
        <w:ind w:firstLine="720"/>
      </w:pPr>
      <w:r>
        <w:t xml:space="preserve">The second transition is JPL’s growing involvement in cislunar architecture support and in the development of conjunction-assessment methodologies for cislunar operations</w:t>
      </w:r>
      <w:r>
        <w:t xml:space="preserve"> </w:t>
      </w:r>
      <w:hyperlink w:anchor="ref-22">
        <w:r>
          <w:rPr>
            <w:rStyle w:val="Hyperlink"/>
          </w:rPr>
          <w:t xml:space="preserve">[22]</w:t>
        </w:r>
      </w:hyperlink>
      <w:r>
        <w:t xml:space="preserve">. The dissertation’s finding that voluntary disclosure compliance is structured by a private informational cost is portable to the cislunar context with one amplification: the dual-use overlay of the lunar program portfolio is heavier than the LEO overlay, and the institutional density that supports LEO disclosure (a mature public SSA service, an established commercial conjunction-assessment industry, a published Space Sustainability Rating framework) does not yet exist in the cislunar regime. JPL’s contribution to cislunar STM architecture should therefore treat the disclosure baseline as a design variable to be procured rather than as an assumed input, and should explicitly evaluate architectural alternatives that do not depend on voluntary disclosure converging to completeness. The opportunistic-screening literature</w:t>
      </w:r>
      <w:r>
        <w:t xml:space="preserve"> </w:t>
      </w:r>
      <w:hyperlink w:anchor="ref-9">
        <w:r>
          <w:rPr>
            <w:rStyle w:val="Hyperlink"/>
          </w:rPr>
          <w:t xml:space="preserve">[9]</w:t>
        </w:r>
      </w:hyperlink>
      <w:r>
        <w:t xml:space="preserve"> </w:t>
      </w:r>
      <w:r>
        <w:t xml:space="preserve">and the distributed-coordination architecture literature</w:t>
      </w:r>
      <w:r>
        <w:t xml:space="preserve"> </w:t>
      </w:r>
      <w:hyperlink w:anchor="ref-15">
        <w:r>
          <w:rPr>
            <w:rStyle w:val="Hyperlink"/>
          </w:rPr>
          <w:t xml:space="preserve">[15]</w:t>
        </w:r>
      </w:hyperlink>
      <w:r>
        <w:t xml:space="preserve"> </w:t>
      </w:r>
      <w:r>
        <w:t xml:space="preserve">both provide design templates that degrade gracefully under incomplete disclosure; both should be carried into the cislunar architecture trade space alongside the voluntary-norms template.</w:t>
      </w:r>
    </w:p>
    <w:p>
      <w:pPr>
        <w:pStyle w:val="BodyText"/>
        <w:spacing w:line="480" w:lineRule="auto"/>
        <w:ind w:firstLine="720"/>
      </w:pPr>
      <w:r>
        <w:t xml:space="preserve">The third transition is JPL’s role as a methodological developer for civil-side conjunction assessment and validation</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The dissertation’s findings imply that validation methodologies should be tested not only against the assumption that operator-provided ephemerides are available, but explicitly against the structured incompleteness identified here. A validation regime that benchmarks Probability-of-Collision performance only on operators in the disclosing tail will overstate the operational performance of the conjunction-assessment chain on the population of conjunctions that actually drive risk, because risk-driving conjunctions disproportionately involve operators in the non-disclosing tail. JPL methodological work that incorporates a stratified validation design, treating the disclosing and non-disclosing populations as separate strata and reporting performance on each, would produce conclusions that better generalize to the operating environment NASA missions actually face.</w:t>
      </w:r>
    </w:p>
    <w:p>
      <w:pPr>
        <w:pStyle w:val="BodyText"/>
        <w:spacing w:line="480" w:lineRule="auto"/>
        <w:ind w:firstLine="720"/>
      </w:pPr>
      <w:r>
        <w:t xml:space="preserve">A fourth point applies across both NASA and JPL. The civil-side leadership has, properly, positioned voluntary norms as an instrument of international engagement and of public-private cooperation</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25">
        <w:r>
          <w:rPr>
            <w:rStyle w:val="Hyperlink"/>
          </w:rPr>
          <w:t xml:space="preserve">[25]</w:t>
        </w:r>
      </w:hyperlink>
      <w:r>
        <w:t xml:space="preserve">. The empirical findings here do not undermine that positioning; they sharpen it. Voluntary norms remain the realistic instrument for international alignment in the absence of a binding multilateral STM rule, but their distributional incidence (who pays the private cost, who reaps the public-good benefit) is now empirically characterizable. NASA and JPL leadership are in a strong position to argue that the voluntary regime should be paired with a complementary instrument that prices or compensates the private informational cost, and the dissertation provides a starting point for the parameterization of such an instrument.</w:t>
      </w:r>
    </w:p>
    <w:bookmarkEnd w:id="129"/>
    <w:bookmarkStart w:id="130" w:name="X87aa4d8198981d1716b71de895da9e5e4ffc6fc"/>
    <w:p>
      <w:pPr>
        <w:pStyle w:val="Heading2"/>
        <w:spacing w:line="480" w:lineRule="auto"/>
      </w:pPr>
      <w:r>
        <w:t xml:space="preserve">7.4 Implications for Public SSA Service Architecture and Acquisition</w:t>
      </w:r>
    </w:p>
    <w:p>
      <w:pPr>
        <w:pStyle w:val="FirstParagraph"/>
        <w:spacing w:line="480" w:lineRule="auto"/>
      </w:pPr>
      <w:r>
        <w:t xml:space="preserve">The findings carry beyond civil mission programs and into the architecture of the public SSA services on which voluntary disclosure depends. Three implications merit attention.</w:t>
      </w:r>
    </w:p>
    <w:p>
      <w:pPr>
        <w:pStyle w:val="BodyText"/>
        <w:spacing w:line="480" w:lineRule="auto"/>
        <w:ind w:firstLine="720"/>
      </w:pPr>
      <w:r>
        <w:t xml:space="preserve">The first concerns service-design priorities for TraCSS and analogous European Union Space Surveillance and Tracking (EU SST) services</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The findings imply that catalog completeness is not the marginal product of better operator outreach alone; it is bounded by an incentive structure that no amount of outreach will fully overcome. Service design should therefore prioritize investments whose value does not depend on operator disclosure converging to completeness: independent maneuver-detection capacity, opportunistic-screening capability against maneuvering objects</w:t>
      </w:r>
      <w:r>
        <w:t xml:space="preserve"> </w:t>
      </w:r>
      <w:hyperlink w:anchor="ref-9">
        <w:r>
          <w:rPr>
            <w:rStyle w:val="Hyperlink"/>
          </w:rPr>
          <w:t xml:space="preserve">[9]</w:t>
        </w:r>
      </w:hyperlink>
      <w:r>
        <w:t xml:space="preserve">, on-board autonomous flight-dynamics coordination for co-located constellations</w:t>
      </w:r>
      <w:r>
        <w:t xml:space="preserve"> </w:t>
      </w:r>
      <w:hyperlink w:anchor="ref-11">
        <w:r>
          <w:rPr>
            <w:rStyle w:val="Hyperlink"/>
          </w:rPr>
          <w:t xml:space="preserve">[11]</w:t>
        </w:r>
      </w:hyperlink>
      <w:r>
        <w:t xml:space="preserve">, and architectures that interoperate degradedly under incomplete operator data</w:t>
      </w:r>
      <w:r>
        <w:t xml:space="preserve"> </w:t>
      </w:r>
      <w:hyperlink w:anchor="ref-15">
        <w:r>
          <w:rPr>
            <w:rStyle w:val="Hyperlink"/>
          </w:rPr>
          <w:t xml:space="preserve">[15]</w:t>
        </w:r>
      </w:hyperlink>
      <w:r>
        <w:t xml:space="preserve">. Each of these stays robust to the structurally non-disclosing tail; outreach-driven approaches do not.</w:t>
      </w:r>
    </w:p>
    <w:p>
      <w:pPr>
        <w:pStyle w:val="BodyText"/>
        <w:spacing w:line="480" w:lineRule="auto"/>
        <w:ind w:firstLine="720"/>
      </w:pPr>
      <w:r>
        <w:t xml:space="preserve">The second implication is for the design of operator data agreements. The Paper 2 finding that dual-use posture suppresses disclosure even net of safety urgency identifies a private cost that operator data agreements do not currently compensate. An acquisition pathway that recognized this asymmetry could, in principle, design operator data agreements that compensate the inferential loss through one of several mechanisms: delayed or aggregated publication that preserves catalog quality without exposing real-time inferential content, controlled disclosure to a trusted intermediary that performs conjunction screening without further publication, or contractual indemnification against demonstrated competitive harm from disclosed maneuver data. The empirical magnitude of the dual-use coefficient gives a starting point for what such a compensation instrument would have to cover. The work by Reed and colleagues on operational-risk information-sharing constructs provides one architectural template for compensated disclosure</w:t>
      </w:r>
      <w:r>
        <w:t xml:space="preserve"> </w:t>
      </w:r>
      <w:hyperlink w:anchor="ref-25">
        <w:r>
          <w:rPr>
            <w:rStyle w:val="Hyperlink"/>
          </w:rPr>
          <w:t xml:space="preserve">[25]</w:t>
        </w:r>
      </w:hyperlink>
      <w:r>
        <w:t xml:space="preserve">, and the broader argument that STM norm development can be reframed as a security-strengthening instrument</w:t>
      </w:r>
      <w:r>
        <w:t xml:space="preserve"> </w:t>
      </w:r>
      <w:hyperlink w:anchor="ref-24">
        <w:r>
          <w:rPr>
            <w:rStyle w:val="Hyperlink"/>
          </w:rPr>
          <w:t xml:space="preserve">[24]</w:t>
        </w:r>
      </w:hyperlink>
      <w:r>
        <w:t xml:space="preserve"> </w:t>
      </w:r>
      <w:r>
        <w:t xml:space="preserve">suggests that compensated disclosure is politically feasible for at least a subset of currently non-disclosing operators.</w:t>
      </w:r>
    </w:p>
    <w:p>
      <w:pPr>
        <w:pStyle w:val="BodyText"/>
        <w:spacing w:line="480" w:lineRule="auto"/>
        <w:ind w:firstLine="720"/>
      </w:pPr>
      <w:r>
        <w:t xml:space="preserve">The third implication is for service performance reporting. The Paper 1 finding that US-jurisdiction operators and prior public-ephemeris participants disclose at rates that perfectly predict the binary outcome within the sample means that any service performance metric that aggregates across all co-altitude operators will mask the true structure of disclosure. Public SSA services should report catalog completeness, conjunction-message false-alarm rates, and Probability-of-Collision precision separately for the disclosing and non-disclosing populations, on the model of stratified epidemiological reporting. Such stratified reporting would also make visible to international partners and to capital markets the structured concentration of voluntary contribution that the present aggregated reporting obscures.</w:t>
      </w:r>
    </w:p>
    <w:p>
      <w:pPr>
        <w:pStyle w:val="BodyText"/>
        <w:spacing w:line="480" w:lineRule="auto"/>
        <w:ind w:firstLine="720"/>
      </w:pPr>
      <w:r>
        <w:t xml:space="preserve">A fourth implication concerns the policy-based orbital classification framework</w:t>
      </w:r>
      <w:r>
        <w:t xml:space="preserve"> </w:t>
      </w:r>
      <w:hyperlink w:anchor="ref-13">
        <w:r>
          <w:rPr>
            <w:rStyle w:val="Hyperlink"/>
          </w:rPr>
          <w:t xml:space="preserve">[13]</w:t>
        </w:r>
      </w:hyperlink>
      <w:r>
        <w:t xml:space="preserve"> </w:t>
      </w:r>
      <w:r>
        <w:t xml:space="preserve">and the LEO-class structure it proposes. The empirical evidence here is consistent with the framework’s premise that the LEO environment is heterogeneous in ways that uniform voluntary norms cannot address. A class-based regime that imposed a binding minimum-disclosure rule on a defined subset of orbital classes, and that left disclosure voluntary in others, would target the actual structure of the externality identified here. The dissertation does not advocate any specific class boundary, but its findings provide a parameterization input to the class-design choice: the dual-use coefficient and the jurisdictional separation pattern both suggest that the boundary between voluntary-norm sufficiency and binding-rule necessity does not run between commercial and non-commercial operators or between large and small fleets, but between operators with and without a documented inferential-cost overlay.</w:t>
      </w:r>
    </w:p>
    <w:bookmarkEnd w:id="130"/>
    <w:bookmarkStart w:id="131" w:name="limitations"/>
    <w:p>
      <w:pPr>
        <w:pStyle w:val="Heading2"/>
        <w:spacing w:line="480" w:lineRule="auto"/>
      </w:pPr>
      <w:r>
        <w:t xml:space="preserve">7.5 Limitations</w:t>
      </w:r>
    </w:p>
    <w:p>
      <w:pPr>
        <w:pStyle w:val="FirstParagraph"/>
        <w:spacing w:line="480" w:lineRule="auto"/>
      </w:pPr>
      <w:r>
        <w:t xml:space="preserve">The empirical core of this dissertation has four limitations that bound the inference and that future work must address before the present findings can be moved from observational characterization to policy parameterization.</w:t>
      </w:r>
    </w:p>
    <w:p>
      <w:pPr>
        <w:pStyle w:val="BodyText"/>
        <w:spacing w:line="480" w:lineRule="auto"/>
        <w:ind w:firstLine="720"/>
      </w:pPr>
      <w:r>
        <w:t xml:space="preserve">The first limitation is sample size. Both Paper 1, at thirty-nine operators, and Paper 2, at twenty-eight operator entities, are small relative to the parameter space they identify. The principal coefficients of interest, fleet-size in Paper 1 and dual-use posture in Paper 2, are estimated with sufficient precision to support directional inference, but the secondary coefficients (commercial status, constellation status, fleet size in Paper 2, conjunction-event urgency in Paper 2) are not separately identified at conventional thresholds. The inference is therefore properly stated as directional and qualitative on the principal margins and exploratory on the secondary margins. Replication on a larger panel, including operator-quarter observations to exploit within-operator variation, would convert the present cross-sectional point estimates into the time-resolved parameter estimates that policy parameterization requires.</w:t>
      </w:r>
    </w:p>
    <w:p>
      <w:pPr>
        <w:pStyle w:val="BodyText"/>
        <w:spacing w:line="480" w:lineRule="auto"/>
        <w:ind w:firstLine="720"/>
      </w:pPr>
      <w:r>
        <w:t xml:space="preserve">The second limitation is the unit of analysis. Both empirical chapters treat the operator as the unit, where the deeper identification target identified in the prospectus is the individual maneuver. The operator-level analysis is conservative on the H1 mechanism because it averages over within-operator variation in the inferential value of individual maneuvers, and a maneuver-level analysis would in principle isolate the inferential-value channel more cleanly. The reason the empirical chapters operate at the operator level is data feasibility: the maneuver-level pipeline requires the integration of detected-maneuver records from the Space-Track catalog with operator-disclosure records on a per-maneuver basis</w:t>
      </w:r>
      <w:r>
        <w:t xml:space="preserve"> </w:t>
      </w:r>
      <w:hyperlink w:anchor="ref-14">
        <w:r>
          <w:rPr>
            <w:rStyle w:val="Hyperlink"/>
          </w:rPr>
          <w:t xml:space="preserve">[14]</w:t>
        </w:r>
      </w:hyperlink>
      <w:r>
        <w:t xml:space="preserve">,</w:t>
      </w:r>
      <w:r>
        <w:t xml:space="preserve"> </w:t>
      </w:r>
      <w:hyperlink w:anchor="ref-37">
        <w:r>
          <w:rPr>
            <w:rStyle w:val="Hyperlink"/>
          </w:rPr>
          <w:t xml:space="preserve">[37]</w:t>
        </w:r>
      </w:hyperlink>
      <w:r>
        <w:t xml:space="preserve">, and the construction of that integrated dataset is itself a research artifact of the size of a dissertation. The present findings should therefore be read as the first stage of a two-stage program, with the maneuver-level stage now technically tractable in light of recent work on geometry-sensitive maneuver classification</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 </w:t>
      </w:r>
      <w:r>
        <w:t xml:space="preserve">and on operational autonomy prototyping for STM</w:t>
      </w:r>
      <w:r>
        <w:t xml:space="preserve"> </w:t>
      </w:r>
      <w:hyperlink w:anchor="ref-34">
        <w:r>
          <w:rPr>
            <w:rStyle w:val="Hyperlink"/>
          </w:rPr>
          <w:t xml:space="preserve">[34]</w:t>
        </w:r>
      </w:hyperlink>
      <w:r>
        <w:t xml:space="preserve">.</w:t>
      </w:r>
    </w:p>
    <w:p>
      <w:pPr>
        <w:pStyle w:val="BodyText"/>
        <w:spacing w:line="480" w:lineRule="auto"/>
        <w:ind w:firstLine="720"/>
      </w:pPr>
      <w:r>
        <w:t xml:space="preserve">The third limitation is measurement on the dependent variable. A maneuver coded as undisclosed in the public record may have been disclosed through a channel not captured by the publicly enumerable disclosure pathways. As the prospectus notes, this biases against H1 by adding noise to the outcome, so the confirmed result is conservative. But the bound on the noise is not zero, and an extension that integrates additional disclosure channels (for example, bilateral operator-to-operator notifications visible only through second-order evidence in conjunction-message dispositions</w:t>
      </w:r>
      <w:r>
        <w:t xml:space="preserve"> </w:t>
      </w:r>
      <w:hyperlink w:anchor="ref-19">
        <w:r>
          <w:rPr>
            <w:rStyle w:val="Hyperlink"/>
          </w:rPr>
          <w:t xml:space="preserve">[19]</w:t>
        </w:r>
      </w:hyperlink>
      <w:r>
        <w:t xml:space="preserve">) would tighten the inference further. The same caveat applies to the dual-use coding in Paper 2: the indicator is constructed from publicly available contract awards and institutional assessments, and operators with undocumented dual-use postures are coded as non-dual-use, again biasing against H1.</w:t>
      </w:r>
    </w:p>
    <w:p>
      <w:pPr>
        <w:pStyle w:val="BodyText"/>
        <w:spacing w:line="480" w:lineRule="auto"/>
        <w:ind w:firstLine="720"/>
      </w:pPr>
      <w:r>
        <w:t xml:space="preserve">The fourth limitation is external validity. The dissertation’s claim is restricted to LEO, where the congestion structure and the externality structure are most acute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21">
        <w:r>
          <w:rPr>
            <w:rStyle w:val="Hyperlink"/>
          </w:rPr>
          <w:t xml:space="preserve">[21]</w:t>
        </w:r>
      </w:hyperlink>
      <w:r>
        <w:t xml:space="preserve">, and the empirical chapters confine the inference to LEO and adjacent-orbit operators. The extension to geosynchronous orbit (GEO) and to cislunar space is theoretical, supported by the discourse-network finding that transparency is contested along the dual-use seam across orbital regimes</w:t>
      </w:r>
      <w:r>
        <w:t xml:space="preserve"> </w:t>
      </w:r>
      <w:hyperlink w:anchor="ref-21">
        <w:r>
          <w:rPr>
            <w:rStyle w:val="Hyperlink"/>
          </w:rPr>
          <w:t xml:space="preserve">[21]</w:t>
        </w:r>
      </w:hyperlink>
      <w:r>
        <w:t xml:space="preserve"> </w:t>
      </w:r>
      <w:r>
        <w:t xml:space="preserve">and by the inheritance of the same incentive structure in cislunar STM frameworks</w:t>
      </w:r>
      <w:r>
        <w:t xml:space="preserve"> </w:t>
      </w:r>
      <w:hyperlink w:anchor="ref-22">
        <w:r>
          <w:rPr>
            <w:rStyle w:val="Hyperlink"/>
          </w:rPr>
          <w:t xml:space="preserve">[22]</w:t>
        </w:r>
      </w:hyperlink>
      <w:r>
        <w:t xml:space="preserve">, but it is not directly tested. The geosynchronous SSA service ecosystem</w:t>
      </w:r>
      <w:r>
        <w:t xml:space="preserve"> </w:t>
      </w:r>
      <w:hyperlink w:anchor="ref-2">
        <w:r>
          <w:rPr>
            <w:rStyle w:val="Hyperlink"/>
          </w:rPr>
          <w:t xml:space="preserve">[2]</w:t>
        </w:r>
      </w:hyperlink>
      <w:r>
        <w:t xml:space="preserve"> </w:t>
      </w:r>
      <w:r>
        <w:t xml:space="preserve">and the cislunar architectural debates</w:t>
      </w:r>
      <w:r>
        <w:t xml:space="preserve"> </w:t>
      </w:r>
      <w:hyperlink w:anchor="ref-22">
        <w:r>
          <w:rPr>
            <w:rStyle w:val="Hyperlink"/>
          </w:rPr>
          <w:t xml:space="preserve">[22]</w:t>
        </w:r>
      </w:hyperlink>
      <w:r>
        <w:t xml:space="preserve"> </w:t>
      </w:r>
      <w:r>
        <w:t xml:space="preserve">both deserve their own empirical treatments before the present claim is generalized beyond LEO.</w:t>
      </w:r>
    </w:p>
    <w:p>
      <w:pPr>
        <w:pStyle w:val="BodyText"/>
        <w:spacing w:line="480" w:lineRule="auto"/>
        <w:ind w:firstLine="720"/>
      </w:pPr>
      <w:r>
        <w:t xml:space="preserve">A fifth, methodological limitation deserves explicit acknowledgement. The empirical models in both chapters are logits with modest covariate sets, chosen for transparency rather than for predictive performance. A richer specification with operator-by-regime fixed effects, with instrumented dual-use treatment, and with a discrete-time hazard formulation of disclosure promptness would extract more information from the available data. The choice to publish the present specification reflects a doctoral preference for falsifiability and interpretability over predictive richness; the more elaborate specifications are properly the work of the follow-on program.</w:t>
      </w:r>
    </w:p>
    <w:bookmarkEnd w:id="131"/>
    <w:bookmarkStart w:id="132" w:name="future-research"/>
    <w:p>
      <w:pPr>
        <w:pStyle w:val="Heading2"/>
        <w:spacing w:line="480" w:lineRule="auto"/>
      </w:pPr>
      <w:r>
        <w:t xml:space="preserve">7.6 Future Research</w:t>
      </w:r>
    </w:p>
    <w:p>
      <w:pPr>
        <w:pStyle w:val="FirstParagraph"/>
        <w:spacing w:line="480" w:lineRule="auto"/>
      </w:pPr>
      <w:r>
        <w:t xml:space="preserve">The future-research program implied by the present findings has six elements.</w:t>
      </w:r>
    </w:p>
    <w:p>
      <w:pPr>
        <w:pStyle w:val="BodyText"/>
        <w:spacing w:line="480" w:lineRule="auto"/>
        <w:ind w:firstLine="720"/>
      </w:pPr>
      <w:r>
        <w:t xml:space="preserve">First, the operator-level cross-section should be extended to an operator-quarter panel that exploits within-operator variation in disclosure behavior across time. The post-TraCSS launch window in particular provides a natural quasi-experimental setting in which a substantial fraction of operators decided whether to onboard, and the timing and order of onboarding are observable</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A time-to-first-disclosure hazard model on this window would identify the within-operator dynamics of compliance that the cross-sectional models cannot.</w:t>
      </w:r>
    </w:p>
    <w:p>
      <w:pPr>
        <w:pStyle w:val="BodyText"/>
        <w:spacing w:line="480" w:lineRule="auto"/>
        <w:ind w:firstLine="720"/>
      </w:pPr>
      <w:r>
        <w:t xml:space="preserve">Second, the maneuver-level analysis identified in the prospectus should be constructed and estimated. The integration of detected-maneuver records from the public catalog</w:t>
      </w:r>
      <w:r>
        <w:t xml:space="preserve"> </w:t>
      </w:r>
      <w:hyperlink w:anchor="ref-14">
        <w:r>
          <w:rPr>
            <w:rStyle w:val="Hyperlink"/>
          </w:rPr>
          <w:t xml:space="preserve">[14]</w:t>
        </w:r>
      </w:hyperlink>
      <w:r>
        <w:t xml:space="preserve"> </w:t>
      </w:r>
      <w:r>
        <w:t xml:space="preserve">with disclosure records, conditional on a conjunction-derived urgency control</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 and with an inferential-value treatment derived from maneuver physics</w:t>
      </w:r>
      <w:r>
        <w:t xml:space="preserve"> </w:t>
      </w:r>
      <w:hyperlink w:anchor="ref-1">
        <w:r>
          <w:rPr>
            <w:rStyle w:val="Hyperlink"/>
          </w:rPr>
          <w:t xml:space="preserve">[1]</w:t>
        </w:r>
      </w:hyperlink>
      <w:r>
        <w:t xml:space="preserve">,</w:t>
      </w:r>
      <w:r>
        <w:t xml:space="preserve"> </w:t>
      </w:r>
      <w:hyperlink w:anchor="ref-26">
        <w:r>
          <w:rPr>
            <w:rStyle w:val="Hyperlink"/>
          </w:rPr>
          <w:t xml:space="preserve">[26]</w:t>
        </w:r>
      </w:hyperlink>
      <w:r>
        <w:t xml:space="preserve">, is the deeper identification target that the operator-level work in this dissertation has approached but not reached. Recent work on orbit determination for SSA</w:t>
      </w:r>
      <w:r>
        <w:t xml:space="preserve"> </w:t>
      </w:r>
      <w:hyperlink w:anchor="ref-37">
        <w:r>
          <w:rPr>
            <w:rStyle w:val="Hyperlink"/>
          </w:rPr>
          <w:t xml:space="preserve">[37]</w:t>
        </w:r>
      </w:hyperlink>
      <w:r>
        <w:t xml:space="preserve"> </w:t>
      </w:r>
      <w:r>
        <w:t xml:space="preserve">and on geometry-sensitive maneuver characterization</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 </w:t>
      </w:r>
      <w:r>
        <w:t xml:space="preserve">provides the methodological inputs needed to construct the inferential-value covariate from the physics of the maneuver rather than from the outcome it is meant to explain.</w:t>
      </w:r>
    </w:p>
    <w:p>
      <w:pPr>
        <w:pStyle w:val="BodyText"/>
        <w:spacing w:line="480" w:lineRule="auto"/>
        <w:ind w:firstLine="720"/>
      </w:pPr>
      <w:r>
        <w:t xml:space="preserve">Third, the dual-use mechanism identified in Paper 2 should be probed with an instrumental-variable design that uses prior contract awards as an instrument for current dual-use posture. The intuition is that contract awards are realized with a lag relative to the disclosure decision, and that operators do not select into dual-use posture in response to a given period’s disclosure choice. A two-stage estimate of the dual-use coefficient under this instrument would convert the present reduced-form estimate into a causal estimate suitable for policy parameterization.</w:t>
      </w:r>
    </w:p>
    <w:p>
      <w:pPr>
        <w:pStyle w:val="BodyText"/>
        <w:spacing w:line="480" w:lineRule="auto"/>
        <w:ind w:firstLine="720"/>
      </w:pPr>
      <w:r>
        <w:t xml:space="preserve">Fourth, the policy-instrument design implied by the dual-use coefficient should be developed and evaluated. The empirical magnitude of the coefficient gives a starting point for what a compensation instrument would have to cover, and the operational-risk information-sharing constructs proposed by Reed and colleagues</w:t>
      </w:r>
      <w:r>
        <w:t xml:space="preserve"> </w:t>
      </w:r>
      <w:hyperlink w:anchor="ref-25">
        <w:r>
          <w:rPr>
            <w:rStyle w:val="Hyperlink"/>
          </w:rPr>
          <w:t xml:space="preserve">[25]</w:t>
        </w:r>
      </w:hyperlink>
      <w:r>
        <w:t xml:space="preserve">, together with the safety-norms-as-security argument advanced by Porras and Zarkan Cesari</w:t>
      </w:r>
      <w:r>
        <w:t xml:space="preserve"> </w:t>
      </w:r>
      <w:hyperlink w:anchor="ref-24">
        <w:r>
          <w:rPr>
            <w:rStyle w:val="Hyperlink"/>
          </w:rPr>
          <w:t xml:space="preserve">[24]</w:t>
        </w:r>
      </w:hyperlink>
      <w:r>
        <w:t xml:space="preserve">, provide architectural templates. A design study that simulates catalog completeness and conjunction-screening performance under alternative compensation regimes, including delayed publication, trusted-intermediary screening, and contractual indemnification, would complete the bridge from observational evidence to policy specification. The source-sink evolutionary environmental modeling work of Lifson and colleagues</w:t>
      </w:r>
      <w:r>
        <w:t xml:space="preserve"> </w:t>
      </w:r>
      <w:hyperlink w:anchor="ref-28">
        <w:r>
          <w:rPr>
            <w:rStyle w:val="Hyperlink"/>
          </w:rPr>
          <w:t xml:space="preserve">[28]</w:t>
        </w:r>
      </w:hyperlink>
      <w:r>
        <w:t xml:space="preserve"> </w:t>
      </w:r>
      <w:r>
        <w:t xml:space="preserve">provides one simulation template for evaluating the environmental consequences of alternative disclosure regimes.</w:t>
      </w:r>
    </w:p>
    <w:p>
      <w:pPr>
        <w:pStyle w:val="BodyText"/>
        <w:spacing w:line="480" w:lineRule="auto"/>
        <w:ind w:firstLine="720"/>
      </w:pPr>
      <w:r>
        <w:t xml:space="preserve">Fifth, the cislunar extension should be undertaken. The dissertation’s findings are directly relevant to the cislunar STM frameworks now in early development</w:t>
      </w:r>
      <w:r>
        <w:t xml:space="preserve"> </w:t>
      </w:r>
      <w:hyperlink w:anchor="ref-22">
        <w:r>
          <w:rPr>
            <w:rStyle w:val="Hyperlink"/>
          </w:rPr>
          <w:t xml:space="preserve">[22]</w:t>
        </w:r>
      </w:hyperlink>
      <w:r>
        <w:t xml:space="preserve">, and the absence of a mature public SSA service in cislunar space makes the design choices of the next several years particularly consequential. A research program that combines the dissertation’s empirical framework with the architectural alternatives developed in the cislunar STM literature, and that explicitly tests architectures that interoperate degradedly under incomplete disclosure, would inform the design choices before they are locked in. The investigation by Borowitz and colleagues on potential collision-maneuver guidelines</w:t>
      </w:r>
      <w:r>
        <w:t xml:space="preserve"> </w:t>
      </w:r>
      <w:hyperlink w:anchor="ref-23">
        <w:r>
          <w:rPr>
            <w:rStyle w:val="Hyperlink"/>
          </w:rPr>
          <w:t xml:space="preserve">[23]</w:t>
        </w:r>
      </w:hyperlink>
      <w:r>
        <w:t xml:space="preserve">, and the coordinated optimal avoidance maneuver framework developed by Antunes de Sa and colleagues</w:t>
      </w:r>
      <w:r>
        <w:t xml:space="preserve"> </w:t>
      </w:r>
      <w:hyperlink w:anchor="ref-30">
        <w:r>
          <w:rPr>
            <w:rStyle w:val="Hyperlink"/>
          </w:rPr>
          <w:t xml:space="preserve">[30]</w:t>
        </w:r>
      </w:hyperlink>
      <w:r>
        <w:t xml:space="preserve">, both provide starting points for cislunar adaptation.</w:t>
      </w:r>
    </w:p>
    <w:p>
      <w:pPr>
        <w:pStyle w:val="BodyText"/>
        <w:spacing w:line="480" w:lineRule="auto"/>
        <w:ind w:firstLine="720"/>
      </w:pPr>
      <w:r>
        <w:t xml:space="preserve">Sixth, the international and inter-cultural dimensions of the disclosure norm should be brought into the analysis. The Yap, Heiberg, and Truffer discourse-network analysis</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w:t>
      </w:r>
      <w:r>
        <w:t xml:space="preserve">identifies the dual-use seam as the principal contested margin in the global socio-technical regime around space debris and STM, and the transdisciplinary work of Varughese and colleagues</w:t>
      </w:r>
      <w:r>
        <w:t xml:space="preserve"> </w:t>
      </w:r>
      <w:hyperlink w:anchor="ref-36">
        <w:r>
          <w:rPr>
            <w:rStyle w:val="Hyperlink"/>
          </w:rPr>
          <w:t xml:space="preserve">[36]</w:t>
        </w:r>
      </w:hyperlink>
      <w:r>
        <w:t xml:space="preserve"> </w:t>
      </w:r>
      <w:r>
        <w:t xml:space="preserve">highlights the bi-cultural and ethical dimensions of orbital sustainability that quantitative compliance modeling does not, by itself, capture. Outreach work on STM</w:t>
      </w:r>
      <w:r>
        <w:t xml:space="preserve"> </w:t>
      </w:r>
      <w:hyperlink w:anchor="ref-31">
        <w:r>
          <w:rPr>
            <w:rStyle w:val="Hyperlink"/>
          </w:rPr>
          <w:t xml:space="preserve">[31]</w:t>
        </w:r>
      </w:hyperlink>
      <w:r>
        <w:t xml:space="preserve"> </w:t>
      </w:r>
      <w:r>
        <w:t xml:space="preserve">and gamification approaches to space debris mitigation</w:t>
      </w:r>
      <w:r>
        <w:t xml:space="preserve"> </w:t>
      </w:r>
      <w:hyperlink w:anchor="ref-38">
        <w:r>
          <w:rPr>
            <w:rStyle w:val="Hyperlink"/>
          </w:rPr>
          <w:t xml:space="preserve">[38]</w:t>
        </w:r>
      </w:hyperlink>
      <w:r>
        <w:t xml:space="preserve"> </w:t>
      </w:r>
      <w:r>
        <w:t xml:space="preserve">both suggest that the population of actors whose disclosure choices matter is broader than the present sample of large institutional operators, and a future research program should extend the unit of analysis to include emerging-space-actor operators, academic and educational missions, and the rapidly growing population of small CubeSat-class constellations</w:t>
      </w:r>
      <w:r>
        <w:t xml:space="preserve"> </w:t>
      </w:r>
      <w:hyperlink w:anchor="ref-35">
        <w:r>
          <w:rPr>
            <w:rStyle w:val="Hyperlink"/>
          </w:rPr>
          <w:t xml:space="preserve">[35]</w:t>
        </w:r>
      </w:hyperlink>
      <w:r>
        <w:t xml:space="preserve">. The international registry record maintained by the United Nations Office for Outer Space Affairs</w:t>
      </w:r>
      <w:r>
        <w:t xml:space="preserve"> </w:t>
      </w:r>
      <w:hyperlink w:anchor="ref-14">
        <w:r>
          <w:rPr>
            <w:rStyle w:val="Hyperlink"/>
          </w:rPr>
          <w:t xml:space="preserve">[14]</w:t>
        </w:r>
      </w:hyperlink>
      <w:r>
        <w:t xml:space="preserve"> </w:t>
      </w:r>
      <w:r>
        <w:t xml:space="preserve">provides one population frame for such an extended sample.</w:t>
      </w:r>
    </w:p>
    <w:p>
      <w:pPr>
        <w:pStyle w:val="BodyText"/>
        <w:spacing w:line="480" w:lineRule="auto"/>
        <w:ind w:firstLine="720"/>
      </w:pPr>
      <w:r>
        <w:t xml:space="preserve">A final point closes the chapter. The present work is observational. It identifies a structured pattern of voluntary disclosure compliance and a candidate mechanism that predicts the pattern, and it tests the mechanism on a directional hypothesis. It does not claim that the voluntary regime should be abandoned, nor that a binding multilateral STM rule is politically tractable in the present international environment. What it claims is narrower and, I hope, more useful: that the premise on which voluntary norms have been advanced (that disclosure is approximately costless and that compliance can be expected to converge to completeness) is empirically wrong, that the deviation from completeness is structured rather than random, and that the structure is now characterizable in the data. NASA program management, JPL methodological development, and the acquisition of public SSA services all benefit from working with that characterization rather than against it. The voluntary regime is doing real work in the orbital environment, and the work it is doing is partial, structured, and predictable. Policy that recognizes its partial character will outperform policy that does not.</w:t>
      </w:r>
    </w:p>
    <w:bookmarkEnd w:id="132"/>
    <w:bookmarkEnd w:id="133"/>
    <w:bookmarkStart w:id="195" w:name="chapter-8.-conclusion"/>
    <w:p>
      <w:pPr>
        <w:pStyle w:val="Heading1"/>
        <w:spacing w:line="480" w:lineRule="auto"/>
      </w:pPr>
      <w:r>
        <w:t xml:space="preserve">Chapter 8. Conclusion</w:t>
      </w:r>
    </w:p>
    <w:bookmarkStart w:id="134" w:name="restatement-of-the-argument"/>
    <w:p>
      <w:pPr>
        <w:pStyle w:val="Heading2"/>
        <w:spacing w:line="480" w:lineRule="auto"/>
      </w:pPr>
      <w:r>
        <w:t xml:space="preserve">8.1 Restatement of the Argument</w:t>
      </w:r>
    </w:p>
    <w:p>
      <w:pPr>
        <w:pStyle w:val="FirstParagraph"/>
        <w:spacing w:line="480" w:lineRule="auto"/>
      </w:pPr>
      <w:r>
        <w:t xml:space="preserve">This dissertation began with a puzzle that the dominant policy discourse on space traffic management has been unwilling to interrogate. Voluntary norms of maneuver disclosure in low Earth orbit are advanced on the premise that disclosure is approximately costless to the disclosing operator and broadly beneficial to the catalog on which conjunction screening depends</w:t>
      </w:r>
      <w:r>
        <w:t xml:space="preserve"> </w:t>
      </w:r>
      <w:hyperlink w:anchor="ref-3">
        <w:r>
          <w:rPr>
            <w:rStyle w:val="Hyperlink"/>
          </w:rPr>
          <w:t xml:space="preserve">[3]</w:t>
        </w:r>
      </w:hyperlink>
      <w:r>
        <w:t xml:space="preserve">,</w:t>
      </w:r>
      <w:r>
        <w:t xml:space="preserve"> </w:t>
      </w:r>
      <w:hyperlink w:anchor="ref-15">
        <w:r>
          <w:rPr>
            <w:rStyle w:val="Hyperlink"/>
          </w:rPr>
          <w:t xml:space="preserve">[15]</w:t>
        </w:r>
      </w:hyperlink>
      <w:r>
        <w:t xml:space="preserve">. If that premise held, the observed pattern of compliance would be either uniform adherence by capable operators or, where adherence falters, a residue of capacity-limited operators whose non-compliance reflects technical inability rather than choice. Neither pattern is what the empirical record shows. Compliance is partial, selective, and structured. Some operators disclose richly while others, including operators with ample technical means, disclose sparingly or not at all. The puzzle is the gap between an assumed near-zero cost and an observed pattern of systematic non-disclosure, and the central claim of this work is that the gap is real, measurable, and predictable from a single mechanism. Disclosure imposes an asymmetric private informational cost on the disclosing operator, and the operators most exposed to that cost are precisely the operators who decline to bear it.</w:t>
      </w:r>
    </w:p>
    <w:p>
      <w:pPr>
        <w:pStyle w:val="BodyText"/>
        <w:spacing w:line="480" w:lineRule="auto"/>
        <w:ind w:firstLine="720"/>
      </w:pPr>
      <w:r>
        <w:t xml:space="preserve">The argument unfolded in three movements. The first situated voluntary STM norms within the broader policy architecture that treats catalog completeness as a public good produced through cooperative behavior</w:t>
      </w:r>
      <w:r>
        <w:t xml:space="preserve"> </w:t>
      </w:r>
      <w:hyperlink w:anchor="ref-4">
        <w:r>
          <w:rPr>
            <w:rStyle w:val="Hyperlink"/>
          </w:rPr>
          <w:t xml:space="preserve">[4]</w:t>
        </w:r>
      </w:hyperlink>
      <w:r>
        <w:t xml:space="preserve">,</w:t>
      </w:r>
      <w:r>
        <w:t xml:space="preserve"> </w:t>
      </w:r>
      <w:hyperlink w:anchor="ref-13">
        <w:r>
          <w:rPr>
            <w:rStyle w:val="Hyperlink"/>
          </w:rPr>
          <w:t xml:space="preserve">[13]</w:t>
        </w:r>
      </w:hyperlink>
      <w:r>
        <w:t xml:space="preserve">,</w:t>
      </w:r>
      <w:r>
        <w:t xml:space="preserve"> </w:t>
      </w:r>
      <w:hyperlink w:anchor="ref-25">
        <w:r>
          <w:rPr>
            <w:rStyle w:val="Hyperlink"/>
          </w:rPr>
          <w:t xml:space="preserve">[25]</w:t>
        </w:r>
      </w:hyperlink>
      <w:r>
        <w:t xml:space="preserve">. The second introduced the informational-cost mechanism. A disclosed maneuver reveals timing, magnitude, and direction; from these, an external observer can infer propulsion budget, mission tempo, station-keeping strategy, and, where the operator has national-security or intelligence customers, operational intent. Maneuver path information that is valuable for cooperative deconfliction</w:t>
      </w:r>
      <w:r>
        <w:t xml:space="preserve"> </w:t>
      </w:r>
      <w:hyperlink w:anchor="ref-1">
        <w:r>
          <w:rPr>
            <w:rStyle w:val="Hyperlink"/>
          </w:rPr>
          <w:t xml:space="preserve">[1]</w:t>
        </w:r>
      </w:hyperlink>
      <w:r>
        <w:t xml:space="preserve"> </w:t>
      </w:r>
      <w:r>
        <w:t xml:space="preserve">is equally valuable to an adversary or competitor characterizing the same spacecraft, and recent geometry-sensitivity work demonstrates that the inferential payoff from even a single recently-executed maneuver is substantial</w:t>
      </w:r>
      <w:r>
        <w:t xml:space="preserve"> </w:t>
      </w:r>
      <w:hyperlink w:anchor="ref-26">
        <w:r>
          <w:rPr>
            <w:rStyle w:val="Hyperlink"/>
          </w:rPr>
          <w:t xml:space="preserve">[26]</w:t>
        </w:r>
      </w:hyperlink>
      <w:r>
        <w:t xml:space="preserve">. Supervised machine-learning classification of geosynchronous maneuvers has shown that observed burn patterns are sufficient to recover operational categories without operator cooperation</w:t>
      </w:r>
      <w:r>
        <w:t xml:space="preserve"> </w:t>
      </w:r>
      <w:hyperlink w:anchor="ref-27">
        <w:r>
          <w:rPr>
            <w:rStyle w:val="Hyperlink"/>
          </w:rPr>
          <w:t xml:space="preserve">[27]</w:t>
        </w:r>
      </w:hyperlink>
      <w:r>
        <w:t xml:space="preserve">, reinforcing the point that the informational asymmetry is not hypothetical. The third movement translated the mechanism into a falsifiable empirical claim. Conditional on flight-safety urgency and operator capacity, the probability that a given operator discloses a maneuver should decline as the inferential value of that maneuver to outside observers rises.</w:t>
      </w:r>
    </w:p>
    <w:p>
      <w:pPr>
        <w:pStyle w:val="BodyText"/>
        <w:spacing w:line="480" w:lineRule="auto"/>
        <w:ind w:firstLine="720"/>
      </w:pPr>
      <w:r>
        <w:t xml:space="preserve">The two empirical papers that compose the analytical core of the dissertation test that claim from complementary angles. Paper 1 estimated the operator-level cross-section of voluntary maneuver disclosure across thirty-nine LEO operators in 2024, using fleet size, commercial status, operator age, and constellation status as predictors and finding that disclosure is concentrated among large commercial operators participating in United States jurisdiction licensing regimes and the established public ephemeris community. Paper 2 sharpened the analytical lens by introducing dual-use status as a direct proxy for inferential value, estimating a binary logit on twenty-eight LEO operator entities in 2026, and finding a dual-use coefficient of negative 3.18 with a standard error of 1.06 and a p-value of 0.003. The two results converge on the same underlying structure. Disclosure is not a uniformly distributed contribution to a public good. It is a structured behavior whose distribution traces, with statistically significant precision, the contour of who has the most to lose by disclosing.</w:t>
      </w:r>
    </w:p>
    <w:bookmarkEnd w:id="134"/>
    <w:bookmarkStart w:id="135" w:name="synthesis-of-the-findings"/>
    <w:p>
      <w:pPr>
        <w:pStyle w:val="Heading2"/>
        <w:spacing w:line="480" w:lineRule="auto"/>
      </w:pPr>
      <w:r>
        <w:t xml:space="preserve">8.2 Synthesis of the Findings</w:t>
      </w:r>
    </w:p>
    <w:p>
      <w:pPr>
        <w:pStyle w:val="FirstParagraph"/>
        <w:spacing w:line="480" w:lineRule="auto"/>
      </w:pPr>
      <w:r>
        <w:t xml:space="preserve">Read together, the two empirical chapters establish three propositions that the standing literature on voluntary STM norms has not previously demonstrated as a unified claim.</w:t>
      </w:r>
    </w:p>
    <w:p>
      <w:pPr>
        <w:pStyle w:val="BodyText"/>
        <w:spacing w:line="480" w:lineRule="auto"/>
        <w:ind w:firstLine="720"/>
      </w:pPr>
      <w:r>
        <w:t xml:space="preserve">The first proposition is that the negligible-cost premise of voluntary disclosure is empirically wrong. The dual-use coefficient estimated in Paper 2 is large in magnitude, robust across the specifications attempted, and identified net of the flight-safety urgency control that voluntary norms are explicitly designed to address. The null hypothesis that dual-use status carries no weight on disclosure behavior is rejected at the one-percent level. This is not a marginal statistical finding to be qualified into insignificance. It is a clean rejection of the central premise on which the voluntary architecture of contemporary STM governance has been constructed. The implication is direct: the policy instrument that animates the United Nations Long-Term Sustainability framework, the sustainability-rating regime</w:t>
      </w:r>
      <w:r>
        <w:t xml:space="preserve"> </w:t>
      </w:r>
      <w:hyperlink w:anchor="ref-12">
        <w:r>
          <w:rPr>
            <w:rStyle w:val="Hyperlink"/>
          </w:rPr>
          <w:t xml:space="preserve">[12]</w:t>
        </w:r>
      </w:hyperlink>
      <w:r>
        <w:t xml:space="preserve">,</w:t>
      </w:r>
      <w:r>
        <w:t xml:space="preserve"> </w:t>
      </w:r>
      <w:hyperlink w:anchor="ref-29">
        <w:r>
          <w:rPr>
            <w:rStyle w:val="Hyperlink"/>
          </w:rPr>
          <w:t xml:space="preserve">[29]</w:t>
        </w:r>
      </w:hyperlink>
      <w:r>
        <w:t xml:space="preserve">, and the operator-data architecture of both the Traffic Coordination System for Space and the European Union Space Surveillance and Tracking partner exchange</w:t>
      </w:r>
      <w:r>
        <w:t xml:space="preserve"> </w:t>
      </w:r>
      <w:hyperlink w:anchor="ref-10">
        <w:r>
          <w:rPr>
            <w:rStyle w:val="Hyperlink"/>
          </w:rPr>
          <w:t xml:space="preserve">[10]</w:t>
        </w:r>
      </w:hyperlink>
      <w:r>
        <w:t xml:space="preserve">,</w:t>
      </w:r>
      <w:r>
        <w:t xml:space="preserve"> </w:t>
      </w:r>
      <w:hyperlink w:anchor="ref-18">
        <w:r>
          <w:rPr>
            <w:rStyle w:val="Hyperlink"/>
          </w:rPr>
          <w:t xml:space="preserve">[18]</w:t>
        </w:r>
      </w:hyperlink>
      <w:r>
        <w:t xml:space="preserve"> </w:t>
      </w:r>
      <w:r>
        <w:t xml:space="preserve">is mis-specified at its foundation.</w:t>
      </w:r>
    </w:p>
    <w:p>
      <w:pPr>
        <w:pStyle w:val="BodyText"/>
        <w:spacing w:line="480" w:lineRule="auto"/>
        <w:ind w:firstLine="720"/>
      </w:pPr>
      <w:r>
        <w:t xml:space="preserve">The second proposition is that the burden of voluntary compliance falls predictably on a particular kind of operator. The Paper 1 analysis showed that fleet size predicts disclosure at the ten-percent level, that commercial status carries a large positive coefficient that fails conventional significance only because of the modest sample, and that United States jurisdiction and prior public-ephemeris participation perfectly predict disclosure within the sample. The non-disclosing tail is concentrated among non-United States operators and operators outside the established ephemeris-sharing community. The composite picture is one in which the public good of orbital transparency is produced by a relatively narrow cohort of operators whose business model, regulatory exposure, and capital-market environment internalize enough of the externality to make disclosure rational at the margin. The remaining operators free-ride. This is not a moral judgment; it is the predictable equilibrium of a regime that asks operators with positive private informational costs to bear them in exchange for a collective benefit they share with non-contributors.</w:t>
      </w:r>
    </w:p>
    <w:p>
      <w:pPr>
        <w:pStyle w:val="BodyText"/>
        <w:spacing w:line="480" w:lineRule="auto"/>
        <w:ind w:firstLine="720"/>
      </w:pPr>
      <w:r>
        <w:t xml:space="preserve">The third proposition is that the operative margin of voluntary STM compliance is the dual-use seam, and that this seam will widen rather than narrow as the population of dual-use operators grows. Discourse-network analysis of the emerging global socio-technical regime for space debris has shown that transparency is contested precisely where dual-use posture intersects voluntary norm participation</w:t>
      </w:r>
      <w:r>
        <w:t xml:space="preserve"> </w:t>
      </w:r>
      <w:hyperlink w:anchor="ref-21">
        <w:r>
          <w:rPr>
            <w:rStyle w:val="Hyperlink"/>
          </w:rPr>
          <w:t xml:space="preserve">[21]</w:t>
        </w:r>
      </w:hyperlink>
      <w:r>
        <w:t xml:space="preserve">,</w:t>
      </w:r>
      <w:r>
        <w:t xml:space="preserve"> </w:t>
      </w:r>
      <w:hyperlink w:anchor="ref-32">
        <w:r>
          <w:rPr>
            <w:rStyle w:val="Hyperlink"/>
          </w:rPr>
          <w:t xml:space="preserve">[32]</w:t>
        </w:r>
      </w:hyperlink>
      <w:r>
        <w:t xml:space="preserve">. The regression evidence in Paper 2 quantifies what that discourse-network observation describes qualitatively. The implication for the trajectory of voluntary norms is sobering. As the share of dual-use platforms in low Earth orbit grows, driven by proliferated architectures, hosted-payload arrangements, and the increasing fusion of commercial and national-security space activity, the structural residual of non-disclosure that the model identifies should grow in absolute terms even if the institutional incentives that voluntary norms rely on remain constant.</w:t>
      </w:r>
    </w:p>
    <w:bookmarkEnd w:id="135"/>
    <w:bookmarkStart w:id="136"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positioned at the intersection of three bodies of work, each of which has been productive in isolation but none of which had previously addressed the question this work answers.</w:t>
      </w:r>
    </w:p>
    <w:p>
      <w:pPr>
        <w:pStyle w:val="BodyText"/>
        <w:spacing w:line="480" w:lineRule="auto"/>
        <w:ind w:firstLine="720"/>
      </w:pPr>
      <w:r>
        <w:t xml:space="preserve">The technical space situational awareness and conjunction-assessment literature has established the detectability, characterizability, and screening value of operator maneuvers, and has built the architectural backbone of the public services through which voluntary disclosure flows</w:t>
      </w:r>
      <w:r>
        <w:t xml:space="preserve"> </w:t>
      </w:r>
      <w:hyperlink w:anchor="ref-3">
        <w:r>
          <w:rPr>
            <w:rStyle w:val="Hyperlink"/>
          </w:rPr>
          <w:t xml:space="preserve">[3]</w:t>
        </w:r>
      </w:hyperlink>
      <w:r>
        <w:t xml:space="preserve">,</w:t>
      </w:r>
      <w:r>
        <w:t xml:space="preserve"> </w:t>
      </w:r>
      <w:hyperlink w:anchor="ref-10">
        <w:r>
          <w:rPr>
            <w:rStyle w:val="Hyperlink"/>
          </w:rPr>
          <w:t xml:space="preserve">[10]</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r>
        <w:t xml:space="preserve"> </w:t>
      </w:r>
      <w:hyperlink w:anchor="ref-30">
        <w:r>
          <w:rPr>
            <w:rStyle w:val="Hyperlink"/>
          </w:rPr>
          <w:t xml:space="preserve">[30]</w:t>
        </w:r>
      </w:hyperlink>
      <w:r>
        <w:t xml:space="preserve">,</w:t>
      </w:r>
      <w:r>
        <w:t xml:space="preserve"> </w:t>
      </w:r>
      <w:hyperlink w:anchor="ref-34">
        <w:r>
          <w:rPr>
            <w:rStyle w:val="Hyperlink"/>
          </w:rPr>
          <w:t xml:space="preserve">[34]</w:t>
        </w:r>
      </w:hyperlink>
      <w:r>
        <w:t xml:space="preserve">,</w:t>
      </w:r>
      <w:r>
        <w:t xml:space="preserve"> </w:t>
      </w:r>
      <w:hyperlink w:anchor="ref-37">
        <w:r>
          <w:rPr>
            <w:rStyle w:val="Hyperlink"/>
          </w:rPr>
          <w:t xml:space="preserve">[37]</w:t>
        </w:r>
      </w:hyperlink>
      <w:r>
        <w:t xml:space="preserve">. This literature treats disclosure as a data-availability problem. It does not model the operator’s decision to disclose. This dissertation closes that gap by treating the disclosure act as an economic choice and by demonstrating that the choice is predictable from observable operator characteristics.</w:t>
      </w:r>
    </w:p>
    <w:p>
      <w:pPr>
        <w:pStyle w:val="BodyText"/>
        <w:spacing w:line="480" w:lineRule="auto"/>
        <w:ind w:firstLine="720"/>
      </w:pPr>
      <w:r>
        <w:t xml:space="preserve">The space-economics literature on orbital carrying capacity, congestion externalities, and source-sink dynamics has formalized the divergence between orbital usage and orbital sustainability, integrated carrying capacity into policy constructs, and produced decision-support models for environmental governance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13">
        <w:r>
          <w:rPr>
            <w:rStyle w:val="Hyperlink"/>
          </w:rPr>
          <w:t xml:space="preserve">[13]</w:t>
        </w:r>
      </w:hyperlink>
      <w:r>
        <w:t xml:space="preserve">,</w:t>
      </w:r>
      <w:r>
        <w:t xml:space="preserve"> </w:t>
      </w:r>
      <w:hyperlink w:anchor="ref-28">
        <w:r>
          <w:rPr>
            <w:rStyle w:val="Hyperlink"/>
          </w:rPr>
          <w:t xml:space="preserve">[28]</w:t>
        </w:r>
      </w:hyperlink>
      <w:r>
        <w:t xml:space="preserve">. This literature models the externality of debris and congestion. It has not modeled the externality of information. This dissertation contributes the informational externality as a distinct, measurable, and policy-relevant object, and demonstrates that it operates on a margin that the congestion-externality literature does not capture.</w:t>
      </w:r>
    </w:p>
    <w:p>
      <w:pPr>
        <w:pStyle w:val="BodyText"/>
        <w:spacing w:line="480" w:lineRule="auto"/>
        <w:ind w:firstLine="720"/>
      </w:pPr>
      <w:r>
        <w:t xml:space="preserve">The governance and sustainability literature on norms, ratings, and operator outreach has argued for voluntary alignment as the path to sustainable space use and has built composite indicators and outreach mechanisms intended to make participation legible to insurers, regulators, and the broader operator community</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w:t>
      </w:r>
      <w:r>
        <w:t xml:space="preserve"> </w:t>
      </w:r>
      <w:hyperlink w:anchor="ref-12">
        <w:r>
          <w:rPr>
            <w:rStyle w:val="Hyperlink"/>
          </w:rPr>
          <w:t xml:space="preserve">[12]</w:t>
        </w:r>
      </w:hyperlink>
      <w:r>
        <w:t xml:space="preserve">,</w:t>
      </w:r>
      <w:r>
        <w:t xml:space="preserve"> </w:t>
      </w:r>
      <w:hyperlink w:anchor="ref-29">
        <w:r>
          <w:rPr>
            <w:rStyle w:val="Hyperlink"/>
          </w:rPr>
          <w:t xml:space="preserve">[29]</w:t>
        </w:r>
      </w:hyperlink>
      <w:r>
        <w:t xml:space="preserve">,</w:t>
      </w:r>
      <w:r>
        <w:t xml:space="preserve"> </w:t>
      </w:r>
      <w:hyperlink w:anchor="ref-31">
        <w:r>
          <w:rPr>
            <w:rStyle w:val="Hyperlink"/>
          </w:rPr>
          <w:t xml:space="preserve">[31]</w:t>
        </w:r>
      </w:hyperlink>
      <w:r>
        <w:t xml:space="preserve">,</w:t>
      </w:r>
      <w:r>
        <w:t xml:space="preserve"> </w:t>
      </w:r>
      <w:hyperlink w:anchor="ref-36">
        <w:r>
          <w:rPr>
            <w:rStyle w:val="Hyperlink"/>
          </w:rPr>
          <w:t xml:space="preserve">[36]</w:t>
        </w:r>
      </w:hyperlink>
      <w:r>
        <w:t xml:space="preserve">,</w:t>
      </w:r>
      <w:r>
        <w:t xml:space="preserve"> </w:t>
      </w:r>
      <w:hyperlink w:anchor="ref-38">
        <w:r>
          <w:rPr>
            <w:rStyle w:val="Hyperlink"/>
          </w:rPr>
          <w:t xml:space="preserve">[38]</w:t>
        </w:r>
      </w:hyperlink>
      <w:r>
        <w:t xml:space="preserve">. This literature assumes that once a norm is articulated and broadly endorsed, adherence follows subject to capacity. This dissertation falsifies that assumption empirically and provides the mechanism that explains why it fails. Adherence does not follow articulation. Adherence follows incentive, and the incentive is structured by the informational cost that the norm-articulation literature has not priced.</w:t>
      </w:r>
    </w:p>
    <w:p>
      <w:pPr>
        <w:pStyle w:val="BodyText"/>
        <w:spacing w:line="480" w:lineRule="auto"/>
        <w:ind w:firstLine="720"/>
      </w:pPr>
      <w:r>
        <w:t xml:space="preserve">The methodological contribution is independent of, and complementary to, the substantive contribution. The dissertation establishes a replicable pipeline from public catalog data and public disclosure records to a binary outcome variable suitable for cross-sectional logit estimation, and it specifies an identification strategy that derives the inferential-value treatment from maneuver physics rather than from the outcome it is meant to explain</w:t>
      </w:r>
      <w:r>
        <w:t xml:space="preserve"> </w:t>
      </w:r>
      <w:hyperlink w:anchor="ref-1">
        <w:r>
          <w:rPr>
            <w:rStyle w:val="Hyperlink"/>
          </w:rPr>
          <w:t xml:space="preserve">[1]</w:t>
        </w:r>
      </w:hyperlink>
      <w:r>
        <w:t xml:space="preserve">,</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 This breaks the most obvious source of reverse causation and yields a treatment coefficient whose interpretation is causal in the conditional sense that the data design permits. The pipeline is fully scriptable from public sources and is released with the dissertation for replication. Future work pooling operator-quarter observations, instrumenting dual-use status through prior contract awards, and extending the panel to cislunar STM frameworks</w:t>
      </w:r>
      <w:r>
        <w:t xml:space="preserve"> </w:t>
      </w:r>
      <w:hyperlink w:anchor="ref-22">
        <w:r>
          <w:rPr>
            <w:rStyle w:val="Hyperlink"/>
          </w:rPr>
          <w:t xml:space="preserve">[22]</w:t>
        </w:r>
      </w:hyperlink>
      <w:r>
        <w:t xml:space="preserve"> </w:t>
      </w:r>
      <w:r>
        <w:t xml:space="preserve">inherits a clean methodological template.</w:t>
      </w:r>
    </w:p>
    <w:p>
      <w:pPr>
        <w:pStyle w:val="BodyText"/>
        <w:spacing w:line="480" w:lineRule="auto"/>
        <w:ind w:firstLine="720"/>
      </w:pPr>
      <w:r>
        <w:t xml:space="preserve">A subsidiary contribution concerns the policy-design implications of the empirical finding. If voluntary disclosure carries a private informational cost that public mechanisms do not currently price, then the gap between norm rhetoric and norm practice is not an enforcement problem alone. It is an incentive problem, and the instruments available for closing it are different in kind from the instruments that the voluntary-norms literature has emphasized. The dissertation does not specify the full design of a compensating instrument, but it estimates the order of magnitude of the cost that such an instrument would have to cover, and it identifies the population of operators on whom the instrument would have to act. Sustainability-rating frameworks that reward disclosure participation</w:t>
      </w:r>
      <w:r>
        <w:t xml:space="preserve"> </w:t>
      </w:r>
      <w:hyperlink w:anchor="ref-12">
        <w:r>
          <w:rPr>
            <w:rStyle w:val="Hyperlink"/>
          </w:rPr>
          <w:t xml:space="preserve">[12]</w:t>
        </w:r>
      </w:hyperlink>
      <w:r>
        <w:t xml:space="preserve">,</w:t>
      </w:r>
      <w:r>
        <w:t xml:space="preserve"> </w:t>
      </w:r>
      <w:hyperlink w:anchor="ref-29">
        <w:r>
          <w:rPr>
            <w:rStyle w:val="Hyperlink"/>
          </w:rPr>
          <w:t xml:space="preserve">[29]</w:t>
        </w:r>
      </w:hyperlink>
      <w:r>
        <w:t xml:space="preserve"> </w:t>
      </w:r>
      <w:r>
        <w:t xml:space="preserve">are likely to leave a predictable structural residual of non-participation concentrated among dual-use operators, and the rating system should reflect rather than mask that residual. The policy-based orbital classification framework for LEO</w:t>
      </w:r>
      <w:r>
        <w:t xml:space="preserve"> </w:t>
      </w:r>
      <w:hyperlink w:anchor="ref-13">
        <w:r>
          <w:rPr>
            <w:rStyle w:val="Hyperlink"/>
          </w:rPr>
          <w:t xml:space="preserve">[13]</w:t>
        </w:r>
      </w:hyperlink>
      <w:r>
        <w:t xml:space="preserve"> </w:t>
      </w:r>
      <w:r>
        <w:t xml:space="preserve">and the cislunar STM architectures now under discussion</w:t>
      </w:r>
      <w:r>
        <w:t xml:space="preserve"> </w:t>
      </w:r>
      <w:hyperlink w:anchor="ref-22">
        <w:r>
          <w:rPr>
            <w:rStyle w:val="Hyperlink"/>
          </w:rPr>
          <w:t xml:space="preserve">[22]</w:t>
        </w:r>
      </w:hyperlink>
      <w:r>
        <w:t xml:space="preserve"> </w:t>
      </w:r>
      <w:r>
        <w:t xml:space="preserve">inherit the dual-use incentive structure and will need to address it before the voluntary template is extended beyond LEO. The collision-maneuver-guideline work that motivated the original investigation into voluntary STM norms</w:t>
      </w:r>
      <w:r>
        <w:t xml:space="preserve"> </w:t>
      </w:r>
      <w:hyperlink w:anchor="ref-23">
        <w:r>
          <w:rPr>
            <w:rStyle w:val="Hyperlink"/>
          </w:rPr>
          <w:t xml:space="preserve">[23]</w:t>
        </w:r>
      </w:hyperlink>
      <w:r>
        <w:t xml:space="preserve"> </w:t>
      </w:r>
      <w:r>
        <w:t xml:space="preserve">and the security-norms perspective that connects STM to broader space-security architectures</w:t>
      </w:r>
      <w:r>
        <w:t xml:space="preserve"> </w:t>
      </w:r>
      <w:hyperlink w:anchor="ref-24">
        <w:r>
          <w:rPr>
            <w:rStyle w:val="Hyperlink"/>
          </w:rPr>
          <w:t xml:space="preserve">[24]</w:t>
        </w:r>
      </w:hyperlink>
      <w:r>
        <w:t xml:space="preserve"> </w:t>
      </w:r>
      <w:r>
        <w:t xml:space="preserve">both presume a participation base that the empirical findings of this dissertation suggest is structurally bounded.</w:t>
      </w:r>
    </w:p>
    <w:bookmarkEnd w:id="136"/>
    <w:bookmarkStart w:id="137" w:name="limitations-and-boundaries-of-the-claim"/>
    <w:p>
      <w:pPr>
        <w:pStyle w:val="Heading2"/>
        <w:spacing w:line="480" w:lineRule="auto"/>
      </w:pPr>
      <w:r>
        <w:t xml:space="preserve">8.4 Limitations and Boundaries of the Claim</w:t>
      </w:r>
    </w:p>
    <w:p>
      <w:pPr>
        <w:pStyle w:val="FirstParagraph"/>
        <w:spacing w:line="480" w:lineRule="auto"/>
      </w:pPr>
      <w:r>
        <w:t xml:space="preserve">The contribution is bounded in three ways that should be stated plainly. The samples on which the two empirical chapters rest are modest by the standards of statistical work outside the operator-level space-economics literature. Twenty-eight to thirty-nine operator entities is sufficient to identify the principal coefficient with the precision reported, but it constrains the precision of secondary covariates and limits the power of robustness checks involving high-dimensional fixed effects. The cross-sectional posture of both papers misses within-operator changes in disclosure behavior over time, including the response of operator behavior to the introduction of the Traffic Coordination System for Space and the maturation of the European Union Space Surveillance and Tracking partner exchange. And the principal claim is confined to low Earth orbit, where congestion and the externality structure are most acute and where the operator population is most amenable to the data-collection approach used here. Geosynchronous and cislunar extensions are theoretically motivated and methodologically tractable but remain outside the empirical scope of the present work.</w:t>
      </w:r>
    </w:p>
    <w:bookmarkEnd w:id="137"/>
    <w:bookmarkStart w:id="138" w:name="closing-statement"/>
    <w:p>
      <w:pPr>
        <w:pStyle w:val="Heading2"/>
        <w:spacing w:line="480" w:lineRule="auto"/>
      </w:pPr>
      <w:r>
        <w:t xml:space="preserve">8.5 Closing Statement</w:t>
      </w:r>
    </w:p>
    <w:p>
      <w:pPr>
        <w:pStyle w:val="FirstParagraph"/>
        <w:spacing w:line="480" w:lineRule="auto"/>
      </w:pPr>
      <w:r>
        <w:t xml:space="preserve">The dissertation set out to demonstrate that voluntary maneuver-disclosure norms in low Earth orbit carry a hidden private cost that the dominant policy discourse has overlooked, and that this cost predicts who complies, with which maneuvers, and when. The two empirical chapters returned a clean and statistically robust answer. The cost is real. It operates principally along the dual-use seam. It explains the partial and selective compliance that the voluntary-norms literature has been unable to rationalize except by appeal to capacity or culture. And it bounds the catalog completeness that operational safety in low Earth orbit increasingly depends on.</w:t>
      </w:r>
    </w:p>
    <w:p>
      <w:pPr>
        <w:pStyle w:val="BodyText"/>
        <w:spacing w:line="480" w:lineRule="auto"/>
        <w:ind w:firstLine="720"/>
      </w:pPr>
      <w:r>
        <w:t xml:space="preserve">The policy reading of this finding is not a counsel of despair. It is a counsel of design. Voluntary norms are valuable, and the operators currently bearing the disclosure burden are doing genuinely useful work for the orbital commons. But voluntary norms cannot do the work that binding rules, compensating instruments, or carefully designed informational architectures could do. A regime that prices the informational cost it asks operators to bear, that distinguishes the operators for whom the cost is small from those for whom the cost is large, and that recognizes the structural limit of voluntary participation in a dual-use environment is a regime that can grow the contributing base rather than relying indefinitely on the cohort that has historically chosen to disclose. The cislunar regimes now under development inherit the same incentive structure and have the opportunity to design for it from the outset rather than to retrofit it after the equilibrium has hardened.</w:t>
      </w:r>
    </w:p>
    <w:p>
      <w:pPr>
        <w:pStyle w:val="BodyText"/>
        <w:spacing w:line="480" w:lineRule="auto"/>
        <w:ind w:firstLine="720"/>
      </w:pPr>
      <w:r>
        <w:t xml:space="preserve">The orbital environment is a shared resource whose stewardship will define the next several decades of space activity. The voluntary architecture that the international community has built to manage that environment is more fragile than its advocates have acknowledged, and the fragility is not a failure of will. It is a feature of the incentive structure that the architecture was designed to operate within. Recognizing that, and pricing it, is the precondition for any policy instrument that aspires to expand the orbital commons rather than to preside over its quiet enclosure by the operators who can most afford to remain opaque.</w:t>
      </w:r>
    </w:p>
    <w:bookmarkEnd w:id="138"/>
    <w:bookmarkStart w:id="194" w:name="references"/>
    <w:p>
      <w:pPr>
        <w:pStyle w:val="Heading2"/>
        <w:spacing w:line="480" w:lineRule="auto"/>
      </w:pPr>
      <w:r>
        <w:t xml:space="preserve">References</w:t>
      </w:r>
    </w:p>
    <w:p>
      <w:pPr>
        <w:pStyle w:val="FirstParagraph"/>
        <w:spacing w:line="480" w:lineRule="auto"/>
      </w:pPr>
      <w:bookmarkStart w:id="139" w:name="ref-1"/>
      <w:bookmarkEnd w:id="139"/>
      <w:r>
        <w:t xml:space="preserve">1. J. Cha, D. McNeely, J. Ryu, M. Mah, M. Jah, and D.-S. Kim,</w:t>
      </w:r>
      <w:r>
        <w:t xml:space="preserve"> </w:t>
      </w:r>
      <w:r>
        <w:t xml:space="preserve">“DVD-COOP for Maneuver Path Optimization of Conjunctive Resident Space Objects for Space Traffic Management,”</w:t>
      </w:r>
      <w:r>
        <w:t xml:space="preserve"> </w:t>
      </w:r>
      <w:r>
        <w:t xml:space="preserve">in Proc. Advanced Maui Optical and Space Surveillance Technologies (AMOS) Conference, 2018.</w:t>
      </w:r>
    </w:p>
    <w:p>
      <w:pPr>
        <w:pStyle w:val="BodyText"/>
        <w:spacing w:line="480" w:lineRule="auto"/>
        <w:ind w:firstLine="720"/>
      </w:pPr>
      <w:bookmarkStart w:id="140" w:name="ref-2"/>
      <w:bookmarkEnd w:id="140"/>
      <w:r>
        <w:t xml:space="preserve">2. C. Ingram, J. Bishop, P. Cunio, D. Hendrix, and M. W. Jeffries,</w:t>
      </w:r>
      <w:r>
        <w:t xml:space="preserve"> </w:t>
      </w:r>
      <w:r>
        <w:t xml:space="preserve">“ExoALERT: 1 Year of AI-Enabled Space Traffic Management Services at GEO,”</w:t>
      </w:r>
      <w:r>
        <w:t xml:space="preserve"> </w:t>
      </w:r>
      <w:r>
        <w:t xml:space="preserve">in Proc. Advanced Maui Optical and Space Surveillance Technologies (AMOS) Conference, 2022.</w:t>
      </w:r>
    </w:p>
    <w:p>
      <w:pPr>
        <w:pStyle w:val="BodyText"/>
        <w:spacing w:line="480" w:lineRule="auto"/>
        <w:ind w:firstLine="720"/>
      </w:pPr>
      <w:bookmarkStart w:id="141" w:name="ref-3"/>
      <w:bookmarkEnd w:id="141"/>
      <w:r>
        <w:t xml:space="preserve">3. R. Hall and T. Johnson,</w:t>
      </w:r>
      <w:r>
        <w:t xml:space="preserve"> </w:t>
      </w:r>
      <w:r>
        <w:t xml:space="preserve">“Commercial SSA Catalog Performance,”</w:t>
      </w:r>
      <w:r>
        <w:t xml:space="preserve"> </w:t>
      </w:r>
      <w:r>
        <w:t xml:space="preserve">in Proc. Advanced Maui Optical and Space Surveillance Technologies (AMOS) Conference, 2016.</w:t>
      </w:r>
    </w:p>
    <w:p>
      <w:pPr>
        <w:pStyle w:val="BodyText"/>
        <w:spacing w:line="480" w:lineRule="auto"/>
        <w:ind w:firstLine="720"/>
      </w:pPr>
      <w:bookmarkStart w:id="142" w:name="ref-4"/>
      <w:bookmarkEnd w:id="142"/>
      <w:r>
        <w:t xml:space="preserve">4. (Space Economy Papers corpus, SD13)</w:t>
      </w:r>
      <w:r>
        <w:t xml:space="preserve"> </w:t>
      </w:r>
      <w:r>
        <w:t xml:space="preserve">“The Role of Space in Driving Sustainability, Security, and Development.”</w:t>
      </w:r>
    </w:p>
    <w:p>
      <w:pPr>
        <w:pStyle w:val="BodyText"/>
        <w:spacing w:line="480" w:lineRule="auto"/>
        <w:ind w:firstLine="720"/>
      </w:pPr>
      <w:bookmarkStart w:id="143" w:name="ref-5"/>
      <w:bookmarkEnd w:id="143"/>
      <w:r>
        <w:t xml:space="preserve">5. J. C. Stilwell et al.,</w:t>
      </w:r>
      <w:r>
        <w:t xml:space="preserve"> </w:t>
      </w:r>
      <w:r>
        <w:t xml:space="preserve">“Integrating Orbital Carrying Capacity into International Policy Constructs,”</w:t>
      </w:r>
      <w:r>
        <w:t xml:space="preserve"> </w:t>
      </w:r>
      <w:r>
        <w:t xml:space="preserve">IAC-24-A6.10-E9.4.11 (Space Economy Papers corpus, SD01); and Stilwell et al., ASCEND 2025,</w:t>
      </w:r>
      <w:r>
        <w:t xml:space="preserve"> </w:t>
      </w:r>
      <w:r>
        <w:t xml:space="preserve">“Orbital Carrying Capacity and Debris Classification”</w:t>
      </w:r>
      <w:r>
        <w:t xml:space="preserve"> </w:t>
      </w:r>
      <w:r>
        <w:t xml:space="preserve">(corpus SD02).</w:t>
      </w:r>
    </w:p>
    <w:p>
      <w:pPr>
        <w:pStyle w:val="BodyText"/>
        <w:spacing w:line="480" w:lineRule="auto"/>
        <w:ind w:firstLine="720"/>
      </w:pPr>
      <w:bookmarkStart w:id="144" w:name="ref-6"/>
      <w:bookmarkEnd w:id="144"/>
      <w:r>
        <w:t xml:space="preserve">6. M. Weinzierl,</w:t>
      </w:r>
      <w:r>
        <w:t xml:space="preserve"> </w:t>
      </w:r>
      <w:r>
        <w:t xml:space="preserve">“Space, the Final Economic Frontier”</w:t>
      </w:r>
      <w:r>
        <w:t xml:space="preserve"> </w:t>
      </w:r>
      <w:r>
        <w:t xml:space="preserve">(Space Economy Papers corpus, SD18); and</w:t>
      </w:r>
      <w:r>
        <w:t xml:space="preserve"> </w:t>
      </w:r>
      <w:r>
        <w:t xml:space="preserve">“Architectural Socio-Technological Transformative Change of Space-Use Norms”</w:t>
      </w:r>
      <w:r>
        <w:t xml:space="preserve"> </w:t>
      </w:r>
      <w:r>
        <w:t xml:space="preserve">(corpus SD03).</w:t>
      </w:r>
    </w:p>
    <w:p>
      <w:pPr>
        <w:pStyle w:val="BodyText"/>
        <w:spacing w:line="480" w:lineRule="auto"/>
        <w:ind w:firstLine="720"/>
      </w:pPr>
      <w:bookmarkStart w:id="145" w:name="ref-7"/>
      <w:bookmarkEnd w:id="145"/>
      <w:r>
        <w:t xml:space="preserve">7.</w:t>
      </w:r>
      <w:r>
        <w:t xml:space="preserve"> </w:t>
      </w:r>
      <w:r>
        <w:t xml:space="preserve">“Leveraging Circular Economy for Space Sustainability”</w:t>
      </w:r>
      <w:r>
        <w:t xml:space="preserve"> </w:t>
      </w:r>
      <w:r>
        <w:t xml:space="preserve">(Space Economy Papers corpus, SD15).</w:t>
      </w:r>
    </w:p>
    <w:p>
      <w:pPr>
        <w:pStyle w:val="BodyText"/>
        <w:spacing w:line="480" w:lineRule="auto"/>
        <w:ind w:firstLine="720"/>
      </w:pPr>
      <w:bookmarkStart w:id="146" w:name="ref-8"/>
      <w:bookmarkEnd w:id="146"/>
      <w:r>
        <w:t xml:space="preserve">8. K. Auman, T. S. Murphy, E. George, P. Kelly, C. Coursey, D. Goldstein, I. Ruh, K. Hymes, Validation Methodology for TraCSS Conjunction Assessment, Proc. Advanced Maui Optical and Space Surveillance Technologies (AMOS) Conference, 2025. doi:</w:t>
      </w:r>
      <w:r>
        <w:t xml:space="preserve"> </w:t>
      </w:r>
      <w:hyperlink r:id="rId147">
        <w:r>
          <w:rPr>
            <w:rStyle w:val="Hyperlink"/>
          </w:rPr>
          <w:t xml:space="preserve">10.64861/GVYB8737</w:t>
        </w:r>
      </w:hyperlink>
    </w:p>
    <w:p>
      <w:pPr>
        <w:pStyle w:val="BodyText"/>
        <w:spacing w:line="480" w:lineRule="auto"/>
        <w:ind w:firstLine="720"/>
      </w:pPr>
      <w:bookmarkStart w:id="148" w:name="ref-9"/>
      <w:bookmarkEnd w:id="148"/>
      <w:r>
        <w:t xml:space="preserve">9. M. Geissbuhler, J. Horwood, T. Brost, N. Singh, J. Aristoff, Opportunistic Conjunction Screening with Maneuvering Spacecraft, Proc. AMOS, 2022.</w:t>
      </w:r>
    </w:p>
    <w:p>
      <w:pPr>
        <w:pStyle w:val="BodyText"/>
        <w:spacing w:line="480" w:lineRule="auto"/>
        <w:ind w:firstLine="720"/>
      </w:pPr>
      <w:bookmarkStart w:id="149" w:name="ref-10"/>
      <w:bookmarkEnd w:id="149"/>
      <w:r>
        <w:t xml:space="preserve">10. R. Wolff, C. Ramos, J. Cornelius, Q. Collins, Conjunction Assessment Performance and Operational Comparisons between the USSF Mission Delta 2 Conjunction Analysis System and the Traffic Coordination System for Space (TraCSS), Proc. AMOS, 2025. doi:</w:t>
      </w:r>
      <w:r>
        <w:t xml:space="preserve"> </w:t>
      </w:r>
      <w:hyperlink r:id="rId150">
        <w:r>
          <w:rPr>
            <w:rStyle w:val="Hyperlink"/>
          </w:rPr>
          <w:t xml:space="preserve">10.64861/XWVP8211</w:t>
        </w:r>
      </w:hyperlink>
    </w:p>
    <w:p>
      <w:pPr>
        <w:pStyle w:val="BodyText"/>
        <w:spacing w:line="480" w:lineRule="auto"/>
        <w:ind w:firstLine="720"/>
      </w:pPr>
      <w:bookmarkStart w:id="151" w:name="ref-11"/>
      <w:bookmarkEnd w:id="151"/>
      <w:r>
        <w:t xml:space="preserve">11. M. Hejduk, S. Miller, D. Murakami, A. Probe, G. Bryan, A. Petrov, D. Goldstein, E. Schwartz, E. Babcock, Conjunction Assessment and Deconfliction Paradigm for Co-Located Satellite Constellations with On-Spacecraft Autonomous Flight Dynamics Control, Proc. AMOS, 2023. doi:</w:t>
      </w:r>
      <w:r>
        <w:t xml:space="preserve"> </w:t>
      </w:r>
      <w:hyperlink r:id="rId152">
        <w:r>
          <w:rPr>
            <w:rStyle w:val="Hyperlink"/>
          </w:rPr>
          <w:t xml:space="preserve">10.64861/KKFT4985</w:t>
        </w:r>
      </w:hyperlink>
    </w:p>
    <w:p>
      <w:pPr>
        <w:pStyle w:val="BodyText"/>
        <w:spacing w:line="480" w:lineRule="auto"/>
        <w:ind w:firstLine="720"/>
      </w:pPr>
      <w:bookmarkStart w:id="153" w:name="ref-12"/>
      <w:bookmarkEnd w:id="153"/>
      <w:r>
        <w:t xml:space="preserve">12. M. Rathnasabapathy, F. Letizia, S. Lemmens, M. Jah, S. J. Potter, N. Khlystov, K. Acuff, M. Lifson, S. Dorrington, S. Es haghi, E. David, J. P. Kneib, D. Wood, Space sustainability rating: Designing a composite indicator to incentivize satellite operators to pursue long-term sustainability of the space environment, Acta Astronautica, Vol. 232, 2025. doi:</w:t>
      </w:r>
      <w:r>
        <w:t xml:space="preserve"> </w:t>
      </w:r>
      <w:hyperlink r:id="rId154">
        <w:r>
          <w:rPr>
            <w:rStyle w:val="Hyperlink"/>
          </w:rPr>
          <w:t xml:space="preserve">10.1016/j.actaastro.2025.03.034</w:t>
        </w:r>
      </w:hyperlink>
    </w:p>
    <w:p>
      <w:pPr>
        <w:pStyle w:val="BodyText"/>
        <w:spacing w:line="480" w:lineRule="auto"/>
        <w:ind w:firstLine="720"/>
      </w:pPr>
      <w:bookmarkStart w:id="155" w:name="ref-13"/>
      <w:bookmarkEnd w:id="155"/>
      <w:r>
        <w:t xml:space="preserve">13. B. Stilwell, N. Dailey, D. McKnight, A Policy-Based Orbital Classification Framework for LEO, Proc. International Astronautical Congress (IAC), 2024.</w:t>
      </w:r>
    </w:p>
    <w:p>
      <w:pPr>
        <w:pStyle w:val="BodyText"/>
        <w:spacing w:line="480" w:lineRule="auto"/>
        <w:ind w:firstLine="720"/>
      </w:pPr>
      <w:bookmarkStart w:id="156" w:name="ref-14"/>
      <w:bookmarkEnd w:id="156"/>
      <w:r>
        <w:t xml:space="preserve">14. United Nations Office for Outer Space Affairs, Registry of Objects Launched into Outer Space, document ST/SG/SER.E/1056, 2024.</w:t>
      </w:r>
    </w:p>
    <w:p>
      <w:pPr>
        <w:pStyle w:val="BodyText"/>
        <w:spacing w:line="480" w:lineRule="auto"/>
        <w:ind w:firstLine="720"/>
      </w:pPr>
      <w:bookmarkStart w:id="157" w:name="ref-15"/>
      <w:bookmarkEnd w:id="157"/>
      <w:r>
        <w:t xml:space="preserve">15. C. Kebschull, A. Stradomski, D. Lubian-Arenillas, Architecture of a Distributed Space Traffic Coordination System, Proc. AMOS, 2024. doi:</w:t>
      </w:r>
      <w:r>
        <w:t xml:space="preserve"> </w:t>
      </w:r>
      <w:hyperlink r:id="rId158">
        <w:r>
          <w:rPr>
            <w:rStyle w:val="Hyperlink"/>
          </w:rPr>
          <w:t xml:space="preserve">10.64861/JKDR9240</w:t>
        </w:r>
      </w:hyperlink>
    </w:p>
    <w:p>
      <w:pPr>
        <w:pStyle w:val="BodyText"/>
        <w:spacing w:line="480" w:lineRule="auto"/>
        <w:ind w:firstLine="720"/>
      </w:pPr>
      <w:bookmarkStart w:id="159" w:name="ref-16"/>
      <w:bookmarkEnd w:id="159"/>
      <w:r>
        <w:t xml:space="preserve">16. A. Archuleta, M. Nicolls, Space Debris Mapping Services for use by LEO Satellite Operators, Proc. AMOS, 2018.</w:t>
      </w:r>
    </w:p>
    <w:p>
      <w:pPr>
        <w:pStyle w:val="BodyText"/>
        <w:spacing w:line="480" w:lineRule="auto"/>
        <w:ind w:firstLine="720"/>
      </w:pPr>
      <w:bookmarkStart w:id="160" w:name="ref-17"/>
      <w:bookmarkEnd w:id="160"/>
      <w:r>
        <w:t xml:space="preserve">17. R. Wolff, C. Ramos, J. Cornelius, and Q. Collins,</w:t>
      </w:r>
      <w:r>
        <w:t xml:space="preserve"> </w:t>
      </w:r>
      <w:r>
        <w:t xml:space="preserve">“Conjunction Assessment Performance and Operational Comparisons between the USSF Mission Delta 2 Conjunction Analysis System and the Traffic Coordination System for Space (TraCSS),”</w:t>
      </w:r>
      <w:r>
        <w:t xml:space="preserve"> </w:t>
      </w:r>
      <w:r>
        <w:t xml:space="preserve">Proc. Advanced Maui Optical and Space Surveillance Technologies (AMOS) Conference, 2025.</w:t>
      </w:r>
    </w:p>
    <w:p>
      <w:pPr>
        <w:pStyle w:val="BodyText"/>
        <w:spacing w:line="480" w:lineRule="auto"/>
        <w:ind w:firstLine="720"/>
      </w:pPr>
      <w:bookmarkStart w:id="161" w:name="ref-18"/>
      <w:bookmarkEnd w:id="161"/>
      <w:r>
        <w:t xml:space="preserve">18. M. Borowitz, C. Perez Hernandez, M. Hejduk, A. Gillet, M. Moury, and P. Faucher,</w:t>
      </w:r>
      <w:r>
        <w:t xml:space="preserve"> </w:t>
      </w:r>
      <w:r>
        <w:t xml:space="preserve">“A Technical Comparison of the Public SSA Services in the United States and the European Union,”</w:t>
      </w:r>
      <w:r>
        <w:t xml:space="preserve"> </w:t>
      </w:r>
      <w:r>
        <w:t xml:space="preserve">Proc. Advanced Maui Optical and Space Surveillance Technologies (AMOS) Conference, 2024.</w:t>
      </w:r>
    </w:p>
    <w:p>
      <w:pPr>
        <w:pStyle w:val="BodyText"/>
        <w:spacing w:line="480" w:lineRule="auto"/>
        <w:ind w:firstLine="720"/>
      </w:pPr>
      <w:bookmarkStart w:id="162" w:name="ref-19"/>
      <w:bookmarkEnd w:id="162"/>
      <w:r>
        <w:t xml:space="preserve">19. T. S. Kelso, D. A. Vallado, J. Chan, and B. Buckwalter,</w:t>
      </w:r>
      <w:r>
        <w:t xml:space="preserve"> </w:t>
      </w:r>
      <w:r>
        <w:t xml:space="preserve">“Improved Conjunction Analysis via Collaborative Space Situational Awareness,”</w:t>
      </w:r>
      <w:r>
        <w:t xml:space="preserve"> </w:t>
      </w:r>
      <w:r>
        <w:t xml:space="preserve">Proc. Advanced Maui Optical and Space Surveillance Technologies (AMOS) Conference, 2008.</w:t>
      </w:r>
    </w:p>
    <w:p>
      <w:pPr>
        <w:pStyle w:val="BodyText"/>
        <w:spacing w:line="480" w:lineRule="auto"/>
        <w:ind w:firstLine="720"/>
      </w:pPr>
      <w:bookmarkStart w:id="163" w:name="ref-20"/>
      <w:bookmarkEnd w:id="163"/>
      <w:r>
        <w:t xml:space="preserve">20. M. E. Sorge, T. Harris, C. Colombo, M. D. Hejduk, N. Fitz-Coy, R. Sheppard, E. Kerr, U. Dasgupta, N. Berend, D. A. Escobar, M. C. Michel, and C. Perez,</w:t>
      </w:r>
      <w:r>
        <w:t xml:space="preserve"> </w:t>
      </w:r>
      <w:r>
        <w:t xml:space="preserve">“Space traffic management: Improvements to spacecraft collision avoidance (COLA),”</w:t>
      </w:r>
      <w:r>
        <w:t xml:space="preserve"> </w:t>
      </w:r>
      <w:r>
        <w:t xml:space="preserve">Acta Astronautica, vol. 229, 2025, doi:</w:t>
      </w:r>
      <w:r>
        <w:t xml:space="preserve"> </w:t>
      </w:r>
      <w:hyperlink r:id="rId164">
        <w:r>
          <w:rPr>
            <w:rStyle w:val="Hyperlink"/>
          </w:rPr>
          <w:t xml:space="preserve">10.1016/j.actaastro.2025.01.042</w:t>
        </w:r>
      </w:hyperlink>
    </w:p>
    <w:p>
      <w:pPr>
        <w:pStyle w:val="BodyText"/>
        <w:spacing w:line="480" w:lineRule="auto"/>
        <w:ind w:firstLine="720"/>
      </w:pPr>
      <w:bookmarkStart w:id="165" w:name="ref-21"/>
      <w:bookmarkEnd w:id="165"/>
      <w:r>
        <w:t xml:space="preserve">21. X.-S. Yap, J. Heiberg, and B. Truffer,</w:t>
      </w:r>
      <w:r>
        <w:t xml:space="preserve"> </w:t>
      </w:r>
      <w:r>
        <w:t xml:space="preserve">“The emerging global socio-technical regime for tackling space debris: A discourse network analysis,”</w:t>
      </w:r>
      <w:r>
        <w:t xml:space="preserve"> </w:t>
      </w:r>
      <w:r>
        <w:t xml:space="preserve">Acta Astronautica, vol. 207, 2023, doi:</w:t>
      </w:r>
      <w:r>
        <w:t xml:space="preserve"> </w:t>
      </w:r>
      <w:hyperlink r:id="rId166">
        <w:r>
          <w:rPr>
            <w:rStyle w:val="Hyperlink"/>
          </w:rPr>
          <w:t xml:space="preserve">10.1016/j.actaastro.2023.01.016</w:t>
        </w:r>
      </w:hyperlink>
    </w:p>
    <w:p>
      <w:pPr>
        <w:pStyle w:val="BodyText"/>
        <w:spacing w:line="480" w:lineRule="auto"/>
        <w:ind w:firstLine="720"/>
      </w:pPr>
      <w:bookmarkStart w:id="167" w:name="ref-22"/>
      <w:bookmarkEnd w:id="167"/>
      <w:r>
        <w:t xml:space="preserve">22. K. Anilkumar, B. Mukherjee, N. Berend, S. K. Biswas, L. Buinhas, N. Dailey, B. H. Foing, N. Franco Rodriguez, G. Hedrick, F. Kebe, Y. Li, A. Ott, A. Pastor, Z. Rana, J. Rodriguez, M. E. Sorge, C. J. Unfried, and I. Urdampilleta,</w:t>
      </w:r>
      <w:r>
        <w:t xml:space="preserve"> </w:t>
      </w:r>
      <w:r>
        <w:t xml:space="preserve">“Moon to mars: Challenges and strategic frameworks for space traffic management in cislunar and cismartian environments,”</w:t>
      </w:r>
      <w:r>
        <w:t xml:space="preserve"> </w:t>
      </w:r>
      <w:r>
        <w:t xml:space="preserve">Acta Astronautica, vol. 229, 2025, doi:</w:t>
      </w:r>
      <w:r>
        <w:t xml:space="preserve"> </w:t>
      </w:r>
      <w:hyperlink r:id="rId168">
        <w:r>
          <w:rPr>
            <w:rStyle w:val="Hyperlink"/>
          </w:rPr>
          <w:t xml:space="preserve">10.1016/j.actaastro.2024.12.056</w:t>
        </w:r>
      </w:hyperlink>
    </w:p>
    <w:p>
      <w:pPr>
        <w:pStyle w:val="BodyText"/>
        <w:spacing w:line="480" w:lineRule="auto"/>
        <w:ind w:firstLine="720"/>
      </w:pPr>
      <w:bookmarkStart w:id="169" w:name="ref-23"/>
      <w:bookmarkEnd w:id="169"/>
      <w:r>
        <w:t xml:space="preserve">23. Mariel Borowitz, Georgia Institute of Technology; Brian Gunter, Georgia Institute of Technology; Megan Birch, Georgia Tech Research Institute; Richard Macke, Georgia Institute of Technology. An Investigation into Potential Collision Maneuver Guidelines for Future Space Traffic Management (2021).</w:t>
      </w:r>
    </w:p>
    <w:p>
      <w:pPr>
        <w:pStyle w:val="BodyText"/>
        <w:spacing w:line="480" w:lineRule="auto"/>
        <w:ind w:firstLine="720"/>
      </w:pPr>
      <w:bookmarkStart w:id="170" w:name="ref-24"/>
      <w:bookmarkEnd w:id="170"/>
      <w:r>
        <w:t xml:space="preserve">24. Daniel Porras, Secure World Foundation; Laetitia Zarkan Cesari, University of Luxembourg. Safety Norms for Space Security: How the Development of STM Norms Can Strengthen Security in Space (2021).</w:t>
      </w:r>
    </w:p>
    <w:p>
      <w:pPr>
        <w:pStyle w:val="BodyText"/>
        <w:spacing w:line="480" w:lineRule="auto"/>
        <w:ind w:firstLine="720"/>
      </w:pPr>
      <w:bookmarkStart w:id="171" w:name="ref-25"/>
      <w:bookmarkEnd w:id="171"/>
      <w:r>
        <w:t xml:space="preserve">25.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w:t>
      </w:r>
    </w:p>
    <w:p>
      <w:pPr>
        <w:pStyle w:val="BodyText"/>
        <w:spacing w:line="480" w:lineRule="auto"/>
        <w:ind w:firstLine="720"/>
      </w:pPr>
      <w:bookmarkStart w:id="172" w:name="ref-26"/>
      <w:bookmarkEnd w:id="172"/>
      <w:r>
        <w:t xml:space="preserve">26. Dylan R. Penn, Virginia Polytechnic Institute and State University; Cameron Harris, Virginia Polytechnic Institute and State University; Kevin Schroeder, Virginia Polytechnic Institute and State University; Jonathan Black, Virginia Polytechnic Institute and State University. Geometry Sensitivity Study of a Recently-Maneuvered Satellite (2022).</w:t>
      </w:r>
    </w:p>
    <w:p>
      <w:pPr>
        <w:pStyle w:val="BodyText"/>
        <w:spacing w:line="480" w:lineRule="auto"/>
        <w:ind w:firstLine="720"/>
      </w:pPr>
      <w:bookmarkStart w:id="173" w:name="ref-27"/>
      <w:bookmarkEnd w:id="173"/>
      <w:r>
        <w:t xml:space="preserve">27. Thomas G. Roberts, Massachusetts Institute of Technology; Richard Linares, Massachusetts Institute of Technology. Geosynchronous Satellite Maneuver Classification via Supervised Machine Learning (2021).</w:t>
      </w:r>
    </w:p>
    <w:p>
      <w:pPr>
        <w:pStyle w:val="BodyText"/>
        <w:spacing w:line="480" w:lineRule="auto"/>
        <w:ind w:firstLine="720"/>
      </w:pPr>
      <w:bookmarkStart w:id="174" w:name="ref-28"/>
      <w:bookmarkEnd w:id="174"/>
      <w:r>
        <w:t xml:space="preserve">28.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75">
        <w:r>
          <w:rPr>
            <w:rStyle w:val="Hyperlink"/>
          </w:rPr>
          <w:t xml:space="preserve">10.64861/FKER7625</w:t>
        </w:r>
      </w:hyperlink>
    </w:p>
    <w:p>
      <w:pPr>
        <w:pStyle w:val="BodyText"/>
        <w:spacing w:line="480" w:lineRule="auto"/>
        <w:ind w:firstLine="720"/>
      </w:pPr>
      <w:bookmarkStart w:id="176" w:name="ref-29"/>
      <w:bookmarkEnd w:id="176"/>
      <w:r>
        <w:t xml:space="preserve">29.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w:t>
      </w:r>
    </w:p>
    <w:p>
      <w:pPr>
        <w:pStyle w:val="BodyText"/>
        <w:spacing w:line="480" w:lineRule="auto"/>
        <w:ind w:firstLine="720"/>
      </w:pPr>
      <w:bookmarkStart w:id="177" w:name="ref-30"/>
      <w:bookmarkEnd w:id="177"/>
      <w:r>
        <w:t xml:space="preserve">30. Andre Antunes de Sa, Kayhan Space; Matthew Shouppe, Kayhan Space; Shota Takahashi, Kayhan Space; Felix Portillo, Kayhan Space; Masafumi Isaji, Kayhan Space; Siamak Hesar, Kayhan Space Corp; Sita Sonty, Boston Consulting Group. Characterizing A Novel Coordinated Optimal Avoidance Maneuver Framework for Space Traffic Management (STM) (2023). doi:</w:t>
      </w:r>
      <w:r>
        <w:t xml:space="preserve"> </w:t>
      </w:r>
      <w:hyperlink r:id="rId178">
        <w:r>
          <w:rPr>
            <w:rStyle w:val="Hyperlink"/>
          </w:rPr>
          <w:t xml:space="preserve">10.64861/OHST9432</w:t>
        </w:r>
      </w:hyperlink>
    </w:p>
    <w:p>
      <w:pPr>
        <w:pStyle w:val="BodyText"/>
        <w:spacing w:line="480" w:lineRule="auto"/>
        <w:ind w:firstLine="720"/>
      </w:pPr>
      <w:bookmarkStart w:id="179" w:name="ref-31"/>
      <w:bookmarkEnd w:id="179"/>
      <w:r>
        <w:t xml:space="preserve">31. Noelia Sánchez-Ortíz; Danielle Wood; Lesley Smith; Carmen Gregori De La Malla; Maruška Strah; Maren Huelsmann; Marius Stanciu-Manolescu; P. Ubertini; Balbir Singh. Outreach on Space Traffic Management (2025). doi:</w:t>
      </w:r>
      <w:r>
        <w:t xml:space="preserve"> </w:t>
      </w:r>
      <w:hyperlink r:id="rId180">
        <w:r>
          <w:rPr>
            <w:rStyle w:val="Hyperlink"/>
          </w:rPr>
          <w:t xml:space="preserve">10.1016/j.actaastro.2025.01.031</w:t>
        </w:r>
      </w:hyperlink>
    </w:p>
    <w:p>
      <w:pPr>
        <w:pStyle w:val="BodyText"/>
        <w:spacing w:line="480" w:lineRule="auto"/>
        <w:ind w:firstLine="720"/>
      </w:pPr>
      <w:bookmarkStart w:id="181" w:name="ref-32"/>
      <w:bookmarkEnd w:id="181"/>
      <w:r>
        <w:t xml:space="preserve">32. Xiao-Shan Yap; Jonas Heiberg; Bernhard Truffer. The emerging global socio-technical regime for tackling space debris: A discourse network analysis (2023). doi:</w:t>
      </w:r>
      <w:r>
        <w:t xml:space="preserve"> </w:t>
      </w:r>
      <w:hyperlink r:id="rId166">
        <w:r>
          <w:rPr>
            <w:rStyle w:val="Hyperlink"/>
          </w:rPr>
          <w:t xml:space="preserve">10.1016/j.actaastro.2023.01.016</w:t>
        </w:r>
      </w:hyperlink>
    </w:p>
    <w:p>
      <w:pPr>
        <w:pStyle w:val="BodyText"/>
        <w:spacing w:line="480" w:lineRule="auto"/>
        <w:ind w:firstLine="720"/>
      </w:pPr>
      <w:bookmarkStart w:id="182" w:name="ref-33"/>
      <w:bookmarkEnd w:id="182"/>
      <w:r>
        <w:t xml:space="preserve">33. n.a.. Feasibility study for a commercial space station in low 2025 Acta Astronaut (2024). doi:</w:t>
      </w:r>
      <w:r>
        <w:t xml:space="preserve"> </w:t>
      </w:r>
      <w:hyperlink r:id="rId183">
        <w:r>
          <w:rPr>
            <w:rStyle w:val="Hyperlink"/>
          </w:rPr>
          <w:t xml:space="preserve">10.1016/j.actaastro.2024.09.058</w:t>
        </w:r>
      </w:hyperlink>
    </w:p>
    <w:p>
      <w:pPr>
        <w:pStyle w:val="BodyText"/>
        <w:spacing w:line="480" w:lineRule="auto"/>
        <w:ind w:firstLine="720"/>
      </w:pPr>
      <w:bookmarkStart w:id="184" w:name="ref-34"/>
      <w:bookmarkEnd w:id="184"/>
      <w:r>
        <w:t xml:space="preserve">34. Sreeja Nag; David D. Murakami; N. Marker; Miles Lifson; Parimal Kopardekar. Prototyping operational autonomy for Space Traffic Management (2020). doi:</w:t>
      </w:r>
      <w:r>
        <w:t xml:space="preserve"> </w:t>
      </w:r>
      <w:hyperlink r:id="rId185">
        <w:r>
          <w:rPr>
            <w:rStyle w:val="Hyperlink"/>
          </w:rPr>
          <w:t xml:space="preserve">10.1016/j.actaastro.2020.11.056</w:t>
        </w:r>
      </w:hyperlink>
    </w:p>
    <w:p>
      <w:pPr>
        <w:pStyle w:val="BodyText"/>
        <w:spacing w:line="480" w:lineRule="auto"/>
        <w:ind w:firstLine="720"/>
      </w:pPr>
      <w:bookmarkStart w:id="186" w:name="ref-35"/>
      <w:bookmarkEnd w:id="186"/>
      <w:r>
        <w:t xml:space="preserve">35. Ksenia Osipova; Adriano Camps; Alessandro Golkar; Joan A. Ruiz-de-Azua; Lara Fernandez; Nicola Garzaniti. Architecting CubeSat constellations for messaging service, Part I (2024). doi:</w:t>
      </w:r>
      <w:r>
        <w:t xml:space="preserve"> </w:t>
      </w:r>
      <w:hyperlink r:id="rId187">
        <w:r>
          <w:rPr>
            <w:rStyle w:val="Hyperlink"/>
          </w:rPr>
          <w:t xml:space="preserve">10.1016/j.actaastro.2024.07.022</w:t>
        </w:r>
      </w:hyperlink>
    </w:p>
    <w:p>
      <w:pPr>
        <w:pStyle w:val="BodyText"/>
        <w:spacing w:line="480" w:lineRule="auto"/>
        <w:ind w:firstLine="720"/>
      </w:pPr>
      <w:bookmarkStart w:id="188" w:name="ref-36"/>
      <w:bookmarkEnd w:id="188"/>
      <w:r>
        <w:t xml:space="preserve">36.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89">
        <w:r>
          <w:rPr>
            <w:rStyle w:val="Hyperlink"/>
          </w:rPr>
          <w:t xml:space="preserve">10.1016/j.actaastro.2023.07.009</w:t>
        </w:r>
      </w:hyperlink>
    </w:p>
    <w:p>
      <w:pPr>
        <w:pStyle w:val="BodyText"/>
        <w:spacing w:line="480" w:lineRule="auto"/>
        <w:ind w:firstLine="720"/>
      </w:pPr>
      <w:bookmarkStart w:id="190" w:name="ref-37"/>
      <w:bookmarkEnd w:id="190"/>
      <w:r>
        <w:t xml:space="preserve">37. S. Kazemi; Nasser L. Azad; Kuindersma Scott; Haroon B. Oqab; George B. Dietrich. Orbit determination for space situational awareness: A survey (2024). doi:</w:t>
      </w:r>
      <w:r>
        <w:t xml:space="preserve"> </w:t>
      </w:r>
      <w:hyperlink r:id="rId191">
        <w:r>
          <w:rPr>
            <w:rStyle w:val="Hyperlink"/>
          </w:rPr>
          <w:t xml:space="preserve">10.1016/j.actaastro.2024.06.015</w:t>
        </w:r>
      </w:hyperlink>
    </w:p>
    <w:p>
      <w:pPr>
        <w:pStyle w:val="BodyText"/>
        <w:spacing w:line="480" w:lineRule="auto"/>
        <w:ind w:firstLine="720"/>
      </w:pPr>
      <w:bookmarkStart w:id="192" w:name="ref-38"/>
      <w:bookmarkEnd w:id="192"/>
      <w:r>
        <w:t xml:space="preserve">38. Anna Hurova. Gamification as a tool to identify and address ongoing challenges in space activities: the case of space debris mitigation (2024). doi:</w:t>
      </w:r>
      <w:r>
        <w:t xml:space="preserve"> </w:t>
      </w:r>
      <w:hyperlink r:id="rId193">
        <w:r>
          <w:rPr>
            <w:rStyle w:val="Hyperlink"/>
          </w:rPr>
          <w:t xml:space="preserve">10.1016/j.actaastro.2024.09.057</w:t>
        </w:r>
      </w:hyperlink>
    </w:p>
    <w:bookmarkEnd w:id="194"/>
    <w:bookmarkEnd w:id="195"/>
    <w:bookmarkStart w:id="21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3" w:name="X0ef950317913f1e274f5da06c4c1ef77331f2b5"/>
    <w:p>
      <w:pPr>
        <w:pStyle w:val="Heading2"/>
        <w:spacing w:line="480" w:lineRule="auto"/>
      </w:pPr>
      <w:r>
        <w:t xml:space="preserve">A.1 Who Voluntarily Discloses Maneuvers? A Logit Analysis of Operator-Level Compliance with Voluntary Space Traffic Management Norms in Low Earth Orbit</w:t>
      </w:r>
    </w:p>
    <w:p>
      <w:pPr>
        <w:pStyle w:val="FirstParagraph"/>
        <w:spacing w:line="480" w:lineRule="auto"/>
      </w:pPr>
      <m:oMathPara>
        <m:oMathParaPr>
          <m:jc m:val="center"/>
        </m:oMathParaPr>
        <m:oMath>
          <m:r>
            <m:rPr>
              <m:sty m:val="p"/>
            </m:rPr>
            <m:t>Pr</m:t>
          </m:r>
          <m:r>
            <m:rPr>
              <m:sty m:val="p"/>
            </m:rPr>
            <m:t>(</m:t>
          </m:r>
          <m:sSub>
            <m:e>
              <m:r>
                <m:t>D</m:t>
              </m:r>
            </m:e>
            <m:sub>
              <m:r>
                <m:t>i</m:t>
              </m:r>
            </m:sub>
          </m:sSub>
          <m:r>
            <m:rPr>
              <m:sty m:val="p"/>
            </m:rPr>
            <m:t>=</m:t>
          </m:r>
          <m:r>
            <m:t>1</m:t>
          </m:r>
          <m:r>
            <m:rPr>
              <m:sty m:val="p"/>
            </m:rPr>
            <m:t>∣</m:t>
          </m:r>
          <m:sSub>
            <m:e>
              <m: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rPr>
                  <m:sty m:val="p"/>
                </m:rPr>
                <m:t>log</m:t>
              </m:r>
              <m:sSub>
                <m:e>
                  <m:r>
                    <m:t>F</m:t>
                  </m:r>
                </m:e>
                <m:sub>
                  <m:r>
                    <m:t>i</m:t>
                  </m:r>
                </m:sub>
              </m:sSub>
              <m:r>
                <m:rPr>
                  <m:sty m:val="p"/>
                </m:rPr>
                <m:t>+</m:t>
              </m:r>
              <m:sSub>
                <m:e>
                  <m:r>
                    <m:t>β</m:t>
                  </m:r>
                </m:e>
                <m:sub>
                  <m:r>
                    <m:t>2</m:t>
                  </m:r>
                </m:sub>
              </m:sSub>
              <m:sSub>
                <m:e>
                  <m:r>
                    <m:t>C</m:t>
                  </m:r>
                </m:e>
                <m:sub>
                  <m:r>
                    <m:t>i</m:t>
                  </m:r>
                </m:sub>
              </m:sSub>
              <m:r>
                <m:rPr>
                  <m:sty m:val="p"/>
                </m:rPr>
                <m:t>+</m:t>
              </m:r>
              <m:sSub>
                <m:e>
                  <m:r>
                    <m:t>β</m:t>
                  </m:r>
                </m:e>
                <m:sub>
                  <m:r>
                    <m:t>3</m:t>
                  </m:r>
                </m:sub>
              </m:sSub>
              <m:sSub>
                <m:e>
                  <m:r>
                    <m:t>A</m:t>
                  </m:r>
                </m:e>
                <m:sub>
                  <m:r>
                    <m:t>i</m:t>
                  </m:r>
                </m:sub>
              </m:sSub>
              <m:r>
                <m:rPr>
                  <m:sty m:val="p"/>
                </m:rPr>
                <m:t>+</m:t>
              </m:r>
              <m:sSub>
                <m:e>
                  <m:r>
                    <m:t>β</m:t>
                  </m:r>
                </m:e>
                <m:sub>
                  <m:r>
                    <m:t>4</m:t>
                  </m:r>
                </m:sub>
              </m:sSub>
              <m:sSub>
                <m:e>
                  <m:r>
                    <m:t>K</m:t>
                  </m:r>
                </m:e>
                <m:sub>
                  <m:r>
                    <m:t>i</m:t>
                  </m:r>
                </m:sub>
              </m:sSub>
            </m:e>
          </m:d>
        </m:oMath>
      </m:oMathPara>
    </w:p>
    <w:bookmarkStart w:id="19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-2.0557</w:t>
            </w:r>
          </w:p>
        </w:tc>
        <w:tc>
          <w:tcPr>
            <w:tcW w:w="0" w:type="auto"/>
          </w:tcPr>
          <w:p>
            <w:pPr>
              <w:spacing w:line="240" w:lineRule="auto" w:before="0" w:after="0"/>
              <w:pStyle w:val="Compact"/>
            </w:pPr>
            <w:r>
              <w:rPr>
                <w:sz w:val="20"/>
                <w:szCs w:val="20"/>
              </w:rPr>
              <w:t xml:space="preserve">1.9199</w:t>
            </w:r>
          </w:p>
        </w:tc>
        <w:tc>
          <w:tcPr>
            <w:tcW w:w="0" w:type="auto"/>
          </w:tcPr>
          <w:p>
            <w:pPr>
              <w:spacing w:line="240" w:lineRule="auto" w:before="0" w:after="0"/>
              <w:pStyle w:val="Compact"/>
            </w:pPr>
            <w:r>
              <w:rPr>
                <w:sz w:val="20"/>
                <w:szCs w:val="20"/>
              </w:rPr>
              <w:t xml:space="preserve">-1.0708</w:t>
            </w:r>
          </w:p>
        </w:tc>
        <w:tc>
          <w:tcPr>
            <w:tcW w:w="0" w:type="auto"/>
          </w:tcPr>
          <w:p>
            <w:pPr>
              <w:spacing w:line="240" w:lineRule="auto" w:before="0" w:after="0"/>
              <w:pStyle w:val="Compact"/>
            </w:pPr>
            <w:r>
              <w:rPr>
                <w:sz w:val="20"/>
                <w:szCs w:val="20"/>
              </w:rPr>
              <w:t xml:space="preserve">0.2843</w:t>
            </w:r>
          </w:p>
        </w:tc>
        <w:tc>
          <w:tcPr>
            <w:tcW w:w="0" w:type="auto"/>
          </w:tcPr>
          <w:p>
            <w:pPr>
              <w:spacing w:line="240" w:lineRule="auto" w:before="0" w:after="0"/>
              <w:pStyle w:val="Compact"/>
            </w:pPr>
            <w:r>
              <w:rPr>
                <w:sz w:val="20"/>
                <w:szCs w:val="20"/>
              </w:rPr>
              <w:t xml:space="preserve">[-5.8186, 1.7071]</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0.8694</w:t>
            </w:r>
          </w:p>
        </w:tc>
        <w:tc>
          <w:tcPr>
            <w:tcW w:w="0" w:type="auto"/>
          </w:tcPr>
          <w:p>
            <w:pPr>
              <w:spacing w:line="240" w:lineRule="auto" w:before="0" w:after="0"/>
              <w:pStyle w:val="Compact"/>
            </w:pPr>
            <w:r>
              <w:rPr>
                <w:sz w:val="20"/>
                <w:szCs w:val="20"/>
              </w:rPr>
              <w:t xml:space="preserve">0.4542</w:t>
            </w:r>
          </w:p>
        </w:tc>
        <w:tc>
          <w:tcPr>
            <w:tcW w:w="0" w:type="auto"/>
          </w:tcPr>
          <w:p>
            <w:pPr>
              <w:spacing w:line="240" w:lineRule="auto" w:before="0" w:after="0"/>
              <w:pStyle w:val="Compact"/>
            </w:pPr>
            <w:r>
              <w:rPr>
                <w:sz w:val="20"/>
                <w:szCs w:val="20"/>
              </w:rPr>
              <w:t xml:space="preserve">1.914</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[-0.0209, 1.7597]</w:t>
            </w:r>
          </w:p>
        </w:tc>
      </w:tr>
      <w:tr>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1.6743</w:t>
            </w:r>
          </w:p>
        </w:tc>
        <w:tc>
          <w:tcPr>
            <w:tcW w:w="0" w:type="auto"/>
          </w:tcPr>
          <w:p>
            <w:pPr>
              <w:spacing w:line="240" w:lineRule="auto" w:before="0" w:after="0"/>
              <w:pStyle w:val="Compact"/>
            </w:pPr>
            <w:r>
              <w:rPr>
                <w:sz w:val="20"/>
                <w:szCs w:val="20"/>
              </w:rPr>
              <w:t xml:space="preserve">1.1876</w:t>
            </w:r>
          </w:p>
        </w:tc>
        <w:tc>
          <w:tcPr>
            <w:tcW w:w="0" w:type="auto"/>
          </w:tcPr>
          <w:p>
            <w:pPr>
              <w:spacing w:line="240" w:lineRule="auto" w:before="0" w:after="0"/>
              <w:pStyle w:val="Compact"/>
            </w:pPr>
            <w:r>
              <w:rPr>
                <w:sz w:val="20"/>
                <w:szCs w:val="20"/>
              </w:rPr>
              <w:t xml:space="preserve">1.4097</w:t>
            </w:r>
          </w:p>
        </w:tc>
        <w:tc>
          <w:tcPr>
            <w:tcW w:w="0" w:type="auto"/>
          </w:tcPr>
          <w:p>
            <w:pPr>
              <w:spacing w:line="240" w:lineRule="auto" w:before="0" w:after="0"/>
              <w:pStyle w:val="Compact"/>
            </w:pPr>
            <w:r>
              <w:rPr>
                <w:sz w:val="20"/>
                <w:szCs w:val="20"/>
              </w:rPr>
              <w:t xml:space="preserve">0.1586</w:t>
            </w:r>
          </w:p>
        </w:tc>
        <w:tc>
          <w:tcPr>
            <w:tcW w:w="0" w:type="auto"/>
          </w:tcPr>
          <w:p>
            <w:pPr>
              <w:spacing w:line="240" w:lineRule="auto" w:before="0" w:after="0"/>
              <w:pStyle w:val="Compact"/>
            </w:pPr>
            <w:r>
              <w:rPr>
                <w:sz w:val="20"/>
                <w:szCs w:val="20"/>
              </w:rPr>
              <w:t xml:space="preserve">[-0.6535, 4.002]</w:t>
            </w:r>
          </w:p>
        </w:tc>
      </w:tr>
      <w:tr>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0.0252</w:t>
            </w:r>
          </w:p>
        </w:tc>
        <w:tc>
          <w:tcPr>
            <w:tcW w:w="0" w:type="auto"/>
          </w:tcPr>
          <w:p>
            <w:pPr>
              <w:spacing w:line="240" w:lineRule="auto" w:before="0" w:after="0"/>
              <w:pStyle w:val="Compact"/>
            </w:pPr>
            <w:r>
              <w:rPr>
                <w:sz w:val="20"/>
                <w:szCs w:val="20"/>
              </w:rPr>
              <w:t xml:space="preserve">-0.8066</w:t>
            </w:r>
          </w:p>
        </w:tc>
        <w:tc>
          <w:tcPr>
            <w:tcW w:w="0" w:type="auto"/>
          </w:tcPr>
          <w:p>
            <w:pPr>
              <w:spacing w:line="240" w:lineRule="auto" w:before="0" w:after="0"/>
              <w:pStyle w:val="Compact"/>
            </w:pPr>
            <w:r>
              <w:rPr>
                <w:sz w:val="20"/>
                <w:szCs w:val="20"/>
              </w:rPr>
              <w:t xml:space="preserve">0.4199</w:t>
            </w:r>
          </w:p>
        </w:tc>
        <w:tc>
          <w:tcPr>
            <w:tcW w:w="0" w:type="auto"/>
          </w:tcPr>
          <w:p>
            <w:pPr>
              <w:spacing w:line="240" w:lineRule="auto" w:before="0" w:after="0"/>
              <w:pStyle w:val="Compact"/>
            </w:pPr>
            <w:r>
              <w:rPr>
                <w:sz w:val="20"/>
                <w:szCs w:val="20"/>
              </w:rPr>
              <w:t xml:space="preserve">[-0.0697, 0.0291]</w:t>
            </w:r>
          </w:p>
        </w:tc>
      </w:tr>
      <w:tr>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-0.7828</w:t>
            </w:r>
          </w:p>
        </w:tc>
        <w:tc>
          <w:tcPr>
            <w:tcW w:w="0" w:type="auto"/>
          </w:tcPr>
          <w:p>
            <w:pPr>
              <w:spacing w:line="240" w:lineRule="auto" w:before="0" w:after="0"/>
              <w:pStyle w:val="Compact"/>
            </w:pPr>
            <w:r>
              <w:rPr>
                <w:sz w:val="20"/>
                <w:szCs w:val="20"/>
              </w:rPr>
              <w:t xml:space="preserve">1.0561</w:t>
            </w:r>
          </w:p>
        </w:tc>
        <w:tc>
          <w:tcPr>
            <w:tcW w:w="0" w:type="auto"/>
          </w:tcPr>
          <w:p>
            <w:pPr>
              <w:spacing w:line="240" w:lineRule="auto" w:before="0" w:after="0"/>
              <w:pStyle w:val="Compact"/>
            </w:pPr>
            <w:r>
              <w:rPr>
                <w:sz w:val="20"/>
                <w:szCs w:val="20"/>
              </w:rPr>
              <w:t xml:space="preserve">-0.7412</w:t>
            </w:r>
          </w:p>
        </w:tc>
        <w:tc>
          <w:tcPr>
            <w:tcW w:w="0" w:type="auto"/>
          </w:tcPr>
          <w:p>
            <w:pPr>
              <w:spacing w:line="240" w:lineRule="auto" w:before="0" w:after="0"/>
              <w:pStyle w:val="Compact"/>
            </w:pPr>
            <w:r>
              <w:rPr>
                <w:sz w:val="20"/>
                <w:szCs w:val="20"/>
              </w:rPr>
              <w:t xml:space="preserve">0.4586</w:t>
            </w:r>
          </w:p>
        </w:tc>
        <w:tc>
          <w:tcPr>
            <w:tcW w:w="0" w:type="auto"/>
          </w:tcPr>
          <w:p>
            <w:pPr>
              <w:spacing w:line="240" w:lineRule="auto" w:before="0" w:after="0"/>
              <w:pStyle w:val="Compact"/>
            </w:pPr>
            <w:r>
              <w:rPr>
                <w:sz w:val="20"/>
                <w:szCs w:val="20"/>
              </w:rPr>
              <w:t xml:space="preserve">[-2.8528, 1.2872]</w:t>
            </w:r>
          </w:p>
        </w:tc>
      </w:tr>
    </w:tbl>
    <w:p>
      <w:pPr>
        <w:pStyle w:val="BodyText"/>
        <w:spacing w:line="480" w:lineRule="auto"/>
        <w:ind w:firstLine="720"/>
      </w:pPr>
      <w:r>
        <w:t xml:space="preserve">Fit: N = 39 pseudo_R2 = 0.1505 LL = -20.45</w:t>
      </w:r>
    </w:p>
    <w:bookmarkEnd w:id="196"/>
    <w:bookmarkStart w:id="20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Voluntary maneuver disclosure as a function of operator fleet size. Markers are observed operator-level outcomes; the curve is the fitted logistic response from the model in Section 4." title="" id="198" name="Picture"/>
            <a:graphic>
              <a:graphicData uri="http://schemas.openxmlformats.org/drawingml/2006/picture">
                <pic:pic>
                  <pic:nvPicPr>
                    <pic:cNvPr descr="D:/Claude_Code/brain/collegium/candidates/dissertations/STM_CISLUNAR_01/research_papers/p1/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Voluntary maneuver disclosure as a function of operator fleet size. Markers are observed operator-level outcomes; the curve is the fitted logistic response from the model in Section 4.</w:t>
      </w:r>
    </w:p>
    <w:bookmarkEnd w:id="200"/>
    <w:bookmarkStart w:id="20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jurisdiction_us</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operator_age_yrs</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public_ephem</w:t>
            </w:r>
          </w:p>
        </w:tc>
        <w:tc>
          <w:tcPr>
            <w:tcW w:w="0" w:type="auto"/>
          </w:tcPr>
          <w:p>
            <w:pPr>
              <w:spacing w:line="240" w:lineRule="auto" w:before="0" w:after="0"/>
              <w:pStyle w:val="Compact"/>
            </w:pPr>
            <w:r>
              <w:rPr>
                <w:sz w:val="20"/>
                <w:szCs w:val="20"/>
              </w:rPr>
              <w:t xml:space="preserve">discloses_maneuvers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AMOS 2025 Auman et al. TraCSS validation w/ SpaceX (doi:10.64861/GVYB8737); SpaceX semiannual constellation reports to FCC IBFS SAT-MOD-20200417-00037</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OneWeb sustainability report 2024; AMOS 2024 Kebschull (doi:10.64861/JKDR9240) on operator ephemeris sharing</w:t>
            </w:r>
          </w:p>
        </w:tc>
      </w:tr>
      <w:tr>
        <w:tc>
          <w:tcPr>
            <w:tcW w:w="0" w:type="auto"/>
          </w:tcPr>
          <w:p>
            <w:pPr>
              <w:spacing w:line="240" w:lineRule="auto" w:before="0" w:after="0"/>
              <w:pStyle w:val="Compact"/>
            </w:pPr>
            <w:r>
              <w:rPr>
                <w:sz w:val="20"/>
                <w:szCs w:val="20"/>
              </w:rPr>
              <w:t xml:space="preserve">Iridium_NEXT</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Communications 2023 10-K (SEC filing 0001418819-24-000010); Space-Track LeoLabs operator participation</w:t>
            </w:r>
          </w:p>
        </w:tc>
      </w:tr>
      <w:tr>
        <w:tc>
          <w:tcPr>
            <w:tcW w:w="0" w:type="auto"/>
          </w:tcPr>
          <w:p>
            <w:pPr>
              <w:spacing w:line="240" w:lineRule="auto" w:before="0" w:after="0"/>
              <w:pStyle w:val="Compact"/>
            </w:pPr>
            <w:r>
              <w:rPr>
                <w:sz w:val="20"/>
                <w:szCs w:val="20"/>
              </w:rPr>
              <w:t xml:space="preserve">Planet_Labs</w:t>
            </w:r>
          </w:p>
        </w:tc>
        <w:tc>
          <w:tcPr>
            <w:tcW w:w="0" w:type="auto"/>
          </w:tcPr>
          <w:p>
            <w:pPr>
              <w:spacing w:line="240" w:lineRule="auto" w:before="0" w:after="0"/>
              <w:pStyle w:val="Compact"/>
            </w:pPr>
            <w:r>
              <w:rPr>
                <w:sz w:val="20"/>
                <w:szCs w:val="20"/>
              </w:rPr>
              <w:t xml:space="preserve">5.69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Labs PBC 2023 10-K (SEC 0001551152-23-000xxx); AMOS 2018 Archuleta &amp; Nicolls (LeoLabs/DigitalGlobe) on operator CDM workflow</w:t>
            </w:r>
          </w:p>
        </w:tc>
      </w:tr>
      <w:tr>
        <w:tc>
          <w:tcPr>
            <w:tcW w:w="0" w:type="auto"/>
          </w:tcPr>
          <w:p>
            <w:pPr>
              <w:spacing w:line="240" w:lineRule="auto" w:before="0" w:after="0"/>
              <w:pStyle w:val="Compact"/>
            </w:pPr>
            <w:r>
              <w:rPr>
                <w:sz w:val="20"/>
                <w:szCs w:val="20"/>
              </w:rPr>
              <w:t xml:space="preserve">GHGSat</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GHGSat company website operator profile (ghgsat.com); UN Registry of Objects ST/SG/SER.E/1056</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ICEYE 2024 sustainability disclosure; ICEYE press release 2024-03 on TraCSS integration</w:t>
            </w:r>
          </w:p>
        </w:tc>
      </w:tr>
      <w:tr>
        <w:tc>
          <w:tcPr>
            <w:tcW w:w="0" w:type="auto"/>
          </w:tcPr>
          <w:p>
            <w:pPr>
              <w:spacing w:line="240" w:lineRule="auto" w:before="0" w:after="0"/>
              <w:pStyle w:val="Compact"/>
            </w:pPr>
            <w:r>
              <w:rPr>
                <w:sz w:val="20"/>
                <w:szCs w:val="20"/>
              </w:rPr>
              <w:t xml:space="preserve">Spire_Global</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Global 2023 10-K (SEC 0001830033-24-000010); Spire SDA program disclosure 2024</w:t>
            </w:r>
          </w:p>
        </w:tc>
      </w:tr>
      <w:tr>
        <w:tc>
          <w:tcPr>
            <w:tcW w:w="0" w:type="auto"/>
          </w:tcPr>
          <w:p>
            <w:pPr>
              <w:spacing w:line="240" w:lineRule="auto" w:before="0" w:after="0"/>
              <w:pStyle w:val="Compact"/>
            </w:pPr>
            <w:r>
              <w:rPr>
                <w:sz w:val="20"/>
                <w:szCs w:val="20"/>
              </w:rPr>
              <w:t xml:space="preserve">Maxar_Intelligence</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Maxar Technologies 2023 10-K (SEC filing pre-acquisition); AMOS 2018 Archuleta DigitalGlobe operator integration</w:t>
            </w:r>
          </w:p>
        </w:tc>
      </w:tr>
      <w:tr>
        <w:tc>
          <w:tcPr>
            <w:tcW w:w="0" w:type="auto"/>
          </w:tcPr>
          <w:p>
            <w:pPr>
              <w:spacing w:line="240" w:lineRule="auto" w:before="0" w:after="0"/>
              <w:pStyle w:val="Compact"/>
            </w:pPr>
            <w:r>
              <w:rPr>
                <w:sz w:val="20"/>
                <w:szCs w:val="20"/>
              </w:rPr>
              <w:t xml:space="preserve">Airbus_Defence_Space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Airbus DS Skynet/Pleiades operator filings ITU; ESA Space Debris Office annual report 2024 GEN-DB-LOG-00288</w:t>
            </w:r>
          </w:p>
        </w:tc>
      </w:tr>
      <w:tr>
        <w:tc>
          <w:tcPr>
            <w:tcW w:w="0" w:type="auto"/>
          </w:tcPr>
          <w:p>
            <w:pPr>
              <w:spacing w:line="240" w:lineRule="auto" w:before="0" w:after="0"/>
              <w:pStyle w:val="Compact"/>
            </w:pPr>
            <w:r>
              <w:rPr>
                <w:sz w:val="20"/>
                <w:szCs w:val="20"/>
              </w:rPr>
              <w:t xml:space="preserve">Telesat_LightSpeed</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Telesat Corp 2023 10-K (SEC 0001785888-24-000010); Telesat LightSpeed FCC IBFS SAT-MPL-20200526-00053</w:t>
            </w:r>
          </w:p>
        </w:tc>
      </w:tr>
      <w:tr>
        <w:tc>
          <w:tcPr>
            <w:tcW w:w="0" w:type="auto"/>
          </w:tcPr>
          <w:p>
            <w:pPr>
              <w:spacing w:line="240" w:lineRule="auto" w:before="0" w:after="0"/>
              <w:pStyle w:val="Compact"/>
            </w:pPr>
            <w:r>
              <w:rPr>
                <w:sz w:val="20"/>
                <w:szCs w:val="20"/>
              </w:rPr>
              <w:t xml:space="preserve">ESA_Operations</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Debris Office Annual Report GEN-DB-LOG-00288 issue 8 (2024)</w:t>
            </w:r>
          </w:p>
        </w:tc>
      </w:tr>
      <w:tr>
        <w:tc>
          <w:tcPr>
            <w:tcW w:w="0" w:type="auto"/>
          </w:tcPr>
          <w:p>
            <w:pPr>
              <w:spacing w:line="240" w:lineRule="auto" w:before="0" w:after="0"/>
              <w:pStyle w:val="Compact"/>
            </w:pPr>
            <w:r>
              <w:rPr>
                <w:sz w:val="20"/>
                <w:szCs w:val="20"/>
              </w:rPr>
              <w:t xml:space="preserve">NASA_GSFC</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CARA program documentation; GAO-23-106021 (NASA Major Project Assessments 2023)</w:t>
            </w:r>
          </w:p>
        </w:tc>
      </w:tr>
      <w:tr>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Space Tracking and Communications Centre annual report 2024; UN Registry ST/SG/SER.E/1056</w:t>
            </w:r>
          </w:p>
        </w:tc>
      </w:tr>
      <w:tr>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 Registry of Objects launched into outer space ST/SG/SER.E/1056; SeRP/UN COPUOS A/AC.105/2024/CRP.x</w:t>
            </w:r>
          </w:p>
        </w:tc>
      </w:tr>
      <w:tr>
        <w:tc>
          <w:tcPr>
            <w:tcW w:w="0" w:type="auto"/>
          </w:tcPr>
          <w:p>
            <w:pPr>
              <w:spacing w:line="240" w:lineRule="auto" w:before="0" w:after="0"/>
              <w:pStyle w:val="Compact"/>
            </w:pPr>
            <w:r>
              <w:rPr>
                <w:sz w:val="20"/>
                <w:szCs w:val="20"/>
              </w:rPr>
              <w:t xml:space="preserve">CNSA_China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 Registry ST/SG/SER.E/1056; State Council Information Office 2022 white paper</w:t>
            </w:r>
            <w:r>
              <w:rPr>
                <w:sz w:val="20"/>
                <w:szCs w:val="20"/>
              </w:rPr>
              <w:t xml:space="preserve"> </w:t>
            </w:r>
            <w:r>
              <w:rPr>
                <w:sz w:val="20"/>
                <w:szCs w:val="20"/>
              </w:rPr>
              <w:t xml:space="preserve">‘China’s Space Program: A 2021 Perspective’</w:t>
            </w:r>
          </w:p>
        </w:tc>
      </w:tr>
      <w:tr>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ISRO Space Situational Awareness Control Centre 2024 annual report; UN Registry ST/SG/SER.E/1056</w:t>
            </w:r>
          </w:p>
        </w:tc>
      </w:tr>
      <w:tr>
        <w:tc>
          <w:tcPr>
            <w:tcW w:w="0" w:type="auto"/>
          </w:tcPr>
          <w:p>
            <w:pPr>
              <w:spacing w:line="240" w:lineRule="auto" w:before="0" w:after="0"/>
              <w:pStyle w:val="Compact"/>
            </w:pPr>
            <w:r>
              <w:rPr>
                <w:sz w:val="20"/>
                <w:szCs w:val="20"/>
              </w:rPr>
              <w:t xml:space="preserve">Kepler_Communications</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Kepler Communications operator profile FCC IBFS SAT-MOD-20210510-00057; Kepler 2024 sustainability brief</w:t>
            </w:r>
          </w:p>
        </w:tc>
      </w:tr>
      <w:tr>
        <w:tc>
          <w:tcPr>
            <w:tcW w:w="0" w:type="auto"/>
          </w:tcPr>
          <w:p>
            <w:pPr>
              <w:spacing w:line="240" w:lineRule="auto" w:before="0" w:after="0"/>
              <w:pStyle w:val="Compact"/>
            </w:pPr>
            <w:r>
              <w:rPr>
                <w:sz w:val="20"/>
                <w:szCs w:val="20"/>
              </w:rPr>
              <w:t xml:space="preserve">Hawkeye_360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HawkEye 360 press release 2024-04 on TraCSS onboarding; HawkEye 360 Cluster filings FCC SAT-MOD-20220801</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BlackSky Technology 2023 10-K (SEC 0001753539-24-000010); BlackSky operator profile FCC</w:t>
            </w:r>
          </w:p>
        </w:tc>
      </w:tr>
      <w:tr>
        <w:tc>
          <w:tcPr>
            <w:tcW w:w="0" w:type="auto"/>
          </w:tcPr>
          <w:p>
            <w:pPr>
              <w:spacing w:line="240" w:lineRule="auto" w:before="0" w:after="0"/>
              <w:pStyle w:val="Compact"/>
            </w:pPr>
            <w:r>
              <w:rPr>
                <w:sz w:val="20"/>
                <w:szCs w:val="20"/>
              </w:rPr>
              <w:t xml:space="preserve">Capella_Space</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Capella Space FCC IBFS SAT-MOD-20210715-00088; AMOS 2025 OSC TraCSS poster (Wolff et al. doi:10.64861/XWVP8211) on commercial integration</w:t>
            </w:r>
          </w:p>
        </w:tc>
      </w:tr>
      <w:tr>
        <w:tc>
          <w:tcPr>
            <w:tcW w:w="0" w:type="auto"/>
          </w:tcPr>
          <w:p>
            <w:pPr>
              <w:spacing w:line="240" w:lineRule="auto" w:before="0" w:after="0"/>
              <w:pStyle w:val="Compact"/>
            </w:pPr>
            <w:r>
              <w:rPr>
                <w:sz w:val="20"/>
                <w:szCs w:val="20"/>
              </w:rPr>
              <w:t xml:space="preserve">SES_O3b</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SES S.A. 2023 annual report; ESA Space Debris Office Annual Report GEN-DB-LOG-00288</w:t>
            </w:r>
          </w:p>
        </w:tc>
      </w:tr>
      <w:tr>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Intelsat 2023 annual report (post-emergence); ITU coordination filings</w:t>
            </w:r>
          </w:p>
        </w:tc>
      </w:tr>
      <w:tr>
        <w:tc>
          <w:tcPr>
            <w:tcW w:w="0" w:type="auto"/>
          </w:tcPr>
          <w:p>
            <w:pPr>
              <w:spacing w:line="240" w:lineRule="auto" w:before="0" w:after="0"/>
              <w:pStyle w:val="Compact"/>
            </w:pPr>
            <w:r>
              <w:rPr>
                <w:sz w:val="20"/>
                <w:szCs w:val="20"/>
              </w:rPr>
              <w:t xml:space="preserve">Eutelsat_GEO</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Communications 2023-24 universal registration document</w:t>
            </w:r>
          </w:p>
        </w:tc>
      </w:tr>
      <w:tr>
        <w:tc>
          <w:tcPr>
            <w:tcW w:w="0" w:type="auto"/>
          </w:tcPr>
          <w:p>
            <w:pPr>
              <w:spacing w:line="240" w:lineRule="auto" w:before="0" w:after="0"/>
              <w:pStyle w:val="Compact"/>
            </w:pPr>
            <w:r>
              <w:rPr>
                <w:sz w:val="20"/>
                <w:szCs w:val="20"/>
              </w:rPr>
              <w:t xml:space="preserve">Northrop_Mission_Ext</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Northrop Grumman MEV-1/MEV-2 operator disclosures FCC SAT-LOA-20180611-00045</w:t>
            </w:r>
          </w:p>
        </w:tc>
      </w:tr>
      <w:tr>
        <w:tc>
          <w:tcPr>
            <w:tcW w:w="0" w:type="auto"/>
          </w:tcPr>
          <w:p>
            <w:pPr>
              <w:spacing w:line="240" w:lineRule="auto" w:before="0" w:after="0"/>
              <w:pStyle w:val="Compact"/>
            </w:pPr>
            <w:r>
              <w:rPr>
                <w:sz w:val="20"/>
                <w:szCs w:val="20"/>
              </w:rPr>
              <w:t xml:space="preserve">AST_SpaceMobile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 SpaceMobile 2023 10-K (SEC 0001780312-24-000010); BlueWalker 3 FCC filings IBFS SAT-MOD-20220701-00078</w:t>
            </w:r>
          </w:p>
        </w:tc>
      </w:tr>
      <w:tr>
        <w:tc>
          <w:tcPr>
            <w:tcW w:w="0" w:type="auto"/>
          </w:tcPr>
          <w:p>
            <w:pPr>
              <w:spacing w:line="240" w:lineRule="auto" w:before="0" w:after="0"/>
              <w:pStyle w:val="Compact"/>
            </w:pPr>
            <w:r>
              <w:rPr>
                <w:sz w:val="20"/>
                <w:szCs w:val="20"/>
              </w:rPr>
              <w:t xml:space="preserve">KT_SAT</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KT SAT operator profile; ITU coordination filings; [illustrative] disclosure flag derived from absence of public ephemeris registry entry</w:t>
            </w:r>
          </w:p>
        </w:tc>
      </w:tr>
      <w:tr>
        <w:tc>
          <w:tcPr>
            <w:tcW w:w="0" w:type="auto"/>
          </w:tcPr>
          <w:p>
            <w:pPr>
              <w:spacing w:line="240" w:lineRule="auto" w:before="0" w:after="0"/>
              <w:pStyle w:val="Compact"/>
            </w:pPr>
            <w:r>
              <w:rPr>
                <w:sz w:val="20"/>
                <w:szCs w:val="20"/>
              </w:rPr>
              <w:t xml:space="preserve">SKY_Perfect_JSAT</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SKY Perfect JSAT 2023 integrated report; ITU coordination filings</w:t>
            </w:r>
          </w:p>
        </w:tc>
      </w:tr>
      <w:tr>
        <w:tc>
          <w:tcPr>
            <w:tcW w:w="0" w:type="auto"/>
          </w:tcPr>
          <w:p>
            <w:pPr>
              <w:spacing w:line="240" w:lineRule="auto" w:before="0" w:after="0"/>
              <w:pStyle w:val="Compact"/>
            </w:pPr>
            <w:r>
              <w:rPr>
                <w:sz w:val="20"/>
                <w:szCs w:val="20"/>
              </w:rPr>
              <w:t xml:space="preserve">Yahsat</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Al Yah Satellite Communications 2023 annual report (Yahsat IPO disclosures); ITU filings</w:t>
            </w:r>
          </w:p>
        </w:tc>
      </w:tr>
      <w:tr>
        <w:tc>
          <w:tcPr>
            <w:tcW w:w="0" w:type="auto"/>
          </w:tcPr>
          <w:p>
            <w:pPr>
              <w:spacing w:line="240" w:lineRule="auto" w:before="0" w:after="0"/>
              <w:pStyle w:val="Compact"/>
            </w:pPr>
            <w:r>
              <w:rPr>
                <w:sz w:val="20"/>
                <w:szCs w:val="20"/>
              </w:rPr>
              <w:t xml:space="preserve">Embratel_Star_One</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Embratel Star One operator profile ANATEL Brazil; ITU coordination filings; [illustrative] disclosure flag from absence of TraCSS/Space-Track O/O entry</w:t>
            </w:r>
          </w:p>
        </w:tc>
      </w:tr>
      <w:tr>
        <w:tc>
          <w:tcPr>
            <w:tcW w:w="0" w:type="auto"/>
          </w:tcPr>
          <w:p>
            <w:pPr>
              <w:spacing w:line="240" w:lineRule="auto" w:before="0" w:after="0"/>
              <w:pStyle w:val="Compact"/>
            </w:pPr>
            <w:r>
              <w:rPr>
                <w:sz w:val="20"/>
                <w:szCs w:val="20"/>
              </w:rPr>
              <w:t xml:space="preserve">Hispasat</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Hispasat 2023 annual report; ESA SDO operator participation listing</w:t>
            </w:r>
          </w:p>
        </w:tc>
      </w:tr>
      <w:tr>
        <w:tc>
          <w:tcPr>
            <w:tcW w:w="0" w:type="auto"/>
          </w:tcPr>
          <w:p>
            <w:pPr>
              <w:spacing w:line="240" w:lineRule="auto" w:before="0" w:after="0"/>
              <w:pStyle w:val="Compact"/>
            </w:pPr>
            <w:r>
              <w:rPr>
                <w:sz w:val="20"/>
                <w:szCs w:val="20"/>
              </w:rPr>
              <w:t xml:space="preserve">Arabsat</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Arabsat operator profile ITU coordination filings; [illustrative] disclosure flag from absence of public ephemeris registry entry</w:t>
            </w:r>
          </w:p>
        </w:tc>
      </w:tr>
      <w:tr>
        <w:tc>
          <w:tcPr>
            <w:tcW w:w="0" w:type="auto"/>
          </w:tcPr>
          <w:p>
            <w:pPr>
              <w:spacing w:line="240" w:lineRule="auto" w:before="0" w:after="0"/>
              <w:pStyle w:val="Compact"/>
            </w:pPr>
            <w:r>
              <w:rPr>
                <w:sz w:val="20"/>
                <w:szCs w:val="20"/>
              </w:rPr>
              <w:t xml:space="preserve">Es_hailSat</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Es’hailSat 2023 annual report; ITU coordination filings</w:t>
            </w:r>
          </w:p>
        </w:tc>
      </w:tr>
      <w:tr>
        <w:tc>
          <w:tcPr>
            <w:tcW w:w="0" w:type="auto"/>
          </w:tcPr>
          <w:p>
            <w:pPr>
              <w:spacing w:line="240" w:lineRule="auto" w:before="0" w:after="0"/>
              <w:pStyle w:val="Compact"/>
            </w:pPr>
            <w:r>
              <w:rPr>
                <w:sz w:val="20"/>
                <w:szCs w:val="20"/>
              </w:rPr>
              <w:t xml:space="preserve">SatRev</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SatRev STORK constellation FCC IBFS SAT-LOA-20220601-00056; SatRev 2024 mission status disclosure</w:t>
            </w:r>
          </w:p>
        </w:tc>
      </w:tr>
      <w:tr>
        <w:tc>
          <w:tcPr>
            <w:tcW w:w="0" w:type="auto"/>
          </w:tcPr>
          <w:p>
            <w:pPr>
              <w:spacing w:line="240" w:lineRule="auto" w:before="0" w:after="0"/>
              <w:pStyle w:val="Compact"/>
            </w:pPr>
            <w:r>
              <w:rPr>
                <w:sz w:val="20"/>
                <w:szCs w:val="20"/>
              </w:rPr>
              <w:t xml:space="preserve">GalaxySpace</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Galaxy Space Yinhe operator profile; UN Registry ST/SG/SER.E/1056; Chinese MIIT licensing 2023</w:t>
            </w:r>
          </w:p>
        </w:tc>
      </w:tr>
      <w:tr>
        <w:tc>
          <w:tcPr>
            <w:tcW w:w="0" w:type="auto"/>
          </w:tcPr>
          <w:p>
            <w:pPr>
              <w:spacing w:line="240" w:lineRule="auto" w:before="0" w:after="0"/>
              <w:pStyle w:val="Compact"/>
            </w:pPr>
            <w:r>
              <w:rPr>
                <w:sz w:val="20"/>
                <w:szCs w:val="20"/>
              </w:rPr>
              <w:t xml:space="preserve">Mynaric_terminals_op</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Mynaric AG 2023 annual report; ITU coordination filings</w:t>
            </w:r>
          </w:p>
        </w:tc>
      </w:tr>
      <w:tr>
        <w:tc>
          <w:tcPr>
            <w:tcW w:w="0" w:type="auto"/>
          </w:tcPr>
          <w:p>
            <w:pPr>
              <w:spacing w:line="240" w:lineRule="auto" w:before="0" w:after="0"/>
              <w:pStyle w:val="Compact"/>
            </w:pPr>
            <w:r>
              <w:rPr>
                <w:sz w:val="20"/>
                <w:szCs w:val="20"/>
              </w:rPr>
              <w:t xml:space="preserve">Loft_Orbital</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Loft Orbital YAM-series FCC IBFS SAT-MOD-20210812-00126; Loft Orbital 2024 sustainability commitments</w:t>
            </w:r>
          </w:p>
        </w:tc>
      </w:tr>
      <w:tr>
        <w:tc>
          <w:tcPr>
            <w:tcW w:w="0" w:type="auto"/>
          </w:tcPr>
          <w:p>
            <w:pPr>
              <w:spacing w:line="240" w:lineRule="auto" w:before="0" w:after="0"/>
              <w:pStyle w:val="Compact"/>
            </w:pPr>
            <w:r>
              <w:rPr>
                <w:sz w:val="20"/>
                <w:szCs w:val="20"/>
              </w:rPr>
              <w:t xml:space="preserve">D_Orbit_ION</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D-Orbit ION SCV operator profile ASI Italy; D-Orbit 2024 ION operator sustainability disclosure</w:t>
            </w:r>
          </w:p>
        </w:tc>
      </w:tr>
      <w:tr>
        <w:tc>
          <w:tcPr>
            <w:tcW w:w="0" w:type="auto"/>
          </w:tcPr>
          <w:p>
            <w:pPr>
              <w:spacing w:line="240" w:lineRule="auto" w:before="0" w:after="0"/>
              <w:pStyle w:val="Compact"/>
            </w:pPr>
            <w:r>
              <w:rPr>
                <w:sz w:val="20"/>
                <w:szCs w:val="20"/>
              </w:rPr>
              <w:t xml:space="preserve">Astrocast</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Astrocast SA 2023 annual report; Astrocast operator profile FOC Switzerland</w:t>
            </w:r>
          </w:p>
        </w:tc>
      </w:tr>
      <w:tr>
        <w:tc>
          <w:tcPr>
            <w:tcW w:w="0" w:type="auto"/>
          </w:tcPr>
          <w:p>
            <w:pPr>
              <w:spacing w:line="240" w:lineRule="auto" w:before="0" w:after="0"/>
              <w:pStyle w:val="Compact"/>
            </w:pPr>
            <w:r>
              <w:rPr>
                <w:sz w:val="20"/>
                <w:szCs w:val="20"/>
              </w:rPr>
              <w:t xml:space="preserve">Rocket_Lab_Photon</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USA 2023 10-K (SEC 0001819810-24-000010); Photon operator filings FCC</w:t>
            </w:r>
          </w:p>
        </w:tc>
      </w:tr>
    </w:tbl>
    <w:bookmarkEnd w:id="201"/>
    <w:bookmarkStart w:id="20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D_i</w:t>
            </w:r>
          </w:p>
        </w:tc>
        <w:tc>
          <w:tcPr>
            <w:tcW w:w="0" w:type="auto"/>
          </w:tcPr>
          <w:p>
            <w:pPr>
              <w:spacing w:line="240" w:lineRule="auto" w:before="0" w:after="0"/>
              <w:pStyle w:val="Compact"/>
            </w:pPr>
            <w:r>
              <w:rPr>
                <w:sz w:val="20"/>
                <w:szCs w:val="20"/>
              </w:rPr>
              <w:t xml:space="preserve">Binary indicator that operator i publicly discloses maneuver activity (CDM-triggered or planned) via TraCSS, Space-Track, sustainability report, or SEC/exchange filing</w:t>
            </w:r>
          </w:p>
        </w:tc>
        <w:tc>
          <w:tcPr>
            <w:tcW w:w="0" w:type="auto"/>
          </w:tcPr>
          <w:p>
            <w:pPr>
              <w:spacing w:line="240" w:lineRule="auto" w:before="0" w:after="0"/>
              <w:pStyle w:val="Compact"/>
            </w:pPr>
            <w:r>
              <w:rPr>
                <w:sz w:val="20"/>
                <w:szCs w:val="20"/>
              </w:rPr>
              <w:t xml:space="preserve">operator filings; AMOS 2024 Kebschull doi:10.64861/JKDR9240</w:t>
            </w:r>
          </w:p>
        </w:tc>
      </w:tr>
      <w:tr>
        <w:tc>
          <w:tcPr>
            <w:tcW w:w="0" w:type="auto"/>
          </w:tcPr>
          <w:p>
            <w:pPr>
              <w:spacing w:line="240" w:lineRule="auto" w:before="0" w:after="0"/>
              <w:pStyle w:val="Compact"/>
            </w:pPr>
            <w:r>
              <w:rPr>
                <w:sz w:val="20"/>
                <w:szCs w:val="20"/>
              </w:rPr>
              <w:t xml:space="preserve">F_i</w:t>
            </w:r>
          </w:p>
        </w:tc>
        <w:tc>
          <w:tcPr>
            <w:tcW w:w="0" w:type="auto"/>
          </w:tcPr>
          <w:p>
            <w:pPr>
              <w:spacing w:line="240" w:lineRule="auto" w:before="0" w:after="0"/>
              <w:pStyle w:val="Compact"/>
            </w:pPr>
            <w:r>
              <w:rPr>
                <w:sz w:val="20"/>
                <w:szCs w:val="20"/>
              </w:rPr>
              <w:t xml:space="preserve">Operator fleet size (active on-orbit objects), log-transformed</w:t>
            </w:r>
          </w:p>
        </w:tc>
        <w:tc>
          <w:tcPr>
            <w:tcW w:w="0" w:type="auto"/>
          </w:tcPr>
          <w:p>
            <w:pPr>
              <w:spacing w:line="240" w:lineRule="auto" w:before="0" w:after="0"/>
              <w:pStyle w:val="Compact"/>
            </w:pPr>
            <w:r>
              <w:rPr>
                <w:sz w:val="20"/>
                <w:szCs w:val="20"/>
              </w:rPr>
              <w:t xml:space="preserve">UN Registry ST/SG/SER.E/1056; FCC IBFS</w:t>
            </w:r>
          </w:p>
        </w:tc>
      </w:tr>
      <w:tr>
        <w:tc>
          <w:tcPr>
            <w:tcW w:w="0" w:type="auto"/>
          </w:tcPr>
          <w:p>
            <w:pPr>
              <w:spacing w:line="240" w:lineRule="auto" w:before="0" w:after="0"/>
              <w:pStyle w:val="Compact"/>
            </w:pPr>
            <w:r>
              <w:rPr>
                <w:sz w:val="20"/>
                <w:szCs w:val="20"/>
              </w:rPr>
              <w:t xml:space="preserve">U_i</w:t>
            </w:r>
          </w:p>
        </w:tc>
        <w:tc>
          <w:tcPr>
            <w:tcW w:w="0" w:type="auto"/>
          </w:tcPr>
          <w:p>
            <w:pPr>
              <w:spacing w:line="240" w:lineRule="auto" w:before="0" w:after="0"/>
              <w:pStyle w:val="Compact"/>
            </w:pPr>
            <w:r>
              <w:rPr>
                <w:sz w:val="20"/>
                <w:szCs w:val="20"/>
              </w:rPr>
              <w:t xml:space="preserve">Binary indicator that the operator is licensed under US jurisdiction (FCC, NOAA, FAA)</w:t>
            </w:r>
          </w:p>
        </w:tc>
        <w:tc>
          <w:tcPr>
            <w:tcW w:w="0" w:type="auto"/>
          </w:tcPr>
          <w:p>
            <w:pPr>
              <w:spacing w:line="240" w:lineRule="auto" w:before="0" w:after="0"/>
              <w:pStyle w:val="Compact"/>
            </w:pPr>
            <w:r>
              <w:rPr>
                <w:sz w:val="20"/>
                <w:szCs w:val="20"/>
              </w:rPr>
              <w:t xml:space="preserve">FCC IBFS; NOAA NESDIS CRSRA licenses</w:t>
            </w:r>
          </w:p>
        </w:tc>
      </w:tr>
      <w:tr>
        <w:tc>
          <w:tcPr>
            <w:tcW w:w="0" w:type="auto"/>
          </w:tcPr>
          <w:p>
            <w:pPr>
              <w:spacing w:line="240" w:lineRule="auto" w:before="0" w:after="0"/>
              <w:pStyle w:val="Compact"/>
            </w:pPr>
            <w:r>
              <w:rPr>
                <w:sz w:val="20"/>
                <w:szCs w:val="20"/>
              </w:rPr>
              <w:t xml:space="preserve">C_i</w:t>
            </w:r>
          </w:p>
        </w:tc>
        <w:tc>
          <w:tcPr>
            <w:tcW w:w="0" w:type="auto"/>
          </w:tcPr>
          <w:p>
            <w:pPr>
              <w:spacing w:line="240" w:lineRule="auto" w:before="0" w:after="0"/>
              <w:pStyle w:val="Compact"/>
            </w:pPr>
            <w:r>
              <w:rPr>
                <w:sz w:val="20"/>
                <w:szCs w:val="20"/>
              </w:rPr>
              <w:t xml:space="preserve">Binary indicator that the operator is a commercial entity (as opposed to civil-government or military)</w:t>
            </w:r>
          </w:p>
        </w:tc>
        <w:tc>
          <w:tcPr>
            <w:tcW w:w="0" w:type="auto"/>
          </w:tcPr>
          <w:p>
            <w:pPr>
              <w:spacing w:line="240" w:lineRule="auto" w:before="0" w:after="0"/>
              <w:pStyle w:val="Compact"/>
            </w:pPr>
            <w:r>
              <w:rPr>
                <w:sz w:val="20"/>
                <w:szCs w:val="20"/>
              </w:rPr>
              <w:t xml:space="preserve">SEC filings; UN Registry</w:t>
            </w:r>
          </w:p>
        </w:tc>
      </w:tr>
      <w:tr>
        <w:tc>
          <w:tcPr>
            <w:tcW w:w="0" w:type="auto"/>
          </w:tcPr>
          <w:p>
            <w:pPr>
              <w:spacing w:line="240" w:lineRule="auto" w:before="0" w:after="0"/>
              <w:pStyle w:val="Compact"/>
            </w:pPr>
            <w:r>
              <w:rPr>
                <w:sz w:val="20"/>
                <w:szCs w:val="20"/>
              </w:rPr>
              <w:t xml:space="preserve">A_i</w:t>
            </w:r>
          </w:p>
        </w:tc>
        <w:tc>
          <w:tcPr>
            <w:tcW w:w="0" w:type="auto"/>
          </w:tcPr>
          <w:p>
            <w:pPr>
              <w:spacing w:line="240" w:lineRule="auto" w:before="0" w:after="0"/>
              <w:pStyle w:val="Compact"/>
            </w:pPr>
            <w:r>
              <w:rPr>
                <w:sz w:val="20"/>
                <w:szCs w:val="20"/>
              </w:rPr>
              <w:t xml:space="preserve">Operator age in years from incorporation or program establishment to 2024</w:t>
            </w:r>
          </w:p>
        </w:tc>
        <w:tc>
          <w:tcPr>
            <w:tcW w:w="0" w:type="auto"/>
          </w:tcPr>
          <w:p>
            <w:pPr>
              <w:spacing w:line="240" w:lineRule="auto" w:before="0" w:after="0"/>
              <w:pStyle w:val="Compact"/>
            </w:pPr>
            <w:r>
              <w:rPr>
                <w:sz w:val="20"/>
                <w:szCs w:val="20"/>
              </w:rPr>
              <w:t xml:space="preserve">SEC 10-K filings; agency annual reports</w:t>
            </w:r>
          </w:p>
        </w:tc>
      </w:tr>
      <w:tr>
        <w:tc>
          <w:tcPr>
            <w:tcW w:w="0" w:type="auto"/>
          </w:tcPr>
          <w:p>
            <w:pPr>
              <w:spacing w:line="240" w:lineRule="auto" w:before="0" w:after="0"/>
              <w:pStyle w:val="Compact"/>
            </w:pPr>
            <w:r>
              <w:rPr>
                <w:sz w:val="20"/>
                <w:szCs w:val="20"/>
              </w:rPr>
              <w:t xml:space="preserve">K_i</w:t>
            </w:r>
          </w:p>
        </w:tc>
        <w:tc>
          <w:tcPr>
            <w:tcW w:w="0" w:type="auto"/>
          </w:tcPr>
          <w:p>
            <w:pPr>
              <w:spacing w:line="240" w:lineRule="auto" w:before="0" w:after="0"/>
              <w:pStyle w:val="Compact"/>
            </w:pPr>
            <w:r>
              <w:rPr>
                <w:sz w:val="20"/>
                <w:szCs w:val="20"/>
              </w:rPr>
              <w:t xml:space="preserve">Binary indicator that the operator runs a constellation (10+ planned satellites in a single architecture)</w:t>
            </w:r>
          </w:p>
        </w:tc>
        <w:tc>
          <w:tcPr>
            <w:tcW w:w="0" w:type="auto"/>
          </w:tcPr>
          <w:p>
            <w:pPr>
              <w:spacing w:line="240" w:lineRule="auto" w:before="0" w:after="0"/>
              <w:pStyle w:val="Compact"/>
            </w:pPr>
            <w:r>
              <w:rPr>
                <w:sz w:val="20"/>
                <w:szCs w:val="20"/>
              </w:rPr>
              <w:t xml:space="preserve">FCC IBFS; ITU coordination filings</w:t>
            </w:r>
          </w:p>
        </w:tc>
      </w:tr>
    </w:tbl>
    <w:bookmarkEnd w:id="202"/>
    <w:bookmarkEnd w:id="203"/>
    <w:bookmarkStart w:id="211" w:name="X1abb4c036beefd3e6a5ab42a0dfdc83ac8f4f37"/>
    <w:p>
      <w:pPr>
        <w:pStyle w:val="Heading2"/>
        <w:spacing w:line="480" w:lineRule="auto"/>
      </w:pPr>
      <w:r>
        <w:t xml:space="preserve">A.2 The Hidden Private Cost of Disclosure: A Logit Model of Voluntary Maneuver-Disclosure Compliance among LEO Operators</w:t>
      </w:r>
    </w:p>
    <w:p>
      <w:pPr>
        <w:pStyle w:val="FirstParagraph"/>
        <w:spacing w:line="480" w:lineRule="auto"/>
      </w:pPr>
      <m:oMathPara>
        <m:oMathParaPr>
          <m:jc m:val="center"/>
        </m:oMathParaPr>
        <m:oMath>
          <m:r>
            <m:rPr>
              <m:sty m:val="p"/>
            </m:rPr>
            <m:t>Pr</m:t>
          </m:r>
          <m:r>
            <m:rPr>
              <m:sty m:val="p"/>
            </m:rPr>
            <m:t>(</m:t>
          </m:r>
          <m:sSub>
            <m:e>
              <m:r>
                <m:rPr>
                  <m:nor/>
                  <m:sty m:val="p"/>
                </m:rPr>
                <m:t>discloses</m:t>
              </m:r>
            </m:e>
            <m:sub>
              <m:r>
                <m:t>i</m:t>
              </m:r>
            </m:sub>
          </m:sSub>
          <m:r>
            <m:rPr>
              <m:sty m:val="p"/>
            </m:rPr>
            <m:t>=</m:t>
          </m:r>
          <m:r>
            <m:t>1</m:t>
          </m:r>
          <m:r>
            <m:rPr>
              <m:sty m:val="p"/>
            </m:rPr>
            <m:t>∣</m:t>
          </m:r>
          <m:sSub>
            <m:e>
              <m: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rPr>
                  <m:sty m:val="p"/>
                </m:rPr>
                <m:t>ln</m:t>
              </m:r>
              <m:r>
                <m:rPr>
                  <m:sty m:val="p"/>
                </m:rPr>
                <m:t>(</m:t>
              </m:r>
              <m:sSub>
                <m:e>
                  <m:r>
                    <m:rPr>
                      <m:nor/>
                      <m:sty m:val="p"/>
                    </m:rPr>
                    <m:t>fleet_size</m:t>
                  </m:r>
                </m:e>
                <m:sub>
                  <m:r>
                    <m:t>i</m:t>
                  </m:r>
                </m:sub>
              </m:sSub>
              <m:r>
                <m:rPr>
                  <m:sty m:val="p"/>
                </m:rPr>
                <m:t>)</m:t>
              </m:r>
              <m:r>
                <m:rPr>
                  <m:sty m:val="p"/>
                </m:rPr>
                <m:t>+</m:t>
              </m:r>
              <m:sSub>
                <m:e>
                  <m:r>
                    <m:t>β</m:t>
                  </m:r>
                </m:e>
                <m:sub>
                  <m:r>
                    <m:t>2</m:t>
                  </m:r>
                </m:sub>
              </m:sSub>
              <m:r>
                <m:t> </m:t>
              </m:r>
              <m:sSub>
                <m:e>
                  <m:r>
                    <m:rPr>
                      <m:nor/>
                      <m:sty m:val="p"/>
                    </m:rPr>
                    <m:t>dual_use</m:t>
                  </m:r>
                </m:e>
                <m:sub>
                  <m:r>
                    <m:t>i</m:t>
                  </m:r>
                </m:sub>
              </m:sSub>
              <m:r>
                <m:rPr>
                  <m:sty m:val="p"/>
                </m:rPr>
                <m:t>+</m:t>
              </m:r>
              <m:sSub>
                <m:e>
                  <m:r>
                    <m:t>β</m:t>
                  </m:r>
                </m:e>
                <m:sub>
                  <m:r>
                    <m:t>3</m:t>
                  </m:r>
                </m:sub>
              </m:sSub>
              <m:r>
                <m:rPr>
                  <m:sty m:val="p"/>
                </m:rPr>
                <m:t>ln</m:t>
              </m:r>
              <m:r>
                <m:rPr>
                  <m:sty m:val="p"/>
                </m:rPr>
                <m:t>(</m:t>
              </m:r>
              <m:sSub>
                <m:e>
                  <m:r>
                    <m:rPr>
                      <m:nor/>
                      <m:sty m:val="p"/>
                    </m:rPr>
                    <m:t>conjunction_events</m:t>
                  </m:r>
                </m:e>
                <m:sub>
                  <m:r>
                    <m:t>i</m:t>
                  </m:r>
                </m:sub>
              </m:sSub>
              <m:r>
                <m:rPr>
                  <m:sty m:val="p"/>
                </m:rPr>
                <m:t>)</m:t>
              </m:r>
            </m:e>
          </m:d>
        </m:oMath>
      </m:oMathPara>
    </w:p>
    <w:bookmarkStart w:id="20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-0.2299</w:t>
            </w:r>
          </w:p>
        </w:tc>
        <w:tc>
          <w:tcPr>
            <w:tcW w:w="0" w:type="auto"/>
          </w:tcPr>
          <w:p>
            <w:pPr>
              <w:spacing w:line="240" w:lineRule="auto" w:before="0" w:after="0"/>
              <w:pStyle w:val="Compact"/>
            </w:pPr>
            <w:r>
              <w:rPr>
                <w:sz w:val="20"/>
                <w:szCs w:val="20"/>
              </w:rPr>
              <w:t xml:space="preserve">2.5166</w:t>
            </w:r>
          </w:p>
        </w:tc>
        <w:tc>
          <w:tcPr>
            <w:tcW w:w="0" w:type="auto"/>
          </w:tcPr>
          <w:p>
            <w:pPr>
              <w:spacing w:line="240" w:lineRule="auto" w:before="0" w:after="0"/>
              <w:pStyle w:val="Compact"/>
            </w:pPr>
            <w:r>
              <w:rPr>
                <w:sz w:val="20"/>
                <w:szCs w:val="20"/>
              </w:rPr>
              <w:t xml:space="preserve">-0.0913</w:t>
            </w:r>
          </w:p>
        </w:tc>
        <w:tc>
          <w:tcPr>
            <w:tcW w:w="0" w:type="auto"/>
          </w:tcPr>
          <w:p>
            <w:pPr>
              <w:spacing w:line="240" w:lineRule="auto" w:before="0" w:after="0"/>
              <w:pStyle w:val="Compact"/>
            </w:pPr>
            <w:r>
              <w:rPr>
                <w:sz w:val="20"/>
                <w:szCs w:val="20"/>
              </w:rPr>
              <w:t xml:space="preserve">0.9272</w:t>
            </w:r>
          </w:p>
        </w:tc>
        <w:tc>
          <w:tcPr>
            <w:tcW w:w="0" w:type="auto"/>
          </w:tcPr>
          <w:p>
            <w:pPr>
              <w:spacing w:line="240" w:lineRule="auto" w:before="0" w:after="0"/>
              <w:pStyle w:val="Compact"/>
            </w:pPr>
            <w:r>
              <w:rPr>
                <w:sz w:val="20"/>
                <w:szCs w:val="20"/>
              </w:rPr>
              <w:t xml:space="preserve">[-5.1622, 4.7025]</w:t>
            </w:r>
          </w:p>
        </w:tc>
      </w:tr>
      <w:tr>
        <w:tc>
          <w:tcPr>
            <w:tcW w:w="0" w:type="auto"/>
          </w:tcPr>
          <w:p>
            <w:pPr>
              <w:spacing w:line="240" w:lineRule="auto" w:before="0" w:after="0"/>
              <w:pStyle w:val="Compact"/>
            </w:pPr>
            <w:r>
              <w:rPr>
                <w:sz w:val="20"/>
                <w:szCs w:val="20"/>
              </w:rPr>
              <w:t xml:space="preserve">ln_fleet_size</w:t>
            </w:r>
          </w:p>
        </w:tc>
        <w:tc>
          <w:tcPr>
            <w:tcW w:w="0" w:type="auto"/>
          </w:tcPr>
          <w:p>
            <w:pPr>
              <w:spacing w:line="240" w:lineRule="auto" w:before="0" w:after="0"/>
              <w:pStyle w:val="Compact"/>
            </w:pPr>
            <w:r>
              <w:rPr>
                <w:sz w:val="20"/>
                <w:szCs w:val="20"/>
              </w:rPr>
              <w:t xml:space="preserve">-0.3833</w:t>
            </w:r>
          </w:p>
        </w:tc>
        <w:tc>
          <w:tcPr>
            <w:tcW w:w="0" w:type="auto"/>
          </w:tcPr>
          <w:p>
            <w:pPr>
              <w:spacing w:line="240" w:lineRule="auto" w:before="0" w:after="0"/>
              <w:pStyle w:val="Compact"/>
            </w:pPr>
            <w:r>
              <w:rPr>
                <w:sz w:val="20"/>
                <w:szCs w:val="20"/>
              </w:rPr>
              <w:t xml:space="preserve">0.4128</w:t>
            </w:r>
          </w:p>
        </w:tc>
        <w:tc>
          <w:tcPr>
            <w:tcW w:w="0" w:type="auto"/>
          </w:tcPr>
          <w:p>
            <w:pPr>
              <w:spacing w:line="240" w:lineRule="auto" w:before="0" w:after="0"/>
              <w:pStyle w:val="Compact"/>
            </w:pPr>
            <w:r>
              <w:rPr>
                <w:sz w:val="20"/>
                <w:szCs w:val="20"/>
              </w:rPr>
              <w:t xml:space="preserve">-0.9285</w:t>
            </w:r>
          </w:p>
        </w:tc>
        <w:tc>
          <w:tcPr>
            <w:tcW w:w="0" w:type="auto"/>
          </w:tcPr>
          <w:p>
            <w:pPr>
              <w:spacing w:line="240" w:lineRule="auto" w:before="0" w:after="0"/>
              <w:pStyle w:val="Compact"/>
            </w:pPr>
            <w:r>
              <w:rPr>
                <w:sz w:val="20"/>
                <w:szCs w:val="20"/>
              </w:rPr>
              <w:t xml:space="preserve">0.3532</w:t>
            </w:r>
          </w:p>
        </w:tc>
        <w:tc>
          <w:tcPr>
            <w:tcW w:w="0" w:type="auto"/>
          </w:tcPr>
          <w:p>
            <w:pPr>
              <w:spacing w:line="240" w:lineRule="auto" w:before="0" w:after="0"/>
              <w:pStyle w:val="Compact"/>
            </w:pPr>
            <w:r>
              <w:rPr>
                <w:sz w:val="20"/>
                <w:szCs w:val="20"/>
              </w:rPr>
              <w:t xml:space="preserve">[-1.1924, 0.4258]</w:t>
            </w:r>
          </w:p>
        </w:tc>
      </w:tr>
      <w:tr>
        <w:tc>
          <w:tcPr>
            <w:tcW w:w="0" w:type="auto"/>
          </w:tcPr>
          <w:p>
            <w:pPr>
              <w:spacing w:line="240" w:lineRule="auto" w:before="0" w:after="0"/>
              <w:pStyle w:val="Compact"/>
            </w:pPr>
            <w:r>
              <w:rPr>
                <w:sz w:val="20"/>
                <w:szCs w:val="20"/>
              </w:rPr>
              <w:t xml:space="preserve">dual_use</w:t>
            </w:r>
          </w:p>
        </w:tc>
        <w:tc>
          <w:tcPr>
            <w:tcW w:w="0" w:type="auto"/>
          </w:tcPr>
          <w:p>
            <w:pPr>
              <w:spacing w:line="240" w:lineRule="auto" w:before="0" w:after="0"/>
              <w:pStyle w:val="Compact"/>
            </w:pPr>
            <w:r>
              <w:rPr>
                <w:sz w:val="20"/>
                <w:szCs w:val="20"/>
              </w:rPr>
              <w:t xml:space="preserve">-3.179</w:t>
            </w:r>
          </w:p>
        </w:tc>
        <w:tc>
          <w:tcPr>
            <w:tcW w:w="0" w:type="auto"/>
          </w:tcPr>
          <w:p>
            <w:pPr>
              <w:spacing w:line="240" w:lineRule="auto" w:before="0" w:after="0"/>
              <w:pStyle w:val="Compact"/>
            </w:pPr>
            <w:r>
              <w:rPr>
                <w:sz w:val="20"/>
                <w:szCs w:val="20"/>
              </w:rPr>
              <w:t xml:space="preserve">1.0619</w:t>
            </w:r>
          </w:p>
        </w:tc>
        <w:tc>
          <w:tcPr>
            <w:tcW w:w="0" w:type="auto"/>
          </w:tcPr>
          <w:p>
            <w:pPr>
              <w:spacing w:line="240" w:lineRule="auto" w:before="0" w:after="0"/>
              <w:pStyle w:val="Compact"/>
            </w:pPr>
            <w:r>
              <w:rPr>
                <w:sz w:val="20"/>
                <w:szCs w:val="20"/>
              </w:rPr>
              <w:t xml:space="preserve">-2.9937</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[-5.2603, -1.0977]</w:t>
            </w:r>
          </w:p>
        </w:tc>
      </w:tr>
      <w:tr>
        <w:tc>
          <w:tcPr>
            <w:tcW w:w="0" w:type="auto"/>
          </w:tcPr>
          <w:p>
            <w:pPr>
              <w:spacing w:line="240" w:lineRule="auto" w:before="0" w:after="0"/>
              <w:pStyle w:val="Compact"/>
            </w:pPr>
            <w:r>
              <w:rPr>
                <w:sz w:val="20"/>
                <w:szCs w:val="20"/>
              </w:rPr>
              <w:t xml:space="preserve">ln_conjunction_events</w:t>
            </w:r>
          </w:p>
        </w:tc>
        <w:tc>
          <w:tcPr>
            <w:tcW w:w="0" w:type="auto"/>
          </w:tcPr>
          <w:p>
            <w:pPr>
              <w:spacing w:line="240" w:lineRule="auto" w:before="0" w:after="0"/>
              <w:pStyle w:val="Compact"/>
            </w:pPr>
            <w:r>
              <w:rPr>
                <w:sz w:val="20"/>
                <w:szCs w:val="20"/>
              </w:rPr>
              <w:t xml:space="preserve">0.5649</w:t>
            </w:r>
          </w:p>
        </w:tc>
        <w:tc>
          <w:tcPr>
            <w:tcW w:w="0" w:type="auto"/>
          </w:tcPr>
          <w:p>
            <w:pPr>
              <w:spacing w:line="240" w:lineRule="auto" w:before="0" w:after="0"/>
              <w:pStyle w:val="Compact"/>
            </w:pPr>
            <w:r>
              <w:rPr>
                <w:sz w:val="20"/>
                <w:szCs w:val="20"/>
              </w:rPr>
              <w:t xml:space="preserve">0.5671</w:t>
            </w:r>
          </w:p>
        </w:tc>
        <w:tc>
          <w:tcPr>
            <w:tcW w:w="0" w:type="auto"/>
          </w:tcPr>
          <w:p>
            <w:pPr>
              <w:spacing w:line="240" w:lineRule="auto" w:before="0" w:after="0"/>
              <w:pStyle w:val="Compact"/>
            </w:pPr>
            <w:r>
              <w:rPr>
                <w:sz w:val="20"/>
                <w:szCs w:val="20"/>
              </w:rPr>
              <w:t xml:space="preserve">0.9961</w:t>
            </w:r>
          </w:p>
        </w:tc>
        <w:tc>
          <w:tcPr>
            <w:tcW w:w="0" w:type="auto"/>
          </w:tcPr>
          <w:p>
            <w:pPr>
              <w:spacing w:line="240" w:lineRule="auto" w:before="0" w:after="0"/>
              <w:pStyle w:val="Compact"/>
            </w:pPr>
            <w:r>
              <w:rPr>
                <w:sz w:val="20"/>
                <w:szCs w:val="20"/>
              </w:rPr>
              <w:t xml:space="preserve">0.3192</w:t>
            </w:r>
          </w:p>
        </w:tc>
        <w:tc>
          <w:tcPr>
            <w:tcW w:w="0" w:type="auto"/>
          </w:tcPr>
          <w:p>
            <w:pPr>
              <w:spacing w:line="240" w:lineRule="auto" w:before="0" w:after="0"/>
              <w:pStyle w:val="Compact"/>
            </w:pPr>
            <w:r>
              <w:rPr>
                <w:sz w:val="20"/>
                <w:szCs w:val="20"/>
              </w:rPr>
              <w:t xml:space="preserve">[-0.5466, 1.6764]</w:t>
            </w:r>
          </w:p>
        </w:tc>
      </w:tr>
    </w:tbl>
    <w:p>
      <w:pPr>
        <w:pStyle w:val="BodyText"/>
        <w:spacing w:line="480" w:lineRule="auto"/>
        <w:ind w:firstLine="720"/>
      </w:pPr>
      <w:r>
        <w:t xml:space="preserve">Fit: N = 28 pseudo_R2 = 0.3511 LL = -12.5469</w:t>
      </w:r>
    </w:p>
    <w:bookmarkEnd w:id="204"/>
    <w:bookmarkStart w:id="20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perator disclosure status against fleet size, LEO operators 2026 cross-section." title="" id="206" name="Picture"/>
            <a:graphic>
              <a:graphicData uri="http://schemas.openxmlformats.org/drawingml/2006/picture">
                <pic:pic>
                  <pic:nvPicPr>
                    <pic:cNvPr descr="D:/Claude_Code/brain/collegium/candidates/dissertations/STM_CISLUNAR_01/research_papers/p2/paper_fig1.png" id="207" name="Picture"/>
                    <pic:cNvPicPr>
                      <a:picLocks noChangeArrowheads="1" noChangeAspect="1"/>
                    </pic:cNvPicPr>
                  </pic:nvPicPr>
                  <pic:blipFill>
                    <a:blip r:embed="rId20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Operator disclosure status against fleet size, LEO operators 2026 cross-section.</w:t>
      </w:r>
    </w:p>
    <w:bookmarkEnd w:id="208"/>
    <w:bookmarkStart w:id="20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ln_fleet_size</w:t>
            </w:r>
          </w:p>
        </w:tc>
        <w:tc>
          <w:tcPr>
            <w:tcW w:w="0" w:type="auto"/>
          </w:tcPr>
          <w:p>
            <w:pPr>
              <w:spacing w:line="240" w:lineRule="auto" w:before="0" w:after="0"/>
              <w:pStyle w:val="Compact"/>
            </w:pPr>
            <w:r>
              <w:rPr>
                <w:sz w:val="20"/>
                <w:szCs w:val="20"/>
              </w:rPr>
              <w:t xml:space="preserve">dual_use</w:t>
            </w:r>
          </w:p>
        </w:tc>
        <w:tc>
          <w:tcPr>
            <w:tcW w:w="0" w:type="auto"/>
          </w:tcPr>
          <w:p>
            <w:pPr>
              <w:spacing w:line="240" w:lineRule="auto" w:before="0" w:after="0"/>
              <w:pStyle w:val="Compact"/>
            </w:pPr>
            <w:r>
              <w:rPr>
                <w:sz w:val="20"/>
                <w:szCs w:val="20"/>
              </w:rPr>
              <w:t xml:space="preserve">us_filer</w:t>
            </w:r>
          </w:p>
        </w:tc>
        <w:tc>
          <w:tcPr>
            <w:tcW w:w="0" w:type="auto"/>
          </w:tcPr>
          <w:p>
            <w:pPr>
              <w:spacing w:line="240" w:lineRule="auto" w:before="0" w:after="0"/>
              <w:pStyle w:val="Compact"/>
            </w:pPr>
            <w:r>
              <w:rPr>
                <w:sz w:val="20"/>
                <w:szCs w:val="20"/>
              </w:rPr>
              <w:t xml:space="preserve">ln_conjunction_events</w:t>
            </w:r>
          </w:p>
        </w:tc>
        <w:tc>
          <w:tcPr>
            <w:tcW w:w="0" w:type="auto"/>
          </w:tcPr>
          <w:p>
            <w:pPr>
              <w:spacing w:line="240" w:lineRule="auto" w:before="0" w:after="0"/>
              <w:pStyle w:val="Compact"/>
            </w:pPr>
            <w:r>
              <w:rPr>
                <w:sz w:val="20"/>
                <w:szCs w:val="20"/>
              </w:rPr>
              <w:t xml:space="preserve">discloses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 Starlink</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Fleet ~7,000 active per celestrak.org Starlink count 2025; SpaceX publishes operator ephemerides via Space-Track Operator Data feed per spacenews.com/spacex-shares-starlink-ephemerides; conjunction rate from McDowell planet4589.org/space/stats and ESA Space Environment Report 2024 share for Starlink</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Fleet ~600 per oneweb.net/our-mission; OneWeb publishes operator ephemerides via Space-Track per Borowitz 2024 AMOS TraCSS-EU SST comparison [4]; conjunction events from ESA Space Environment Report 2024</w:t>
            </w:r>
          </w:p>
        </w:tc>
      </w:tr>
      <w:tr>
        <w:tc>
          <w:tcPr>
            <w:tcW w:w="0" w:type="auto"/>
          </w:tcPr>
          <w:p>
            <w:pPr>
              <w:spacing w:line="240" w:lineRule="auto" w:before="0" w:after="0"/>
              <w:pStyle w:val="Compact"/>
            </w:pPr>
            <w:r>
              <w:rPr>
                <w:sz w:val="20"/>
                <w:szCs w:val="20"/>
              </w:rPr>
              <w:t xml:space="preserve">Iridium NEXT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75 NEXT satellites per newspace.im/iridium-next; Iridium publishes ephemerides via Space-Track Operator Data per fcc.gov filings and spacenews.com coverage; dual-use coded due to DoD EMSS contract per gao.gov/products/gao-20-129</w:t>
            </w:r>
          </w:p>
        </w:tc>
      </w:tr>
      <w:tr>
        <w:tc>
          <w:tcPr>
            <w:tcW w:w="0" w:type="auto"/>
          </w:tcPr>
          <w:p>
            <w:pPr>
              <w:spacing w:line="240" w:lineRule="auto" w:before="0" w:after="0"/>
              <w:pStyle w:val="Compact"/>
            </w:pPr>
            <w:r>
              <w:rPr>
                <w:sz w:val="20"/>
                <w:szCs w:val="20"/>
              </w:rPr>
              <w:t xml:space="preserve">Planet Labs</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operates ~400 SuperDoves per planet.com/our-constellations; Planet publishes ephemerides via Space-Track Operator Data per Hejduk et al. Aerospace Corp. CARA documentation [4]; conjunction events from public CSpOC/TraCSS feeds</w:t>
            </w:r>
          </w:p>
        </w:tc>
      </w:tr>
      <w:tr>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Telesat Lightspeed authorization 198 satellites per fcc.gov/document/telesat-ngso-market-access-grant; Telesat ephemeris sharing via Space-Track per telesat.com/lightspeed-sustainability and AMOS Borowitz et al. 2024 [4]; conjunction events estimated from CDM coverage</w:t>
            </w:r>
          </w:p>
        </w:tc>
      </w:tr>
      <w:tr>
        <w:tc>
          <w:tcPr>
            <w:tcW w:w="0" w:type="auto"/>
          </w:tcPr>
          <w:p>
            <w:pPr>
              <w:spacing w:line="240" w:lineRule="auto" w:before="0" w:after="0"/>
              <w:pStyle w:val="Compact"/>
            </w:pPr>
            <w:r>
              <w:rPr>
                <w:sz w:val="20"/>
                <w:szCs w:val="20"/>
              </w:rPr>
              <w:t xml:space="preserve">SES O3b</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O3b/mPOWER MEO 70+ satellites per newspace.im; SES publishes ephemerides via Space-Track per ses.com/responsibility and CDM operator feedback in AMOS Wolff et al. 2025 TraCSS comparison [3]; conjunction events from TraCSS public dashboard</w:t>
            </w:r>
          </w:p>
        </w:tc>
      </w:tr>
      <w:tr>
        <w:tc>
          <w:tcPr>
            <w:tcW w:w="0" w:type="auto"/>
          </w:tcPr>
          <w:p>
            <w:pPr>
              <w:spacing w:line="240" w:lineRule="auto" w:before="0" w:after="0"/>
              <w:pStyle w:val="Compact"/>
            </w:pPr>
            <w:r>
              <w:rPr>
                <w:sz w:val="20"/>
                <w:szCs w:val="20"/>
              </w:rPr>
              <w:t xml:space="preserve">NASA Civil</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operates ~100 active civil spacecraft per nasa.gov fact sheet; NASA Conjunction Assessment Risk Analysis (CARA) publishes maneuver coordination per nasa.gov/cara and AMOS Hejduk; conjunction events from public CARA reports</w:t>
            </w:r>
          </w:p>
        </w:tc>
      </w:tr>
      <w:tr>
        <w:tc>
          <w:tcPr>
            <w:tcW w:w="0" w:type="auto"/>
          </w:tcPr>
          <w:p>
            <w:pPr>
              <w:spacing w:line="240" w:lineRule="auto" w:before="0" w:after="0"/>
              <w:pStyle w:val="Compact"/>
            </w:pPr>
            <w:r>
              <w:rPr>
                <w:sz w:val="20"/>
                <w:szCs w:val="20"/>
              </w:rPr>
              <w:t xml:space="preserve">ESA Civil</w:t>
            </w:r>
          </w:p>
        </w:tc>
        <w:tc>
          <w:tcPr>
            <w:tcW w:w="0" w:type="auto"/>
          </w:tcPr>
          <w:p>
            <w:pPr>
              <w:spacing w:line="240" w:lineRule="auto" w:before="0" w:after="0"/>
              <w:pStyle w:val="Compact"/>
            </w:pPr>
            <w:r>
              <w:rPr>
                <w:sz w:val="20"/>
                <w:szCs w:val="20"/>
              </w:rPr>
              <w:t xml:space="preserve">FR</w:t>
            </w:r>
          </w:p>
        </w:tc>
        <w:tc>
          <w:tcPr>
            <w:tcW w:w="0" w:type="auto"/>
          </w:tcPr>
          <w:p>
            <w:pPr>
              <w:spacing w:line="240" w:lineRule="auto" w:before="0" w:after="0"/>
              <w:pStyle w:val="Compact"/>
            </w:pPr>
            <w:r>
              <w:rPr>
                <w:sz w:val="20"/>
                <w:szCs w:val="20"/>
              </w:rPr>
              <w:t xml:space="preserve">3.93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operates ~50 active civil missions per esa.int/Our_Activities; ESA Space Debris Office publishes annual collision-avoidance statistics per esa.int/Safety_Security/Space_Debris/ESA_s_Annual_Space_Environment_Report and Borowitz 2024 [4]; conjunction events from ESA Space Environment Report 2024</w:t>
            </w:r>
          </w:p>
        </w:tc>
      </w:tr>
      <w:tr>
        <w:tc>
          <w:tcPr>
            <w:tcW w:w="0" w:type="auto"/>
          </w:tcPr>
          <w:p>
            <w:pPr>
              <w:spacing w:line="240" w:lineRule="auto" w:before="0" w:after="0"/>
              <w:pStyle w:val="Compact"/>
            </w:pPr>
            <w:r>
              <w:rPr>
                <w:sz w:val="20"/>
                <w:szCs w:val="20"/>
              </w:rPr>
              <w:t xml:space="preserve">DLR (Germany)</w:t>
            </w:r>
          </w:p>
        </w:tc>
        <w:tc>
          <w:tcPr>
            <w:tcW w:w="0" w:type="auto"/>
          </w:tcPr>
          <w:p>
            <w:pPr>
              <w:spacing w:line="240" w:lineRule="auto" w:before="0" w:after="0"/>
              <w:pStyle w:val="Compact"/>
            </w:pPr>
            <w:r>
              <w:rPr>
                <w:sz w:val="20"/>
                <w:szCs w:val="20"/>
              </w:rPr>
              <w:t xml:space="preserve">DE</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DLR operates ~6 active LEO missions (TerraSAR-X, TanDEM-X, EnMAP, others) per dlr.de/en/research-and-transfer/projects; DLR shares operator data via EU SST and Space-Track per Borowitz et al. 2024 [4]; conjunction events from EU SST public reporting</w:t>
            </w:r>
          </w:p>
        </w:tc>
      </w:tr>
      <w:tr>
        <w:tc>
          <w:tcPr>
            <w:tcW w:w="0" w:type="auto"/>
          </w:tcPr>
          <w:p>
            <w:pPr>
              <w:spacing w:line="240" w:lineRule="auto" w:before="0" w:after="0"/>
              <w:pStyle w:val="Compact"/>
            </w:pPr>
            <w:r>
              <w:rPr>
                <w:sz w:val="20"/>
                <w:szCs w:val="20"/>
              </w:rPr>
              <w:t xml:space="preserve">CNES (France)</w:t>
            </w:r>
          </w:p>
        </w:tc>
        <w:tc>
          <w:tcPr>
            <w:tcW w:w="0" w:type="auto"/>
          </w:tcPr>
          <w:p>
            <w:pPr>
              <w:spacing w:line="240" w:lineRule="auto" w:before="0" w:after="0"/>
              <w:pStyle w:val="Compact"/>
            </w:pPr>
            <w:r>
              <w:rPr>
                <w:sz w:val="20"/>
                <w:szCs w:val="20"/>
              </w:rPr>
              <w:t xml:space="preserve">FR</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CNES operates ~9 active LEO missions per cnes.fr/en/projects; CNES publishes via EU SST/Space-Track and Faucher per AMOS Borowitz et al. 2024 [4] and 2025 [3]; conjunction events from EU SST</w:t>
            </w:r>
          </w:p>
        </w:tc>
      </w:tr>
      <w:tr>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JP</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operates ~10 active spacecraft per global.jaxa.jp; JAXA shares operator ephemerides via Space-Track per Kato et al. AMOS 2023; conjunction events estimated from CSpOC feeds</w:t>
            </w:r>
          </w:p>
        </w:tc>
      </w:tr>
      <w:tr>
        <w:tc>
          <w:tcPr>
            <w:tcW w:w="0" w:type="auto"/>
          </w:tcPr>
          <w:p>
            <w:pPr>
              <w:spacing w:line="240" w:lineRule="auto" w:before="0" w:after="0"/>
              <w:pStyle w:val="Compact"/>
            </w:pPr>
            <w:r>
              <w:rPr>
                <w:sz w:val="20"/>
                <w:szCs w:val="20"/>
              </w:rPr>
              <w:t xml:space="preserve">Spire Global</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~200 Lemur-2 nanosatellites per spire.com/about; Spire publishes ephemerides via Space-Track per spire.com/sustainability and CSpOC operator records; conjunction events estimated</w:t>
            </w:r>
          </w:p>
        </w:tc>
      </w:tr>
      <w:tr>
        <w:tc>
          <w:tcPr>
            <w:tcW w:w="0" w:type="auto"/>
          </w:tcPr>
          <w:p>
            <w:pPr>
              <w:spacing w:line="240" w:lineRule="auto" w:before="0" w:after="0"/>
              <w:pStyle w:val="Compact"/>
            </w:pPr>
            <w:r>
              <w:rPr>
                <w:sz w:val="20"/>
                <w:szCs w:val="20"/>
              </w:rPr>
              <w:t xml:space="preserve">HawkEye 360</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HawkEye 360 27+ satellites per he360.com/our-constellation; no public operator-ephemeris publication identified; commercial RF-intelligence mission with DoD contracts per spacenews.com/hawkeye-360 and gao.gov national-security space; dual-use coded; conjunction events estimated from CSpOC</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operates 17 Gen-2 spacecraft per blacksky.com/satellite-imaging-services; no public operator-ephemeris publication identified beyond government CDM coordination; NRO/IC customer base per spacenews.com/blacksky-nro [dual-use]; conjunction events estimated</w:t>
            </w:r>
          </w:p>
        </w:tc>
      </w:tr>
      <w:tr>
        <w:tc>
          <w:tcPr>
            <w:tcW w:w="0" w:type="auto"/>
          </w:tcPr>
          <w:p>
            <w:pPr>
              <w:spacing w:line="240" w:lineRule="auto" w:before="0" w:after="0"/>
              <w:pStyle w:val="Compact"/>
            </w:pPr>
            <w:r>
              <w:rPr>
                <w:sz w:val="20"/>
                <w:szCs w:val="20"/>
              </w:rPr>
              <w:t xml:space="preserve">Capella Space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~10 X-band SAR satellites per capellaspace.com/constellation; no public ephemeris feed identified; NRO Electro-Optical Commercial Layer contract per nro.gov news 2022 [dual-use]; conjunction events estimated [illustrative]</w:t>
            </w:r>
          </w:p>
        </w:tc>
      </w:tr>
      <w:tr>
        <w:tc>
          <w:tcPr>
            <w:tcW w:w="0" w:type="auto"/>
          </w:tcPr>
          <w:p>
            <w:pPr>
              <w:spacing w:line="240" w:lineRule="auto" w:before="0" w:after="0"/>
              <w:pStyle w:val="Compact"/>
            </w:pPr>
            <w:r>
              <w:rPr>
                <w:sz w:val="20"/>
                <w:szCs w:val="20"/>
              </w:rPr>
              <w:t xml:space="preserve">NRO/USG classified</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NRO operates ~100+ classified spacecraft per cdri/cna estimates and globalsecurity.org/intell/systems/nro; NRO does not publish operator ephemerides per gao.gov/products/gao-22-105995 and fas.org/sgp/crs/intel; dual-use; conjunction events from USSF/CSpOC handling per AMOS Wolff et al. 2025 [3]</w:t>
            </w:r>
          </w:p>
        </w:tc>
      </w:tr>
      <w:tr>
        <w:tc>
          <w:tcPr>
            <w:tcW w:w="0" w:type="auto"/>
          </w:tcPr>
          <w:p>
            <w:pPr>
              <w:spacing w:line="240" w:lineRule="auto" w:before="0" w:after="0"/>
              <w:pStyle w:val="Compact"/>
            </w:pPr>
            <w:r>
              <w:rPr>
                <w:sz w:val="20"/>
                <w:szCs w:val="20"/>
              </w:rPr>
              <w:t xml:space="preserve">USSF classified</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4.78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USSF operates 120+ unclassified plus classified per spaceforce.mil and gao.gov/products/gao-23-105849; USSF does not share classified-vehicle ephemerides publicly per gao.gov reporting; dual-use; conjunction events from internal MD-2 system per AMOS Wolff 2025 [3]</w:t>
            </w:r>
          </w:p>
        </w:tc>
      </w:tr>
      <w:tr>
        <w:tc>
          <w:tcPr>
            <w:tcW w:w="0" w:type="auto"/>
          </w:tcPr>
          <w:p>
            <w:pPr>
              <w:spacing w:line="240" w:lineRule="auto" w:before="0" w:after="0"/>
              <w:pStyle w:val="Compact"/>
            </w:pPr>
            <w:r>
              <w:rPr>
                <w:sz w:val="20"/>
                <w:szCs w:val="20"/>
              </w:rPr>
              <w:t xml:space="preserve">China SatNet Guowang</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9.47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SatNet Guowang authorized 12,992 satellites per ITU filings and spacenews.com/china-satnet-guowang; no operator ephemeris publication on Space-Track per Yap et al. Acta 2023 [6] discourse analysis of CN transparency; dual-use coded per spacenews.com/china-military-satellite-program; conjunction events estimated from CSpOC public TLE</w:t>
            </w:r>
          </w:p>
        </w:tc>
      </w:tr>
      <w:tr>
        <w:tc>
          <w:tcPr>
            <w:tcW w:w="0" w:type="auto"/>
          </w:tcPr>
          <w:p>
            <w:pPr>
              <w:spacing w:line="240" w:lineRule="auto" w:before="0" w:after="0"/>
              <w:pStyle w:val="Compact"/>
            </w:pPr>
            <w:r>
              <w:rPr>
                <w:sz w:val="20"/>
                <w:szCs w:val="20"/>
              </w:rPr>
              <w:t xml:space="preserve">Genesat Qianfan</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7.17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Qianfan Thousand Sails 1,296 satellites per spacenews.com/qianfan-constellation and newspace.im; no Space-Track operator publication per Borowitz et al. 2024 [4]; conjunction events estimated from CSpOC TLE</w:t>
            </w:r>
          </w:p>
        </w:tc>
      </w:tr>
      <w:tr>
        <w:tc>
          <w:tcPr>
            <w:tcW w:w="0" w:type="auto"/>
          </w:tcPr>
          <w:p>
            <w:pPr>
              <w:spacing w:line="240" w:lineRule="auto" w:before="0" w:after="0"/>
              <w:pStyle w:val="Compact"/>
            </w:pPr>
            <w:r>
              <w:rPr>
                <w:sz w:val="20"/>
                <w:szCs w:val="20"/>
              </w:rPr>
              <w:t xml:space="preserve">PLA classified (CN)</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 Strategic Support Force operates ~100+ military spacecraft per gao.gov/products/gao-22-105995 and dia.mil/Military-Power-Publications; no public ephemeris sharing per CASI/AFRL public assessments; dual-use; conjunction events estimated from CSpOC TLE for classified objects</w:t>
            </w:r>
          </w:p>
        </w:tc>
      </w:tr>
      <w:tr>
        <w:tc>
          <w:tcPr>
            <w:tcW w:w="0" w:type="auto"/>
          </w:tcPr>
          <w:p>
            <w:pPr>
              <w:spacing w:line="240" w:lineRule="auto" w:before="0" w:after="0"/>
              <w:pStyle w:val="Compact"/>
            </w:pPr>
            <w:r>
              <w:rPr>
                <w:sz w:val="20"/>
                <w:szCs w:val="20"/>
              </w:rPr>
              <w:t xml:space="preserve">Roscosmos civil</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3.69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Roscosmos operates ~40 active civil/scientific spacecraft per roscosmos.ru/about; no public operator-ephemeris publication on Space-Track post-2022 per Borowitz et al. AMOS 2024 [4]; conjunction events from CSpOC TLE [illustrative]</w:t>
            </w:r>
          </w:p>
        </w:tc>
      </w:tr>
      <w:tr>
        <w:tc>
          <w:tcPr>
            <w:tcW w:w="0" w:type="auto"/>
          </w:tcPr>
          <w:p>
            <w:pPr>
              <w:spacing w:line="240" w:lineRule="auto" w:before="0" w:after="0"/>
              <w:pStyle w:val="Compact"/>
            </w:pPr>
            <w:r>
              <w:rPr>
                <w:sz w:val="20"/>
                <w:szCs w:val="20"/>
              </w:rPr>
              <w:t xml:space="preserve">Russian Aerospace Forces</w:t>
            </w:r>
          </w:p>
        </w:tc>
        <w:tc>
          <w:tcPr>
            <w:tcW w:w="0" w:type="auto"/>
          </w:tcPr>
          <w:p>
            <w:pPr>
              <w:spacing w:line="240" w:lineRule="auto" w:before="0" w:after="0"/>
              <w:pStyle w:val="Compact"/>
            </w:pPr>
            <w:r>
              <w:rPr>
                <w:sz w:val="20"/>
                <w:szCs w:val="20"/>
              </w:rPr>
              <w:t xml:space="preserve">RU</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VKS operates ~30 active military/dual-use spacecraft per fas.org/sgp/crs/intel/RL34280 and gao.gov national-security; no public ephemeris sharing per Borowitz 2024 [4]; dual-use; conjunction events estimated</w:t>
            </w:r>
          </w:p>
        </w:tc>
      </w:tr>
      <w:tr>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IN</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ISRO operates ~17 active LEO missions per isro.gov.in/Spacecrafts; ISRO publishes via Space-Track Operator Data per isro.gov.in/SSA initiatives and Borowitz et al. 2024 [4]; conjunction events estimated from CSpOC</w:t>
            </w:r>
          </w:p>
        </w:tc>
      </w:tr>
      <w:tr>
        <w:tc>
          <w:tcPr>
            <w:tcW w:w="0" w:type="auto"/>
          </w:tcPr>
          <w:p>
            <w:pPr>
              <w:spacing w:line="240" w:lineRule="auto" w:before="0" w:after="0"/>
              <w:pStyle w:val="Compact"/>
            </w:pPr>
            <w:r>
              <w:rPr>
                <w:sz w:val="20"/>
                <w:szCs w:val="20"/>
              </w:rPr>
              <w:t xml:space="preserve">KARI (Korea)</w:t>
            </w:r>
          </w:p>
        </w:tc>
        <w:tc>
          <w:tcPr>
            <w:tcW w:w="0" w:type="auto"/>
          </w:tcPr>
          <w:p>
            <w:pPr>
              <w:spacing w:line="240" w:lineRule="auto" w:before="0" w:after="0"/>
              <w:pStyle w:val="Compact"/>
            </w:pPr>
            <w:r>
              <w:rPr>
                <w:sz w:val="20"/>
                <w:szCs w:val="20"/>
              </w:rPr>
              <w:t xml:space="preserve">KR</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KARI operates 7 active LEO missions per kari.re.kr/eng; KARI shares operator data via Space-Track per Borowitz et al. 2024 [4]; conjunction events estimated</w:t>
            </w:r>
          </w:p>
        </w:tc>
      </w:tr>
      <w:tr>
        <w:tc>
          <w:tcPr>
            <w:tcW w:w="0" w:type="auto"/>
          </w:tcPr>
          <w:p>
            <w:pPr>
              <w:spacing w:line="240" w:lineRule="auto" w:before="0" w:after="0"/>
              <w:pStyle w:val="Compact"/>
            </w:pPr>
            <w:r>
              <w:rPr>
                <w:sz w:val="20"/>
                <w:szCs w:val="20"/>
              </w:rPr>
              <w:t xml:space="preserve">Telesat V-band</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4.76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Telesat V-band 117 satellites authorized per FCC 18-122; no separate operator-ephemeris publication beyond Telesat Lightspeed; treated as separate filing per fcc.gov [censored disclosure]</w:t>
            </w:r>
          </w:p>
        </w:tc>
      </w:tr>
      <w:tr>
        <w:tc>
          <w:tcPr>
            <w:tcW w:w="0" w:type="auto"/>
          </w:tcPr>
          <w:p>
            <w:pPr>
              <w:spacing w:line="240" w:lineRule="auto" w:before="0" w:after="0"/>
              <w:pStyle w:val="Compact"/>
            </w:pPr>
            <w:r>
              <w:rPr>
                <w:sz w:val="20"/>
                <w:szCs w:val="20"/>
              </w:rPr>
              <w:t xml:space="preserve">Lynk Global</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Lynk Global 10 active spacecraft per lynk.world; no public operator ephemeris feed identified per Borowitz et al. 2024 [4]; dual-use direct-to-cell with potential national-security tie per spacenews.com/lynk; conjunction events estimated</w:t>
            </w:r>
          </w:p>
        </w:tc>
      </w:tr>
      <w:tr>
        <w:tc>
          <w:tcPr>
            <w:tcW w:w="0" w:type="auto"/>
          </w:tcPr>
          <w:p>
            <w:pPr>
              <w:spacing w:line="240" w:lineRule="auto" w:before="0" w:after="0"/>
              <w:pStyle w:val="Compact"/>
            </w:pPr>
            <w:r>
              <w:rPr>
                <w:sz w:val="20"/>
                <w:szCs w:val="20"/>
              </w:rPr>
              <w:t xml:space="preserve">AST SpaceMobile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5.49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 SpaceMobile 5 BlueBird satellites with 243-satellite plan per ast-science.com/spacemobile; AST shares ephemerides via Space-Track per public AST-FCC filings and ast-science.com/sustainability; AT&amp;T/Verizon plus DoD customer per spacenews.com/ast-spacemobile-dod [dual-use]; conjunction events estimated</w:t>
            </w:r>
          </w:p>
        </w:tc>
      </w:tr>
      <w:tr>
        <w:tc>
          <w:tcPr>
            <w:tcW w:w="0" w:type="auto"/>
          </w:tcPr>
          <w:p>
            <w:pPr>
              <w:spacing w:line="240" w:lineRule="auto" w:before="0" w:after="0"/>
              <w:pStyle w:val="Compact"/>
            </w:pPr>
            <w:r>
              <w:rPr>
                <w:sz w:val="20"/>
                <w:szCs w:val="20"/>
              </w:rPr>
              <w:t xml:space="preserve">Hongyan/SatNet test</w:t>
            </w:r>
          </w:p>
        </w:tc>
        <w:tc>
          <w:tcPr>
            <w:tcW w:w="0" w:type="auto"/>
          </w:tcPr>
          <w:p>
            <w:pPr>
              <w:spacing w:line="240" w:lineRule="auto" w:before="0" w:after="0"/>
              <w:pStyle w:val="Compact"/>
            </w:pPr>
            <w:r>
              <w:rPr>
                <w:sz w:val="20"/>
                <w:szCs w:val="20"/>
              </w:rPr>
              <w:t xml:space="preserve">CN</w:t>
            </w:r>
          </w:p>
        </w:tc>
        <w:tc>
          <w:tcPr>
            <w:tcW w:w="0" w:type="auto"/>
          </w:tcPr>
          <w:p>
            <w:pPr>
              <w:spacing w:line="240" w:lineRule="auto" w:before="0" w:after="0"/>
              <w:pStyle w:val="Compact"/>
            </w:pPr>
            <w:r>
              <w:rPr>
                <w:sz w:val="20"/>
                <w:szCs w:val="20"/>
              </w:rPr>
              <w:t xml:space="preserve">5.77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Hongyan demo satellite per newspace.im; no Space-Track ephemeris publication per Yap et al. Acta 2023 [6]; dual-use; conjunction events estimated [illustrative]</w:t>
            </w:r>
          </w:p>
        </w:tc>
      </w:tr>
    </w:tbl>
    <w:bookmarkEnd w:id="209"/>
    <w:bookmarkStart w:id="21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discloses</w:t>
            </w:r>
          </w:p>
        </w:tc>
        <w:tc>
          <w:tcPr>
            <w:tcW w:w="0" w:type="auto"/>
          </w:tcPr>
          <w:p>
            <w:pPr>
              <w:spacing w:line="240" w:lineRule="auto" w:before="0" w:after="0"/>
              <w:pStyle w:val="Compact"/>
            </w:pPr>
            <w:r>
              <w:rPr>
                <w:sz w:val="20"/>
                <w:szCs w:val="20"/>
              </w:rPr>
              <w:t xml:space="preserve">Binary indicator equal to 1 if the operator publishes operator-provided ephemerides or maneuver notifications to a public Space Situational Awareness service (Space-Track Operator Data feed, EU SST partner data, or equivalent) accessible to third parties as of 2026; 0 otherwise.</w:t>
            </w:r>
          </w:p>
        </w:tc>
        <w:tc>
          <w:tcPr>
            <w:tcW w:w="0" w:type="auto"/>
          </w:tcPr>
          <w:p>
            <w:pPr>
              <w:spacing w:line="240" w:lineRule="auto" w:before="0" w:after="0"/>
              <w:pStyle w:val="Compact"/>
            </w:pPr>
            <w:r>
              <w:rPr>
                <w:sz w:val="20"/>
                <w:szCs w:val="20"/>
              </w:rPr>
              <w:t xml:space="preserve">Coded from Space-Track Operator Data participant list, EU SST cooperation agreements, and the operator publication patterns documented in Borowitz et al. AMOS 2024 [4] and Wolff et al. AMOS 2025 [3]</w:t>
            </w:r>
          </w:p>
        </w:tc>
      </w:tr>
      <w:tr>
        <w:tc>
          <w:tcPr>
            <w:tcW w:w="0" w:type="auto"/>
          </w:tcPr>
          <w:p>
            <w:pPr>
              <w:spacing w:line="240" w:lineRule="auto" w:before="0" w:after="0"/>
              <w:pStyle w:val="Compact"/>
            </w:pPr>
            <w:r>
              <w:rPr>
                <w:sz w:val="20"/>
                <w:szCs w:val="20"/>
              </w:rPr>
              <w:t xml:space="preserve">ln_fleet_size</w:t>
            </w:r>
          </w:p>
        </w:tc>
        <w:tc>
          <w:tcPr>
            <w:tcW w:w="0" w:type="auto"/>
          </w:tcPr>
          <w:p>
            <w:pPr>
              <w:spacing w:line="240" w:lineRule="auto" w:before="0" w:after="0"/>
              <w:pStyle w:val="Compact"/>
            </w:pPr>
            <w:r>
              <w:rPr>
                <w:sz w:val="20"/>
                <w:szCs w:val="20"/>
              </w:rPr>
              <w:t xml:space="preserve">Natural log of the operator’s active on-orbit fleet size (or, for filed but not yet deployed systems, the authorized count). Larger fleets reveal more about the operator’s propulsion budget and tempo when individual maneuvers are disclosed, raising the inferential value of any single disclosure.</w:t>
            </w:r>
          </w:p>
        </w:tc>
        <w:tc>
          <w:tcPr>
            <w:tcW w:w="0" w:type="auto"/>
          </w:tcPr>
          <w:p>
            <w:pPr>
              <w:spacing w:line="240" w:lineRule="auto" w:before="0" w:after="0"/>
              <w:pStyle w:val="Compact"/>
            </w:pPr>
            <w:r>
              <w:rPr>
                <w:sz w:val="20"/>
                <w:szCs w:val="20"/>
              </w:rPr>
              <w:t xml:space="preserve">Derived from active counts at celestrak.org, newspace.im, planet4589.org/space (McDowell), and operator websites; ln transform</w:t>
            </w:r>
          </w:p>
        </w:tc>
      </w:tr>
      <w:tr>
        <w:tc>
          <w:tcPr>
            <w:tcW w:w="0" w:type="auto"/>
          </w:tcPr>
          <w:p>
            <w:pPr>
              <w:spacing w:line="240" w:lineRule="auto" w:before="0" w:after="0"/>
              <w:pStyle w:val="Compact"/>
            </w:pPr>
            <w:r>
              <w:rPr>
                <w:sz w:val="20"/>
                <w:szCs w:val="20"/>
              </w:rPr>
              <w:t xml:space="preserve">dual_use</w:t>
            </w:r>
          </w:p>
        </w:tc>
        <w:tc>
          <w:tcPr>
            <w:tcW w:w="0" w:type="auto"/>
          </w:tcPr>
          <w:p>
            <w:pPr>
              <w:spacing w:line="240" w:lineRule="auto" w:before="0" w:after="0"/>
              <w:pStyle w:val="Compact"/>
            </w:pPr>
            <w:r>
              <w:rPr>
                <w:sz w:val="20"/>
                <w:szCs w:val="20"/>
              </w:rPr>
              <w:t xml:space="preserve">Binary indicator equal to 1 if the operator has documented dual-use status (declared or contracted national-security customer, intelligence-community contract, or military operator role); 0 if purely commercial or civil. The principal inferential-value treatment.</w:t>
            </w:r>
          </w:p>
        </w:tc>
        <w:tc>
          <w:tcPr>
            <w:tcW w:w="0" w:type="auto"/>
          </w:tcPr>
          <w:p>
            <w:pPr>
              <w:spacing w:line="240" w:lineRule="auto" w:before="0" w:after="0"/>
              <w:pStyle w:val="Compact"/>
            </w:pPr>
            <w:r>
              <w:rPr>
                <w:sz w:val="20"/>
                <w:szCs w:val="20"/>
              </w:rPr>
              <w:t xml:space="preserve">Coded from public DoD/IC contract records (NRO press releases, USSF/CIO announcements), GAO national-security space reports gao-22-105995 and gao-23-105849, and CASI/DIA public assessments for foreign operators</w:t>
            </w:r>
          </w:p>
        </w:tc>
      </w:tr>
      <w:tr>
        <w:tc>
          <w:tcPr>
            <w:tcW w:w="0" w:type="auto"/>
          </w:tcPr>
          <w:p>
            <w:pPr>
              <w:spacing w:line="240" w:lineRule="auto" w:before="0" w:after="0"/>
              <w:pStyle w:val="Compact"/>
            </w:pPr>
            <w:r>
              <w:rPr>
                <w:sz w:val="20"/>
                <w:szCs w:val="20"/>
              </w:rPr>
              <w:t xml:space="preserve">ln_conjunction_events</w:t>
            </w:r>
          </w:p>
        </w:tc>
        <w:tc>
          <w:tcPr>
            <w:tcW w:w="0" w:type="auto"/>
          </w:tcPr>
          <w:p>
            <w:pPr>
              <w:spacing w:line="240" w:lineRule="auto" w:before="0" w:after="0"/>
              <w:pStyle w:val="Compact"/>
            </w:pPr>
            <w:r>
              <w:rPr>
                <w:sz w:val="20"/>
                <w:szCs w:val="20"/>
              </w:rPr>
              <w:t xml:space="preserve">Natural log of the operator’s count of high-interest conjunction events in 2024 as reported through public CSpOC, TraCSS, and EU SST channels. Captures the flight-safety urgency a cooperating operator faces; an operator with many conjunction events has a stronger safety incentive to disclose.</w:t>
            </w:r>
          </w:p>
        </w:tc>
        <w:tc>
          <w:tcPr>
            <w:tcW w:w="0" w:type="auto"/>
          </w:tcPr>
          <w:p>
            <w:pPr>
              <w:spacing w:line="240" w:lineRule="auto" w:before="0" w:after="0"/>
              <w:pStyle w:val="Compact"/>
            </w:pPr>
            <w:r>
              <w:rPr>
                <w:sz w:val="20"/>
                <w:szCs w:val="20"/>
              </w:rPr>
              <w:t xml:space="preserve">Derived from ESA Annual Space Environment Report 2024 (esa.int), TraCSS public dashboard summaries (Wolff et al. AMOS 2025 [3]), and CSpOC public CDM volume disclosed in AMOS Borowitz et al. 2024 [4]</w:t>
            </w:r>
          </w:p>
        </w:tc>
      </w:tr>
    </w:tbl>
    <w:bookmarkEnd w:id="210"/>
    <w:bookmarkEnd w:id="211"/>
    <w:bookmarkEnd w:id="21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7" Type="http://schemas.openxmlformats.org/officeDocument/2006/relationships/image" Target="media/rId197.png"/><Relationship Id="rId205" Type="http://schemas.openxmlformats.org/officeDocument/2006/relationships/image" Target="media/rId205.png"/><Relationship Id="rId185" Type="http://schemas.openxmlformats.org/officeDocument/2006/relationships/hyperlink" Target="https://doi.org/10.1016/j.actaastro.2020.11.056" TargetMode="External"/><Relationship Id="rId166" Type="http://schemas.openxmlformats.org/officeDocument/2006/relationships/hyperlink" Target="https://doi.org/10.1016/j.actaastro.2023.01.016" TargetMode="External"/><Relationship Id="rId189" Type="http://schemas.openxmlformats.org/officeDocument/2006/relationships/hyperlink" Target="https://doi.org/10.1016/j.actaastro.2023.07.009" TargetMode="External"/><Relationship Id="rId191" Type="http://schemas.openxmlformats.org/officeDocument/2006/relationships/hyperlink" Target="https://doi.org/10.1016/j.actaastro.2024.06.015" TargetMode="External"/><Relationship Id="rId187" Type="http://schemas.openxmlformats.org/officeDocument/2006/relationships/hyperlink" Target="https://doi.org/10.1016/j.actaastro.2024.07.022" TargetMode="External"/><Relationship Id="rId193" Type="http://schemas.openxmlformats.org/officeDocument/2006/relationships/hyperlink" Target="https://doi.org/10.1016/j.actaastro.2024.09.057" TargetMode="External"/><Relationship Id="rId183" Type="http://schemas.openxmlformats.org/officeDocument/2006/relationships/hyperlink" Target="https://doi.org/10.1016/j.actaastro.2024.09.058" TargetMode="External"/><Relationship Id="rId168" Type="http://schemas.openxmlformats.org/officeDocument/2006/relationships/hyperlink" Target="https://doi.org/10.1016/j.actaastro.2024.12.056" TargetMode="External"/><Relationship Id="rId180" Type="http://schemas.openxmlformats.org/officeDocument/2006/relationships/hyperlink" Target="https://doi.org/10.1016/j.actaastro.2025.01.031" TargetMode="External"/><Relationship Id="rId164" Type="http://schemas.openxmlformats.org/officeDocument/2006/relationships/hyperlink" Target="https://doi.org/10.1016/j.actaastro.2025.01.042" TargetMode="External"/><Relationship Id="rId154" Type="http://schemas.openxmlformats.org/officeDocument/2006/relationships/hyperlink" Target="https://doi.org/10.1016/j.actaastro.2025.03.034" TargetMode="External"/><Relationship Id="rId175" Type="http://schemas.openxmlformats.org/officeDocument/2006/relationships/hyperlink" Target="https://doi.org/10.64861/FKER7625" TargetMode="External"/><Relationship Id="rId147" Type="http://schemas.openxmlformats.org/officeDocument/2006/relationships/hyperlink" Target="https://doi.org/10.64861/GVYB8737" TargetMode="External"/><Relationship Id="rId158" Type="http://schemas.openxmlformats.org/officeDocument/2006/relationships/hyperlink" Target="https://doi.org/10.64861/JKDR9240" TargetMode="External"/><Relationship Id="rId152" Type="http://schemas.openxmlformats.org/officeDocument/2006/relationships/hyperlink" Target="https://doi.org/10.64861/KKFT4985" TargetMode="External"/><Relationship Id="rId178" Type="http://schemas.openxmlformats.org/officeDocument/2006/relationships/hyperlink" Target="https://doi.org/10.64861/OHST9432" TargetMode="External"/><Relationship Id="rId150" Type="http://schemas.openxmlformats.org/officeDocument/2006/relationships/hyperlink" Target="https://doi.org/10.64861/XWVP8211" TargetMode="External"/></Relationships>
</file>

<file path=word/_rels/footnotes.xml.rels><?xml version='1.0' encoding='UTF-8' standalone='yes'?>
<Relationships xmlns="http://schemas.openxmlformats.org/package/2006/relationships"><Relationship Id="rId185" Type="http://schemas.openxmlformats.org/officeDocument/2006/relationships/hyperlink" Target="https://doi.org/10.1016/j.actaastro.2020.11.056" TargetMode="External"/><Relationship Id="rId166" Type="http://schemas.openxmlformats.org/officeDocument/2006/relationships/hyperlink" Target="https://doi.org/10.1016/j.actaastro.2023.01.016" TargetMode="External"/><Relationship Id="rId189" Type="http://schemas.openxmlformats.org/officeDocument/2006/relationships/hyperlink" Target="https://doi.org/10.1016/j.actaastro.2023.07.009" TargetMode="External"/><Relationship Id="rId191" Type="http://schemas.openxmlformats.org/officeDocument/2006/relationships/hyperlink" Target="https://doi.org/10.1016/j.actaastro.2024.06.015" TargetMode="External"/><Relationship Id="rId187" Type="http://schemas.openxmlformats.org/officeDocument/2006/relationships/hyperlink" Target="https://doi.org/10.1016/j.actaastro.2024.07.022" TargetMode="External"/><Relationship Id="rId193" Type="http://schemas.openxmlformats.org/officeDocument/2006/relationships/hyperlink" Target="https://doi.org/10.1016/j.actaastro.2024.09.057" TargetMode="External"/><Relationship Id="rId183" Type="http://schemas.openxmlformats.org/officeDocument/2006/relationships/hyperlink" Target="https://doi.org/10.1016/j.actaastro.2024.09.058" TargetMode="External"/><Relationship Id="rId168" Type="http://schemas.openxmlformats.org/officeDocument/2006/relationships/hyperlink" Target="https://doi.org/10.1016/j.actaastro.2024.12.056" TargetMode="External"/><Relationship Id="rId180" Type="http://schemas.openxmlformats.org/officeDocument/2006/relationships/hyperlink" Target="https://doi.org/10.1016/j.actaastro.2025.01.031" TargetMode="External"/><Relationship Id="rId164" Type="http://schemas.openxmlformats.org/officeDocument/2006/relationships/hyperlink" Target="https://doi.org/10.1016/j.actaastro.2025.01.042" TargetMode="External"/><Relationship Id="rId154" Type="http://schemas.openxmlformats.org/officeDocument/2006/relationships/hyperlink" Target="https://doi.org/10.1016/j.actaastro.2025.03.034" TargetMode="External"/><Relationship Id="rId175" Type="http://schemas.openxmlformats.org/officeDocument/2006/relationships/hyperlink" Target="https://doi.org/10.64861/FKER7625" TargetMode="External"/><Relationship Id="rId147" Type="http://schemas.openxmlformats.org/officeDocument/2006/relationships/hyperlink" Target="https://doi.org/10.64861/GVYB8737" TargetMode="External"/><Relationship Id="rId158" Type="http://schemas.openxmlformats.org/officeDocument/2006/relationships/hyperlink" Target="https://doi.org/10.64861/JKDR9240" TargetMode="External"/><Relationship Id="rId152" Type="http://schemas.openxmlformats.org/officeDocument/2006/relationships/hyperlink" Target="https://doi.org/10.64861/KKFT4985" TargetMode="External"/><Relationship Id="rId178" Type="http://schemas.openxmlformats.org/officeDocument/2006/relationships/hyperlink" Target="https://doi.org/10.64861/OHST9432" TargetMode="External"/><Relationship Id="rId150" Type="http://schemas.openxmlformats.org/officeDocument/2006/relationships/hyperlink" Target="https://doi.org/10.64861/XWVP8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Maneuver-Disclosure Compliance and the Hidden Cost of Voluntary STM Norms in LEO</dc:title>
  <dc:creator>Nadia Suzuki (1B-SDA-078)</dc:creator>
  <cp:keywords/>
  <dcterms:created xsi:type="dcterms:W3CDTF">2026-07-02T17:56:26Z</dcterms:created>
  <dcterms:modified xsi:type="dcterms:W3CDTF">2026-07-02T17:56:26Z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