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CALIBRATING THE FORECASTERS: CAN SSA ANALYSTS RELIABLY PREDICT RE-ENTRY AND DECA</w:t>
      </w:r>
    </w:p>
    <w:p>
      <w:pPr>
        <w:jc w:val="center"/>
      </w:pPr>
    </w:p>
    <w:p>
      <w:pPr>
        <w:jc w:val="center"/>
      </w:pPr>
      <w:r>
        <w:rPr>
          <w:rFonts w:ascii="Times New Roman" w:hAnsi="Times New Roman"/>
          <w:sz w:val="24"/>
        </w:rPr>
        <w:t>by</w:t>
      </w:r>
    </w:p>
    <w:p>
      <w:pPr>
        <w:jc w:val="center"/>
      </w:pPr>
      <w:r>
        <w:rPr>
          <w:rFonts w:ascii="Times New Roman" w:hAnsi="Times New Roman"/>
          <w:b/>
          <w:sz w:val="28"/>
        </w:rPr>
        <w:t>Camila Sato</w:t>
      </w:r>
    </w:p>
    <w:p>
      <w:pPr>
        <w:jc w:val="center"/>
      </w:pPr>
      <w:r>
        <w:rPr>
          <w:rFonts w:ascii="Times New Roman" w:hAnsi="Times New Roman"/>
          <w:sz w:val="24"/>
        </w:rPr>
        <w:t>1B-SDA-171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introduction"/>
    <w:p>
      <w:pPr>
        <w:pStyle w:val="Heading1"/>
        <w:spacing w:line="480" w:lineRule="auto"/>
      </w:pPr>
      <w:r>
        <w:t xml:space="preserve">Introduction</w:t>
      </w:r>
    </w:p>
    <w:p>
      <w:pPr>
        <w:pStyle w:val="FirstParagraph"/>
        <w:spacing w:line="480" w:lineRule="auto"/>
      </w:pPr>
      <w:r>
        <w:t xml:space="preserve">A piece of hardware falls out of orbit roughly once a week. Most of it burns. Some of it does not, and the fragments that survive reentry arrive somewhere on a planet that is three quarters ocean and one quarter inhabited in wildly uneven density. Between the moment an analyst declares that a decaying object will come down and the moment it actually strikes the atmosphere, there sits a forecast. That forecast is a guess with a number on it. That forecast carries a number, usually a predicted reentry epoch with an uncertainty window, and it is on the basis of that number that agencies issue warnings, close airspace, brief heads of state, or decide to say nothing at all. This dissertation is about whether the people who produce those numbers can be trusted to produce them well, and, more precisely, about whether the question of their reliability can be studied with evidence a reader can inspect rather than with intuition dressed as expertise.</w:t>
      </w:r>
    </w:p>
    <w:p>
      <w:pPr>
        <w:pStyle w:val="BodyText"/>
        <w:spacing w:line="480" w:lineRule="auto"/>
        <w:ind w:firstLine="720"/>
      </w:pPr>
      <w:r>
        <w:t xml:space="preserve">The title states the problem as a question. Calibrating the forecasters: can space situational awareness analysts reliably predict reentry and decay? The word calibrating is doing careful work. Precision matters. A forecaster is calibrated when the confidence expressed in a prediction matches the frequency with which such predictions come true. A calibrated analyst who says an event is ninety percent likely is right about ninety percent of the time. Reentry and decay forecasting is a domain where calibration is unusually hard to achieve and unusually consequential to miss, because the physics of atmospheric drag depends on thermospheric density, which depends on solar activity, which is itself forecast with substantial error</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uncertainty in the upstream input propagates into the uncertainty of the downstream output, and the analyst has to communicate that compound uncertainty to decision makers who would much prefer a single date.</w:t>
      </w:r>
    </w:p>
    <w:bookmarkStart w:id="61" w:name="the-stakes"/>
    <w:p>
      <w:pPr>
        <w:pStyle w:val="Heading2"/>
        <w:spacing w:line="480" w:lineRule="auto"/>
      </w:pPr>
      <w:r>
        <w:t xml:space="preserve">The stakes</w:t>
      </w:r>
    </w:p>
    <w:p>
      <w:pPr>
        <w:pStyle w:val="FirstParagraph"/>
        <w:spacing w:line="480" w:lineRule="auto"/>
      </w:pPr>
      <w:r>
        <w:t xml:space="preserve">The stakes are not abstract. People act on these numbers. Uncontrolled reentries of large objects have prompted public alarm, diplomatic friction, and precautionary airspace closures on multiple occasions in the past decade. Each event is a small test of the forecasting enterprise: was the predicted window honest, was it wide enough to contain the truth without being so wide as to be useless, and did the institution communicate the residual risk in terms a non specialist could act on. The technical literature has produced increasingly sophisticated propagation tools, including uncertainty aware methods that carry a full distribution rather than a point estimate through the dynamics</w:t>
      </w:r>
      <w:r>
        <w:t xml:space="preserve"> </w:t>
      </w:r>
      <w:hyperlink w:anchor="ref-6">
        <w:r>
          <w:rPr>
            <w:rStyle w:val="Hyperlink"/>
          </w:rPr>
          <w:t xml:space="preserve">[6]</w:t>
        </w:r>
      </w:hyperlink>
      <w:r>
        <w:t xml:space="preserve">. Space weather forecasting, the upstream driver, has begun to absorb foundation model techniques and neural augmentation that promise better lead times</w:t>
      </w:r>
      <w:r>
        <w:t xml:space="preserve"> </w:t>
      </w:r>
      <w:hyperlink w:anchor="ref-7">
        <w:r>
          <w:rPr>
            <w:rStyle w:val="Hyperlink"/>
          </w:rPr>
          <w:t xml:space="preserve">[7]</w:t>
        </w:r>
      </w:hyperlink>
      <w:r>
        <w:t xml:space="preserve"> </w:t>
      </w:r>
      <w:hyperlink w:anchor="ref-12">
        <w:r>
          <w:rPr>
            <w:rStyle w:val="Hyperlink"/>
          </w:rPr>
          <w:t xml:space="preserve">[12]</w:t>
        </w:r>
      </w:hyperlink>
      <w:r>
        <w:t xml:space="preserve">. These are real advances. They do not, by themselves, tell us whether the human and institutional layer that consumes them is calibrated, and calibration is a property of the whole forecasting system, not of any single model inside it.</w:t>
      </w:r>
    </w:p>
    <w:p>
      <w:pPr>
        <w:pStyle w:val="BodyText"/>
        <w:spacing w:line="480" w:lineRule="auto"/>
        <w:ind w:firstLine="720"/>
      </w:pPr>
      <w:r>
        <w:t xml:space="preserve">There is a governance dimension that sharpens the stakes further. As commercial actors proliferate in low Earth orbit and as in space servicing and active debris removal move from concept to operation, the demand for trustworthy decay and reentry forecasts will rise, and the institutions that supply them will face pressure to make claims about their own accuracy</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A field that cannot audit its forecasters cannot honestly certify them.</w:t>
      </w:r>
    </w:p>
    <w:p>
      <w:pPr>
        <w:pStyle w:val="BodyText"/>
        <w:spacing w:line="480" w:lineRule="auto"/>
        <w:ind w:firstLine="720"/>
      </w:pPr>
      <w:r>
        <w:t xml:space="preserve">That is the practical hole this project sits in. It widens every year as the orbital population grows.</w:t>
      </w:r>
    </w:p>
    <w:bookmarkEnd w:id="61"/>
    <w:bookmarkStart w:id="62" w:name="the-one-falsifiable-contribution"/>
    <w:p>
      <w:pPr>
        <w:pStyle w:val="Heading2"/>
        <w:spacing w:line="480" w:lineRule="auto"/>
      </w:pPr>
      <w:r>
        <w:t xml:space="preserve">The one falsifiable contribution</w:t>
      </w:r>
    </w:p>
    <w:p>
      <w:pPr>
        <w:pStyle w:val="FirstParagraph"/>
        <w:spacing w:line="480" w:lineRule="auto"/>
      </w:pPr>
      <w:r>
        <w:t xml:space="preserve">A dissertation should promise one thing it can be wrong about. This is that thing. This one promises a single, document level, falsifiable test. The claim is not that analysts are or are not calibrated in some global sense; that claim would require a long run of operational forecasts matched to outcomes, data that is fragmented, restricted, or simply unrecorded across the relevant institutions. The claim is narrower and therefore testable. It is that the visibility of the calibration and reentry forecasting topic inside a retrievable body of literature is structured, that this structure can be measured in the metadata of the source corpus, and that the structure is not an artifact of noise. Concretely, the null hypothesis holds that a composite topic signal score built from source records is unrelated to publication recency, citation attention, and venue family. The alternative holds that the topic signal is systematically related to those three features, rising with recency and with the scholarly weight of the venue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is a modest contribution by design, and the modesty is the point. The two empirical instruments that carry it are deterministic, auditable, and reproducible from workbooks embedded in the appendices. One is an ordinary least squares model of topic signal intensity across thirty retrieved records. The other is a log log learning curve model of citation accumulation by article age. Together they do not resolve the policy question of analyst reliability. They discipline it. They convert a broad intuition about a maturing field into a pair of estimates a reader can check, and they are honest about the places where the estimate returns nothing, because a result that returns nothing is itself evidence when it is reported rather than hidden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2"/>
    <w:bookmarkStart w:id="63" w:name="what-this-dissertation-does-not-claim"/>
    <w:p>
      <w:pPr>
        <w:pStyle w:val="Heading2"/>
        <w:spacing w:line="480" w:lineRule="auto"/>
      </w:pPr>
      <w:r>
        <w:t xml:space="preserve">What this dissertation does not claim</w:t>
      </w:r>
    </w:p>
    <w:p>
      <w:pPr>
        <w:pStyle w:val="FirstParagraph"/>
        <w:spacing w:line="480" w:lineRule="auto"/>
      </w:pPr>
      <w:r>
        <w:t xml:space="preserve">It is worth being blunt about the boundary. The list is short. This work does not estimate the accuracy of any operational reentry forecast. It does not compare institutions. It does not validate a propagation model against ground truth. Those are worthy projects, and the concluding chapter sketches how one might build them, but they are not this project. The design deliberately trades external scope for internal auditability. Every number reported in the results chapter can be traced back to a row in a comma separated file and a formula in a configuration. That traceability is the methodological commitment of the whole document. It is the reason the design uses local source records and embedded workbooks rather than a confident narrative synthesis whose inferential joints no reader could see.</w:t>
      </w:r>
    </w:p>
    <w:p>
      <w:pPr>
        <w:pStyle w:val="BodyText"/>
        <w:spacing w:line="480" w:lineRule="auto"/>
        <w:ind w:firstLine="720"/>
      </w:pPr>
      <w:r>
        <w:t xml:space="preserve">There is a second boundary worth naming early. The topic signal score is a proxy. It counts theme term hits in titles, snippets, keyword fields, and author metadata. It is not a measure of forecast quality, and no reader should mistake it for one. What it measures is whether the field that studies forecast quality has left a structured footprint in a body of retrievable records. That is a real and answerable question, and it is the only question the empirical chapters try to answer directly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3"/>
    <w:bookmarkStart w:id="64" w:name="roadmap"/>
    <w:p>
      <w:pPr>
        <w:pStyle w:val="Heading2"/>
        <w:spacing w:line="480" w:lineRule="auto"/>
      </w:pPr>
      <w:r>
        <w:t xml:space="preserve">Roadmap</w:t>
      </w:r>
    </w:p>
    <w:p>
      <w:pPr>
        <w:pStyle w:val="FirstParagraph"/>
        <w:spacing w:line="480" w:lineRule="auto"/>
      </w:pPr>
      <w:r>
        <w:t xml:space="preserve">The chapters proceed as a chain. Chapter two situates the project against the technical, forecasting, and governance literatures, drawing the boundary between what prior work has established about propagation and space weather and what remains unestablished about the calibration of the human forecasting layer</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Chapter three states the mechanism and the testable predictions, explaining why a maturing topic should leave a measurable trace in recency, attention, and venue structure. Chapter four presents the two estimators and argues why each identifies the quantity it targets, along with the conditions under which identification fails. Chapter five describes the dataset, the construction of every variable, the provenance of every row, and the sample size. Chapter six reports the estimator output exactly as the workbooks produce it and interprets the signs and magnitudes, including the coefficient that the second model cannot estimate. Chapter seven discusses what the findings mean, catalogs the threats to validity, and states plainly what the data cannot show. Chapter eight draws the contribution together, connects it to program and governance relevance, and lays out the direct forecast to outcome study that this design points toward.</w:t>
      </w:r>
    </w:p>
    <w:p>
      <w:pPr>
        <w:pStyle w:val="BodyText"/>
        <w:spacing w:line="480" w:lineRule="auto"/>
        <w:ind w:firstLine="720"/>
      </w:pPr>
      <w:r>
        <w:t xml:space="preserve">The argument is cumulative and the reader is invited to check it at every joint. That invitation is the spirit of the work. A field that wants to certify its forecasters should first be willing to have its own evidentiary habits inspected, and a dissertation that asks whether analysts are calibrated should hold itself to the same standard of calibration it demands of them. The chapters that follow try to earn that standard one estimate at a time, and they refuse to claim more than the thirty rows of data can carry.</w:t>
      </w:r>
    </w:p>
    <w:bookmarkEnd w:id="64"/>
    <w:bookmarkStart w:id="65" w:name="X4290faa87e1dd8cd03b0caf5f86221d85edd700"/>
    <w:p>
      <w:pPr>
        <w:pStyle w:val="Heading2"/>
        <w:spacing w:line="480" w:lineRule="auto"/>
      </w:pPr>
      <w:r>
        <w:t xml:space="preserve">Why calibration, and not accuracy, is the right question</w:t>
      </w:r>
    </w:p>
    <w:p>
      <w:pPr>
        <w:pStyle w:val="FirstParagraph"/>
        <w:spacing w:line="480" w:lineRule="auto"/>
      </w:pPr>
      <w:r>
        <w:t xml:space="preserve">It is worth pausing on a distinction that runs through the entire dissertation and that is easy to blur. Accuracy and calibration are not the same property, and a forecasting enterprise can excel at one while failing at the other. Accuracy asks whether the predicted reentry epoch lands near the true one. Calibration asks whether the uncertainty attached to that prediction is honest, whether an interval advertised as containing the truth ninety percent of the time actually does so ninety percent of the time. A forecaster can be accurate on average and badly overconfident, producing tight windows that miss more often than their stated confidence admits. A forecaster can also be inaccurate but well calibrated, producing wide windows that reliably contain the truth and that honestly signal how little is known. For the decision maker who must choose whether to close airspace, calibration is the more consequential of the two, because it is the property that determines whether the stated risk can be acted on at face value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distinction is why a study of the forecasting field cannot be replaced by a study of propagation accuracy. The propagation literature has made genuine progress on accuracy, and the surveys of machine learning in orbit estimation document that progress in detail</w:t>
      </w:r>
      <w:r>
        <w:t xml:space="preserve"> </w:t>
      </w:r>
      <w:hyperlink w:anchor="ref-15">
        <w:r>
          <w:rPr>
            <w:rStyle w:val="Hyperlink"/>
          </w:rPr>
          <w:t xml:space="preserve">[15]</w:t>
        </w:r>
      </w:hyperlink>
      <w:r>
        <w:t xml:space="preserve">. Calibration is a separate axis, and it is under studied precisely because it requires matching a run of probabilistic forecasts to their outcomes rather than benchmarking a single model against ground truth. The present dissertation does not close that gap either, because the operational forecast to outcome data it would need is not in hand. What it does is establish, on inspectable evidence, that the field which will eventually have to answer the calibration question has matured into a structured literature, which is the precondition for asking the question well.</w:t>
      </w:r>
    </w:p>
    <w:bookmarkEnd w:id="65"/>
    <w:bookmarkStart w:id="66" w:name="the-shape-of-the-evidence"/>
    <w:p>
      <w:pPr>
        <w:pStyle w:val="Heading2"/>
        <w:spacing w:line="480" w:lineRule="auto"/>
      </w:pPr>
      <w:r>
        <w:t xml:space="preserve">The shape of the evidence</w:t>
      </w:r>
    </w:p>
    <w:p>
      <w:pPr>
        <w:pStyle w:val="FirstParagraph"/>
        <w:spacing w:line="480" w:lineRule="auto"/>
      </w:pPr>
      <w:r>
        <w:t xml:space="preserve">A reader deserves an early, honest preview of what the evidence looks like, so that the results chapter delivers no surprises. The corpus is small and fully traceable: thirty records in each of two estimation files, spanning publication years from 2007 to 2026, each row labeled with the source it came from. The first instrument finds strong structure. Topic expression rises steeply and precisely with both recency and venue standing, and the model explains the great majority of the variation in the topic signal. The second instrument, and one coefficient in the first, find nothing, and they find nothing for a single, stated reason: the citation field in this corpus is empty for every record, so any relationship that routes through citation attention cannot be estimated. The dissertation reports that emptiness rather than hiding it, because a silence that is disclosed and explained is a finding, while a silence that is quietly dropped is a deception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split, strong where the data vary and silent where they do not, is the honest shape of the whole result, and it is visible from the first chapter deliberately. The design was built to make its own boundaries legible, and the introduction would betray that design if it promised a cleaner story than the data support. The reader should expect two precise, confirmed relationships and one clearly bounded non result, and should expect every one of those outcomes to be traceable to a row in a file and a formula in a configuration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6"/>
    <w:bookmarkStart w:id="67" w:name="X24801550462e496906fa785215d3eb4e9b0c9d5"/>
    <w:p>
      <w:pPr>
        <w:pStyle w:val="Heading2"/>
        <w:spacing w:line="480" w:lineRule="auto"/>
      </w:pPr>
      <w:r>
        <w:t xml:space="preserve">The intended audience and the intended use</w:t>
      </w:r>
    </w:p>
    <w:p>
      <w:pPr>
        <w:pStyle w:val="FirstParagraph"/>
        <w:spacing w:line="480" w:lineRule="auto"/>
      </w:pPr>
      <w:r>
        <w:t xml:space="preserve">This dissertation is written for two kinds of reader, and it tries to serve both without pandering to either. The first is the methodologist who wants to see whether a claim about a maturing field can be made auditable, and who will judge the work by whether its inferential joints hold. For that reader, the value is the protocol: the discipline of converting an intuition into variables, formulas, deterministic rows, and reproducible output, with every observation’s provenance preserved. The second is the program and governance practitioner who cares about reentry forecasting because it feeds real decisions about public safety, conjunction avoidance, and the certification of operators in an increasingly crowded orbital environment</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For that reader, the value is the boundary: a clear statement of what the retrievable evidence can and cannot support, so that no program builds a certification claim on data too thin to bear it.</w:t>
      </w:r>
    </w:p>
    <w:p>
      <w:pPr>
        <w:pStyle w:val="BodyText"/>
        <w:spacing w:line="480" w:lineRule="auto"/>
        <w:ind w:firstLine="720"/>
      </w:pPr>
      <w:r>
        <w:t xml:space="preserve">Neither reader is served by overreach, and the dissertation’s central editorial commitment is to refuse it. The strong findings are stated with the precision they earned, and not one word further. The silences are stated as silences, with their causes named and their remedies specified. Overreach is the enemy here. That commitment is what a study of calibration owes its own readers, and the chapters that follow try to honor it at every turn.</w:t>
      </w:r>
    </w:p>
    <w:bookmarkEnd w:id="67"/>
    <w:bookmarkStart w:id="68" w:name="X50f891b65c867ec12cfeef6aa1fa4a9e4b82b8f"/>
    <w:p>
      <w:pPr>
        <w:pStyle w:val="Heading2"/>
        <w:spacing w:line="480" w:lineRule="auto"/>
      </w:pPr>
      <w:r>
        <w:t xml:space="preserve">Situating the project in a crowded operational moment</w:t>
      </w:r>
    </w:p>
    <w:p>
      <w:pPr>
        <w:pStyle w:val="FirstParagraph"/>
        <w:spacing w:line="480" w:lineRule="auto"/>
      </w:pPr>
      <w:r>
        <w:t xml:space="preserve">The timing of this inquiry is not incidental. Low Earth orbit is more populated than at any point in its history, the cadence of launches has risen sharply, and the number of objects large enough to survive reentry grows year over year. Each of those trends raises the operational load on the forecasting enterprise, because more objects means more decay events, more decay events means more forecasts, and more forecasts means more occasions on which a miscalibrated prediction could translate into a wrong decision about public safety or airspace. The observational infrastructure has expanded to meet the demand, with ground based optical and laser networks and, increasingly, space based sensing that estimates trajectories where ground coverage is thin</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That infrastructure sharpens the inputs. It does not, on its own, close the question of whether the analysts who interpret those inputs report their confidence honestly.</w:t>
      </w:r>
    </w:p>
    <w:p>
      <w:pPr>
        <w:pStyle w:val="BodyText"/>
        <w:spacing w:line="480" w:lineRule="auto"/>
        <w:ind w:firstLine="720"/>
      </w:pPr>
      <w:r>
        <w:t xml:space="preserve">There is a further reason the moment matters. The governance architecture that will eventually supervise this activity is being built now, in real time, alongside the technical capability it is meant to oversee. Decision support systems for continuing supervision of in space operations are moving from proposal to prototype, sustainability indicators are being designed to shape operator behavior, and security strategies are beginning to treat the surveillance and prediction enterprise as a matter of national posture</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w:t>
      </w:r>
      <w:hyperlink w:anchor="ref-18">
        <w:r>
          <w:rPr>
            <w:rStyle w:val="Hyperlink"/>
          </w:rPr>
          <w:t xml:space="preserve">[18]</w:t>
        </w:r>
      </w:hyperlink>
      <w:r>
        <w:t xml:space="preserve">. Each of these institutions will, sooner or later, have to make or rely on a claim about forecast reliability. A field that has not audited its own evidentiary base cannot supply such a claim responsibly, and the present dissertation is an early, deliberate contribution to that auditing task.</w:t>
      </w:r>
    </w:p>
    <w:bookmarkEnd w:id="68"/>
    <w:bookmarkStart w:id="69" w:name="the-logic-of-a-small-traceable-corpus"/>
    <w:p>
      <w:pPr>
        <w:pStyle w:val="Heading2"/>
        <w:spacing w:line="480" w:lineRule="auto"/>
      </w:pPr>
      <w:r>
        <w:t xml:space="preserve">The logic of a small, traceable corpus</w:t>
      </w:r>
    </w:p>
    <w:p>
      <w:pPr>
        <w:pStyle w:val="FirstParagraph"/>
        <w:spacing w:line="480" w:lineRule="auto"/>
      </w:pPr>
      <w:r>
        <w:t xml:space="preserve">A methodological choice runs beneath the whole design and deserves a direct defense at the outset, because it will strike some readers as a limitation before they see it as a commitment. The study rests on a small corpus, thirty records per estimation file, each one traceable to a named source. The alternative, a large corpus assembled by broad automated retrieval, would multiply the observations at the cost of dissolving their provenance. On such a corpus, a reader who doubted a particular result could not inspect the individual records that produced it, and the central promise of the design, that every number traces to an inspectable source, would be forfeit. The choice of a small traceable corpus is therefore a choice of a particular kind of credibility: not the credibility of scale, which comes from large numbers, but the credibility of transparency, which comes from a reader’s ability to check each step.</w:t>
      </w:r>
    </w:p>
    <w:p>
      <w:pPr>
        <w:pStyle w:val="BodyText"/>
        <w:spacing w:line="480" w:lineRule="auto"/>
        <w:ind w:firstLine="720"/>
      </w:pPr>
      <w:r>
        <w:t xml:space="preserve">This choice has consequences the dissertation accepts openly. Statistical power is limited, elaborate alternative specifications are foreclosed, and the findings do not generalize beyond the retained records without further work. Against those costs sits a benefit that matters more for this project’s purpose. A design whose every joint can be inspected models exactly the evidentiary discipline the field will need when it turns to the harder question of operational calibration. It is difficult to argue that forecasters should report their confidence honestly while building the argument on evidence no reader can trace. The small corpus is, in that sense, a matter of consistency between the dissertation’s method and its message, and the reader should read the modest sample as a deliberate feature rather than as an accident of availability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9"/>
    <w:bookmarkEnd w:id="70"/>
    <w:bookmarkStart w:id="80" w:name="literature-review"/>
    <w:p>
      <w:pPr>
        <w:pStyle w:val="Heading1"/>
        <w:spacing w:line="480" w:lineRule="auto"/>
      </w:pPr>
      <w:r>
        <w:t xml:space="preserve">Literature Review</w:t>
      </w:r>
    </w:p>
    <w:p>
      <w:pPr>
        <w:pStyle w:val="FirstParagraph"/>
        <w:spacing w:line="480" w:lineRule="auto"/>
      </w:pPr>
      <w:r>
        <w:t xml:space="preserve">The scholarship relevant to this dissertation runs in three broad channels that rarely meet. The first is the physics and engineering of orbit propagation and reentry prediction. The second is the science of forecasting and calibration, developed largely outside the space domain but directly applicable to it. The third is the governance and sustainability literature that decides what forecasts are for and who is accountable for them. Reviewing all three matters, because the gap this project occupies sits precisely in the space between them, where a maturing technical field has not yet been subjected to a disciplined audit of its own predictive reliability.</w:t>
      </w:r>
    </w:p>
    <w:bookmarkStart w:id="71" w:name="X3f4b83c95442fdaa1afb938529079431779961a"/>
    <w:p>
      <w:pPr>
        <w:pStyle w:val="Heading2"/>
        <w:spacing w:line="480" w:lineRule="auto"/>
      </w:pPr>
      <w:r>
        <w:t xml:space="preserve">Propagation, reentry, and the machinery of prediction</w:t>
      </w:r>
    </w:p>
    <w:p>
      <w:pPr>
        <w:pStyle w:val="FirstParagraph"/>
        <w:spacing w:line="480" w:lineRule="auto"/>
      </w:pPr>
      <w:r>
        <w:t xml:space="preserve">Start with the machinery. It is old and hard. Reentry and decay prediction is a special case of orbit determination under drag, and the accuracy of any prediction is bounded by the accuracy with which the propagator represents the atmosphere. Semi empirical thermospheric models remain the workhorses, and the effort to improve them by dynamic calibration against observed density is a long standing research program</w:t>
      </w:r>
      <w:r>
        <w:t xml:space="preserve"> </w:t>
      </w:r>
      <w:hyperlink w:anchor="ref-8">
        <w:r>
          <w:rPr>
            <w:rStyle w:val="Hyperlink"/>
          </w:rPr>
          <w:t xml:space="preserve">[8]</w:t>
        </w:r>
      </w:hyperlink>
      <w:r>
        <w:t xml:space="preserve">. The difficulty is structural. Drag scales with density, density responds to solar and geomagnetic driving, and both drivers are themselves forecast quantities with their own error bars. A propagation that ignores this compounding will report an uncertainty window that is confidently wrong.</w:t>
      </w:r>
    </w:p>
    <w:p>
      <w:pPr>
        <w:pStyle w:val="BodyText"/>
        <w:spacing w:line="480" w:lineRule="auto"/>
        <w:ind w:firstLine="720"/>
      </w:pPr>
      <w:r>
        <w:t xml:space="preserve">Recent work has responded by making uncertainty a first class object in the propagation itself. Uncertainty aware artificial intelligence methods propagate a distribution rather than a single state, so that the output is a probability over reentry epochs rather than a false point</w:t>
      </w:r>
      <w:r>
        <w:t xml:space="preserve"> </w:t>
      </w:r>
      <w:hyperlink w:anchor="ref-6">
        <w:r>
          <w:rPr>
            <w:rStyle w:val="Hyperlink"/>
          </w:rPr>
          <w:t xml:space="preserve">[6]</w:t>
        </w:r>
      </w:hyperlink>
      <w:r>
        <w:t xml:space="preserve">. Surveys of machine learning in orbit estimation document a rapid migration of these techniques from research code into operational consideration, along with the recurring warning that a model can be accurate on average and badly calibrated in the tails</w:t>
      </w:r>
      <w:r>
        <w:t xml:space="preserve"> </w:t>
      </w:r>
      <w:hyperlink w:anchor="ref-15">
        <w:r>
          <w:rPr>
            <w:rStyle w:val="Hyperlink"/>
          </w:rPr>
          <w:t xml:space="preserve">[15]</w:t>
        </w:r>
      </w:hyperlink>
      <w:r>
        <w:t xml:space="preserve">. That warning is the hinge of the present dissertation. A propagator that is accurate on average but overconfident about its own precision will produce exactly the kind of miscalibrated forecast that harms decision making, and detecting that failure requires a calibration audit, not an accuracy audit.</w:t>
      </w:r>
    </w:p>
    <w:p>
      <w:pPr>
        <w:pStyle w:val="BodyText"/>
        <w:spacing w:line="480" w:lineRule="auto"/>
        <w:ind w:firstLine="720"/>
      </w:pPr>
      <w:r>
        <w:t xml:space="preserve">The observational layer feeds the same machinery. Reentry forecasting improves when observations from heterogeneous sensors are combined, and the European effort to fuse tracking data for reentry purposes is a direct example of that combination in practice</w:t>
      </w:r>
      <w:r>
        <w:t xml:space="preserve"> </w:t>
      </w:r>
      <w:hyperlink w:anchor="ref-5">
        <w:r>
          <w:rPr>
            <w:rStyle w:val="Hyperlink"/>
          </w:rPr>
          <w:t xml:space="preserve">[5]</w:t>
        </w:r>
      </w:hyperlink>
      <w:r>
        <w:t xml:space="preserve">. Optical and laser surveillance networks supply the astrometry, and the architectures for coordinating them across a space surveillance and tracking system have been designed explicitly to support this kind of downstream prediction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Space based sensing extends the same logic off the ground, using vision sensors and track based fusion to estimate debris trajectories where ground coverage is thin</w:t>
      </w:r>
      <w:r>
        <w:t xml:space="preserve"> </w:t>
      </w:r>
      <w:hyperlink w:anchor="ref-14">
        <w:r>
          <w:rPr>
            <w:rStyle w:val="Hyperlink"/>
          </w:rPr>
          <w:t xml:space="preserve">[14]</w:t>
        </w:r>
      </w:hyperlink>
      <w:r>
        <w:t xml:space="preserve">. Each of these advances tightens the input to the forecast. The inputs keep improving. None of them closes the question of whether the analyst who reads the forecast reports its confidence honestly.</w:t>
      </w:r>
    </w:p>
    <w:bookmarkEnd w:id="71"/>
    <w:bookmarkStart w:id="72" w:name="Xe21dc4c65abf878f39584335d7822057a959423"/>
    <w:p>
      <w:pPr>
        <w:pStyle w:val="Heading2"/>
        <w:spacing w:line="480" w:lineRule="auto"/>
      </w:pPr>
      <w:r>
        <w:t xml:space="preserve">Forecasting, calibration, and space weather</w:t>
      </w:r>
    </w:p>
    <w:p>
      <w:pPr>
        <w:pStyle w:val="FirstParagraph"/>
        <w:spacing w:line="480" w:lineRule="auto"/>
      </w:pPr>
      <w:r>
        <w:t xml:space="preserve">The second channel is the science of forecasting itself. Calibration lives here. Calibration is a well developed concept: a set of probabilistic forecasts is calibrated when events assigned probability p occur a fraction p of the time, and the standard diagnostics, reliability diagrams and proper scoring rules, are designed to expose departures from that ideal. This vocabulary was imported into the space domain through the recognition that reentry prediction is fundamentally a probabilistic exercise, and that the community’s habit of reporting single epoch estimates obscures the underlying distribution</w:t>
      </w:r>
      <w:r>
        <w:t xml:space="preserve"> </w:t>
      </w:r>
      <w:hyperlink w:anchor="ref-2">
        <w:r>
          <w:rPr>
            <w:rStyle w:val="Hyperlink"/>
          </w:rPr>
          <w:t xml:space="preserve">[2]</w:t>
        </w:r>
      </w:hyperlink>
      <w:r>
        <w:t xml:space="preserve">.</w:t>
      </w:r>
    </w:p>
    <w:p>
      <w:pPr>
        <w:pStyle w:val="BodyText"/>
        <w:spacing w:line="480" w:lineRule="auto"/>
        <w:ind w:firstLine="720"/>
      </w:pPr>
      <w:r>
        <w:t xml:space="preserve">Space weather is where calibration bites hardest, because it is the upstream driver whose errors dominate. Deep learning approaches to solar radio flux forecasting have improved lead times for the very index that thermospheric models consume</w:t>
      </w:r>
      <w:r>
        <w:t xml:space="preserve"> </w:t>
      </w:r>
      <w:hyperlink w:anchor="ref-13">
        <w:r>
          <w:rPr>
            <w:rStyle w:val="Hyperlink"/>
          </w:rPr>
          <w:t xml:space="preserve">[13]</w:t>
        </w:r>
      </w:hyperlink>
      <w:r>
        <w:t xml:space="preserve">. Foundation model methods now fuse diverse data streams to forecast space weather more broadly, and neural augmentation has been applied specifically to propagate space weather uncertainty into conjunction analysis, which is the sibling problem to reentry</w:t>
      </w:r>
      <w:r>
        <w:t xml:space="preserve"> </w:t>
      </w:r>
      <w:hyperlink w:anchor="ref-7">
        <w:r>
          <w:rPr>
            <w:rStyle w:val="Hyperlink"/>
          </w:rPr>
          <w:t xml:space="preserve">[7]</w:t>
        </w:r>
      </w:hyperlink>
      <w:r>
        <w:t xml:space="preserve"> </w:t>
      </w:r>
      <w:hyperlink w:anchor="ref-12">
        <w:r>
          <w:rPr>
            <w:rStyle w:val="Hyperlink"/>
          </w:rPr>
          <w:t xml:space="preserve">[12]</w:t>
        </w:r>
      </w:hyperlink>
      <w:r>
        <w:t xml:space="preserve">. The lesson these papers share is that better mean forecasts do not automatically produce better calibrated forecasts, and that quantifying uncertainty is a distinct research task from reducing it. A field can lower its average error while leaving its confidence intervals dishonest, and only a calibration study will catch that. Accuracy is not honesty.</w:t>
      </w:r>
    </w:p>
    <w:p>
      <w:pPr>
        <w:pStyle w:val="BodyText"/>
        <w:spacing w:line="480" w:lineRule="auto"/>
        <w:ind w:firstLine="720"/>
      </w:pPr>
      <w:r>
        <w:t xml:space="preserve">There is an adjacent methodological literature on classifying and characterizing objects from sparse, irregular observations, where recurrent autoencoders have been used to infer spin stability from undersampled light curves</w:t>
      </w:r>
      <w:r>
        <w:t xml:space="preserve"> </w:t>
      </w:r>
      <w:hyperlink w:anchor="ref-9">
        <w:r>
          <w:rPr>
            <w:rStyle w:val="Hyperlink"/>
          </w:rPr>
          <w:t xml:space="preserve">[9]</w:t>
        </w:r>
      </w:hyperlink>
      <w:r>
        <w:t xml:space="preserve">. It belongs in this review because it demonstrates the same tension in a neighboring task: the model must express appropriate uncertainty about a state it can only partially observe, and its usefulness depends on whether that expressed uncertainty is trustworthy.</w:t>
      </w:r>
    </w:p>
    <w:bookmarkEnd w:id="72"/>
    <w:bookmarkStart w:id="73" w:name="Xb995196b15c6d8ae51d5a3d72a9d2c61f4b4de9"/>
    <w:p>
      <w:pPr>
        <w:pStyle w:val="Heading2"/>
        <w:spacing w:line="480" w:lineRule="auto"/>
      </w:pPr>
      <w:r>
        <w:t xml:space="preserve">Governance, sustainability, and accountability for forecasts</w:t>
      </w:r>
    </w:p>
    <w:p>
      <w:pPr>
        <w:pStyle w:val="FirstParagraph"/>
        <w:spacing w:line="480" w:lineRule="auto"/>
      </w:pPr>
      <w:r>
        <w:t xml:space="preserve">The third channel asks what the forecasts are for. Decisions ride on them. Reentry and decay predictions are inputs to public safety decisions, to conjunction avoidance, and increasingly to commercial and regulatory judgments about who may operate where. The sustainability literature has begun to build composite indicators that reward operators for behavior consistent with a durable orbital environment, and those indicators depend on trustworthy underlying data about object behavior</w:t>
      </w:r>
      <w:r>
        <w:t xml:space="preserve"> </w:t>
      </w:r>
      <w:hyperlink w:anchor="ref-17">
        <w:r>
          <w:rPr>
            <w:rStyle w:val="Hyperlink"/>
          </w:rPr>
          <w:t xml:space="preserve">[17]</w:t>
        </w:r>
      </w:hyperlink>
      <w:r>
        <w:t xml:space="preserve">. Decision support systems for the continuing supervision of in space servicing make the same demand: a regulator cannot supervise what it cannot forecast, and it cannot rely on a forecast whose calibration is unknown</w:t>
      </w:r>
      <w:r>
        <w:t xml:space="preserve"> </w:t>
      </w:r>
      <w:hyperlink w:anchor="ref-16">
        <w:r>
          <w:rPr>
            <w:rStyle w:val="Hyperlink"/>
          </w:rPr>
          <w:t xml:space="preserve">[16]</w:t>
        </w:r>
      </w:hyperlink>
      <w:r>
        <w:t xml:space="preserve">.</w:t>
      </w:r>
    </w:p>
    <w:p>
      <w:pPr>
        <w:pStyle w:val="BodyText"/>
        <w:spacing w:line="480" w:lineRule="auto"/>
        <w:ind w:firstLine="720"/>
      </w:pPr>
      <w:r>
        <w:t xml:space="preserve">Security framings raise the stakes again. As states articulate defense and security strategies for space and ground systems against hybrid threats, the reliability of the surveillance and prediction enterprise becomes a matter of national posture, not merely of scientific interest</w:t>
      </w:r>
      <w:r>
        <w:t xml:space="preserve"> </w:t>
      </w:r>
      <w:hyperlink w:anchor="ref-18">
        <w:r>
          <w:rPr>
            <w:rStyle w:val="Hyperlink"/>
          </w:rPr>
          <w:t xml:space="preserve">[18]</w:t>
        </w:r>
      </w:hyperlink>
      <w:r>
        <w:t xml:space="preserve">. The community that formalized space situational awareness as a research field, through venues such as the International Academy of Astronautics conference series, did so in part to create a durable institutional home for exactly these cross cutting questions</w:t>
      </w:r>
      <w:r>
        <w:t xml:space="preserve"> </w:t>
      </w:r>
      <w:hyperlink w:anchor="ref-19">
        <w:r>
          <w:rPr>
            <w:rStyle w:val="Hyperlink"/>
          </w:rPr>
          <w:t xml:space="preserve">[19]</w:t>
        </w:r>
      </w:hyperlink>
      <w:r>
        <w:t xml:space="preserve">. Mission level work on precise in orbit collision prediction and environment surveillance shows the operational end of the same chain, where a forecast is not a paper result but a signal that triggers a maneuver or a warning</w:t>
      </w:r>
      <w:r>
        <w:t xml:space="preserve"> </w:t>
      </w:r>
      <w:hyperlink w:anchor="ref-20">
        <w:r>
          <w:rPr>
            <w:rStyle w:val="Hyperlink"/>
          </w:rPr>
          <w:t xml:space="preserve">[20]</w:t>
        </w:r>
      </w:hyperlink>
      <w:r>
        <w:t xml:space="preserve">.</w:t>
      </w:r>
    </w:p>
    <w:bookmarkEnd w:id="73"/>
    <w:bookmarkStart w:id="74" w:name="the-gap"/>
    <w:p>
      <w:pPr>
        <w:pStyle w:val="Heading2"/>
        <w:spacing w:line="480" w:lineRule="auto"/>
      </w:pPr>
      <w:r>
        <w:t xml:space="preserve">The gap</w:t>
      </w:r>
    </w:p>
    <w:p>
      <w:pPr>
        <w:pStyle w:val="FirstParagraph"/>
        <w:spacing w:line="480" w:lineRule="auto"/>
      </w:pPr>
      <w:r>
        <w:t xml:space="preserve">Two gaps emerge from this review. The dissertation sits in the seam between them. The first is between technical prediction and institutional explanation. The engineering literature can quantify how a propagator behaves, and the forecasting literature can define what calibration means, but neither explains why the institutional field that studies analyst reliability has developed as it has, nor whether it has developed enough to support a claim about that reliability</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gap is between policy salience and measurement. It is easy to assert that reentry forecasting has become an important field. It is harder to show that the assertion is grounded in a structured body of evidence rather than in recency of concern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dissertation does not try to close both gaps with narrative. It converts the second one into a measurement problem. If the field of calibration and reentry forecasting has genuinely matured, that maturation should be visible in the metadata of the records that constitute it: newer records should carry a stronger topic signal, scholarly venues should carry a heavier signal than adjacency compilations, and the pattern should be statistically distinguishable from noise. The two empirical instruments described in the chapters that follow test exactly that proposition, and they do so on a corpus whose every row is traceable to a source. The review has established that the technical and governance stakes are real; the remaining chapters ask whether the evidentiary base beneath them is structured enough to bear weight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74"/>
    <w:bookmarkStart w:id="75" w:name="X6eb88cc30f751014e39f7104c30385f92e78e7d"/>
    <w:p>
      <w:pPr>
        <w:pStyle w:val="Heading2"/>
        <w:spacing w:line="480" w:lineRule="auto"/>
      </w:pPr>
      <w:r>
        <w:t xml:space="preserve">How the three channels have actually developed</w:t>
      </w:r>
    </w:p>
    <w:p>
      <w:pPr>
        <w:pStyle w:val="FirstParagraph"/>
        <w:spacing w:line="480" w:lineRule="auto"/>
      </w:pPr>
      <w:r>
        <w:t xml:space="preserve">It helps to trace how each of the three literatures has moved over the span the corpus covers, because that movement is what the topic signal is meant to detect. The propagation channel is the oldest. Efforts to calibrate thermospheric density models against observation date back well over a decade, and the basis function improvements documented in that work established that the atmosphere could be represented well enough for useful prediction, provided the driving indices were known</w:t>
      </w:r>
      <w:r>
        <w:t xml:space="preserve"> </w:t>
      </w:r>
      <w:hyperlink w:anchor="ref-8">
        <w:r>
          <w:rPr>
            <w:rStyle w:val="Hyperlink"/>
          </w:rPr>
          <w:t xml:space="preserve">[8]</w:t>
        </w:r>
      </w:hyperlink>
      <w:r>
        <w:t xml:space="preserve">. The problem was never that the physics was intractable; it was that the physics depended on inputs that were themselves forecast. That dependency set the agenda for everything that followed, because it meant the reentry prediction problem could not be solved on the propagation side alone.</w:t>
      </w:r>
    </w:p>
    <w:p>
      <w:pPr>
        <w:pStyle w:val="BodyText"/>
        <w:spacing w:line="480" w:lineRule="auto"/>
        <w:ind w:firstLine="720"/>
      </w:pPr>
      <w:r>
        <w:t xml:space="preserve">The forecasting channel matured later and faster. The recognition that reentry prediction is inherently probabilistic, and that the community’s habit of reporting single epoch estimates hid the true distribution, reframed the task from one of point prediction to one of uncertainty quantification</w:t>
      </w:r>
      <w:r>
        <w:t xml:space="preserve"> </w:t>
      </w:r>
      <w:hyperlink w:anchor="ref-2">
        <w:r>
          <w:rPr>
            <w:rStyle w:val="Hyperlink"/>
          </w:rPr>
          <w:t xml:space="preserve">[2]</w:t>
        </w:r>
      </w:hyperlink>
      <w:r>
        <w:t xml:space="preserve">. That reframing coincided with the arrival of methods capable of carrying a distribution through the dynamics, so that the theoretical demand for probabilistic forecasts met a computational supply able to produce them</w:t>
      </w:r>
      <w:r>
        <w:t xml:space="preserve"> </w:t>
      </w:r>
      <w:hyperlink w:anchor="ref-6">
        <w:r>
          <w:rPr>
            <w:rStyle w:val="Hyperlink"/>
          </w:rPr>
          <w:t xml:space="preserve">[6]</w:t>
        </w:r>
      </w:hyperlink>
      <w:r>
        <w:t xml:space="preserve">. The space weather subfield, the upstream driver, moved in parallel: deep learning approaches to solar radio flux forecasting improved the very indices the propagators consume, and foundation model methods began to fuse diverse data streams into broader space weather forecasts</w:t>
      </w:r>
      <w:r>
        <w:t xml:space="preserve"> </w:t>
      </w:r>
      <w:hyperlink w:anchor="ref-13">
        <w:r>
          <w:rPr>
            <w:rStyle w:val="Hyperlink"/>
          </w:rPr>
          <w:t xml:space="preserve">[13]</w:t>
        </w:r>
      </w:hyperlink>
      <w:r>
        <w:t xml:space="preserve"> </w:t>
      </w:r>
      <w:hyperlink w:anchor="ref-12">
        <w:r>
          <w:rPr>
            <w:rStyle w:val="Hyperlink"/>
          </w:rPr>
          <w:t xml:space="preserve">[12]</w:t>
        </w:r>
      </w:hyperlink>
      <w:r>
        <w:t xml:space="preserve">. The application of neural augmentation to propagate space weather uncertainty into conjunction analysis showed that the community had begun to treat uncertainty propagation, not just uncertainty reduction, as a first order research goal</w:t>
      </w:r>
      <w:r>
        <w:t xml:space="preserve"> </w:t>
      </w:r>
      <w:hyperlink w:anchor="ref-7">
        <w:r>
          <w:rPr>
            <w:rStyle w:val="Hyperlink"/>
          </w:rPr>
          <w:t xml:space="preserve">[7]</w:t>
        </w:r>
      </w:hyperlink>
      <w:r>
        <w:t xml:space="preserve">.</w:t>
      </w:r>
    </w:p>
    <w:p>
      <w:pPr>
        <w:pStyle w:val="BodyText"/>
        <w:spacing w:line="480" w:lineRule="auto"/>
        <w:ind w:firstLine="720"/>
      </w:pPr>
      <w:r>
        <w:t xml:space="preserve">The governance channel is the youngest and the least settled. Composite sustainability indicators that reward responsible operator behavior are recent constructions, and they depend on trustworthy underlying data, which makes forecast calibration a live governance concern rather than a purely technical one</w:t>
      </w:r>
      <w:r>
        <w:t xml:space="preserve"> </w:t>
      </w:r>
      <w:hyperlink w:anchor="ref-17">
        <w:r>
          <w:rPr>
            <w:rStyle w:val="Hyperlink"/>
          </w:rPr>
          <w:t xml:space="preserve">[17]</w:t>
        </w:r>
      </w:hyperlink>
      <w:r>
        <w:t xml:space="preserve">. Decision support systems for supervising in space servicing formalize the regulator’s dependence on forecasts, and mission level collision prediction systems show the operational end of the same dependence</w:t>
      </w:r>
      <w:r>
        <w:t xml:space="preserve"> </w:t>
      </w:r>
      <w:hyperlink w:anchor="ref-16">
        <w:r>
          <w:rPr>
            <w:rStyle w:val="Hyperlink"/>
          </w:rPr>
          <w:t xml:space="preserve">[16]</w:t>
        </w:r>
      </w:hyperlink>
      <w:r>
        <w:t xml:space="preserve"> </w:t>
      </w:r>
      <w:hyperlink w:anchor="ref-20">
        <w:r>
          <w:rPr>
            <w:rStyle w:val="Hyperlink"/>
          </w:rPr>
          <w:t xml:space="preserve">[20]</w:t>
        </w:r>
      </w:hyperlink>
      <w:r>
        <w:t xml:space="preserve">. The security framings that treat surveillance and prediction as national posture are newer still, arriving as states articulate strategies against hybrid threats to space and ground systems</w:t>
      </w:r>
      <w:r>
        <w:t xml:space="preserve"> </w:t>
      </w:r>
      <w:hyperlink w:anchor="ref-18">
        <w:r>
          <w:rPr>
            <w:rStyle w:val="Hyperlink"/>
          </w:rPr>
          <w:t xml:space="preserve">[18]</w:t>
        </w:r>
      </w:hyperlink>
      <w:r>
        <w:t xml:space="preserve">. Each of these developments is recent, which is exactly why a maturation signal, if the field has genuinely cohered, should show up as a rise in topic expression among the newest records.</w:t>
      </w:r>
    </w:p>
    <w:bookmarkEnd w:id="75"/>
    <w:bookmarkStart w:id="76" w:name="X97949db75df5d4e6b2b3275548730d264db34f1"/>
    <w:p>
      <w:pPr>
        <w:pStyle w:val="Heading2"/>
        <w:spacing w:line="480" w:lineRule="auto"/>
      </w:pPr>
      <w:r>
        <w:t xml:space="preserve">What a topic signal can and cannot detect in this literature</w:t>
      </w:r>
    </w:p>
    <w:p>
      <w:pPr>
        <w:pStyle w:val="FirstParagraph"/>
        <w:spacing w:line="480" w:lineRule="auto"/>
      </w:pPr>
      <w:r>
        <w:t xml:space="preserve">The review would be incomplete without stating what the measurement approach can see. A topic signal built from metadata detects the density with which a record speaks the field’s vocabulary. It is sensitive to convergence: as a field settles on shared terms, its records use those terms more consistently, and the signal rises. It is sensitive to venue concentration: as a field builds dedicated outlets, its strongest expressions cluster in those outlets, and the venue channel carries information. What it cannot see is quality, novelty, or influence in any deep sense. A record that saturates its metadata with the right words scores high whether or not it advances the field, and a foundational contribution with terse metadata scores low. The review’s survey of the technical literature makes this limitation concrete: the uncertainty aware propagation and orbit estimation work is genuinely foundational, yet its metadata footprint in a small retrieved corpus need not reflect that standing</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This is why the dissertation treats the topic signal as a proxy for topic expression and nothing more, and why the review is careful to establish the substantive stakes independently of the measurement. The stakes come from the propagation, forecasting, and governance literatures reviewed above, which establish that reentry calibration is a real and consequential problem</w:t>
      </w:r>
      <w:r>
        <w:t xml:space="preserve"> </w:t>
      </w:r>
      <w:hyperlink w:anchor="ref-8">
        <w:r>
          <w:rPr>
            <w:rStyle w:val="Hyperlink"/>
          </w:rPr>
          <w:t xml:space="preserve">[8]</w:t>
        </w:r>
      </w:hyperlink>
      <w:r>
        <w:t xml:space="preserve"> </w:t>
      </w:r>
      <w:hyperlink w:anchor="ref-2">
        <w:r>
          <w:rPr>
            <w:rStyle w:val="Hyperlink"/>
          </w:rPr>
          <w:t xml:space="preserve">[2]</w:t>
        </w:r>
      </w:hyperlink>
      <w:r>
        <w:t xml:space="preserve"> </w:t>
      </w:r>
      <w:hyperlink w:anchor="ref-18">
        <w:r>
          <w:rPr>
            <w:rStyle w:val="Hyperlink"/>
          </w:rPr>
          <w:t xml:space="preserve">[18]</w:t>
        </w:r>
      </w:hyperlink>
      <w:r>
        <w:t xml:space="preserve">. The measurement asks only whether the field studying that problem has left a structured footprint, and it is honest about the difference between a footprint and an achievement. The chapters that follow keep that separation intact, so that a strong measurement result is never mistaken for a substantive verdict on analyst reliability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6"/>
    <w:bookmarkStart w:id="77" w:name="Xf8f9b98fc78066be129c3d9760242de5d709048"/>
    <w:p>
      <w:pPr>
        <w:pStyle w:val="Heading2"/>
        <w:spacing w:line="480" w:lineRule="auto"/>
      </w:pPr>
      <w:r>
        <w:t xml:space="preserve">The observational and fusion literature as context</w:t>
      </w:r>
    </w:p>
    <w:p>
      <w:pPr>
        <w:pStyle w:val="FirstParagraph"/>
        <w:spacing w:line="480" w:lineRule="auto"/>
      </w:pPr>
      <w:r>
        <w:t xml:space="preserve">One further strand belongs in this review because it defines the quality of the inputs the forecasting enterprise consumes. Reentry prediction is only as good as the tracking that feeds it, and a substantial literature addresses how observations from heterogeneous sensors are combined to sharpen the state estimate before any prediction is made. The European effort to combine observations specifically for reentry purposes is a direct instance, demonstrating that fused tracking data tightens the reentry window in practice</w:t>
      </w:r>
      <w:r>
        <w:t xml:space="preserve"> </w:t>
      </w:r>
      <w:hyperlink w:anchor="ref-5">
        <w:r>
          <w:rPr>
            <w:rStyle w:val="Hyperlink"/>
          </w:rPr>
          <w:t xml:space="preserve">[5]</w:t>
        </w:r>
      </w:hyperlink>
      <w:r>
        <w:t xml:space="preserve">. Architectures for coordinating optical and laser observations across a surveillance and tracking system were designed with exactly this downstream use in mind, and the coordinated optical surveys that preceded operational services showed that the observational base could be built cooperatively across institutions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Space based sensing extends the same logic beyond the ground, using vision sensors and track based fusion to estimate debris trajectories in regimes where ground coverage is sparse</w:t>
      </w:r>
      <w:r>
        <w:t xml:space="preserve"> </w:t>
      </w:r>
      <w:hyperlink w:anchor="ref-14">
        <w:r>
          <w:rPr>
            <w:rStyle w:val="Hyperlink"/>
          </w:rPr>
          <w:t xml:space="preserve">[14]</w:t>
        </w:r>
      </w:hyperlink>
      <w:r>
        <w:t xml:space="preserve">.</w:t>
      </w:r>
    </w:p>
    <w:p>
      <w:pPr>
        <w:pStyle w:val="BodyText"/>
        <w:spacing w:line="480" w:lineRule="auto"/>
        <w:ind w:firstLine="720"/>
      </w:pPr>
      <w:r>
        <w:t xml:space="preserve">This strand matters to the present study for a subtle reason. It establishes that the input quality to reentry forecasts has been improving steadily, which means that any residual miscalibration in the forecasts cannot be attributed solely to poor observations. If the tracking is good and the forecasts are still overconfident, the failure lives in the propagation, the uncertainty quantification, or the human interpretation layer, and isolating which of those is responsible is precisely the kind of question a mature calibration study would pose. The observational literature thus sharpens the motivation for the present inquiry by ruling out the easy explanation, and it reinforces the claim that the interesting question is about the forecasting system as a whole rather than about any single input to it.</w:t>
      </w:r>
    </w:p>
    <w:bookmarkEnd w:id="77"/>
    <w:bookmarkStart w:id="78" w:name="X85f2289a1707f3cbcb6363ece7621d18851822e"/>
    <w:p>
      <w:pPr>
        <w:pStyle w:val="Heading2"/>
        <w:spacing w:line="480" w:lineRule="auto"/>
      </w:pPr>
      <w:r>
        <w:t xml:space="preserve">Characterization under sparse observation</w:t>
      </w:r>
    </w:p>
    <w:p>
      <w:pPr>
        <w:pStyle w:val="FirstParagraph"/>
        <w:spacing w:line="480" w:lineRule="auto"/>
      </w:pPr>
      <w:r>
        <w:t xml:space="preserve">A related methodological literature deals with inferring object properties from sparse, irregularly sampled data, and it earns a place here because it exhibits the same calibration tension in a neighboring task. Recurrent neural network autoencoders have been applied to classify spin stability from undersampled light curves, a problem in which the model must express appropriate uncertainty about a state it can observe only partially</w:t>
      </w:r>
      <w:r>
        <w:t xml:space="preserve"> </w:t>
      </w:r>
      <w:hyperlink w:anchor="ref-9">
        <w:r>
          <w:rPr>
            <w:rStyle w:val="Hyperlink"/>
          </w:rPr>
          <w:t xml:space="preserve">[9]</w:t>
        </w:r>
      </w:hyperlink>
      <w:r>
        <w:t xml:space="preserve">. The parallel to reentry forecasting is direct: in both cases a model infers a consequential property from incomplete information, and in both cases its practical usefulness depends not merely on being right on average but on being honest about how uncertain it is. A spin classifier that is overconfident on ambiguous light curves misleads its user in the same way a reentry forecaster overconfident about a decay window misleads a decision maker.</w:t>
      </w:r>
    </w:p>
    <w:p>
      <w:pPr>
        <w:pStyle w:val="BodyText"/>
        <w:spacing w:line="480" w:lineRule="auto"/>
        <w:ind w:firstLine="720"/>
      </w:pPr>
      <w:r>
        <w:t xml:space="preserve">Reviewing this adjacent work establishes that calibration is not a peculiarity of reentry prediction but a general demand across the characterization and forecasting tasks that space situational awareness comprises. The field has begun, in scattered places, to take that demand seriously, developing methods that carry and quantify uncertainty rather than collapsing it into a point</w:t>
      </w:r>
      <w:r>
        <w:t xml:space="preserve"> </w:t>
      </w:r>
      <w:hyperlink w:anchor="ref-6">
        <w:r>
          <w:rPr>
            <w:rStyle w:val="Hyperlink"/>
          </w:rPr>
          <w:t xml:space="preserve">[6]</w:t>
        </w:r>
      </w:hyperlink>
      <w:r>
        <w:t xml:space="preserve"> </w:t>
      </w:r>
      <w:hyperlink w:anchor="ref-7">
        <w:r>
          <w:rPr>
            <w:rStyle w:val="Hyperlink"/>
          </w:rPr>
          <w:t xml:space="preserve">[7]</w:t>
        </w:r>
      </w:hyperlink>
      <w:r>
        <w:t xml:space="preserve">. What the field has not yet done, and what the present dissertation positions itself against, is subject its own evidentiary base to a disciplined audit of whether that developing seriousness has cohered into a structured literature. The review has now traced the technical, forecasting, observational, characterization, and governance strands; the gap between all of them and a measured account of the field’s maturation is the space the remaining chapters occupy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78"/>
    <w:bookmarkStart w:id="79" w:name="X29a9d16d6aeee2d0e7bafa5b8db2d3f2ef349f4"/>
    <w:p>
      <w:pPr>
        <w:pStyle w:val="Heading2"/>
        <w:spacing w:line="480" w:lineRule="auto"/>
      </w:pPr>
      <w:r>
        <w:t xml:space="preserve">What a bibliometric view adds to a technical field</w:t>
      </w:r>
    </w:p>
    <w:p>
      <w:pPr>
        <w:pStyle w:val="FirstParagraph"/>
        <w:spacing w:line="480" w:lineRule="auto"/>
      </w:pPr>
      <w:r>
        <w:t xml:space="preserve">There is a methodological objection worth answering directly, since it will occur to a technically minded reader. Why examine a forecasting field through the metadata of its literature at all, when the substance of the field lives in its equations and its data. The answer is that a bibliometric view does not compete with the technical content; it measures a different thing, namely the degree to which a community has organized itself around a problem. A field can hold sophisticated methods while remaining institutionally scattered, and it can be institutionally coherent while its methods are still immature. The recency and venue structure of a literature speaks to the organizational question, whether the community has converged on shared vocabulary and built dedicated outlets, and that question is genuinely separate from whether the community’s forecasts are any good</w:t>
      </w:r>
      <w:r>
        <w:t xml:space="preserve"> </w:t>
      </w:r>
      <w:hyperlink w:anchor="ref-19">
        <w:r>
          <w:rPr>
            <w:rStyle w:val="Hyperlink"/>
          </w:rPr>
          <w:t xml:space="preserve">[19]</w:t>
        </w:r>
      </w:hyperlink>
      <w:r>
        <w:t xml:space="preserve">.</w:t>
      </w:r>
    </w:p>
    <w:p>
      <w:pPr>
        <w:pStyle w:val="BodyText"/>
        <w:spacing w:line="480" w:lineRule="auto"/>
        <w:ind w:firstLine="720"/>
      </w:pPr>
      <w:r>
        <w:t xml:space="preserve">For a field on the cusp of certification demands, the organizational question is not idle. A regulator asking whether reentry forecasting is ready to be certified needs to know both whether the methods are sound and whether there exists a coherent community capable of maintaining standards, reviewing claims, and accumulating knowledge. The bibliometric view addresses the second half of that pair, and the review’s survey of the technical strands addresses the first. Neither substitutes for the other, and the present dissertation is deliberate about examining only the organizational half, leaving the methodological assessment to the technical literature it has reviewed. The two together would give a regulator a fuller picture than either alone, which is one reason the organizational audit is worth conducting even though it cannot, by itself, certify a single forecast</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w:t>
      </w:r>
      <w:hyperlink w:anchor="ref-18">
        <w:r>
          <w:rPr>
            <w:rStyle w:val="Hyperlink"/>
          </w:rPr>
          <w:t xml:space="preserve">[18]</w:t>
        </w:r>
      </w:hyperlink>
      <w:r>
        <w:t xml:space="preserve">.</w:t>
      </w:r>
    </w:p>
    <w:bookmarkEnd w:id="79"/>
    <w:bookmarkEnd w:id="80"/>
    <w:bookmarkStart w:id="92" w:name="theory-and-hypotheses"/>
    <w:p>
      <w:pPr>
        <w:pStyle w:val="Heading1"/>
        <w:spacing w:line="480" w:lineRule="auto"/>
      </w:pPr>
      <w:r>
        <w:t xml:space="preserve">Theory and Hypotheses</w:t>
      </w:r>
    </w:p>
    <w:p>
      <w:pPr>
        <w:pStyle w:val="FirstParagraph"/>
        <w:spacing w:line="480" w:lineRule="auto"/>
      </w:pPr>
      <w:r>
        <w:t xml:space="preserve">Theory in this dissertation does a specific and limited job. It supplies a reason to expect that a maturing research field leaves a measurable trace in the metadata of its own literature, and it says what each kind of trace would mean if we found it. The theory is not a theory of atmospheric drag, nor of institutional behavior, nor of analyst psychology. It is a theory of visibility: the proposition that when a topic becomes consequential, the records that document it acquire structure, and that structure is detectable in observable fields such as publication year, citation attention, and venue family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81" w:name="the-mechanism"/>
    <w:p>
      <w:pPr>
        <w:pStyle w:val="Heading2"/>
        <w:spacing w:line="480" w:lineRule="auto"/>
      </w:pPr>
      <w:r>
        <w:t xml:space="preserve">The mechanism</w:t>
      </w:r>
    </w:p>
    <w:p>
      <w:pPr>
        <w:pStyle w:val="FirstParagraph"/>
        <w:spacing w:line="480" w:lineRule="auto"/>
      </w:pPr>
      <w:r>
        <w:t xml:space="preserve">The mechanism is a maturation process. Fields grow, and their records change as they grow. Consider a topic, calibration and reentry forecasting, that begins as a scattered concern raised in a handful of technical papers. As operational events accumulate and as governance demands sharpen, more researchers write about it, they write about it in more central venues, and they build on one another’s work. Three consequences follow, and each is observable.</w:t>
      </w:r>
    </w:p>
    <w:p>
      <w:pPr>
        <w:pStyle w:val="BodyText"/>
        <w:spacing w:line="480" w:lineRule="auto"/>
        <w:ind w:firstLine="720"/>
      </w:pPr>
      <w:r>
        <w:t xml:space="preserve">First, recency. Growing fields publish recently. A field that is growing produces more of its literature recently than long ago, and the records that most directly express the topic tend to be the newer ones, because the vocabulary and the framing have converged over time. If the topic signal, a count of theme term hits in a record’s metadata, rises with recency, that is the fingerprint of a field whose language has crystallized. If the topic signal is flat across years, the field either matured long ago or never cohered, and the recency channel carries no information</w:t>
      </w:r>
      <w:r>
        <w:t xml:space="preserve"> </w:t>
      </w:r>
      <w:hyperlink w:anchor="ref-3">
        <w:r>
          <w:rPr>
            <w:rStyle w:val="Hyperlink"/>
          </w:rPr>
          <w:t xml:space="preserve">[3]</w:t>
        </w:r>
      </w:hyperlink>
      <w:r>
        <w:t xml:space="preserve">.</w:t>
      </w:r>
    </w:p>
    <w:p>
      <w:pPr>
        <w:pStyle w:val="BodyText"/>
        <w:spacing w:line="480" w:lineRule="auto"/>
        <w:ind w:firstLine="720"/>
      </w:pPr>
      <w:r>
        <w:t xml:space="preserve">Second, venue. Attention is not uniform. Scholarly attention is not uniform across publication outlets. A record in a peer reviewed journal that specializes in the field carries a different evidentiary weight than an adjacency compilation drawn from a conference proceedings index or a local synthesis note. If the topic signal rises with venue score, where the ordinal scale runs from conference adjacency through specialized journals to dedicated syntheses, that ordering tells us that the strongest expressions of the topic concentrate in the venues that a field builds when it takes itself seriously</w:t>
      </w:r>
      <w:r>
        <w:t xml:space="preserve"> </w:t>
      </w:r>
      <w:hyperlink w:anchor="ref-2">
        <w:r>
          <w:rPr>
            <w:rStyle w:val="Hyperlink"/>
          </w:rPr>
          <w:t xml:space="preserve">[2]</w:t>
        </w:r>
      </w:hyperlink>
      <w:r>
        <w:t xml:space="preserve">.</w:t>
      </w:r>
    </w:p>
    <w:p>
      <w:pPr>
        <w:pStyle w:val="BodyText"/>
        <w:spacing w:line="480" w:lineRule="auto"/>
        <w:ind w:firstLine="720"/>
      </w:pPr>
      <w:r>
        <w:t xml:space="preserve">Third, attention over time. Cumulative fields gather citations. A maturing field accumulates citations, and the pattern of that accumulation carries information. Older records, if the field is genuinely cumulative, should have had more time to gather attention, producing a learning curve in which citation counts grow with article age. A flat or absent curve means the accumulation channel is silent, which is itself a finding about the state of the retrievable evidence</w:t>
      </w:r>
      <w:r>
        <w:t xml:space="preserve"> </w:t>
      </w:r>
      <w:hyperlink w:anchor="ref-5">
        <w:r>
          <w:rPr>
            <w:rStyle w:val="Hyperlink"/>
          </w:rPr>
          <w:t xml:space="preserve">[5]</w:t>
        </w:r>
      </w:hyperlink>
      <w:r>
        <w:t xml:space="preserve">.</w:t>
      </w:r>
    </w:p>
    <w:p>
      <w:pPr>
        <w:pStyle w:val="BodyText"/>
        <w:spacing w:line="480" w:lineRule="auto"/>
        <w:ind w:firstLine="720"/>
      </w:pPr>
      <w:r>
        <w:t xml:space="preserve">These three channels are logically independent. They need not move together. A field could show a strong recency signal and a flat citation curve, or a strong venue effect and a weak recency effect. The theory does not demand that all three move together. It demands only that we say, in advance, what each pattern would mean, so that the empirical chapters test predictions rather than rationalize whatever they find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1"/>
    <w:bookmarkStart w:id="82" w:name="the-hypotheses"/>
    <w:p>
      <w:pPr>
        <w:pStyle w:val="Heading2"/>
        <w:spacing w:line="480" w:lineRule="auto"/>
      </w:pPr>
      <w:r>
        <w:t xml:space="preserve">The hypotheses</w:t>
      </w:r>
    </w:p>
    <w:p>
      <w:pPr>
        <w:pStyle w:val="FirstParagraph"/>
        <w:spacing w:line="480" w:lineRule="auto"/>
      </w:pPr>
      <w:r>
        <w:t xml:space="preserve">Two testable pairs follow directly from the mechanism. One pair belongs to each instrument.</w:t>
      </w:r>
    </w:p>
    <w:p>
      <w:pPr>
        <w:pStyle w:val="BodyText"/>
        <w:spacing w:line="480" w:lineRule="auto"/>
        <w:ind w:firstLine="720"/>
      </w:pPr>
      <w:r>
        <w:t xml:space="preserve">The first pair concerns cross sectional structure. The topic signal score is regressed on recency, citation count, and venue family across the retrieved records. The null hypothesis holds that the topic signal is unrelated to all three predictors: the metadata is noise with respect to the topic, and the field has left no structured footprint. The alternative holds that the topic signal increases with recency and with citation attention, and varies systematically with venue family. A rejection of the null in the direction predicted is evidence that the field’s maturation is real and visible; a failure to reject leaves the maturation claim unsupported by this corpus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second pair concerns accumulation. The log of citation count plus one is regressed on the log of article age. The null hypothesis holds that citation accumulation is unrelated to age: attention in the retrievable corpus does not follow a temporal curve. The alternative holds that accumulation follows a measurable age based attention curve, with an elasticity that quantifies how strongly older records have gathered attention. A precise, signed elasticity supports the claim that the field is cumulative in a detectable way; a degenerate or absent estimate tells us the accumulation channel cannot be read from this data, and that the citation field is too sparse to carry the test</w:t>
      </w:r>
      <w:r>
        <w:t xml:space="preserve"> </w:t>
      </w:r>
      <w:hyperlink w:anchor="ref-5">
        <w:r>
          <w:rPr>
            <w:rStyle w:val="Hyperlink"/>
          </w:rPr>
          <w:t xml:space="preserve">[5]</w:t>
        </w:r>
      </w:hyperlink>
      <w:r>
        <w:t xml:space="preserve">.</w:t>
      </w:r>
    </w:p>
    <w:bookmarkEnd w:id="82"/>
    <w:bookmarkStart w:id="83" w:name="rival-explanations-stated-in-advance"/>
    <w:p>
      <w:pPr>
        <w:pStyle w:val="Heading2"/>
        <w:spacing w:line="480" w:lineRule="auto"/>
      </w:pPr>
      <w:r>
        <w:t xml:space="preserve">Rival explanations, stated in advance</w:t>
      </w:r>
    </w:p>
    <w:p>
      <w:pPr>
        <w:pStyle w:val="FirstParagraph"/>
        <w:spacing w:line="480" w:lineRule="auto"/>
      </w:pPr>
      <w:r>
        <w:t xml:space="preserve">An honest theory names the ways it could be fooled. Several rival explanations could produce an apparent topic structure that does not reflect genuine field maturation, and each is a reason to qualify rather than inflate the eventual finding.</w:t>
      </w:r>
    </w:p>
    <w:p>
      <w:pPr>
        <w:pStyle w:val="BodyText"/>
        <w:spacing w:line="480" w:lineRule="auto"/>
        <w:ind w:firstLine="720"/>
      </w:pPr>
      <w:r>
        <w:t xml:space="preserve">Venue coverage could masquerade as importance. If the retrieval process happened to pull more records from high scoring venues in recent years, a venue effect and a recency effect would be entangled, and the model would credit maturation for what is really a sampling pattern. Citation age could masquerade as relevance. Older records accumulate citations for reasons unrelated to current policy salience, so a strong age curve would speak to the passage of time, not to the topic’s contemporary weight. Metadata availability could masquerade as activity. A record whose citation field is empty in the local index registers as uncited even if it is well cited elsewhere, which biases any accumulation estimate toward silence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rivals are not nuisances to be assumed away. They are the reason the results chapter reports exact statistics and interprets them narrowly, and they are the reason a null or degenerate result is treated as informative rather than as failure. The theory earns its keep precisely by specifying, before the estimation, what a strong result and a weak result would each be allowed to mean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3"/>
    <w:bookmarkStart w:id="84" w:name="the-evidence-ladder"/>
    <w:p>
      <w:pPr>
        <w:pStyle w:val="Heading2"/>
        <w:spacing w:line="480" w:lineRule="auto"/>
      </w:pPr>
      <w:r>
        <w:t xml:space="preserve">The evidence ladder</w:t>
      </w:r>
    </w:p>
    <w:p>
      <w:pPr>
        <w:pStyle w:val="FirstParagraph"/>
        <w:spacing w:line="480" w:lineRule="auto"/>
      </w:pPr>
      <w:r>
        <w:t xml:space="preserve">Putting the pieces together yields an evidence ladder with three rungs. A precise coefficient in the predicted direction establishes association inside the retained corpus, which is the strongest claim this design can support. A stable overall model fit establishes that the corpus can serve as a measurement base, licensing further work built on the same rows. A weak, imprecise, or degenerate estimate establishes a boundary: it shows that the available evidence cannot sustain the broader claim, and it tells a later project which variable must be strengthened before the test can be rerun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dissertation treats all three rungs as scholarly evidence, provided every reading stays tethered to the source trail. That tethering is the theoretical discipline of the whole project. The mechanism predicts structure; the hypotheses specify what structure would count; the rivals mark where structure could deceive; and the ladder fixes how far each result is allowed to reach. The empirical chapters that follow do nothing more, and nothing less, than climb that ladder as far as thirty rows of traceable data permit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4"/>
    <w:bookmarkStart w:id="85" w:name="X8bbd9461120d8a342eb62d85c445fadba26e1e7"/>
    <w:p>
      <w:pPr>
        <w:pStyle w:val="Heading2"/>
        <w:spacing w:line="480" w:lineRule="auto"/>
      </w:pPr>
      <w:r>
        <w:t xml:space="preserve">Why the mechanism applies to this field in particular</w:t>
      </w:r>
    </w:p>
    <w:p>
      <w:pPr>
        <w:pStyle w:val="FirstParagraph"/>
        <w:spacing w:line="480" w:lineRule="auto"/>
      </w:pPr>
      <w:r>
        <w:t xml:space="preserve">A skeptic might grant the maturation mechanism in general while doubting that it applies to reentry and calibration forecasting specifically. The doubt is worth taking seriously, and the theory chapter answers it by pointing to features of this field that make the mechanism especially likely to bite. Reentry forecasting is a field with a clear external forcing function: orbital objects decay on their own schedule, and every large uncontrolled reentry is a public event that draws attention, funding, and new writing. That forcing function means the field’s growth is not driven only by internal scholarly momentum but by a stream of real world events that arrive independently of the literature. A field pulled forward by external events should show a strong recency signal, because each event generates a cohort of recent records that engage the topic directly, and the vocabulary of those records converges as the community responds to a shared stimulus</w:t>
      </w:r>
      <w:r>
        <w:t xml:space="preserve"> </w:t>
      </w:r>
      <w:hyperlink w:anchor="ref-3">
        <w:r>
          <w:rPr>
            <w:rStyle w:val="Hyperlink"/>
          </w:rPr>
          <w:t xml:space="preserve">[3]</w:t>
        </w:r>
      </w:hyperlink>
      <w:r>
        <w:t xml:space="preserve">.</w:t>
      </w:r>
    </w:p>
    <w:p>
      <w:pPr>
        <w:pStyle w:val="BodyText"/>
        <w:spacing w:line="480" w:lineRule="auto"/>
        <w:ind w:firstLine="720"/>
      </w:pPr>
      <w:r>
        <w:t xml:space="preserve">The venue channel has a field specific rationale too. Space situational awareness cohered as a named research domain partly through the deliberate construction of dedicated venues, including the conference series that gave the field an institutional home</w:t>
      </w:r>
      <w:r>
        <w:t xml:space="preserve"> </w:t>
      </w:r>
      <w:hyperlink w:anchor="ref-19">
        <w:r>
          <w:rPr>
            <w:rStyle w:val="Hyperlink"/>
          </w:rPr>
          <w:t xml:space="preserve">[19]</w:t>
        </w:r>
      </w:hyperlink>
      <w:r>
        <w:t xml:space="preserve">. That construction is exactly the process the venue hypothesis is built to detect: when a field takes itself seriously enough to build specialized outlets, its strongest expressions migrate to those outlets, and an ordinal venue scale should therefore separate diffuse adjacency compilations from concentrated dedicated syntheses. The prediction is not generic; it follows from the observable fact that this field spent the last two decades building the venues the scale ranks</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w:t>
      </w:r>
    </w:p>
    <w:bookmarkEnd w:id="85"/>
    <w:bookmarkStart w:id="86" w:name="Xdad8611c3201ee394b9d2f840458d45a6cdb2cd"/>
    <w:p>
      <w:pPr>
        <w:pStyle w:val="Heading2"/>
        <w:spacing w:line="480" w:lineRule="auto"/>
      </w:pPr>
      <w:r>
        <w:t xml:space="preserve">The accumulation channel and its fragility</w:t>
      </w:r>
    </w:p>
    <w:p>
      <w:pPr>
        <w:pStyle w:val="FirstParagraph"/>
        <w:spacing w:line="480" w:lineRule="auto"/>
      </w:pPr>
      <w:r>
        <w:t xml:space="preserve">The accumulation hypothesis deserves a longer look, because it is the one most exposed to measurement failure. The theory predicts that a cumulative field shows citation attention growing with article age, and the learning curve elasticity quantifies how strongly. What the theory also anticipates, and states in advance, is that this prediction is only testable if the citation field carries variation. The accumulation channel is not fragile because the mechanism is weak; it is fragile because it depends entirely on one measured quantity, the citation count, and if that quantity is missing or constant across the corpus, the channel goes dark regardless of how cumulative the field actually is. This is a case where the theory must be honest that a null result would be a statement about the data rather than about the world</w:t>
      </w:r>
      <w:r>
        <w:t xml:space="preserve"> </w:t>
      </w:r>
      <w:hyperlink w:anchor="ref-5">
        <w:r>
          <w:rPr>
            <w:rStyle w:val="Hyperlink"/>
          </w:rPr>
          <w:t xml:space="preserve">[5]</w:t>
        </w:r>
      </w:hyperlink>
      <w:r>
        <w:t xml:space="preserve">.</w:t>
      </w:r>
    </w:p>
    <w:p>
      <w:pPr>
        <w:pStyle w:val="BodyText"/>
        <w:spacing w:line="480" w:lineRule="auto"/>
        <w:ind w:firstLine="720"/>
      </w:pPr>
      <w:r>
        <w:t xml:space="preserve">The distinction matters for how the eventual result is read. If the accumulation model returns a precise elasticity, the field is cumulative in a detectable way and the recency finding gains a temporal complement. If it returns nothing because the citation field is flat, the correct inference is not that the field fails to accumulate attention but that this corpus cannot see the accumulation. The theory chapter fixes that reading in advance so that the results chapter is not tempted to treat a data limitation as a substantive discovery. A degenerate elasticity is a boundary marker, and the ladder places it firmly on the third rung, where it tells a future project which column to repair before the test can be rerun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6"/>
    <w:bookmarkStart w:id="87" w:name="predictions-restated-as-a-decision-table"/>
    <w:p>
      <w:pPr>
        <w:pStyle w:val="Heading2"/>
        <w:spacing w:line="480" w:lineRule="auto"/>
      </w:pPr>
      <w:r>
        <w:t xml:space="preserve">Predictions restated as a decision table</w:t>
      </w:r>
    </w:p>
    <w:p>
      <w:pPr>
        <w:pStyle w:val="FirstParagraph"/>
        <w:spacing w:line="480" w:lineRule="auto"/>
      </w:pPr>
      <w:r>
        <w:t xml:space="preserve">To make the framework maximally checkable, the predictions can be laid out as a small decision table that fixes the meaning of each possible outcome before any estimation. If the recency coefficient is positive and precise, the field’s language has converged and newer records express the topic more strongly, confirming the recency limb of the first alternative. If the venue coefficient is positive and precise, the field’s strongest expressions concentrate in its dedicated venues, confirming the venue limb. If either is near zero or imprecise, the corresponding channel carries no maturation signal, and the null stands for that channel. If the citation coefficient can be estimated at all, its sign speaks to whether attention tracks topic expression; if it cannot be estimated, the citation channel is undecidable on this data. And if the learning curve elasticity is precise, the field is cumulative in a measurable way, while a degenerate elasticity marks the accumulation channel as unreadable from this corpus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This table is the theory’s contract with the reader. It commits, before the numbers arrive, to what each number will be allowed to mean, and it forecloses the retrospective rationalization that turns any result into a success. A design that fixes its interpretations in advance can report a mixed verdict, some channels confirmed and others dark, without either inflating the confirmations or hiding the silences. That is the posture the results chapter inherits, and it is the reason the framework insists on naming its rivals and bounding its reach before a single coefficient is read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7"/>
    <w:bookmarkStart w:id="88" w:name="X02291c260410b71375715c83c922ae21da61d9c"/>
    <w:p>
      <w:pPr>
        <w:pStyle w:val="Heading2"/>
        <w:spacing w:line="480" w:lineRule="auto"/>
      </w:pPr>
      <w:r>
        <w:t xml:space="preserve">From visibility to reliability: the inferential distance</w:t>
      </w:r>
    </w:p>
    <w:p>
      <w:pPr>
        <w:pStyle w:val="FirstParagraph"/>
        <w:spacing w:line="480" w:lineRule="auto"/>
      </w:pPr>
      <w:r>
        <w:t xml:space="preserve">The framework must be explicit about the distance between what it can measure and the reliability question the title poses, because that distance is where careless work would go wrong. The mechanism predicts, and the hypotheses test, whether the field studying reentry calibration has left a structured footprint in retrievable records. Reliability, the actual calibration of analysts, is a property of forecasts matched to outcomes, and no amount of structure in a metadata corpus can measure it directly. The theory therefore posits a two step inferential chain and is candid that this dissertation completes only the first step. The first step establishes that the field is mature enough to have a coherent, growing literature, which is a necessary condition for the field to eventually support a direct reliability study. The second step, which requires operational forecast to outcome data, would measure reliability itself.</w:t>
      </w:r>
    </w:p>
    <w:p>
      <w:pPr>
        <w:pStyle w:val="BodyText"/>
        <w:spacing w:line="480" w:lineRule="auto"/>
        <w:ind w:firstLine="720"/>
      </w:pPr>
      <w:r>
        <w:t xml:space="preserve">Naming this chain explicitly protects the reader from a tempting fallacy. It would be easy to slide from a strong recency and venue signal to a claim that analysts have therefore become more reliable over time, but that slide is invalid. A field can produce an ever denser and more concentrated literature while its forecasts remain exactly as miscalibrated as before, because topic expression in metadata and forecast calibration are different quantities measured on different objects. The framework forbids the slide by keeping the two steps separate in principle, so that the empirical chapters test only the visibility step and the reliability step remains explicitly open for future work</w:t>
      </w:r>
      <w:r>
        <w:t xml:space="preserve"> </w:t>
      </w:r>
      <w:hyperlink w:anchor="ref-2">
        <w:r>
          <w:rPr>
            <w:rStyle w:val="Hyperlink"/>
          </w:rPr>
          <w:t xml:space="preserve">[2]</w:t>
        </w:r>
      </w:hyperlink>
      <w:r>
        <w:t xml:space="preserve"> </w:t>
      </w:r>
      <w:hyperlink w:anchor="ref-15">
        <w:r>
          <w:rPr>
            <w:rStyle w:val="Hyperlink"/>
          </w:rPr>
          <w:t xml:space="preserve">[15]</w:t>
        </w:r>
      </w:hyperlink>
      <w:r>
        <w:t xml:space="preserve">.</w:t>
      </w:r>
    </w:p>
    <w:bookmarkEnd w:id="88"/>
    <w:bookmarkStart w:id="89" w:name="X7235d7e46bab64090c858d00dd693453edbb59b"/>
    <w:p>
      <w:pPr>
        <w:pStyle w:val="Heading2"/>
        <w:spacing w:line="480" w:lineRule="auto"/>
      </w:pPr>
      <w:r>
        <w:t xml:space="preserve">Why the null results are theoretically load bearing</w:t>
      </w:r>
    </w:p>
    <w:p>
      <w:pPr>
        <w:pStyle w:val="FirstParagraph"/>
        <w:spacing w:line="480" w:lineRule="auto"/>
      </w:pPr>
      <w:r>
        <w:t xml:space="preserve">A framework that treated only confirmations as evidence would be weaker than one that assigns meaning to nulls, and this one is built to make its nulls informative. Consider what a degenerate accumulation result contributes. It does not merely fail to confirm the accumulation hypothesis; it demonstrates, on inspectable evidence, that a particular measured quantity, the citation count, is insufficient in this corpus to test a hypothesis the mechanism poses. That demonstration is load bearing because it converts a vague sense that the data might be thin into a precise specification of exactly which variable is thin and exactly what a future study must supply to thicken it. A theory that can turn its own failures into specifications for the next study is doing more work than a theory that can only celebrate its successes</w:t>
      </w:r>
      <w:r>
        <w:t xml:space="preserve"> </w:t>
      </w:r>
      <w:hyperlink w:anchor="ref-5">
        <w:r>
          <w:rPr>
            <w:rStyle w:val="Hyperlink"/>
          </w:rPr>
          <w:t xml:space="preserve">[5]</w:t>
        </w:r>
      </w:hyperlink>
      <w:r>
        <w:t xml:space="preserve">.</w:t>
      </w:r>
    </w:p>
    <w:p>
      <w:pPr>
        <w:pStyle w:val="BodyText"/>
        <w:spacing w:line="480" w:lineRule="auto"/>
        <w:ind w:firstLine="720"/>
      </w:pPr>
      <w:r>
        <w:t xml:space="preserve">The same logic applies to the citation channel in the cross sectional model. If that channel returns nothing because the predictor does not vary, the framework does not shrug; it records that the attention limb of the maturation mechanism is untestable here and locates the reason precisely. This is how the evidence ladder earns its third rung. A weak or degenerate estimate is not discarded as noise but read as a boundary marker, and the theory’s willingness to read it that way is what lets the dissertation report a mixed result honestly. The framework’s deepest commitment is that every outcome, strong or silent, is assigned a meaning in advance and interpreted strictly within the source trail, so that the results chapter inherits a set of predictions it can only confirm, refute, or mark as undecidable, never quietly reinterpret to fit whatever the numbers turned out to be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9"/>
    <w:bookmarkStart w:id="90" w:name="the-mechanisms-scope-conditions"/>
    <w:p>
      <w:pPr>
        <w:pStyle w:val="Heading2"/>
        <w:spacing w:line="480" w:lineRule="auto"/>
      </w:pPr>
      <w:r>
        <w:t xml:space="preserve">The mechanism’s scope conditions</w:t>
      </w:r>
    </w:p>
    <w:p>
      <w:pPr>
        <w:pStyle w:val="FirstParagraph"/>
        <w:spacing w:line="480" w:lineRule="auto"/>
      </w:pPr>
      <w:r>
        <w:t xml:space="preserve">Every mechanism has scope conditions, the circumstances under which it should and should not be expected to operate, and stating them keeps the theory falsifiable rather than infinitely flexible. The maturation mechanism should operate when a field is genuinely growing around an external forcing function, when it has begun to build dedicated venues, and when its literature is retrievable in a form that preserves recency, venue, and attention. It should not be expected to operate, or should operate weakly, when a field is static, when its output is scattered across general venues with no concentration, or when the retrieval process that assembled the corpus has scrambled the very metadata the mechanism relies on. Naming these conditions matters because a null result carries a different meaning inside the scope than outside it. A weak recency signal within a field that meets the scope conditions would be evidence against maturation; the same weak signal in a field that fails the conditions would be uninformative about maturation and informative only about the corpus</w:t>
      </w:r>
      <w:r>
        <w:t xml:space="preserve"> </w:t>
      </w:r>
      <w:hyperlink w:anchor="ref-4">
        <w:r>
          <w:rPr>
            <w:rStyle w:val="Hyperlink"/>
          </w:rPr>
          <w:t xml:space="preserve">[4]</w:t>
        </w:r>
      </w:hyperlink>
      <w:r>
        <w:t xml:space="preserve">.</w:t>
      </w:r>
    </w:p>
    <w:p>
      <w:pPr>
        <w:pStyle w:val="BodyText"/>
        <w:spacing w:line="480" w:lineRule="auto"/>
        <w:ind w:firstLine="720"/>
      </w:pPr>
      <w:r>
        <w:t xml:space="preserve">The candidate field appears to meet the scope conditions, which is what licenses the test in the first place. Reentry and decay forecasting is pulled forward by a steady stream of decay events, it has built dedicated venues over the past two decades, and the retained corpus preserves the metadata the mechanism reads</w:t>
      </w:r>
      <w:r>
        <w:t xml:space="preserve"> </w:t>
      </w:r>
      <w:hyperlink w:anchor="ref-19">
        <w:r>
          <w:rPr>
            <w:rStyle w:val="Hyperlink"/>
          </w:rPr>
          <w:t xml:space="preserve">[19]</w:t>
        </w:r>
      </w:hyperlink>
      <w:r>
        <w:t xml:space="preserve">. Whether the mechanism actually fired is an empirical question the results will answer; whether it was reasonable to expect it to fire is a theoretical question the scope conditions settle, and settling it in advance is what allows the eventual result, positive or null, to bear on the maturation claim rather than merely on the accidents of this particular corpus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90"/>
    <w:bookmarkStart w:id="91" w:name="why-a-proxy-mechanism-is-legitimate-here"/>
    <w:p>
      <w:pPr>
        <w:pStyle w:val="Heading2"/>
        <w:spacing w:line="480" w:lineRule="auto"/>
      </w:pPr>
      <w:r>
        <w:t xml:space="preserve">Why a proxy mechanism is legitimate here</w:t>
      </w:r>
    </w:p>
    <w:p>
      <w:pPr>
        <w:pStyle w:val="FirstParagraph"/>
        <w:spacing w:line="480" w:lineRule="auto"/>
      </w:pPr>
      <w:r>
        <w:t xml:space="preserve">A theory built on a proxy invites the charge that it measures the wrong thing, and the charge deserves an answer rather than a dismissal. The topic signal proxies topic expression in metadata, which is not the same as topic importance, and a strong signal could in principle arise from keyword saturation rather than from genuine field maturation. The theory’s defense is that the mechanism does not claim the proxy measures importance; it claims the proxy measures the organizational trace a maturing field leaves, and that trace is exactly a rise in the density and concentration of topical vocabulary. The proxy is well matched to the quantity the mechanism actually posits, even though it would be poorly matched to a quantity, like scholarly influence, that the mechanism does not claim to measure</w:t>
      </w:r>
      <w:r>
        <w:t xml:space="preserve"> </w:t>
      </w:r>
      <w:hyperlink w:anchor="ref-2">
        <w:r>
          <w:rPr>
            <w:rStyle w:val="Hyperlink"/>
          </w:rPr>
          <w:t xml:space="preserve">[2]</w:t>
        </w:r>
      </w:hyperlink>
      <w:r>
        <w:t xml:space="preserve">.</w:t>
      </w:r>
    </w:p>
    <w:p>
      <w:pPr>
        <w:pStyle w:val="BodyText"/>
        <w:spacing w:line="480" w:lineRule="auto"/>
        <w:ind w:firstLine="720"/>
      </w:pPr>
      <w:r>
        <w:t xml:space="preserve">This is why the framework is careful to state, repeatedly, that a strong result establishes structured topic expression and nothing about forecast quality. The proxy is legitimate for the visibility claim and illegitimate for the reliability claim, and the theory keeps those uses strictly apart. A reader who accepts that the topic signal measures organizational trace, and who accepts the scope conditions under which a maturing field should produce that trace, has accepted everything the mechanism needs. The remaining work is empirical: to see whether the trace is present, absent, or undecidable in the retained corpus, and to read whichever of those outcomes appears according to the meanings the framework has already fixed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1"/>
    <w:bookmarkEnd w:id="92"/>
    <w:bookmarkStart w:id="103" w:name="methodology-and-identification"/>
    <w:p>
      <w:pPr>
        <w:pStyle w:val="Heading1"/>
        <w:spacing w:line="480" w:lineRule="auto"/>
      </w:pPr>
      <w:r>
        <w:t xml:space="preserve">Methodology and Identification</w:t>
      </w:r>
    </w:p>
    <w:p>
      <w:pPr>
        <w:pStyle w:val="FirstParagraph"/>
        <w:spacing w:line="480" w:lineRule="auto"/>
      </w:pPr>
      <w:r>
        <w:t xml:space="preserve">This chapter defends the two estimators. Each is a plain tool. Neither is exotic. It states what each model is, why it is the right tool for the question it answers, what it identifies and under what conditions, and where identification breaks. The methodological posture throughout is conservative. The design does not claim randomized assignment, and it does not claim that the metadata of a source corpus can reveal every causal pathway that produced it. It claims something narrower and defensible: that the variables constructed from the retained records either explain the observed outcome better than a null account of no systematic relationship, or they do not, and that the workbooks will report which of those two worlds we are in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93" w:name="X1554872f886ae8cc85b36121d9f6f14fb096834"/>
    <w:p>
      <w:pPr>
        <w:pStyle w:val="Heading2"/>
        <w:spacing w:line="480" w:lineRule="auto"/>
      </w:pPr>
      <w:r>
        <w:t xml:space="preserve">The first estimator: ordinary least squares on topic signal</w:t>
      </w:r>
    </w:p>
    <w:p>
      <w:pPr>
        <w:pStyle w:val="FirstParagraph"/>
        <w:spacing w:line="480" w:lineRule="auto"/>
      </w:pPr>
      <w:r>
        <w:t xml:space="preserve">The first instrument is an ordinary least squares regression of the topic signal score on three predictors: a recency index, a citation count, and an ordinal venue score. The specification recorded in the configuration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correct choice here for a plain reason. The question is descriptive and cross sectional: across the thirty retrieved records, is variation in the topic signal associated with variation in recency, attention, and venue. The outcome is a bounded count that behaves smoothly across its range, the predictors are few and interpretable, and the goal is a set of signed, magnitude bearing coefficients that a reader can inspect against the predictions laid out in the theory chapter. A more elaborate estimator would buy no additional credibility on a sample this size; it would only obscure the mapping from data to result.</w:t>
      </w:r>
    </w:p>
    <w:p>
      <w:pPr>
        <w:pStyle w:val="BodyText"/>
        <w:spacing w:line="480" w:lineRule="auto"/>
        <w:ind w:firstLine="720"/>
      </w:pPr>
      <w:r>
        <w:t xml:space="preserve">Standard errors are computed with the HC1 heteroskedasticity consistent correction. This matters because there is no reason to assume the variance of the topic signal is constant across records. Newer, higher venue records may express the topic more sharply and with more dispersion than older adjacency compilations, and a naive homoskedastic standard error would misstate the precision of the coefficients. The HC1 correction lets the data speak about their own variance structure without imposing an assumption the design cannot verify.</w:t>
      </w:r>
    </w:p>
    <w:p>
      <w:pPr>
        <w:pStyle w:val="BodyText"/>
        <w:spacing w:line="480" w:lineRule="auto"/>
        <w:ind w:firstLine="720"/>
      </w:pPr>
      <w:r>
        <w:t xml:space="preserve">What does this model identify? It identifies partial associations within the retained corpus, holding the other two predictors fixed. The recency coefficient answers a specific question: comparing two records that share a venue score and a citation count but differ in publication year, how does the topic signal differ. It does not identify a causal effect of time on importance, because time is not manipulated and because the corpus was assembled by a retrieval process rather than by random sampling. The honest label for the recency coefficient is a conditional descriptive association, and the results chapter uses exactly that label.</w:t>
      </w:r>
    </w:p>
    <w:p>
      <w:pPr>
        <w:pStyle w:val="BodyText"/>
        <w:spacing w:line="480" w:lineRule="auto"/>
        <w:ind w:firstLine="720"/>
      </w:pPr>
      <w:r>
        <w:t xml:space="preserve">Identification of this model fails, or degrades, under three conditions that the design names openly. It degrades if the predictors are collinear, because collinear predictors cannot be separately identified and the partial coefficients become unstable. It degrades if the retrieval process correlated venue with year, because then the venue and recency channels are entangled and neither coefficient is clean. And it is silent on any predictor with no variance: a variable that takes the same value in every row carries no information, and its coefficient cannot be estimated no matter how large the sample. That last condition is not hypothetical in this dataset, and the results chapter confronts it directly.</w:t>
      </w:r>
    </w:p>
    <w:bookmarkEnd w:id="93"/>
    <w:bookmarkStart w:id="94" w:name="X959a0cfe8cb765f34fdbcd0f2a362619c6ae2f8"/>
    <w:p>
      <w:pPr>
        <w:pStyle w:val="Heading2"/>
        <w:spacing w:line="480" w:lineRule="auto"/>
      </w:pPr>
      <w:r>
        <w:t xml:space="preserve">The second estimator: a log log learning curve on citation accumulation</w:t>
      </w:r>
    </w:p>
    <w:p>
      <w:pPr>
        <w:pStyle w:val="FirstParagraph"/>
        <w:spacing w:line="480" w:lineRule="auto"/>
      </w:pPr>
      <w:r>
        <w:t xml:space="preserve">The second instrument is a learning curve model, an ordinary least squares regression in logarithms. The specification recorded in the configuration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slope becomes an elasticity. The learning curve form is the right tool for the accumulation question because it makes the slope coefficient a constant elasticity. In this specification, beta_1 is the percentage change in citation count associated with a one percent change in article age, and it maps directly onto the theoretical prediction that a cumulative field should show attention growing with age. The transformation to logarithms is not cosmetic. It linearizes a multiplicative accumulation process and turns the slope into an interpretable rate, which is precisely the quantity the accumulation hypothesis is about. Citation counts are shifted by one before the logarithm so that uncited records, whose count is zero, remain in the sample rather than dropping out as undefined.</w:t>
      </w:r>
    </w:p>
    <w:p>
      <w:pPr>
        <w:pStyle w:val="BodyText"/>
        <w:spacing w:line="480" w:lineRule="auto"/>
        <w:ind w:firstLine="720"/>
      </w:pPr>
      <w:r>
        <w:t xml:space="preserve">Robust HC1 standard errors are again used, for the same reason as before: the dispersion of citation counts need not be constant across ages, and the correction guards against a misstated precision.</w:t>
      </w:r>
    </w:p>
    <w:p>
      <w:pPr>
        <w:pStyle w:val="BodyText"/>
        <w:spacing w:line="480" w:lineRule="auto"/>
        <w:ind w:firstLine="720"/>
      </w:pPr>
      <w:r>
        <w:t xml:space="preserve">What does this model identify? Under the maintained assumptions it identifies the elasticity of citation attention with respect to age within the retained corpus. A precise, positive elasticity would say that older records have systematically accumulated more attention, the signature of a cumulative field. A precise elasticity near zero would say that age does not predict attention here. And a degenerate estimate, one the workbook cannot compute, would say that the outcome variable lacks the variation the model needs, which is a finding about the corpus rather than a failure of the method</w:t>
      </w:r>
      <w:r>
        <w:t xml:space="preserve"> </w:t>
      </w:r>
      <w:hyperlink w:anchor="ref-5">
        <w:r>
          <w:rPr>
            <w:rStyle w:val="Hyperlink"/>
          </w:rPr>
          <w:t xml:space="preserve">[5]</w:t>
        </w:r>
      </w:hyperlink>
      <w:r>
        <w:t xml:space="preserve">.</w:t>
      </w:r>
    </w:p>
    <w:p>
      <w:pPr>
        <w:pStyle w:val="BodyText"/>
        <w:spacing w:line="480" w:lineRule="auto"/>
        <w:ind w:firstLine="720"/>
      </w:pPr>
      <w:r>
        <w:t xml:space="preserve">The learning curve model’s identification fails when the dependent variable is constant. If every record carries the same citation count, then after the shift and the logarithm the outcome is identical in every row, its variance is zero, and no slope can be fit against any predictor. This is the sharpest edge in the whole design, and the methodology chapter flags it in advance rather than letting it surprise the reader in the results. When the accumulation channel is silent because the data are flat, the correct scientific act is to report the silence, name its cause, and refuse to manufacture a coefficient the data cannot support.</w:t>
      </w:r>
    </w:p>
    <w:bookmarkEnd w:id="94"/>
    <w:bookmarkStart w:id="95" w:name="Xf906c9f5e0f217a282dd05b9570262817aa0c9b"/>
    <w:p>
      <w:pPr>
        <w:pStyle w:val="Heading2"/>
        <w:spacing w:line="480" w:lineRule="auto"/>
      </w:pPr>
      <w:r>
        <w:t xml:space="preserve">Why these threats are handled by disclosure rather than correction</w:t>
      </w:r>
    </w:p>
    <w:p>
      <w:pPr>
        <w:pStyle w:val="FirstParagraph"/>
        <w:spacing w:line="480" w:lineRule="auto"/>
      </w:pPr>
      <w:r>
        <w:t xml:space="preserve">There is a temptation in applied work to patch every threat with a technical fix: add controls, instrument the endogenous regressor, reweight the sample. On a corpus of thirty traceable records, those moves would be theater. Disclosure is the honest alternative. There is not enough data to support elaborate correction, and pretending otherwise would violate the auditability that is the point of the design. The methodology therefore handles its threats through disclosure. Source selection, proxy measurement, omitted variables, and the risk of overinterpretation are each named, and each is carried forward into the results and discussion as a live qualification on what the coefficients are allowed to mean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identification contribution of this dissertation is not an inflated finding wrung from a small sample. It is a reproducible protocol for asking whether a claim about a maturing field has structured evidence behind it, a protocol whose every step, from the formula in the configuration to the row in the data file to the number in the results, a skeptical reader can rerun and check. That is what it means to identify an effect honestly in a design built for transparency rather than for scope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5"/>
    <w:bookmarkStart w:id="96" w:name="X60620cf721769e99597f87997ee8dab6230d791"/>
    <w:p>
      <w:pPr>
        <w:pStyle w:val="Heading2"/>
        <w:spacing w:line="480" w:lineRule="auto"/>
      </w:pPr>
      <w:r>
        <w:t xml:space="preserve">What each coefficient is licensed to claim</w:t>
      </w:r>
    </w:p>
    <w:p>
      <w:pPr>
        <w:pStyle w:val="FirstParagraph"/>
        <w:spacing w:line="480" w:lineRule="auto"/>
      </w:pPr>
      <w:r>
        <w:t xml:space="preserve">Identification is only as useful as the interpretive discipline attached to it, so it is worth stating precisely what each coefficient in the first model is and is not licensed to claim. The recency coefficient is licensed to claim a conditional association between publication year and topic expression within the retained corpus, holding venue and citation fixed. It is not licensed to claim that the passage of time causes topic importance, nor that the association would replicate in a differently assembled corpus. The venue coefficient is licensed to claim that records higher on the ordinal venue family express the topic more strongly, holding recency and citation fixed. It is not licensed to claim a cardinal magnitude, because the venue scale is a ranking rather than a measured quantity, and the distance between adjacent ranks is not guaranteed to be uniform.</w:t>
      </w:r>
    </w:p>
    <w:p>
      <w:pPr>
        <w:pStyle w:val="BodyText"/>
        <w:spacing w:line="480" w:lineRule="auto"/>
        <w:ind w:firstLine="720"/>
      </w:pPr>
      <w:r>
        <w:t xml:space="preserve">The citation coefficient carries the most restrictive license of all, and the methodology chapter states its limit before the results confront it. If the citation variable has variance, its coefficient is licensed to claim a conditional association between attention and topic expression. If the citation variable is constant across the corpus, the coefficient is not licensed to claim anything, because a constant predictor carries no information and its estimated slope is an artifact of the constant, not a measured relationship. The estimator will return a zero in that case, and the honest reading of that zero is undecidability, not the absence of an effect. Distinguishing those two readings is the single most important interpretive act in the whole results chapter, and the methodology fixes the rule for it here so that the distinction is not improvised later</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6"/>
    <w:bookmarkStart w:id="97" w:name="X7810d59249b916933077cdf34c4939871ab8a94"/>
    <w:p>
      <w:pPr>
        <w:pStyle w:val="Heading2"/>
        <w:spacing w:line="480" w:lineRule="auto"/>
      </w:pPr>
      <w:r>
        <w:t xml:space="preserve">The learning curve elasticity and the progress ratio</w:t>
      </w:r>
    </w:p>
    <w:p>
      <w:pPr>
        <w:pStyle w:val="FirstParagraph"/>
        <w:spacing w:line="480" w:lineRule="auto"/>
      </w:pPr>
      <w:r>
        <w:t xml:space="preserve">The second model’s slope deserves the same precise treatment, because the learning curve form carries a specific vocabulary that must be read correctly. The slope on log age is an elasticity: it reports the percentage change in citation count associated with a one percent change in article age. The learning curve tradition also expresses that slope as a progress ratio, computed as two raised to the elasticity, which reports the multiplicative change in the outcome associated with a doubling of the predictor. A progress ratio below one would mean the outcome falls as age doubles; a ratio above one would mean it rises; a ratio of exactly one would mean a doubling of age is associated with no change at all. That last case is the fingerprint of a flat outcome, and it is what a zero variance dependent variable must produce, because a constant cannot change no matter how the predictor moves</w:t>
      </w:r>
      <w:r>
        <w:t xml:space="preserve"> </w:t>
      </w:r>
      <w:hyperlink w:anchor="ref-5">
        <w:r>
          <w:rPr>
            <w:rStyle w:val="Hyperlink"/>
          </w:rPr>
          <w:t xml:space="preserve">[5]</w:t>
        </w:r>
      </w:hyperlink>
      <w:r>
        <w:t xml:space="preserve">.</w:t>
      </w:r>
    </w:p>
    <w:p>
      <w:pPr>
        <w:pStyle w:val="BodyText"/>
        <w:spacing w:line="480" w:lineRule="auto"/>
        <w:ind w:firstLine="720"/>
      </w:pPr>
      <w:r>
        <w:t xml:space="preserve">Reading the progress ratio correctly is therefore a guard against misinterpretation. A progress ratio of one is not evidence that the field fails to accumulate attention. It is evidence that the outcome variable did not move across the sample, which, when the outcome is citation count plus one and every citation count is zero, is a statement about the completeness of the citation field rather than about the field’s cumulative character. The methodology insists on this reading in advance, so that a degenerate elasticity is recognized as a data boundary the moment it appears rather than being mistaken for a substantive null.</w:t>
      </w:r>
    </w:p>
    <w:bookmarkEnd w:id="97"/>
    <w:bookmarkStart w:id="98" w:name="X4637d3c54d664c74d21144d4121e3451d66eec7"/>
    <w:p>
      <w:pPr>
        <w:pStyle w:val="Heading2"/>
        <w:spacing w:line="480" w:lineRule="auto"/>
      </w:pPr>
      <w:r>
        <w:t xml:space="preserve">Robustness within the limits of the design</w:t>
      </w:r>
    </w:p>
    <w:p>
      <w:pPr>
        <w:pStyle w:val="FirstParagraph"/>
        <w:spacing w:line="480" w:lineRule="auto"/>
      </w:pPr>
      <w:r>
        <w:t xml:space="preserve">Robustness checks on a corpus of thirty traceable rows must be honest about what they can accomplish. The design cannot support the elaborate battery of alternative specifications that a large sample would invite, and pretending otherwise would betray the auditability the whole project rests on. What it can support is a set of internal consistency checks that any reader can perform. The first is arithmetic reproduction: because the feature extraction is deterministic, rerunning it on the same source collection must reproduce the same rows, and rerunning the estimators on those rows must reproduce the same coefficients to full precision. A result that failed to reproduce would signal an error in the workbook, and its absence is a minimal but real form of robustness.</w:t>
      </w:r>
    </w:p>
    <w:p>
      <w:pPr>
        <w:pStyle w:val="BodyText"/>
        <w:spacing w:line="480" w:lineRule="auto"/>
        <w:ind w:firstLine="720"/>
      </w:pPr>
      <w:r>
        <w:t xml:space="preserve">The second check is variance inspection. Before reading any coefficient, one can inspect whether each predictor and the outcome actually vary across the sample, because a coefficient on a constant is meaningless. This check is what surfaces the empty citation field, and performing it openly is more valuable than any post hoc correction, because it locates the boundary of the design precisely. The third check is sign and magnitude sanity: the recency and venue coefficients should carry the signs the theory predicted and magnitudes that fit within the observed range of the outcome, and a coefficient that implied topic signals far outside the observed range would flag a specification problem. These three checks are modest, but they are the appropriate robustness regime for a design whose credibility comes from transparency rather than from the volume of its data, and the results chapter reports the outcome of each rather than gesturing at robustness in the abstract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8"/>
    <w:bookmarkStart w:id="99" w:name="X43bc1dc883da2ab25a8b19afea5c32edcbf2f5f"/>
    <w:p>
      <w:pPr>
        <w:pStyle w:val="Heading2"/>
        <w:spacing w:line="480" w:lineRule="auto"/>
      </w:pPr>
      <w:r>
        <w:t xml:space="preserve">The choice of robust standard errors, defended</w:t>
      </w:r>
    </w:p>
    <w:p>
      <w:pPr>
        <w:pStyle w:val="FirstParagraph"/>
        <w:spacing w:line="480" w:lineRule="auto"/>
      </w:pPr>
      <w:r>
        <w:t xml:space="preserve">The decision to use HC1 heteroskedasticity consistent standard errors throughout deserves a fuller defense than a passing mention, because the alternative, classical standard errors that assume constant error variance, would have been simpler and is the default in much applied work. The defense rests on what we know about the data generating structure. The topic signal is a bounded count constructed from theme term hits, and its dispersion is unlikely to be uniform across the range of the predictors. A record that is recent and sits in a high venue family expresses the topic densely and may do so with more variability than an old adjacency compilation whose low signal is nearly deterministic. Under such conditions, classical standard errors would misstate the precision of the coefficients, generally understating it where the variance is high, and the inference drawn from them would be unreliable.</w:t>
      </w:r>
    </w:p>
    <w:p>
      <w:pPr>
        <w:pStyle w:val="BodyText"/>
        <w:spacing w:line="480" w:lineRule="auto"/>
        <w:ind w:firstLine="720"/>
      </w:pPr>
      <w:r>
        <w:t xml:space="preserve">The HC1 correction addresses this by estimating the variance of each coefficient from the observed residuals rather than from an assumed constant, and it applies a small sample adjustment appropriate to a corpus of this size. The cost is a modest loss of efficiency when the errors happen to be homoskedastic, which is a cost worth paying to avoid overstated precision. On a sample of thirty rows, where a single overstated p value could mislead a reader about the strength of a finding, the conservative choice is the correct one, and the same correction is applied to both models so that the two are read on a consistent inferential footing. This is a small decision, but transparency requires that even small decisions be defended rather than adopted by default.</w:t>
      </w:r>
    </w:p>
    <w:bookmarkEnd w:id="99"/>
    <w:bookmarkStart w:id="100" w:name="what-a-null-result-buys-methodologically"/>
    <w:p>
      <w:pPr>
        <w:pStyle w:val="Heading2"/>
        <w:spacing w:line="480" w:lineRule="auto"/>
      </w:pPr>
      <w:r>
        <w:t xml:space="preserve">What a null result buys, methodologically</w:t>
      </w:r>
    </w:p>
    <w:p>
      <w:pPr>
        <w:pStyle w:val="FirstParagraph"/>
        <w:spacing w:line="480" w:lineRule="auto"/>
      </w:pPr>
      <w:r>
        <w:t xml:space="preserve">It is worth stating, at the level of method, why the design treats a null or degenerate result as a legitimate output rather than as a failed experiment. In a design built for scope, a null result is often a disappointment, a signal that the study lacked the power or the data to detect an effect that may well exist. In a design built for auditability, a null result carries positive information, provided its cause is diagnosed. The diagnosis is what converts an absence into evidence. A coefficient that is zero because its predictor has no variance tells us something definite: that the corpus cannot speak to that relationship, and that a specific column must be repaired before it can. A coefficient that is zero because the effect is genuinely absent would tell us something different, and the variance inspection distinguishes the two cases cleanly.</w:t>
      </w:r>
    </w:p>
    <w:p>
      <w:pPr>
        <w:pStyle w:val="BodyText"/>
        <w:spacing w:line="480" w:lineRule="auto"/>
        <w:ind w:firstLine="720"/>
      </w:pPr>
      <w:r>
        <w:t xml:space="preserve">This is why the methodology invests so heavily in stating, before estimation, exactly what each kind of zero would mean. The investment pays off in the results chapter, where the estimator returns precisely the zeros the methodology anticipated, and the reader is equipped to read them as boundaries rather than as findings. A method that can only interpret non zero coefficients is brittle, because it has nothing to say when the data decline to move. A method that can interpret zeros, by diagnosing their source, is robust to exactly the kind of data limitation this corpus turns out to have. The identification strategy is therefore not merely a plan for reading effects; it is equally a plan for reading their absence, and both halves of that plan are fixed here so that the results chapter can execute them without improvisation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00"/>
    <w:bookmarkStart w:id="101" w:name="X1f453c0691045d32ce582dd1cae6ab232fb15b7"/>
    <w:p>
      <w:pPr>
        <w:pStyle w:val="Heading2"/>
        <w:spacing w:line="480" w:lineRule="auto"/>
      </w:pPr>
      <w:r>
        <w:t xml:space="preserve">Why ordinary least squares rather than a count model</w:t>
      </w:r>
    </w:p>
    <w:p>
      <w:pPr>
        <w:pStyle w:val="FirstParagraph"/>
        <w:spacing w:line="480" w:lineRule="auto"/>
      </w:pPr>
      <w:r>
        <w:t xml:space="preserve">A methodologically alert reader might ask why the first model uses ordinary least squares when its outcome, the topic signal, is a count. Count outcomes are often modeled with Poisson or negative binomial specifications that respect the discreteness and non negativity of the data, and a reflexive application of best practice might reach for one of those. The choice of ordinary least squares here is deliberate and defensible on the specifics of this case. The topic signal, while integer valued, ranges across a modest span and behaves smoothly, and the estimand of interest is a descriptive conditional association rather than a data generating process to be recovered. On a sample of thirty rows, a count model would introduce distributional assumptions the data cannot verify and would complicate the interpretation of the coefficients without buying additional credibility, while ordinary least squares yields coefficients that map directly onto the theoretical predictions in the units of the outcome itself.</w:t>
      </w:r>
    </w:p>
    <w:p>
      <w:pPr>
        <w:pStyle w:val="BodyText"/>
        <w:spacing w:line="480" w:lineRule="auto"/>
        <w:ind w:firstLine="720"/>
      </w:pPr>
      <w:r>
        <w:t xml:space="preserve">Transparency weighs heavily here. There is also a transparency argument, which weighs heavily in a design built for auditability. Ordinary least squares is the most widely understood estimator in applied work, its output is inspectable by any reader with basic statistical training, and its coefficients require no link function to interpret. A count model’s coefficients live on a transformed scale and demand an extra step of exponentiation and interpretation that would place a small barrier between the reader and the result. For a study whose entire value rests on a reader’s ability to check each step, the estimator that minimizes interpretive friction is the right one, provided its assumptions are not badly violated. On this data they are not, and the robust standard errors guard against the one violation, heteroskedasticity, that is most plausible. The choice is therefore not a lapse but a considered trade of distributional sophistication for interpretive clarity</w:t>
      </w:r>
      <w:r>
        <w:t xml:space="preserve"> </w:t>
      </w:r>
      <w:hyperlink w:anchor="ref-7">
        <w:r>
          <w:rPr>
            <w:rStyle w:val="Hyperlink"/>
          </w:rPr>
          <w:t xml:space="preserve">[7]</w:t>
        </w:r>
      </w:hyperlink>
      <w:r>
        <w:t xml:space="preserve">.</w:t>
      </w:r>
    </w:p>
    <w:bookmarkEnd w:id="101"/>
    <w:bookmarkStart w:id="102" w:name="X251f8a15ae2c7391ebdd482937c2a0efbefca65"/>
    <w:p>
      <w:pPr>
        <w:pStyle w:val="Heading2"/>
        <w:spacing w:line="480" w:lineRule="auto"/>
      </w:pPr>
      <w:r>
        <w:t xml:space="preserve">The identification claim stated at its proper altitude</w:t>
      </w:r>
    </w:p>
    <w:p>
      <w:pPr>
        <w:pStyle w:val="FirstParagraph"/>
        <w:spacing w:line="480" w:lineRule="auto"/>
      </w:pPr>
      <w:r>
        <w:t xml:space="preserve">It is worth ending the methodology by stating the identification claim at the altitude the design supports, neither higher nor lower. The claim is not that recency or venue causes topic expression. The claim is that, within the retained corpus, topic expression is conditionally associated with recency and with venue that is statistically distinguishable from no relationship, and that this association is what a maturing field’s organizational trace would produce. That is a descriptive identification within a defined corpus, and it is honest about being descriptive. It does not smuggle a causal verb into a correlational design, and it does not pretend the corpus is a random sample from a population it was not drawn from.</w:t>
      </w:r>
    </w:p>
    <w:p>
      <w:pPr>
        <w:pStyle w:val="BodyText"/>
        <w:spacing w:line="480" w:lineRule="auto"/>
        <w:ind w:firstLine="720"/>
      </w:pPr>
      <w:r>
        <w:t xml:space="preserve">Pitching the claim at this altitude is what keeps the whole design coherent. A higher claim, that the study identifies a causal effect of time on field importance, would require manipulation and randomization the design does not have. A lower claim, that the study merely describes some numbers, would undersell the fact that the associations are precise, theoretically predicted, and reproducible. The correct altitude is the descriptive conditional association, tied to a specific corpus, read according to pre committed rules, and the methodology fixes that altitude here so the results chapter neither climbs above it nor sinks below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2"/>
    <w:bookmarkEnd w:id="103"/>
    <w:bookmarkStart w:id="115" w:name="data-and-measurement"/>
    <w:p>
      <w:pPr>
        <w:pStyle w:val="Heading1"/>
        <w:spacing w:line="480" w:lineRule="auto"/>
      </w:pPr>
      <w:r>
        <w:t xml:space="preserve">Data and Measurement</w:t>
      </w:r>
    </w:p>
    <w:p>
      <w:pPr>
        <w:pStyle w:val="FirstParagraph"/>
        <w:spacing w:line="480" w:lineRule="auto"/>
      </w:pPr>
      <w:r>
        <w:t xml:space="preserve">The evidence in this dissertation is a small, fully documented dataset. Every row is legible. Thirty and thirty. It is thirty rows in the first estimation file and thirty rows in the second, and every row carries a source label that names the record it was derived from. This chapter walks through where the data come from, how each variable was built, what the variables can and cannot see, and why a dataset of this size and provenance is the right foundation for the auditable design the project promises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04" w:name="X3abee7c1420e296446a02e445b5683928af7b8c"/>
    <w:p>
      <w:pPr>
        <w:pStyle w:val="Heading2"/>
        <w:spacing w:line="480" w:lineRule="auto"/>
      </w:pPr>
      <w:r>
        <w:t xml:space="preserve">Provenance: from source collection to rows</w:t>
      </w:r>
    </w:p>
    <w:p>
      <w:pPr>
        <w:pStyle w:val="FirstParagraph"/>
        <w:spacing w:line="480" w:lineRule="auto"/>
      </w:pPr>
      <w:r>
        <w:t xml:space="preserve">The universe of the study is the candidate’s local source collection, a retained collection of technical, forecasting, and governance records relevant to calibration and reentry prediction. From that universe, a deterministic feature extraction produced the rows used in estimation. The extraction is deterministic in a strict sense: given the same source collection, it yields the same rows, the same variable values, and therefore the same estimator output. That property is what makes the empirical claims reproducible rather than merely asserted, and it is the reason the workbooks are embedded in the appendices rather than described in prose.</w:t>
      </w:r>
    </w:p>
    <w:p>
      <w:pPr>
        <w:pStyle w:val="BodyText"/>
        <w:spacing w:line="480" w:lineRule="auto"/>
        <w:ind w:firstLine="720"/>
      </w:pPr>
      <w:r>
        <w:t xml:space="preserve">Each row preserves four pieces of provenance: the source label, the publication year, the venue family, and the derived variables the estimators consume. The source labels are legible on inspection. They range from local syntheses of tracking and impact prediction and reentry uncertainty, through adjacency compilations tied to conference proceedings, to forecast window and calibration syntheses drawn from the retained record. A reader who doubts any single observation can read its source column and judge for themselves whether the row belongs, which is the entire purpose of keeping provenance attached to every data point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4"/>
    <w:bookmarkStart w:id="105" w:name="the-first-dataset-and-its-variables"/>
    <w:p>
      <w:pPr>
        <w:pStyle w:val="Heading2"/>
        <w:spacing w:line="480" w:lineRule="auto"/>
      </w:pPr>
      <w:r>
        <w:t xml:space="preserve">The first dataset and its variables</w:t>
      </w:r>
    </w:p>
    <w:p>
      <w:pPr>
        <w:pStyle w:val="FirstParagraph"/>
        <w:spacing w:line="480" w:lineRule="auto"/>
      </w:pPr>
      <w:r>
        <w:t xml:space="preserve">The first estimation file supports the ordinary least squares model. It contains thirty records spanning publication years from 2007 to 2026, and it carries four constructed variables plus supporting metadata.</w:t>
      </w:r>
    </w:p>
    <w:p>
      <w:pPr>
        <w:pStyle w:val="BodyText"/>
        <w:spacing w:line="480" w:lineRule="auto"/>
        <w:ind w:firstLine="720"/>
      </w:pPr>
      <w:r>
        <w:t xml:space="preserve">The outcome is the topic signal score. It is a composite count built deterministically from theme term hits across four fields of each source record: the title, the snippet, the keyword field, and the author metadata. A record whose title, snippet, and keywords all speak directly to reentry, decay, calibration, or forecasting accumulates a high score; a record that touches the topic only obliquely, through conference adjacency, accumulates a low one. In the data, the score ranges from a low of one, for older adjacency compilations, up to ten, for the most recent and most on topic local syntheses. This is a proxy for topic expression, and the chapter is deliberate in calling it a proxy: it measures how strongly a record’s metadata speaks the topic’s language, not how good any forecast is.</w:t>
      </w:r>
    </w:p>
    <w:p>
      <w:pPr>
        <w:pStyle w:val="BodyText"/>
        <w:spacing w:line="480" w:lineRule="auto"/>
        <w:ind w:firstLine="720"/>
      </w:pPr>
      <w:r>
        <w:t xml:space="preserve">The recency index is publication year minus the minimum publication year in the sample plus one. With the earliest record at 2007, the index runs from one at the oldest to twenty at the newest, giving a clean integer measure of how recent each record is relative to the sample floor. It is constructed this way so that the oldest record anchors at one rather than zero, keeping the scale strictly positive and easy to read.</w:t>
      </w:r>
    </w:p>
    <w:p>
      <w:pPr>
        <w:pStyle w:val="BodyText"/>
        <w:spacing w:line="480" w:lineRule="auto"/>
        <w:ind w:firstLine="720"/>
      </w:pPr>
      <w:r>
        <w:t xml:space="preserve">The citation count is parsed from the citation field of the local index, and it is set to zero when the index reports no count. This variable is the source of the design’s sharpest measurement limitation, and honesty requires stating it plainly here rather than burying it in the results. In the first dataset, every one of the thirty records carries a citation count of zero. The local index simply did not report citation figures for these records. The variable is present, it is correctly constructed from the field it is defined on, and it has no variance whatsoever. The consequence for estimation is developed in the results chapter, but the reader should meet the fact here, at the point of measurement, so that nothing in the results comes as a surprise.</w:t>
      </w:r>
    </w:p>
    <w:p>
      <w:pPr>
        <w:pStyle w:val="BodyText"/>
        <w:spacing w:line="480" w:lineRule="auto"/>
        <w:ind w:firstLine="720"/>
      </w:pPr>
      <w:r>
        <w:t xml:space="preserve">Ranks, not quantities. The venue score is an ordinal family code: AMOS conference adjacency scores one, Acta Astronautica scores two, Space Economy sources score three, and local syntheses score four. The ordering is a claim about the retained corpus, that dedicated local syntheses express the topic most directly while conference adjacency expresses it most diffusely, and it is ordinal rather than cardinal. A venue score of four is not twice a venue score of two in any meaningful sense; it is simply higher on the family ranking. The results chapter treats the venue coefficient with that ordinality in mind and refuses to read cardinal magnitude into an ordinal scale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5"/>
    <w:bookmarkStart w:id="106" w:name="the-second-dataset-and-its-variables"/>
    <w:p>
      <w:pPr>
        <w:pStyle w:val="Heading2"/>
        <w:spacing w:line="480" w:lineRule="auto"/>
      </w:pPr>
      <w:r>
        <w:t xml:space="preserve">The second dataset and its variables</w:t>
      </w:r>
    </w:p>
    <w:p>
      <w:pPr>
        <w:pStyle w:val="FirstParagraph"/>
        <w:spacing w:line="480" w:lineRule="auto"/>
      </w:pPr>
      <w:r>
        <w:t xml:space="preserve">The second estimation file supports the learning curve model. It also contains thirty records, drawn from the same universe, and it carries two constructed variables built for the accumulation question.</w:t>
      </w:r>
    </w:p>
    <w:p>
      <w:pPr>
        <w:pStyle w:val="BodyText"/>
        <w:spacing w:line="480" w:lineRule="auto"/>
        <w:ind w:firstLine="720"/>
      </w:pPr>
      <w:r>
        <w:t xml:space="preserve">The outcome is citation count plus one. The shift keeps zeros in. The shift by one is a deliberate device: the logarithm of zero is undefined, and adding one before taking the logarithm keeps every record, including the uncited ones, inside the estimation. Because every citation count in the corpus is zero, every value of citation count plus one is exactly one across all thirty rows. This is not an error in the data; it is a property of the data, and it determines what the second model can and cannot estimate.</w:t>
      </w:r>
    </w:p>
    <w:p>
      <w:pPr>
        <w:pStyle w:val="BodyText"/>
        <w:spacing w:line="480" w:lineRule="auto"/>
        <w:ind w:firstLine="720"/>
      </w:pPr>
      <w:r>
        <w:t xml:space="preserve">The age index is 2026 minus publication year plus one. It varies fully. It runs from one for the most recent records up to twenty for the oldest, giving the model a clean, strictly positive measure of how old each record is. The age index has full variation across the sample. The difficulty, developed in the next chapter, is not on the predictor side but on the outcome side, where the shifted citation count is constant.</w:t>
      </w:r>
    </w:p>
    <w:bookmarkEnd w:id="106"/>
    <w:bookmarkStart w:id="107" w:name="why-thirty-traceable-rows"/>
    <w:p>
      <w:pPr>
        <w:pStyle w:val="Heading2"/>
        <w:spacing w:line="480" w:lineRule="auto"/>
      </w:pPr>
      <w:r>
        <w:t xml:space="preserve">Why thirty traceable rows</w:t>
      </w:r>
    </w:p>
    <w:p>
      <w:pPr>
        <w:pStyle w:val="FirstParagraph"/>
        <w:spacing w:line="480" w:lineRule="auto"/>
      </w:pPr>
      <w:r>
        <w:t xml:space="preserve">A reasonable reader may ask why the study rests on thirty rows rather than thirty thousand. The answer is deliberate. The answer is that the design purchases auditability with scope, and does so on purpose. A larger corpus assembled by opaque scraping would multiply the observations while dissolving the provenance, and the central methodological commitment, that every number traces to an inspectable source, would be lost. Thirty rows, each with a legible source label, a documented construction rule, and a place in an embedded workbook, let a skeptic rerun the entire analysis and verify each claim. That is worth more, for a design whose contribution is transparency, than a large sample no one can check</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measurement chapter therefore closes on the same discipline it opened with. The data are strongest when they are asked whether observable records contain structure, and they are weakest when read as proof of a causal effect outside the retained corpus. The next chapter honors that boundary by reporting the exact estimator output, including the places where a variable with no variance forces a model into silence, and by interpreting every number strictly as evidence about the measured record</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7"/>
    <w:bookmarkStart w:id="108" w:name="X591313404b7cd0fc492a7f068b12a3b8c268ac0"/>
    <w:p>
      <w:pPr>
        <w:pStyle w:val="Heading2"/>
        <w:spacing w:line="480" w:lineRule="auto"/>
      </w:pPr>
      <w:r>
        <w:t xml:space="preserve">A closer look at the distribution of the topic signal</w:t>
      </w:r>
    </w:p>
    <w:p>
      <w:pPr>
        <w:pStyle w:val="FirstParagraph"/>
        <w:spacing w:line="480" w:lineRule="auto"/>
      </w:pPr>
      <w:r>
        <w:t xml:space="preserve">Because the topic signal is the outcome that carries the affirmative finding, its distribution across the corpus deserves description rather than a single summary number. The signal is not spread evenly. The highest scores cluster among the recent local syntheses: the two 2026 records, a tracking and impact prediction synthesis and a forecast window experiment synthesis, carry the strongest signals in the sample. The scores decline steadily as the records age, so that the oldest adjacency compilations from the late 2000s carry the lowest signals. This monotone decline with age is visible in the raw data before any model is fit, and it is the pattern the recency coefficient will later formalize. Describing it here, at the level of the rows themselves, lets a reader see that the eventual regression result is not an artifact of the estimator but a feature already present in the observations</w:t>
      </w:r>
      <w:r>
        <w:t xml:space="preserve"> </w:t>
      </w:r>
      <w:hyperlink w:anchor="ref-3">
        <w:r>
          <w:rPr>
            <w:rStyle w:val="Hyperlink"/>
          </w:rPr>
          <w:t xml:space="preserve">[3]</w:t>
        </w:r>
      </w:hyperlink>
      <w:r>
        <w:t xml:space="preserve">.</w:t>
      </w:r>
    </w:p>
    <w:p>
      <w:pPr>
        <w:pStyle w:val="BodyText"/>
        <w:spacing w:line="480" w:lineRule="auto"/>
        <w:ind w:firstLine="720"/>
      </w:pPr>
      <w:r>
        <w:t xml:space="preserve">The venue families also separate visibly in the raw signal. The local synthesis records, which sit at the top of the ordinal venue scale, tend to carry higher topic signals than the conference adjacency compilations, which sit at the bottom. Some of this separation is entangled with age, because the local syntheses are also the more recent records, and the measurement chapter is candid that recency and venue are not fully independent in this corpus. The regression will attempt to hold one fixed while reading the other, but with thirty rows the separation cannot be made perfectly clean, and the honest description of the raw data shows why: the high venue records and the recent records overlap substantially in the sample</w:t>
      </w:r>
      <w:r>
        <w:t xml:space="preserve"> </w:t>
      </w:r>
      <w:hyperlink w:anchor="ref-2">
        <w:r>
          <w:rPr>
            <w:rStyle w:val="Hyperlink"/>
          </w:rPr>
          <w:t xml:space="preserve">[2]</w:t>
        </w:r>
      </w:hyperlink>
      <w:r>
        <w:t xml:space="preserve">.</w:t>
      </w:r>
    </w:p>
    <w:bookmarkEnd w:id="108"/>
    <w:bookmarkStart w:id="109" w:name="the-citation-field-as-a-measurement-fact"/>
    <w:p>
      <w:pPr>
        <w:pStyle w:val="Heading2"/>
        <w:spacing w:line="480" w:lineRule="auto"/>
      </w:pPr>
      <w:r>
        <w:t xml:space="preserve">The citation field as a measurement fact</w:t>
      </w:r>
    </w:p>
    <w:p>
      <w:pPr>
        <w:pStyle w:val="FirstParagraph"/>
        <w:spacing w:line="480" w:lineRule="auto"/>
      </w:pPr>
      <w:r>
        <w:t xml:space="preserve">The single most consequential fact about this dataset is one column, and it is worth stating a third time in the plainest possible terms because so much of the results turns on it. The citation count is zero in every row of both estimation files. This is not a coding error and it is not a defensible analytical choice; it is a property of the local index from which the counts were parsed, which reported no citation figures for these particular records. The variable was constructed exactly as its definition specifies, parsed from the citation field and set to zero where the index reported nothing, and the index reported nothing for all thirty records. The result is a correctly built variable with zero variance.</w:t>
      </w:r>
    </w:p>
    <w:p>
      <w:pPr>
        <w:pStyle w:val="BodyText"/>
        <w:spacing w:line="480" w:lineRule="auto"/>
        <w:ind w:firstLine="720"/>
      </w:pPr>
      <w:r>
        <w:t xml:space="preserve">A dataset can be entirely valid and still be unable to answer certain questions, and this is such a case. The presence of a zero variance citation column does not compromise the recency or venue findings in the least, because those predictors vary fully and their coefficients are estimated on that variation. What the empty citation column does is foreclose two specific questions: whether topic expression tracks citation attention, and whether attention accumulates with age. Both questions depend on the one column that does not move, and both will therefore go dark in the results. Meeting this fact squarely at the measurement stage is what allows the results chapter to report the resulting zeros as boundaries rather than as findings, and it is a better service to the reader than a dataset that quietly dropped the dead variable and left its absence unexplained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9"/>
    <w:bookmarkStart w:id="110" w:name="traceability-as-a-standing-invitation"/>
    <w:p>
      <w:pPr>
        <w:pStyle w:val="Heading2"/>
        <w:spacing w:line="480" w:lineRule="auto"/>
      </w:pPr>
      <w:r>
        <w:t xml:space="preserve">Traceability as a standing invitation</w:t>
      </w:r>
    </w:p>
    <w:p>
      <w:pPr>
        <w:pStyle w:val="FirstParagraph"/>
        <w:spacing w:line="480" w:lineRule="auto"/>
      </w:pPr>
      <w:r>
        <w:t xml:space="preserve">The chapter closes by restating the invitation that the provenance design extends to every reader. Because each row carries its source label, its construction rule lives in a configuration file, and the estimation runs from an embedded workbook, the entire empirical claim of the dissertation is open to independent replication. A reader who doubts the recency finding can inspect the thirty source labels, confirm that the topic signals decline with age in the raw rows, and rerun the regression to reproduce the coefficient. A reader who doubts the citation boundary can inspect the citation column, confirm that it is zero throughout, and verify that no valid slope can be fit against a constant. This standing invitation is the measurement chapter’s deepest commitment, and it is the reason the design chose thirty legible rows over a larger corpus whose provenance no reader could trace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0"/>
    <w:bookmarkStart w:id="111" w:name="X29e877ed4f96f5d21168221ca7b89508bebd8e9"/>
    <w:p>
      <w:pPr>
        <w:pStyle w:val="Heading2"/>
        <w:spacing w:line="480" w:lineRule="auto"/>
      </w:pPr>
      <w:r>
        <w:t xml:space="preserve">The construction of the topic signal, step by step</w:t>
      </w:r>
    </w:p>
    <w:p>
      <w:pPr>
        <w:pStyle w:val="FirstParagraph"/>
        <w:spacing w:line="480" w:lineRule="auto"/>
      </w:pPr>
      <w:r>
        <w:t xml:space="preserve">Because the topic signal is the outcome that carries the study’s affirmative finding, its construction deserves a fuller walkthrough than a definition can provide. The signal is a deterministic count, which means it involves no judgment call at the point of measurement and no model to be estimated before the row exists. For each source record, the construction examines four fields: the title, the snippet, the keyword field, and the author metadata. Within each field it counts occurrences of the theme terms that define the candidate topic, terms drawn from the vocabulary of reentry, decay, calibration, and forecasting. Those field level counts are combined into a single composite score for the record, and that composite is the topic signal. The data file also retains the intermediate quantities, the title word count, the snippet word count, the keyword count, and the theme hit count, so that a reader can see how the composite was built and can reconstruct it from its parts.</w:t>
      </w:r>
    </w:p>
    <w:p>
      <w:pPr>
        <w:pStyle w:val="BodyText"/>
        <w:spacing w:line="480" w:lineRule="auto"/>
        <w:ind w:firstLine="720"/>
      </w:pPr>
      <w:r>
        <w:t xml:space="preserve">This transparency at the construction level matters for interpretation. Because the reader can see that the signal rises with theme hits across four metadata fields, they can judge for themselves what the signal does and does not capture. It captures density of topical vocabulary in a record’s metadata. It does not capture the substance of the record’s argument, the quality of its methods, or its standing in the field, because none of those properties is legible in the four fields the construction reads. A reader who understands the construction understands the proxy, and understanding the proxy is the precondition for reading the eventual coefficient without over reading it. The measurement chapter therefore lays the construction bare rather than hiding it behind a definitional gloss.</w:t>
      </w:r>
    </w:p>
    <w:bookmarkEnd w:id="111"/>
    <w:bookmarkStart w:id="112" w:name="Xa5001e4e775cba2c295631782081cf11c879b70"/>
    <w:p>
      <w:pPr>
        <w:pStyle w:val="Heading2"/>
        <w:spacing w:line="480" w:lineRule="auto"/>
      </w:pPr>
      <w:r>
        <w:t xml:space="preserve">Why the venue scale is ordinal and how that constrains interpretation</w:t>
      </w:r>
    </w:p>
    <w:p>
      <w:pPr>
        <w:pStyle w:val="FirstParagraph"/>
        <w:spacing w:line="480" w:lineRule="auto"/>
      </w:pPr>
      <w:r>
        <w:t xml:space="preserve">The venue score carries an interpretive subtlety that the measurement chapter must fix before the results rely on it. The scale assigns AMOS conference adjacency a value of one, Acta Astronautica a two, Space Economy sources a three, and local syntheses a four. These numbers are ranks, not measured quantities. They encode an ordering, the claim that dedicated local syntheses express the topic most directly and conference adjacency most diffusely, but they do not encode equal spacing. The step from adjacency to a specialized journal is not guaranteed to represent the same increment of topic concentration as the step from a specialized journal to a dedicated synthesis, and nothing in the construction forces those steps to be equal.</w:t>
      </w:r>
    </w:p>
    <w:p>
      <w:pPr>
        <w:pStyle w:val="BodyText"/>
        <w:spacing w:line="480" w:lineRule="auto"/>
        <w:ind w:firstLine="720"/>
      </w:pPr>
      <w:r>
        <w:t xml:space="preserve">This ordinality constrains how the venue coefficient may be read. When the regression returns a slope on the venue score, that slope is an average per rank increment across the scale, and it should be interpreted as a direction and an approximate magnitude rather than as an exact cardinal effect. A reader who treated a venue score of four as twice the topic concentration of a venue score of two would be importing a cardinal assumption the scale does not support. The measurement chapter states this limit here so that the results chapter can report the venue coefficient’s sign and precision with confidence while remaining appropriately modest about its exact magnitude. Fixing the interpretive constraint at the point of measurement, rather than discovering it during interpretation, is how the design keeps its reading of every coefficient honest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2"/>
    <w:bookmarkStart w:id="113" w:name="the-two-datasets-and-their-shared-spine"/>
    <w:p>
      <w:pPr>
        <w:pStyle w:val="Heading2"/>
        <w:spacing w:line="480" w:lineRule="auto"/>
      </w:pPr>
      <w:r>
        <w:t xml:space="preserve">The two datasets and their shared spine</w:t>
      </w:r>
    </w:p>
    <w:p>
      <w:pPr>
        <w:pStyle w:val="FirstParagraph"/>
        <w:spacing w:line="480" w:lineRule="auto"/>
      </w:pPr>
      <w:r>
        <w:t xml:space="preserve">The two estimation files are not independent constructions; they share a spine, and understanding that shared structure clarifies why one model can succeed while the other collapses. Both files draw on the same thirty source records, spanning the same range of publication years, and both preserve the same source labels and the same underlying signal and citation fields. What differs is which derived variables each file foregrounds. The first file foregrounds the topic signal as an outcome and builds the recency index and venue score as predictors, all of which carry variation. The second file foregrounds citation count plus one as an outcome and builds the age index as a predictor, and here the shared spine reveals its consequence: the citation field the second outcome depends on is the same empty field that the first model’s citation predictor exposed.</w:t>
      </w:r>
    </w:p>
    <w:p>
      <w:pPr>
        <w:pStyle w:val="BodyText"/>
        <w:spacing w:line="480" w:lineRule="auto"/>
        <w:ind w:firstLine="720"/>
      </w:pPr>
      <w:r>
        <w:t xml:space="preserve">This shared dependence is why the two models fail and succeed together in a specific pattern. The first model succeeds on the recency and venue channels because those variables vary, and it goes silent on the citation channel because that variable does not. The second model, whose outcome is built entirely from the citation field, has nowhere to turn when that field is constant, and it collapses entirely. The pattern is not a coincidence of two separate analyses; it is a single fact about one shared column expressing itself in two places. Presenting the datasets as a shared spine rather than as unrelated files makes that single fact legible, and it prepares the reader to see the results chapter’s two silences as one phenomenon viewed from two angles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3"/>
    <w:bookmarkStart w:id="114" w:name="X09586961148ac5928bb78046bb5957191c72d5a"/>
    <w:p>
      <w:pPr>
        <w:pStyle w:val="Heading2"/>
        <w:spacing w:line="480" w:lineRule="auto"/>
      </w:pPr>
      <w:r>
        <w:t xml:space="preserve">Measurement validity and the fit between question and data</w:t>
      </w:r>
    </w:p>
    <w:p>
      <w:pPr>
        <w:pStyle w:val="FirstParagraph"/>
        <w:spacing w:line="480" w:lineRule="auto"/>
      </w:pPr>
      <w:r>
        <w:t xml:space="preserve">The measurement chapter closes on the principle that governs the entire design: validity is a matter of fit between the question asked and the data available, not a property the data possess in the abstract. These thirty rows are valid, highly valid, for the question of whether the retained corpus contains structured topic expression across recency and venue, because those variables vary and the construction is transparent. The same thirty rows are invalid, not through any defect but through a mismatch, for the question of whether citation attention tracks topic expression or accumulates with age, because the citation field that both those questions require is empty. A single dataset can be simultaneously well suited to one question and unsuited to another, and pretending otherwise, by forcing a model onto a variable that cannot support it, would be the error the design most wants to avoid.</w:t>
      </w:r>
    </w:p>
    <w:p>
      <w:pPr>
        <w:pStyle w:val="BodyText"/>
        <w:spacing w:line="480" w:lineRule="auto"/>
        <w:ind w:firstLine="720"/>
      </w:pPr>
      <w:r>
        <w:t xml:space="preserve">Recognizing this fit as the true criterion of validity is what lets the results chapter report a mixed outcome without embarrassment. The strong findings are valid because their question fits the data. The silences are honest because their question does not, and the chapter says so plainly rather than manufacturing a coefficient to paper over the mismatch. A dataset assessed for fit rather than for abstract quality yields exactly this kind of differentiated verdict, and the measurement chapter has tried to equip the reader to see why some of the coming results are strong, some are silent, and both readings are correct given the fit between each question and the thirty rows that must answer it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4"/>
    <w:bookmarkEnd w:id="115"/>
    <w:bookmarkStart w:id="125" w:name="results"/>
    <w:p>
      <w:pPr>
        <w:pStyle w:val="Heading1"/>
        <w:spacing w:line="480" w:lineRule="auto"/>
      </w:pPr>
      <w:r>
        <w:t xml:space="preserve">Results</w:t>
      </w:r>
    </w:p>
    <w:p>
      <w:pPr>
        <w:pStyle w:val="FirstParagraph"/>
        <w:spacing w:line="480" w:lineRule="auto"/>
      </w:pPr>
      <w:r>
        <w:t xml:space="preserve">This chapter reports what the two workbooks produce, exactly as they produce it, and interprets the signs and magnitudes without reaching past them. The reporting convention is strict. Every coefficient, standard error, p value, and fit statistic is stated as the estimator returned it, including the one coefficient that could not be estimated and the second model that could not be fit at all. Those non results are not omitted. Silence is data too. They are among the most informative outputs the study produced, and the discipline of reporting them is the point of the whole design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6" w:name="X5b3f788ad48219a0c4e7feb9befe4c924c85283"/>
    <w:p>
      <w:pPr>
        <w:pStyle w:val="Heading2"/>
        <w:spacing w:line="480" w:lineRule="auto"/>
      </w:pPr>
      <w:r>
        <w:t xml:space="preserve">Paper 1: ordinary least squares on the topic signal</w:t>
      </w:r>
    </w:p>
    <w:p>
      <w:pPr>
        <w:pStyle w:val="FirstParagraph"/>
        <w:spacing w:line="480" w:lineRule="auto"/>
      </w:pPr>
      <w:r>
        <w:t xml:space="preserve">The first model regresses the topic signal score on the recency index, the citation count, and the venue score, across thirty retrieved records, with robust HC1 standard errors. The overall fit is strong. Very strong. The workbook reports N equal to 30, an R squared of 0.9391339710578122, an adjusted R squared of 0.9346253763213538, an F statistic of 191.31208012038547, and an F test p value of 1.1381662448696156e-16. The model accounts for roughly ninety four percent of the variation in the topic signal across the corpus, and the joint test that all slopes are zero is rejected at a vanishingly small significance level.</w:t>
      </w:r>
    </w:p>
    <w:p>
      <w:pPr>
        <w:pStyle w:val="BodyText"/>
        <w:spacing w:line="480" w:lineRule="auto"/>
        <w:ind w:firstLine="720"/>
      </w:pPr>
      <w:r>
        <w:t xml:space="preserve">The term level estimates are as follows. The constant has a coefficient of -1.4037918697354708, a standard error of 0.2616, and a p value of 8.043666214737682e-08. The recency index has a coefficient of 0.2944192466969042, a standard error of 0.0249, and a p value of 3.8447904184141333e-32. The citation count has a coefficient of 0.0, a standard error of 0.0, and a p value that the workbook reports as not available. The venue score has a coefficient of 1.341268276192352, a standard error of 0.1784, and a p value of 5.4747645811561035e-14.</w:t>
      </w:r>
    </w:p>
    <w:p>
      <w:pPr>
        <w:pStyle w:val="BodyText"/>
        <w:spacing w:line="480" w:lineRule="auto"/>
        <w:ind w:firstLine="720"/>
      </w:pPr>
      <w:r>
        <w:t xml:space="preserve">Take the recency coefficient first. It carries the core prediction. Its value of 0.2944192466969042 says that, holding venue and citation fixed, each one unit increase in the recency index is associated with roughly a third of a point increase in the topic signal score. Across the full twenty point span of the recency index from oldest to newest, that compounds to nearly six points of topic signal, which is most of the observed range of the outcome. The p value of 3.8447904184141333e-32 is not merely below any conventional threshold; it is small enough that the association between recency and topic expression in this corpus is about as clean a signal as a dataset of thirty rows can produce. The sign is positive, exactly as the maturation mechanism predicted: newer records speak the topic’s language more strongly than older ones</w:t>
      </w:r>
      <w:r>
        <w:t xml:space="preserve"> </w:t>
      </w:r>
      <w:hyperlink w:anchor="ref-3">
        <w:r>
          <w:rPr>
            <w:rStyle w:val="Hyperlink"/>
          </w:rPr>
          <w:t xml:space="preserve">[3]</w:t>
        </w:r>
      </w:hyperlink>
      <w:r>
        <w:t xml:space="preserve">.</w:t>
      </w:r>
    </w:p>
    <w:p>
      <w:pPr>
        <w:pStyle w:val="BodyText"/>
        <w:spacing w:line="480" w:lineRule="auto"/>
        <w:ind w:firstLine="720"/>
      </w:pPr>
      <w:r>
        <w:t xml:space="preserve">The venue coefficient tells the second predicted story. Moving one step up the ordinal venue family, from conference adjacency toward specialized journals and dedicated syntheses, is associated with a gain of roughly one and a third points of topic signal, with a p value of 5.4747645811561035e-14. The estimate is precise and positive, which is the direction the theory anticipated: the strongest expressions of the topic concentrate in the venues a field builds when it takes itself seriously. The ordinality of the scale means this magnitude should be read as a per step gain along a ranking, not as a cardinal quantity, but the sign and the precision are unambiguous.</w:t>
      </w:r>
    </w:p>
    <w:p>
      <w:pPr>
        <w:pStyle w:val="BodyText"/>
        <w:spacing w:line="480" w:lineRule="auto"/>
        <w:ind w:firstLine="720"/>
      </w:pPr>
      <w:r>
        <w:t xml:space="preserve">The constant, at -1.4037918697354708 with a p value of 8.043666214737682e-08, is the fitted topic signal for a hypothetical record at the bottom of every scale. It is negative, which simply reflects that the linear surface, extrapolated to the lowest recency and venue values, dips below zero; it is not a substantive quantity to interpret on its own, and no observed record sits at that extrapolated corner.</w:t>
      </w:r>
    </w:p>
    <w:p>
      <w:pPr>
        <w:pStyle w:val="BodyText"/>
        <w:spacing w:line="480" w:lineRule="auto"/>
        <w:ind w:firstLine="720"/>
      </w:pPr>
      <w:r>
        <w:t xml:space="preserve">Then there is the citation coefficient, and it is the most honest line in the results. It is reported as 0.0 with a standard error of 0.0 and a p value that is not available. This is not a finding that citations do not matter. It is a direct consequence of the data described in the measurement chapter: every one of the thirty records carries a citation count of zero, so the predictor has no variance, and a predictor with no variance cannot be assigned a slope. The workbook does the correct thing. It does not invent a coefficient for a variable that does not move; it returns a zero with an undefined p value, which is the estimator’s way of saying the question cannot be answered from this column. Reporting that transparently, rather than dropping the variable and quietly pretending it was never specified, is exactly the auditability the design was built to demonstrate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Paper 1 verdict is therefore split, and honestly so. The null hypothesis is decisively rejected through the recency and venue channels: the topic signal is systematically related to publication recency and venue family, in the predicted positive direction, with overwhelming precision. The citation channel returns nothing, and the correct reading is not that attention is irrelevant but that this corpus lacks the citation variation needed to test it. Two of three predicted relationships are confirmed with strength; the third is undecidable on the available data, and the results say so</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6"/>
    <w:bookmarkStart w:id="117" w:name="X5af3636e4966be94284b35313b8d9ab2f25c92a"/>
    <w:p>
      <w:pPr>
        <w:pStyle w:val="Heading2"/>
        <w:spacing w:line="480" w:lineRule="auto"/>
      </w:pPr>
      <w:r>
        <w:t xml:space="preserve">Paper 2: the log log learning curve on citation accumulation</w:t>
      </w:r>
    </w:p>
    <w:p>
      <w:pPr>
        <w:pStyle w:val="FirstParagraph"/>
        <w:spacing w:line="480" w:lineRule="auto"/>
      </w:pPr>
      <w:r>
        <w:t xml:space="preserve">The second model regresses the log of citation count plus one on the log of article age, across thirty records, again with robust HC1 standard errors. Here the workbook returns a degenerate fit. The reason follows directly from the same fact that silenced the citation coefficient in the first model.</w:t>
      </w:r>
    </w:p>
    <w:p>
      <w:pPr>
        <w:pStyle w:val="BodyText"/>
        <w:spacing w:line="480" w:lineRule="auto"/>
        <w:ind w:firstLine="720"/>
      </w:pPr>
      <w:r>
        <w:t xml:space="preserve">The workbook reports N equal to 30, an R squared reported as not available, an elasticity coefficient of 0.0, and a progress ratio, computed as two raised to the elasticity, of 1.0. The term level output is a constant coefficient of 0.0 with a standard error of 0.0 and a p value reported as not available, and a log age coefficient, labeled the slope on the natural log of age, of 0.0 with a standard error of 0.0 and a p value reported as not available.</w:t>
      </w:r>
    </w:p>
    <w:p>
      <w:pPr>
        <w:pStyle w:val="BodyText"/>
        <w:spacing w:line="480" w:lineRule="auto"/>
        <w:ind w:firstLine="720"/>
      </w:pPr>
      <w:r>
        <w:t xml:space="preserve">The interpretation is unambiguous once the data are held in view. Every citation count is zero. Every citation count in the corpus is zero, so citation count plus one equals one in every row, and the natural logarithm of one is zero in every row. The dependent variable is therefore identically zero across all thirty observations. A dependent variable with no variance cannot be regressed on anything; there is no dispersion for a slope to explain, R squared is undefined because the total sum of squares is zero, and the fitted elasticity collapses to zero by construction. The progress ratio of exactly one is the same statement in learning curve language: an elasticity of zero implies that doubling article age is associated with no change in accumulated citations, which is what a flat, zero variance outcome must yield.</w:t>
      </w:r>
    </w:p>
    <w:p>
      <w:pPr>
        <w:pStyle w:val="BodyText"/>
        <w:spacing w:line="480" w:lineRule="auto"/>
        <w:ind w:firstLine="720"/>
      </w:pPr>
      <w:r>
        <w:t xml:space="preserve">This is a null result of a particular and instructive kind. It does not reject the accumulation hypothesis on the merits, and it does not confirm it. It reports that the accumulation channel cannot be read from this corpus at all, because the citation field the model depends on is empty for every record. The theory chapter anticipated exactly this contingency and named it in advance: when the outcome variable is constant, the correct scientific act is to report the silence, identify its cause, and refuse to manufacture a coefficient the data cannot support. The workbook and this chapter do precisely that</w:t>
      </w:r>
      <w:r>
        <w:t xml:space="preserve"> </w:t>
      </w:r>
      <w:hyperlink w:anchor="ref-5">
        <w:r>
          <w:rPr>
            <w:rStyle w:val="Hyperlink"/>
          </w:rPr>
          <w:t xml:space="preserve">[5]</w:t>
        </w:r>
      </w:hyperlink>
      <w:r>
        <w:t xml:space="preserve">.</w:t>
      </w:r>
    </w:p>
    <w:bookmarkEnd w:id="117"/>
    <w:bookmarkStart w:id="118" w:name="reading-the-two-results-together"/>
    <w:p>
      <w:pPr>
        <w:pStyle w:val="Heading2"/>
        <w:spacing w:line="480" w:lineRule="auto"/>
      </w:pPr>
      <w:r>
        <w:t xml:space="preserve">Reading the two results together</w:t>
      </w:r>
    </w:p>
    <w:p>
      <w:pPr>
        <w:pStyle w:val="FirstParagraph"/>
        <w:spacing w:line="480" w:lineRule="auto"/>
      </w:pPr>
      <w:r>
        <w:t xml:space="preserve">The two models, read as a pair, give a bounded and coherent empirical answer. The first model establishes that the retained corpus has strong, statistically clean cross sectional structure in the two channels where the data actually vary: topic expression rises with recency and with venue standing, both at extreme levels of precision. The second model, and the citation coefficient in the first, establish the boundary of the corpus: its citation field is empty, so any hypothesis that routes through citation attention or its accumulation over time is untestable on this data and must wait for a source with populated citation counts.</w:t>
      </w:r>
    </w:p>
    <w:p>
      <w:pPr>
        <w:pStyle w:val="BodyText"/>
        <w:spacing w:line="480" w:lineRule="auto"/>
        <w:ind w:firstLine="720"/>
      </w:pPr>
      <w:r>
        <w:t xml:space="preserve">That pairing is the study’s principal empirical safeguard. It shows which variables carry observable structure and which do not, which proxies are strong enough to bear weight and which are too sparse, and precisely where a later, better resourced design would need to improve the measurement before the remaining hypotheses could be tested. The result is not a rhetorical verdict about analyst reliability. It is an auditable measurement step that reports its strong findings and its silences with equal candor, and that hands a future researcher a clear map of what the next dataset must contain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8"/>
    <w:bookmarkStart w:id="119" w:name="the-magnitude-of-the-fit-examined"/>
    <w:p>
      <w:pPr>
        <w:pStyle w:val="Heading2"/>
        <w:spacing w:line="480" w:lineRule="auto"/>
      </w:pPr>
      <w:r>
        <w:t xml:space="preserve">The magnitude of the fit, examined</w:t>
      </w:r>
    </w:p>
    <w:p>
      <w:pPr>
        <w:pStyle w:val="FirstParagraph"/>
        <w:spacing w:line="480" w:lineRule="auto"/>
      </w:pPr>
      <w:r>
        <w:t xml:space="preserve">The overall fit statistic of the first model rewards a closer look, because a figure as high as an R squared of 0.9391339710578122 can invite either misplaced enthusiasm or reflexive suspicion, and neither is warranted here. The adjusted R squared of 0.9346253763213538 sits only slightly below the raw figure, which tells us that the high explanatory power is not an artifact of overfitting three predictors to a small sample; if it were, the adjustment for degrees of freedom would have pulled the adjusted figure down much further. The F statistic of 191.31208012038547, with its p value of 1.1381662448696156e-16, confirms that the model as a whole explains far more variation than chance would produce. Roughly ninety four percent of the variation in topic signal is accounted for by recency and venue together, and the remaining six percent is the residual scatter around a surface that the two live predictors define tightly.</w:t>
      </w:r>
    </w:p>
    <w:p>
      <w:pPr>
        <w:pStyle w:val="BodyText"/>
        <w:spacing w:line="480" w:lineRule="auto"/>
        <w:ind w:firstLine="720"/>
      </w:pPr>
      <w:r>
        <w:t xml:space="preserve">There is a plain reason the fit is this strong, and naming it guards against overreading. The topic signal, the recency index, and the venue score are all constructed from the same underlying records, and the deterministic construction of the signal from theme term hits produces an outcome that varies smoothly with the same features the predictors encode. A high R squared in this setting is evidence that the constructed variables are internally coherent, that they move together in the way the theory predicted, and it is not independent evidence about the world beyond the corpus. The results chapter reads the fit as a statement about the structure of the retained records, which is exactly the claim the design was built to support, and it declines to read the fit as a measure of how well the topic signal predicts anything outside those thirty rows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9"/>
    <w:bookmarkStart w:id="120" w:name="Xed635566529749fe008d32806f6c1401f73bcee"/>
    <w:p>
      <w:pPr>
        <w:pStyle w:val="Heading2"/>
        <w:spacing w:line="480" w:lineRule="auto"/>
      </w:pPr>
      <w:r>
        <w:t xml:space="preserve">Why two of three predicted relationships survive and one does not</w:t>
      </w:r>
    </w:p>
    <w:p>
      <w:pPr>
        <w:pStyle w:val="FirstParagraph"/>
        <w:spacing w:line="480" w:lineRule="auto"/>
      </w:pPr>
      <w:r>
        <w:t xml:space="preserve">The predicted decision table from the theory chapter can now be filled in against the actual output, and the pattern is instructive. The recency limb of the first alternative is confirmed: the coefficient is positive and its p value of 3.8447904184141333e-32 is about as decisive as a thirty row sample can yield. The venue limb is confirmed: the coefficient is positive and its p value of 5.4747645811561035e-14 is likewise overwhelming. The citation limb is undecidable, because the predictor has no variance, and the estimator correctly returns a zero with an undefined p value rather than a fabricated slope. Two of the three predicted relationships survive with strength, and the third is not refuted but rendered untestable by the data.</w:t>
      </w:r>
    </w:p>
    <w:p>
      <w:pPr>
        <w:pStyle w:val="BodyText"/>
        <w:spacing w:line="480" w:lineRule="auto"/>
        <w:ind w:firstLine="720"/>
      </w:pPr>
      <w:r>
        <w:t xml:space="preserve">This pattern is more informative than a uniform result would have been. A model in which all three predictors came back strong might have tempted a reader to treat the citation channel as confirmed when in fact it was never estimable, and a model in which all three came back weak would have left the maturation claim unsupported. What actually happened is cleaner: the two channels with variation confirmed the theory decisively, and the one channel without variation announced its own boundary. The results chapter treats that split as the honest verdict it is, confirming the recency and venue predictions while marking the citation prediction as awaiting a corpus that reports the counts this one lacked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0"/>
    <w:bookmarkStart w:id="121" w:name="X655215e9f8a7e00799276317dffe2e957efc65a"/>
    <w:p>
      <w:pPr>
        <w:pStyle w:val="Heading2"/>
        <w:spacing w:line="480" w:lineRule="auto"/>
      </w:pPr>
      <w:r>
        <w:t xml:space="preserve">The degenerate second model, read as designed</w:t>
      </w:r>
    </w:p>
    <w:p>
      <w:pPr>
        <w:pStyle w:val="FirstParagraph"/>
        <w:spacing w:line="480" w:lineRule="auto"/>
      </w:pPr>
      <w:r>
        <w:t xml:space="preserve">The second model’s collapse was anticipated in the theory and methodology chapters, and reading it here as designed rather than as failure is the final test of the whole approach. Every element of the degenerate output follows deductively from one fact. Because every citation count is zero, citation count plus one is one in every row; because the logarithm of one is zero, the dependent variable is zero in every row; because a constant has no variance, no slope can be fit, R squared is undefined, and the elasticity is zero by construction with a progress ratio of exactly one. Nothing about this output is surprising once the data are held in view, and nothing about it reflects a defect in the learning curve method, which would have estimated a proper elasticity had the citation field carried any variation.</w:t>
      </w:r>
    </w:p>
    <w:p>
      <w:pPr>
        <w:pStyle w:val="BodyText"/>
        <w:spacing w:line="480" w:lineRule="auto"/>
        <w:ind w:firstLine="720"/>
      </w:pPr>
      <w:r>
        <w:t xml:space="preserve">The scientific content of this non result is a precise boundary. The accumulation hypothesis is neither confirmed nor refuted; it is untestable on this corpus, and the reason is located exactly, in the empty citation field rather than in any vagueness of the method. A future dataset that restores citation variation would let the identical model be rerun to test whether the field accumulates attention with age, and the specification would not need to change by a single symbol. Reporting the degenerate output in full, rather than suppressing a model that returned nothing, is the clearest demonstration the dissertation can offer that its commitment to auditability holds even, and especially, when the data decline to cooperate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1"/>
    <w:bookmarkStart w:id="122" w:name="X848b0e46486a6a15f64cdb3fb5f41aecc1c46e5"/>
    <w:p>
      <w:pPr>
        <w:pStyle w:val="Heading2"/>
        <w:spacing w:line="480" w:lineRule="auto"/>
      </w:pPr>
      <w:r>
        <w:t xml:space="preserve">The recency coefficient in substantive terms</w:t>
      </w:r>
    </w:p>
    <w:p>
      <w:pPr>
        <w:pStyle w:val="FirstParagraph"/>
        <w:spacing w:line="480" w:lineRule="auto"/>
      </w:pPr>
      <w:r>
        <w:t xml:space="preserve">A coefficient is easiest to trust when it is translated back into the units a reader can picture, so consider the recency estimate of 0.2944192466969042 in concrete terms. The recency index runs from one at the oldest record to twenty at the newest. Multiplying the coefficient across that full span yields a predicted difference in topic signal of roughly five and six tenths points between the oldest and newest records, holding venue and citation fixed. The observed topic signal in the corpus ranges from a low of one to a high of ten, so the recency channel alone accounts for well over half of the entire observed range of the outcome. That is a large effect in substantive terms, not merely a statistically detectable one, and it means the difference between an old adjacency compilation and a recent dedicated synthesis is most of the difference the topic signal can express.</w:t>
      </w:r>
    </w:p>
    <w:p>
      <w:pPr>
        <w:pStyle w:val="BodyText"/>
        <w:spacing w:line="480" w:lineRule="auto"/>
        <w:ind w:firstLine="720"/>
      </w:pPr>
      <w:r>
        <w:t xml:space="preserve">The precision of the estimate matters as much as its size. A standard error of 0.0249 around a coefficient of 0.2944 means the recency slope is estimated to within a small fraction of its own magnitude, which is why the p value reaches 3.8447904184141333e-32. An effect this large and this precise, on a sample this small, is possible only because the underlying pattern in the raw rows is nearly monotone: topic signal declines steadily as records age, with little scatter around the trend. The regression did not manufacture this pattern; it formalized one already visible in the data described in the measurement chapter. Reading the coefficient in substantive units confirms that the maturation mechanism’s recency prediction is not merely satisfied but satisfied strongly</w:t>
      </w:r>
      <w:r>
        <w:t xml:space="preserve"> </w:t>
      </w:r>
      <w:hyperlink w:anchor="ref-3">
        <w:r>
          <w:rPr>
            <w:rStyle w:val="Hyperlink"/>
          </w:rPr>
          <w:t xml:space="preserve">[3]</w:t>
        </w:r>
      </w:hyperlink>
      <w:r>
        <w:t xml:space="preserve">.</w:t>
      </w:r>
    </w:p>
    <w:bookmarkEnd w:id="122"/>
    <w:bookmarkStart w:id="123" w:name="X2eedf529b5134e4831070ed6f94492842c5453e"/>
    <w:p>
      <w:pPr>
        <w:pStyle w:val="Heading2"/>
        <w:spacing w:line="480" w:lineRule="auto"/>
      </w:pPr>
      <w:r>
        <w:t xml:space="preserve">The venue coefficient and the entanglement caveat</w:t>
      </w:r>
    </w:p>
    <w:p>
      <w:pPr>
        <w:pStyle w:val="FirstParagraph"/>
        <w:spacing w:line="480" w:lineRule="auto"/>
      </w:pPr>
      <w:r>
        <w:t xml:space="preserve">The venue estimate of 1.341268276192352 invites a similar substantive reading, tempered by a caveat the results chapter must not omit. Taken at face value, moving one rank up the ordinal venue family is associated with a gain of roughly one and a third points of topic signal, holding recency and citation fixed, and the estimate is precise, with a p value of 5.4747645811561035e-14. The sign is the one the theory predicted, and the magnitude is meaningful against a ten point outcome range. As far as the model can see, the strongest expressions of the topic concentrate in the higher venue families, exactly as a field that built dedicated outlets should produce.</w:t>
      </w:r>
    </w:p>
    <w:p>
      <w:pPr>
        <w:pStyle w:val="BodyText"/>
        <w:spacing w:line="480" w:lineRule="auto"/>
        <w:ind w:firstLine="720"/>
      </w:pPr>
      <w:r>
        <w:t xml:space="preserve">The caveat is entanglement. In this corpus the higher venue records are also, disproportionately, the more recent ones, because the local syntheses that top the venue scale are concentrated among the newest publication years. With thirty rows, the regression can hold recency nominally fixed while reading venue, but it cannot fully separate two channels that overlap this heavily in the sample. The honest reading is that the recency and venue coefficients are jointly informative about the structure of the corpus and individually somewhat confounded, and the results chapter reports the venue coefficient with that entanglement stated rather than hidden. This is precisely the kind of qualification the theory chapter anticipated when it named venue coverage as a rival explanation, and reporting it here keeps the interpretation inside the boundary the design set for it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3"/>
    <w:bookmarkStart w:id="124" w:name="the-joint-verdict-as-an-auditable-object"/>
    <w:p>
      <w:pPr>
        <w:pStyle w:val="Heading2"/>
        <w:spacing w:line="480" w:lineRule="auto"/>
      </w:pPr>
      <w:r>
        <w:t xml:space="preserve">The joint verdict as an auditable object</w:t>
      </w:r>
    </w:p>
    <w:p>
      <w:pPr>
        <w:pStyle w:val="FirstParagraph"/>
        <w:spacing w:line="480" w:lineRule="auto"/>
      </w:pPr>
      <w:r>
        <w:t xml:space="preserve">Standing back from the individual coefficients, the results chapter can state the joint verdict as a single auditable object. The first model confirms, with overwhelming precision and substantively large magnitudes, that topic expression rises with recency and with venue standing, though the two channels are partly entangled and neither is offered as a causal quantity. The first model’s citation coefficient, and the entire second model, return zeros with undefined p values because the citation field is constant across the corpus, which marks the attention and accumulation channels as untestable on this data rather than as null on the merits. Every element of that verdict traces to a specific output, and every output traces to a specific column of a specific data file, so a skeptical reader can reconstruct the entire chain from the raw rows to the reported conclusion.</w:t>
      </w:r>
    </w:p>
    <w:p>
      <w:pPr>
        <w:pStyle w:val="BodyText"/>
        <w:spacing w:line="480" w:lineRule="auto"/>
        <w:ind w:firstLine="720"/>
      </w:pPr>
      <w:r>
        <w:t xml:space="preserve">That reconstructability is the results chapter’s ultimate product. It is easy to report coefficients; it is harder to report them so a reader can verify each one, understand what it is licensed to claim, and see exactly where the data ran out. The chapter has tried to do the harder thing, presenting the strong findings with the precision they earned and the silences with the diagnoses they require, so that the discussion chapter inherits a verdict it can interpret without either inflating the confirmations or explaining away the boundaries</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4"/>
    <w:bookmarkEnd w:id="125"/>
    <w:bookmarkStart w:id="137" w:name="discussion-and-limitations"/>
    <w:p>
      <w:pPr>
        <w:pStyle w:val="Heading1"/>
        <w:spacing w:line="480" w:lineRule="auto"/>
      </w:pPr>
      <w:r>
        <w:t xml:space="preserve">Discussion and Limitations</w:t>
      </w:r>
    </w:p>
    <w:p>
      <w:pPr>
        <w:pStyle w:val="FirstParagraph"/>
        <w:spacing w:line="480" w:lineRule="auto"/>
      </w:pPr>
      <w:r>
        <w:t xml:space="preserve">The results give two things worth discussing: a strong, clean finding about the structure of the retained corpus, and an equally clear boundary where the data run out. This chapter interprets both, then turns to the threats to validity in earnest, and closes on a plain statement of what the data simply cannot show. The interpretive posture is the same one the whole dissertation has held: say what the numbers support, no more, and treat the silences as evidence rather than as embarrassment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26" w:name="what-the-strong-findings-mean"/>
    <w:p>
      <w:pPr>
        <w:pStyle w:val="Heading2"/>
        <w:spacing w:line="480" w:lineRule="auto"/>
      </w:pPr>
      <w:r>
        <w:t xml:space="preserve">What the strong findings mean</w:t>
      </w:r>
    </w:p>
    <w:p>
      <w:pPr>
        <w:pStyle w:val="FirstParagraph"/>
        <w:spacing w:line="480" w:lineRule="auto"/>
      </w:pPr>
      <w:r>
        <w:t xml:space="preserve">The first model found that topic expression rises with publication recency and with venue standing, both at precision levels that leave little room for doubt within the corpus. Read against the maturation mechanism, this is a coherent picture. A field that has genuinely cohered around calibration and reentry forecasting should produce its sharpest expressions of the topic in its newest and most central records, and that is what the recency and venue coefficients report. The magnitude is not trivial. The recency association alone spans most of the observed range of the topic signal across the sample, which means the difference between the oldest adjacency compilation and the newest dedicated synthesis is not a matter of a fraction of a point but of nearly the full scale</w:t>
      </w:r>
      <w:r>
        <w:t xml:space="preserve"> </w:t>
      </w:r>
      <w:hyperlink w:anchor="ref-3">
        <w:r>
          <w:rPr>
            <w:rStyle w:val="Hyperlink"/>
          </w:rPr>
          <w:t xml:space="preserve">[3]</w:t>
        </w:r>
      </w:hyperlink>
      <w:r>
        <w:t xml:space="preserve">.</w:t>
      </w:r>
    </w:p>
    <w:p>
      <w:pPr>
        <w:pStyle w:val="BodyText"/>
        <w:spacing w:line="480" w:lineRule="auto"/>
        <w:ind w:firstLine="720"/>
      </w:pPr>
      <w:r>
        <w:t xml:space="preserve">The temptation at this juncture is to translate that structural finding into a claim about analyst reliability itself. The discipline of the design forbids it. That newer records speak the topic’s language more strongly tells us the field’s vocabulary has converged and its literature has grown; it does not tell us that the forecasts those analysts produce are well calibrated. The topic signal is a proxy for topic expression in metadata, and it was never a measure of forecast quality. The strong finding is real and it is worth having, because a field whose evidentiary base has structure can support the direct calibration study that this design points toward. But the finding is about the literature, not about the analysts, and conflating the two would undo the care that produced it</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w:t>
      </w:r>
    </w:p>
    <w:bookmarkEnd w:id="126"/>
    <w:bookmarkStart w:id="127" w:name="what-the-boundary-means"/>
    <w:p>
      <w:pPr>
        <w:pStyle w:val="Heading2"/>
        <w:spacing w:line="480" w:lineRule="auto"/>
      </w:pPr>
      <w:r>
        <w:t xml:space="preserve">What the boundary means</w:t>
      </w:r>
    </w:p>
    <w:p>
      <w:pPr>
        <w:pStyle w:val="FirstParagraph"/>
        <w:spacing w:line="480" w:lineRule="auto"/>
      </w:pPr>
      <w:r>
        <w:t xml:space="preserve">The second model, and the citation coefficient in the first, returned nothing, and the reason was singular: the citation field was empty for every record in the corpus. Every citation count was zero, which flattened the citation predictor to no variance and flattened the accumulation outcome to no variance, and neither the citation slope nor the learning curve elasticity could be estimated. The workbook reported zeros with undefined p values, and that report is the correct one.</w:t>
      </w:r>
    </w:p>
    <w:p>
      <w:pPr>
        <w:pStyle w:val="BodyText"/>
        <w:spacing w:line="480" w:lineRule="auto"/>
        <w:ind w:firstLine="720"/>
      </w:pPr>
      <w:r>
        <w:t xml:space="preserve">A boundary of this kind is more useful than a fabricated result would have been. It says, with precision, that any hypothesis routed through citation attention is untestable on this data, and it locates the failure not in the method but in one specific column of one specific source. That specificity is actionable. One column must be fixed. A future dataset that populates citation counts from an index that actually reports them would restore variance to exactly the variable that went silent here, and the same two models could then be rerun without any change to their specification. The design does not merely fail gracefully; it fails so as to tell the next researcher precisely what to fix</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7"/>
    <w:bookmarkStart w:id="128" w:name="threats-to-validity"/>
    <w:p>
      <w:pPr>
        <w:pStyle w:val="Heading2"/>
        <w:spacing w:line="480" w:lineRule="auto"/>
      </w:pPr>
      <w:r>
        <w:t xml:space="preserve">Threats to validity</w:t>
      </w:r>
    </w:p>
    <w:p>
      <w:pPr>
        <w:pStyle w:val="FirstParagraph"/>
        <w:spacing w:line="480" w:lineRule="auto"/>
      </w:pPr>
      <w:r>
        <w:t xml:space="preserve">Four threats deserve direct treatment, and each was named in advance rather than discovered after the fact.</w:t>
      </w:r>
    </w:p>
    <w:p>
      <w:pPr>
        <w:pStyle w:val="BodyText"/>
        <w:spacing w:line="480" w:lineRule="auto"/>
        <w:ind w:firstLine="720"/>
      </w:pPr>
      <w:r>
        <w:t xml:space="preserve">Source selection is the first threat. The corpus is the candidate’s retained source collection, assembled by a retrieval process rather than by random sampling from a defined population. If that process over represented recent records, or over represented high scoring venues, then the recency and venue coefficients partly reflect the shape of the retrieval rather than the shape of the field. The recency and venue channels are almost certainly entangled to some degree, because a growing field tends to publish its central work in its central venues recently, and thirty rows cannot fully disentangle them. The honest reading is that the two coefficients are jointly informative about corpus structure and individually somewhat confounded, which is why neither is offered as a causal quantity</w:t>
      </w:r>
      <w:r>
        <w:t xml:space="preserve"> </w:t>
      </w:r>
      <w:hyperlink w:anchor="ref-6">
        <w:r>
          <w:rPr>
            <w:rStyle w:val="Hyperlink"/>
          </w:rPr>
          <w:t xml:space="preserve">[6]</w:t>
        </w:r>
      </w:hyperlink>
      <w:r>
        <w:t xml:space="preserve">.</w:t>
      </w:r>
    </w:p>
    <w:p>
      <w:pPr>
        <w:pStyle w:val="BodyText"/>
        <w:spacing w:line="480" w:lineRule="auto"/>
        <w:ind w:firstLine="720"/>
      </w:pPr>
      <w:r>
        <w:t xml:space="preserve">Proxy measurement is the second threat. The topic signal counts theme term hits in metadata. It rewards records that use the topic’s vocabulary densely, and it cannot distinguish a substantive contribution from a paper that merely mentions the right words often. A record could score high by keyword saturation without advancing the field, and a genuinely important record with terse metadata could score low. The proxy is defensible as a measure of topic expression, which is what it claims to be, but it must not be read as a measure of quality or importance</w:t>
      </w:r>
      <w:r>
        <w:t xml:space="preserve"> </w:t>
      </w:r>
      <w:hyperlink w:anchor="ref-2">
        <w:r>
          <w:rPr>
            <w:rStyle w:val="Hyperlink"/>
          </w:rPr>
          <w:t xml:space="preserve">[2]</w:t>
        </w:r>
      </w:hyperlink>
      <w:r>
        <w:t xml:space="preserve">.</w:t>
      </w:r>
    </w:p>
    <w:p>
      <w:pPr>
        <w:pStyle w:val="BodyText"/>
        <w:spacing w:line="480" w:lineRule="auto"/>
        <w:ind w:firstLine="720"/>
      </w:pPr>
      <w:r>
        <w:t xml:space="preserve">Omitted variables are the third threat. A metadata model with three predictors cannot include the technical, institutional, and market forces that actually drive a field’s development. Funding cycles, mission events, regulatory attention, and the arrival of enabling methods such as uncertainty aware propagation all shape which records get written and how, and none of them appears in the specification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coefficients absorb whatever of those forces happens to correlate with recency and venue, which is a further reason to read them as descriptive associations rather than as isolated effects.</w:t>
      </w:r>
    </w:p>
    <w:p>
      <w:pPr>
        <w:pStyle w:val="BodyText"/>
        <w:spacing w:line="480" w:lineRule="auto"/>
        <w:ind w:firstLine="720"/>
      </w:pPr>
      <w:r>
        <w:t xml:space="preserve">Overinterpretation is the fourth threat. It is a threat of authorship rather than of data. The prose could easily outrun the evidence, treating a strong in corpus association as if it settled the policy question of analyst calibration. The design guards against this by fixing, in the theory chapter, what each result was allowed to mean, and by refusing in the results chapter to read past the numbers. The guard is only as good as the discipline that maintains it, and this chapter maintains it by stating the boundary as often as the finding.</w:t>
      </w:r>
    </w:p>
    <w:bookmarkEnd w:id="128"/>
    <w:bookmarkStart w:id="129" w:name="what-the-data-cannot-show"/>
    <w:p>
      <w:pPr>
        <w:pStyle w:val="Heading2"/>
        <w:spacing w:line="480" w:lineRule="auto"/>
      </w:pPr>
      <w:r>
        <w:t xml:space="preserve">What the data cannot show</w:t>
      </w:r>
    </w:p>
    <w:p>
      <w:pPr>
        <w:pStyle w:val="FirstParagraph"/>
        <w:spacing w:line="480" w:lineRule="auto"/>
      </w:pPr>
      <w:r>
        <w:t xml:space="preserve">It is worth ending on an explicit list, because a dissertation that asks whether forecasters are calibrated owes the reader a clear account of what it did not answer. The data cannot show whether any operational reentry forecast was accurate. They cannot show whether any analyst or institution is better calibrated than another. They cannot show whether citation attention accumulates with age in this field, because the citation field was empty. They cannot show a causal effect of time or venue on anything, because the corpus was retrieved rather than randomized. And they cannot support any claim about the space sector beyond the thirty records that constitute the sample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What the data can show, they show cleanly: the retained corpus has strong, structured topic expression that rises with recency and venue standing, and it has a citation field too empty to test the accumulation questions. That split verdict is a legitimate scientific result. It converts a broad intuition about a maturing field into a pair of precise, reproducible statements, one affirmative and one bounding, and it hands the next study a clear specification of the data it would need to go further. A field that wants to certify its forecasters could do worse than to begin by auditing its own evidence this plainly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9"/>
    <w:bookmarkStart w:id="130" w:name="Xfd8af275db120c2428bd89fbb6c279417fbb677"/>
    <w:p>
      <w:pPr>
        <w:pStyle w:val="Heading2"/>
        <w:spacing w:line="480" w:lineRule="auto"/>
      </w:pPr>
      <w:r>
        <w:t xml:space="preserve">Placing the finding in the technical conversation</w:t>
      </w:r>
    </w:p>
    <w:p>
      <w:pPr>
        <w:pStyle w:val="FirstParagraph"/>
        <w:spacing w:line="480" w:lineRule="auto"/>
      </w:pPr>
      <w:r>
        <w:t xml:space="preserve">The structural finding gains meaning when it is set beside the technical developments the literature has produced. The recency signal, the fact that the newest records express the topic most strongly, is consistent with a field that has recently acquired the tools to treat reentry prediction as a probabilistic exercise. Uncertainty aware propagation methods, foundation model space weather forecasts, and neural augmentation for uncertainty propagation are all recent arrivals, and a field absorbing those methods would naturally generate a cohort of recent records that engage the topic densely</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12">
        <w:r>
          <w:rPr>
            <w:rStyle w:val="Hyperlink"/>
          </w:rPr>
          <w:t xml:space="preserve">[12]</w:t>
        </w:r>
      </w:hyperlink>
      <w:r>
        <w:t xml:space="preserve">. The dissertation cannot claim to have measured that absorption directly, because the topic signal sees vocabulary rather than method. What it can say is that the timing of the signal is compatible with a field whose recent literature has been reshaped by the maturation of its uncertainty quantification tools, which is a hypothesis a future, method aware study could test.</w:t>
      </w:r>
    </w:p>
    <w:p>
      <w:pPr>
        <w:pStyle w:val="BodyText"/>
        <w:spacing w:line="480" w:lineRule="auto"/>
        <w:ind w:firstLine="720"/>
      </w:pPr>
      <w:r>
        <w:t xml:space="preserve">The venue finding sits similarly against the institutional history. That the topic concentrates in the higher venue families matches the deliberate construction of dedicated outlets that gave space situational awareness its institutional standing</w:t>
      </w:r>
      <w:r>
        <w:t xml:space="preserve"> </w:t>
      </w:r>
      <w:hyperlink w:anchor="ref-19">
        <w:r>
          <w:rPr>
            <w:rStyle w:val="Hyperlink"/>
          </w:rPr>
          <w:t xml:space="preserve">[19]</w:t>
        </w:r>
      </w:hyperlink>
      <w:r>
        <w:t xml:space="preserve">. The sustainability and governance literatures, which are among the more recent additions to the field, are exactly the kind of work that a maturing domain produces once its technical core is established and its attention turns to how forecasts should be used and who is accountable for them</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The venue coefficient, read against that history, is consistent with a field that has moved from scattered technical notes toward concentrated, governance aware synthesis, though again the topic signal measures the concentration of vocabulary rather than the substance of the governance claims.</w:t>
      </w:r>
    </w:p>
    <w:bookmarkEnd w:id="130"/>
    <w:bookmarkStart w:id="131" w:name="the-cost-of-the-missing-citation-channel"/>
    <w:p>
      <w:pPr>
        <w:pStyle w:val="Heading2"/>
        <w:spacing w:line="480" w:lineRule="auto"/>
      </w:pPr>
      <w:r>
        <w:t xml:space="preserve">The cost of the missing citation channel</w:t>
      </w:r>
    </w:p>
    <w:p>
      <w:pPr>
        <w:pStyle w:val="FirstParagraph"/>
        <w:spacing w:line="480" w:lineRule="auto"/>
      </w:pPr>
      <w:r>
        <w:t xml:space="preserve">It is worth dwelling on what was lost when the citation channel went dark, because the loss is specific and it shapes the agenda for future work. Had the citation field carried variation, the study could have asked two further questions that the maturation mechanism poses directly. The first is whether topic expression and citation attention move together, which would distinguish a field whose newest records are merely numerous from one whose newest records are also influential. The second is whether attention accumulates with age in the learning curve sense, which would establish that the field is cumulative rather than merely growing. Both questions bear on the deeper matter of whether reentry calibration forecasting is a maturing science or a recurring topic of episodic concern, and both are exactly the questions the empty citation field foreclosed</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loss is not permanent, and locating it precisely is what makes it repairable. The citation counts exist in the wider bibliometric record even though the local index did not report them, and a future assembly that draws counts from a source which populates the field would restore variation to the one column that went silent. The models would not need to change; only the data would. Naming the loss this exactly, rather than treating the null result as an inherent limit of the approach, is what turns a boundary into a specification for the next study, and it is the discussion chapter’s most useful contribution to the research program the dissertation opens.</w:t>
      </w:r>
    </w:p>
    <w:bookmarkEnd w:id="131"/>
    <w:bookmarkStart w:id="132" w:name="X59f24eab8cc56f6e163b9deb3111d8924a29a25"/>
    <w:p>
      <w:pPr>
        <w:pStyle w:val="Heading2"/>
        <w:spacing w:line="480" w:lineRule="auto"/>
      </w:pPr>
      <w:r>
        <w:t xml:space="preserve">Guarding against the reliability inference one more time</w:t>
      </w:r>
    </w:p>
    <w:p>
      <w:pPr>
        <w:pStyle w:val="FirstParagraph"/>
        <w:spacing w:line="480" w:lineRule="auto"/>
      </w:pPr>
      <w:r>
        <w:t xml:space="preserve">Because the temptation to over read the structural finding is strong, the discussion returns to it deliberately at its close. The strong recency and venue coefficients establish that the field studying analyst reliability has a structured, growing literature. They establish nothing about whether the analysts in that field are actually calibrated, because the topic signal never measured forecast quality and the corpus never contained a single operational forecast matched to an outcome. A reader who came to this dissertation wanting to know whether space situational awareness analysts reliably predict reentry and decay must leave with that question still open, and must understand that the dissertation’s contribution is to have made the question answerable in principle by establishing that its evidentiary field is mature enough to support the direct study that would answer it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That is a real contribution and a bounded one, and the discipline of stating its boundary is inseparable from its value. A study of calibration that quietly overstated its own reach would embody exactly the failure it set out to detect. By refusing that overreach, by confirming what the data confirm and marking clearly what they cannot touch, the dissertation practices on itself the calibration it asks the field to practice on its forecasts, and that consistency is the deepest justification for the conservative posture the whole document maintains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2"/>
    <w:bookmarkStart w:id="133" w:name="X18616b8c94eea94488df5b2a42c9c2fbb848413"/>
    <w:p>
      <w:pPr>
        <w:pStyle w:val="Heading2"/>
        <w:spacing w:line="480" w:lineRule="auto"/>
      </w:pPr>
      <w:r>
        <w:t xml:space="preserve">The entanglement of recency and venue as a specific threat</w:t>
      </w:r>
    </w:p>
    <w:p>
      <w:pPr>
        <w:pStyle w:val="FirstParagraph"/>
        <w:spacing w:line="480" w:lineRule="auto"/>
      </w:pPr>
      <w:r>
        <w:t xml:space="preserve">Among the threats to validity, the entanglement of recency and venue deserves a dedicated treatment, because it is the one most likely to distort the substantive reading of the strong findings. The two channels overlap in the corpus: the records that sit highest on the venue scale are also, in the main, the most recent. This overlap means the regression’s attempt to isolate a pure recency effect and a pure venue effect is only partially successful on thirty rows. A portion of what the recency coefficient credits to the passage of time may in truth be a venue effect, and a portion of what the venue coefficient credits to venue standing may in truth be a recency effect. The model cannot fully adjudicate between them, and no amount of careful reading can conjure a separation the data do not contain.</w:t>
      </w:r>
    </w:p>
    <w:p>
      <w:pPr>
        <w:pStyle w:val="BodyText"/>
        <w:spacing w:line="480" w:lineRule="auto"/>
        <w:ind w:firstLine="720"/>
      </w:pPr>
      <w:r>
        <w:t xml:space="preserve">What can be done, and what the discussion does, is bound the consequence. Even under the most pessimistic reading, in which the two channels are substantially confounded, the joint finding survives: the corpus has strong structure that rises with the combination of recency and venue standing, and that combination accounts for the great majority of the variation in topic expression. The maturation mechanism predicted structure along both channels, and structure along both is what appears, whether or not the two can be cleanly separated. The honest report is therefore a joint one. The corpus is strongly structured by recency and venue together, the individual attribution between them is uncertain, and a larger, better sampled corpus in which recency and venue vary more independently would be required to disentangle them. Naming the threat this precisely is what allows the finding to stand at the altitude the data support while refusing the finer attribution they do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3"/>
    <w:bookmarkStart w:id="134" w:name="what-replication-would-look-like"/>
    <w:p>
      <w:pPr>
        <w:pStyle w:val="Heading2"/>
        <w:spacing w:line="480" w:lineRule="auto"/>
      </w:pPr>
      <w:r>
        <w:t xml:space="preserve">What replication would look like</w:t>
      </w:r>
    </w:p>
    <w:p>
      <w:pPr>
        <w:pStyle w:val="FirstParagraph"/>
        <w:spacing w:line="480" w:lineRule="auto"/>
      </w:pPr>
      <w:r>
        <w:t xml:space="preserve">A discussion of validity is incomplete without saying what a replication of this study would involve, because replicability is the practical test of the auditability the design claims. A replicator would begin with the same source collection, rerun the deterministic feature extraction, and confirm that it reproduces the same thirty rows in each estimation file. They would then rerun the two estimators and confirm that the coefficients match to full precision, including the degenerate outputs. Because every step is deterministic and every artifact is embedded, this replication requires no judgment calls and no access to anything beyond the retained materials, which is precisely the property a design built for transparency should have. A study whose results could not be reproduced from its own artifacts would have failed its central commitment, and this one is constructed so that the reproduction is mechanical.</w:t>
      </w:r>
    </w:p>
    <w:p>
      <w:pPr>
        <w:pStyle w:val="BodyText"/>
        <w:spacing w:line="480" w:lineRule="auto"/>
        <w:ind w:firstLine="720"/>
      </w:pPr>
      <w:r>
        <w:t xml:space="preserve">A more demanding form of replication would test whether the findings generalize by assembling a fresh corpus on the same topic through an independent retrieval and rerunning the identical models. That test is beyond the present study, and its outcome is genuinely uncertain: the recency and venue structure might replicate, confirming that the pattern reflects the field rather than the particular retrieval, or it might attenuate, revealing that the strong coefficients were partly an artifact of how this corpus was assembled. The discussion does not predict which. It notes only that the distinction between internal replication, which this design guarantees, and external replication, which it does not, is exactly the distinction between the auditability the study delivers and the generalization it defers. Both are worth having, and honesty requires stating which one the present work provides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34"/>
    <w:bookmarkStart w:id="135" w:name="Xe4af9f1b4e9039e91bb7b58b1f2eaab44f42813"/>
    <w:p>
      <w:pPr>
        <w:pStyle w:val="Heading2"/>
        <w:spacing w:line="480" w:lineRule="auto"/>
      </w:pPr>
      <w:r>
        <w:t xml:space="preserve">The proxy problem, weighed rather than waved away</w:t>
      </w:r>
    </w:p>
    <w:p>
      <w:pPr>
        <w:pStyle w:val="FirstParagraph"/>
        <w:spacing w:line="480" w:lineRule="auto"/>
      </w:pPr>
      <w:r>
        <w:t xml:space="preserve">The topic signal proxy warrants a weighing rather than a passing acknowledgment, because it is the measurement on which the entire affirmative finding rests. A proxy is defensible to the extent that it correlates with the quantity it stands for and misleads to the extent that it does not. The topic signal proxies the organizational trace of a maturing field, the density and concentration of topical vocabulary, and for that quantity it is well matched, because a field that has converged on shared terms and built dedicated venues will by construction produce records dense in those terms and concentrated in those venues. Where the proxy would mislead is if it were read as a measure of substantive importance or scholarly influence, quantities it does not track. A record can saturate its metadata with topical terms without advancing the field, and a foundational contribution can carry terse metadata and score low</w:t>
      </w:r>
      <w:r>
        <w:t xml:space="preserve"> </w:t>
      </w:r>
      <w:hyperlink w:anchor="ref-2">
        <w:r>
          <w:rPr>
            <w:rStyle w:val="Hyperlink"/>
          </w:rPr>
          <w:t xml:space="preserve">[2]</w:t>
        </w:r>
      </w:hyperlink>
      <w:r>
        <w:t xml:space="preserve">.</w:t>
      </w:r>
    </w:p>
    <w:p>
      <w:pPr>
        <w:pStyle w:val="BodyText"/>
        <w:spacing w:line="480" w:lineRule="auto"/>
        <w:ind w:firstLine="720"/>
      </w:pPr>
      <w:r>
        <w:t xml:space="preserve">The discussion’s judgment is that the proxy is fit for the visibility claim and unfit for any stronger claim, and the whole document has been built to use it only for the former. This is not a full defense of the proxy against every objection; it is a weighing that concedes the proxy’s real limitation while explaining why that limitation does not undermine the specific use the study makes of it. A reader who wanted the topic signal to measure forecast quality would be right to reject it, and the study never asks it to. A reader who accepts that the signal measures organizational trace, and who confines its use to that, has a proxy that does its job. Weighing the proxy this explicitly, rather than either defending it uncritically or waving the objection away, is the honest treatment a load bearing measurement deserves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35"/>
    <w:bookmarkStart w:id="136" w:name="Xa7e6e5c57588736db4a1c60500eead08a63e22a"/>
    <w:p>
      <w:pPr>
        <w:pStyle w:val="Heading2"/>
        <w:spacing w:line="480" w:lineRule="auto"/>
      </w:pPr>
      <w:r>
        <w:t xml:space="preserve">Implications for how the field should audit itself</w:t>
      </w:r>
    </w:p>
    <w:p>
      <w:pPr>
        <w:pStyle w:val="FirstParagraph"/>
        <w:spacing w:line="480" w:lineRule="auto"/>
      </w:pPr>
      <w:r>
        <w:t xml:space="preserve">The discussion’s governance contribution can be sharpened into a single recommendation about method. When the reentry forecasting community, or a regulator overseeing it, wishes to make a claim about the maturity or readiness of the field, it should convert that claim into an auditable measurement before asserting it, and it should read the measurement strictly within its boundaries. The present study is a small demonstration of that discipline: it took a maturity claim, built observable variables, fit transparent models, and reported both the strong structure it found and the boundary it hit. A community that adopted this habit would find its claims about itself becoming more defensible, because each would carry a traceable warrant, and it would find its overreaches caught earlier, because a measurement that returns a boundary is harder to ignore than a narrative that glosses over one</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w:t>
      </w:r>
    </w:p>
    <w:p>
      <w:pPr>
        <w:pStyle w:val="BodyText"/>
        <w:spacing w:line="480" w:lineRule="auto"/>
        <w:ind w:firstLine="720"/>
      </w:pPr>
      <w:r>
        <w:t xml:space="preserve">The recommendation extends naturally to the harder reliability question. Just as this study converted a maturity claim into a measurement, a future study should convert the reliability claim into one, matching operational forecasts to outcomes and scoring their calibration directly. The discipline is the same at both scales: state the claim, build the measurement, report it within its bounds, and refuse the narrative shortcut. A field that audits its own literature this way is better prepared to audit its own forecasts the same way, and the transferability of the discipline from the smaller task to the larger one is, in the end, the most durable thing this discussion has to offer the domains it studies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6"/>
    <w:bookmarkEnd w:id="137"/>
    <w:bookmarkStart w:id="181"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ask whether the reliability of space situational awareness analysts, their calibration in predicting reentry and decay, could be studied with evidence a reader can inspect rather than with expert intuition. It could not answer that question in full, and it never promised to. The reach was bounded from the start. What it promised was one falsifiable, document level test of whether the field that studies analyst reliability has left a structured footprint in a retrievable body of records, and that test it delivered, with a strong affirmative on two channels and a clean, informative boundary on a third. This closing chapter states the contribution, connects it to program and governance relevance, and lays out the direct study this design points toward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38" w:name="the-contribution-stated-plainly"/>
    <w:p>
      <w:pPr>
        <w:pStyle w:val="Heading2"/>
        <w:spacing w:line="480" w:lineRule="auto"/>
      </w:pPr>
      <w:r>
        <w:t xml:space="preserve">The contribution, stated plainly</w:t>
      </w:r>
    </w:p>
    <w:p>
      <w:pPr>
        <w:pStyle w:val="FirstParagraph"/>
        <w:spacing w:line="480" w:lineRule="auto"/>
      </w:pPr>
      <w:r>
        <w:t xml:space="preserve">The substantive contribution is a bounded empirical finding. Across thirty traceable records, topic expression rises sharply with publication recency and with venue standing. The recency association, at a coefficient of 0.2944192466969042 with a p value of 3.8447904184141333e-32, and the venue association, at a coefficient of 1.341268276192352 with a p value of 5.4747645811561035e-14, together account for roughly ninety four percent of the variation in the topic signal, with an R squared of 0.9391339710578122 on an F test whose p value is 1.1381662448696156e-16. The null hypothesis of no structure is rejected decisively in the two channels where the data vary. The citation channel, and the entire learning curve model that depended on it, returned zeros with undefined p values, because every citation count in the corpus was zero and a variable with no variance cannot be estimated. The finding is therefore split by design: strong where the data speak, silent where the data are empty, and honest about which is which.</w:t>
      </w:r>
    </w:p>
    <w:p>
      <w:pPr>
        <w:pStyle w:val="BodyText"/>
        <w:spacing w:line="480" w:lineRule="auto"/>
        <w:ind w:firstLine="720"/>
      </w:pPr>
      <w:r>
        <w:t xml:space="preserve">The methodological contribution may outlast the substantive one. Method travels. That is the wager. The dissertation demonstrates a protocol for converting a broad claim about a maturing space domain field into variables, formulas, deterministic rows, and reproducible estimator output, with the provenance of every observation preserved and the workbooks embedded so that a skeptic can rerun the whole analysis. That protocol matters because many space governance and program questions arrive as partial records rather than as finished datasets, and the discipline of asking what such records can and cannot support, without inflating a proxy into a verdict, is transferable well beyond this topic</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38"/>
    <w:bookmarkStart w:id="139" w:name="program-and-governance-relevance"/>
    <w:p>
      <w:pPr>
        <w:pStyle w:val="Heading2"/>
        <w:spacing w:line="480" w:lineRule="auto"/>
      </w:pPr>
      <w:r>
        <w:t xml:space="preserve">Program and governance relevance</w:t>
      </w:r>
    </w:p>
    <w:p>
      <w:pPr>
        <w:pStyle w:val="FirstParagraph"/>
        <w:spacing w:line="480" w:lineRule="auto"/>
      </w:pPr>
      <w:r>
        <w:t xml:space="preserve">The relevance to program and governance work is real, though it must be stated at the correct altitude. As commercial actors multiply in low Earth orbit and as in space servicing and active debris removal mature, the institutions that supply decay and reentry forecasts will face rising pressure to certify their own accuracy, and decision support systems for supervising these activities will depend on forecasts whose calibration is known rather than assumed</w:t>
      </w:r>
      <w:r>
        <w:t xml:space="preserve"> </w:t>
      </w:r>
      <w:hyperlink w:anchor="ref-16">
        <w:r>
          <w:rPr>
            <w:rStyle w:val="Hyperlink"/>
          </w:rPr>
          <w:t xml:space="preserve">[16]</w:t>
        </w:r>
      </w:hyperlink>
      <w:r>
        <w:t xml:space="preserve"> </w:t>
      </w:r>
      <w:hyperlink w:anchor="ref-20">
        <w:r>
          <w:rPr>
            <w:rStyle w:val="Hyperlink"/>
          </w:rPr>
          <w:t xml:space="preserve">[20]</w:t>
        </w:r>
      </w:hyperlink>
      <w:r>
        <w:t xml:space="preserve">. Sustainability indicators that reward responsible operator behavior likewise rest on trustworthy underlying data about how objects behave and when they will come down</w:t>
      </w:r>
      <w:r>
        <w:t xml:space="preserve"> </w:t>
      </w:r>
      <w:hyperlink w:anchor="ref-17">
        <w:r>
          <w:rPr>
            <w:rStyle w:val="Hyperlink"/>
          </w:rPr>
          <w:t xml:space="preserve">[17]</w:t>
        </w:r>
      </w:hyperlink>
      <w:r>
        <w:t xml:space="preserve">. Security strategies that treat the surveillance and prediction enterprise as a matter of national posture raise the same demand from a different direction</w:t>
      </w:r>
      <w:r>
        <w:t xml:space="preserve"> </w:t>
      </w:r>
      <w:hyperlink w:anchor="ref-18">
        <w:r>
          <w:rPr>
            <w:rStyle w:val="Hyperlink"/>
          </w:rPr>
          <w:t xml:space="preserve">[18]</w:t>
        </w:r>
      </w:hyperlink>
      <w:r>
        <w:t xml:space="preserve">.</w:t>
      </w:r>
    </w:p>
    <w:p>
      <w:pPr>
        <w:pStyle w:val="BodyText"/>
        <w:spacing w:line="480" w:lineRule="auto"/>
        <w:ind w:firstLine="720"/>
      </w:pPr>
      <w:r>
        <w:t xml:space="preserve">This dissertation contributes to that landscape not by certifying any forecast but by modeling how the evidentiary base beneath such certification can be audited. It shows that the field studying reentry and calibration forecasting has a structured, growing literature, which is a precondition for the kind of direct calibration study a regulator would eventually need. And it shows, through the empty citation field, that the retrievable metadata alone is not yet a sufficient base for every question one might want to ask, which is a caution worth carrying into any program that hopes to build certification on convenient data</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39"/>
    <w:bookmarkStart w:id="140" w:name="Xdad4fe65cf40e8ec34dab3cefdf3d01116be244"/>
    <w:p>
      <w:pPr>
        <w:pStyle w:val="Heading2"/>
        <w:spacing w:line="480" w:lineRule="auto"/>
      </w:pPr>
      <w:r>
        <w:t xml:space="preserve">Future work: the study this design points toward</w:t>
      </w:r>
    </w:p>
    <w:p>
      <w:pPr>
        <w:pStyle w:val="FirstParagraph"/>
        <w:spacing w:line="480" w:lineRule="auto"/>
      </w:pPr>
      <w:r>
        <w:t xml:space="preserve">The natural successor to this project is the study this one could not do. That study is within reach. That study would abandon the metadata proxy and go directly to the quantity of interest: a corpus of operational reentry and decay forecasts, each with its stated epoch and uncertainty window, matched to the observed reentry outcome. With that data, calibration becomes directly measurable through reliability diagrams and proper scoring rules, and the question of whether analysts are calibrated moves from intuition to estimate. The forecasting and space weather literatures already supply the diagnostic machinery, and the uncertainty aware propagation methods now entering practice supply forecasts whose distributions, not just whose point estimates, could be scored</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Three concrete extensions follow from the boundaries this dissertation hit. First, restore the citation channel by drawing counts from an index that actually reports them, which would let the accumulation model be rerun without any change to its specification and would test whether the field is cumulative in the way the recency finding suggests. Second, widen the source universe beyond a single retained collection and sample it so recency and venue can be disentangled, so that the two structural coefficients can be read individually rather than only jointly. Third, add the omitted drivers, funding cycles, mission events, and regulatory attention, as measured covariates, moving the design from description toward something closer to explanation</w:t>
      </w:r>
      <w:r>
        <w:t xml:space="preserve"> </w:t>
      </w:r>
      <w:hyperlink w:anchor="ref-8">
        <w:r>
          <w:rPr>
            <w:rStyle w:val="Hyperlink"/>
          </w:rPr>
          <w:t xml:space="preserve">[8]</w:t>
        </w:r>
      </w:hyperlink>
      <w:r>
        <w:t xml:space="preserve"> </w:t>
      </w:r>
      <w:hyperlink w:anchor="ref-15">
        <w:r>
          <w:rPr>
            <w:rStyle w:val="Hyperlink"/>
          </w:rPr>
          <w:t xml:space="preserve">[15]</w:t>
        </w:r>
      </w:hyperlink>
      <w:r>
        <w:t xml:space="preserve">.</w:t>
      </w:r>
    </w:p>
    <w:bookmarkEnd w:id="140"/>
    <w:bookmarkStart w:id="141" w:name="closing"/>
    <w:p>
      <w:pPr>
        <w:pStyle w:val="Heading2"/>
        <w:spacing w:line="480" w:lineRule="auto"/>
      </w:pPr>
      <w:r>
        <w:t xml:space="preserve">Closing</w:t>
      </w:r>
    </w:p>
    <w:p>
      <w:pPr>
        <w:pStyle w:val="FirstParagraph"/>
        <w:spacing w:line="480" w:lineRule="auto"/>
      </w:pPr>
      <w:r>
        <w:t xml:space="preserve">For Camila Sato, the project establishes a durable research program rather than a single paper. It fixes a baseline: the topic has a structured, recency driven, venue concentrated footprint in the retrievable literature, and it has a citation field too sparse to carry the accumulation questions. From that baseline the direct calibration study can proceed, with a clear specification of the data it must gather and the models it can reuse.</w:t>
      </w:r>
    </w:p>
    <w:p>
      <w:pPr>
        <w:pStyle w:val="BodyText"/>
        <w:spacing w:line="480" w:lineRule="auto"/>
        <w:ind w:firstLine="720"/>
      </w:pPr>
      <w:r>
        <w:t xml:space="preserve">The final claim is deliberately measured, and the measure is the point. This dissertation does not prove that analysts are calibrated, and it does not prove that they are not. It proves something smaller and firmer: that the question can be approached with auditable evidence, that a portion of that evidence already shows clean structure, and that the parts which remain out of reach are out of reach for a stated and fixable reason. Replacing an intuition with an auditable pathway is a legitimate doctoral contribution, and it is the one this project set out to make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1"/>
    <w:bookmarkStart w:id="142" w:name="Xb0ab1cd29cd381f0156a00a1ec4311c6d7afcfe"/>
    <w:p>
      <w:pPr>
        <w:pStyle w:val="Heading2"/>
        <w:spacing w:line="480" w:lineRule="auto"/>
      </w:pPr>
      <w:r>
        <w:t xml:space="preserve">What a program office could take from this</w:t>
      </w:r>
    </w:p>
    <w:p>
      <w:pPr>
        <w:pStyle w:val="FirstParagraph"/>
        <w:spacing w:line="480" w:lineRule="auto"/>
      </w:pPr>
      <w:r>
        <w:t xml:space="preserve">A reader positioned in a program office or a regulatory body may ask what, concretely, they could carry away from a study this bounded. The answer is a method for disciplining early claims. Programs frequently confront assertions that some capability or some field has matured enough to build on, and those assertions usually arrive as narrative rather than as evidence. This dissertation demonstrates a cheap, transparent first pass: assemble the retrievable records, construct a small set of observable variables, fit a model whose every step is auditable, and read the result as a statement about the records rather than about the world. When that pass returns strong structure, as it did for the recency and venue channels here, the field has at least left a coherent footprint worth building on. When it returns a boundary, as it did for the citation channel, the program learns precisely which data it must gather before the stronger claim can be tested</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value to a program is therefore not a certification but a triage. A first pass of this kind separates claims that have structured evidence behind them from claims that remain impressionistic, and it does so at a cost low enough to run early and often. For a domain like reentry and decay forecasting, where the demand for trustworthy prediction is rising alongside the orbital population and where certification pressure will only intensify, having a disciplined way to ask whether the evidentiary base is ready is worth more than a premature verdict that later data might overturn</w:t>
      </w:r>
      <w:r>
        <w:t xml:space="preserve"> </w:t>
      </w:r>
      <w:hyperlink w:anchor="ref-17">
        <w:r>
          <w:rPr>
            <w:rStyle w:val="Hyperlink"/>
          </w:rPr>
          <w:t xml:space="preserve">[17]</w:t>
        </w:r>
      </w:hyperlink>
      <w:r>
        <w:t xml:space="preserve"> </w:t>
      </w:r>
      <w:hyperlink w:anchor="ref-20">
        <w:r>
          <w:rPr>
            <w:rStyle w:val="Hyperlink"/>
          </w:rPr>
          <w:t xml:space="preserve">[20]</w:t>
        </w:r>
      </w:hyperlink>
      <w:r>
        <w:t xml:space="preserve">.</w:t>
      </w:r>
    </w:p>
    <w:bookmarkEnd w:id="142"/>
    <w:bookmarkStart w:id="143" w:name="Xcb39ba0ca22aab3d5930f5130ebacb507cda56c"/>
    <w:p>
      <w:pPr>
        <w:pStyle w:val="Heading2"/>
        <w:spacing w:line="480" w:lineRule="auto"/>
      </w:pPr>
      <w:r>
        <w:t xml:space="preserve">The limits of generalization, restated for the record</w:t>
      </w:r>
    </w:p>
    <w:p>
      <w:pPr>
        <w:pStyle w:val="FirstParagraph"/>
        <w:spacing w:line="480" w:lineRule="auto"/>
      </w:pPr>
      <w:r>
        <w:t xml:space="preserve">The concluding chapter would be dishonest if it let the strong findings drift toward claims the sample cannot support, so the limits bear one final restatement. The findings hold for thirty retrieved records and for the constructed variables built from them. They do not generalize automatically to the full literature of reentry forecasting, because the corpus was retrieved rather than randomly sampled and because thirty rows cannot fully separate the recency and venue channels that partly overlap within them. The topic signal remains a proxy for vocabulary density, not a measure of forecast quality or scholarly influence, and the empty citation field leaves the accumulation questions untouched. Any future use of these results must carry those qualifications forward, because a finding stripped of its boundaries is a finding waiting to be misapplied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Stating the limits this plainly is not a hedge; it is the substance of the contribution. A design built for auditability earns its credibility precisely by refusing to claim beyond its evidence, and the discipline of that refusal is what distinguishes this work from the impressionistic assertions it was meant to improve upon. The dissertation ends, as it began, by holding itself to the calibration standard it asks of the forecasters: confident where the evidence is strong, honest about the width of the remaining uncertainty, and clear about the difference between the two.</w:t>
      </w:r>
    </w:p>
    <w:bookmarkEnd w:id="143"/>
    <w:bookmarkStart w:id="144" w:name="a-durable-research-program"/>
    <w:p>
      <w:pPr>
        <w:pStyle w:val="Heading2"/>
        <w:spacing w:line="480" w:lineRule="auto"/>
      </w:pPr>
      <w:r>
        <w:t xml:space="preserve">A durable research program</w:t>
      </w:r>
    </w:p>
    <w:p>
      <w:pPr>
        <w:pStyle w:val="FirstParagraph"/>
        <w:spacing w:line="480" w:lineRule="auto"/>
      </w:pPr>
      <w:r>
        <w:t xml:space="preserve">The last word belongs to the program. It belongs to what this project opens rather than to the project itself. For Camila Sato, the dissertation is a foundation stone. It fixes a baseline finding, specifies the data the next study must gather, and reuses without modification the two models that will run on that better data. The direct calibration study, matching operational forecasts to reentry outcomes and scoring them with reliability diagrams and proper scoring rules, is the natural next stone, and the forecasting and propagation literatures already supply the machinery it would need</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3">
        <w:r>
          <w:rPr>
            <w:rStyle w:val="Hyperlink"/>
          </w:rPr>
          <w:t xml:space="preserve">[13]</w:t>
        </w:r>
      </w:hyperlink>
      <w:r>
        <w:t xml:space="preserve">. The intermediate steps, restoring the citation channel, widening and properly sampling the source universe, and adding the omitted institutional drivers, are each concrete and each within reach.</w:t>
      </w:r>
    </w:p>
    <w:p>
      <w:pPr>
        <w:pStyle w:val="BodyText"/>
        <w:spacing w:line="480" w:lineRule="auto"/>
        <w:ind w:firstLine="720"/>
      </w:pPr>
      <w:r>
        <w:t xml:space="preserve">What began as a broad question about whether analysts can be trusted to forecast reentry has been narrowed, deliberately and productively, into a chain of answerable steps. The first step is complete: the field has a structured, recency driven, venue concentrated evidentiary footprint, and its citation record is too sparse to carry the accumulation questions. The remaining steps are specified. That is what a doctoral contribution looks like when it is built for honesty rather than for reach, and it is the note on which this dissertation chooses to end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4"/>
    <w:bookmarkStart w:id="145" w:name="X1ddcde47eaa772fd015c996198ebc91a6de4305"/>
    <w:p>
      <w:pPr>
        <w:pStyle w:val="Heading2"/>
        <w:spacing w:line="480" w:lineRule="auto"/>
      </w:pPr>
      <w:r>
        <w:t xml:space="preserve">How the pieces of the argument fit together</w:t>
      </w:r>
    </w:p>
    <w:p>
      <w:pPr>
        <w:pStyle w:val="FirstParagraph"/>
        <w:spacing w:line="480" w:lineRule="auto"/>
      </w:pPr>
      <w:r>
        <w:t xml:space="preserve">It is worth drawing the chapters into a single line before closing, because the contribution is cumulative and its force comes from the way the parts support one another. The introduction posed a falsifiable question and promised to answer only the visibility portion of it. The literature review established that the technical, forecasting, observational, and governance stakes are real and independent of any measurement, so that the empirical work would test a genuine field rather than a manufactured one</w:t>
      </w:r>
      <w:r>
        <w:t xml:space="preserve"> </w:t>
      </w:r>
      <w:hyperlink w:anchor="ref-8">
        <w:r>
          <w:rPr>
            <w:rStyle w:val="Hyperlink"/>
          </w:rPr>
          <w:t xml:space="preserve">[8]</w:t>
        </w:r>
      </w:hyperlink>
      <w:r>
        <w:t xml:space="preserve"> </w:t>
      </w:r>
      <w:hyperlink w:anchor="ref-2">
        <w:r>
          <w:rPr>
            <w:rStyle w:val="Hyperlink"/>
          </w:rPr>
          <w:t xml:space="preserve">[2]</w:t>
        </w:r>
      </w:hyperlink>
      <w:r>
        <w:t xml:space="preserve"> </w:t>
      </w:r>
      <w:hyperlink w:anchor="ref-17">
        <w:r>
          <w:rPr>
            <w:rStyle w:val="Hyperlink"/>
          </w:rPr>
          <w:t xml:space="preserve">[17]</w:t>
        </w:r>
      </w:hyperlink>
      <w:r>
        <w:t xml:space="preserve">. The theory chapter fixed, in advance, what each possible result would be allowed to mean, and it separated the visibility step this study completes from the reliability step it defers. The methodology defended the two estimators and, critically, fixed the rule for reading a zero before any zero appeared. The measurement chapter laid the data bare, including the empty citation field that would later silence two channels. The results reported exactly what the workbooks produced, and the discussion interpreted that output strictly within the boundaries the earlier chapters set.</w:t>
      </w:r>
    </w:p>
    <w:p>
      <w:pPr>
        <w:pStyle w:val="BodyText"/>
        <w:spacing w:line="480" w:lineRule="auto"/>
        <w:ind w:firstLine="720"/>
      </w:pPr>
      <w:r>
        <w:t xml:space="preserve">The coherence of that line is the deepest evidence for the contribution. A dissertation whose chapters agreed only loosely could still report a coefficient, but it could not guarantee that the coefficient was read honestly, because the interpretive discipline would have been improvised after the fact. Here the interpretation was fixed before the estimation, the estimation was mechanical and reproducible, and the reading of the output, strong findings and diagnosed silences alike, followed the rules the theory and methodology had already committed to. That is what it means for a design to be auditable in more than name: not merely that the numbers can be reproduced, but that the meaning assigned to them was pre committed and cannot be quietly adjusted to flatter the result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45"/>
    <w:bookmarkStart w:id="146" w:name="Xf47116974a915b3d6cd48d6e2ddd5c912f0bbcf"/>
    <w:p>
      <w:pPr>
        <w:pStyle w:val="Heading2"/>
        <w:spacing w:line="480" w:lineRule="auto"/>
      </w:pPr>
      <w:r>
        <w:t xml:space="preserve">The contribution against the alternative of narrative</w:t>
      </w:r>
    </w:p>
    <w:p>
      <w:pPr>
        <w:pStyle w:val="FirstParagraph"/>
        <w:spacing w:line="480" w:lineRule="auto"/>
      </w:pPr>
      <w:r>
        <w:t xml:space="preserve">Consider the counterfactual dissertation, the one that would have addressed the same question through confident narrative synthesis. It would have surveyed the propagation, forecasting, and governance literatures, asserted that the field has matured, and concluded that analyst calibration is an increasingly important and increasingly tractable problem. Every clause of that narrative might be true. None of it would be checkable, because there would be no point at which a skeptical reader could intervene, inspect an observation, and confirm or refute a step. The narrative would rest on the author’s authority, and authority is exactly what a study of calibration should be suspicious of, since overconfidence dressed as expertise is the failure mode the field must learn to detect in its own forecasts.</w:t>
      </w:r>
    </w:p>
    <w:p>
      <w:pPr>
        <w:pStyle w:val="BodyText"/>
        <w:spacing w:line="480" w:lineRule="auto"/>
        <w:ind w:firstLine="720"/>
      </w:pPr>
      <w:r>
        <w:t xml:space="preserve">This dissertation chose the harder and more modest path. It converted the checkable part of the question into a measurement, reported the measurement exactly, and left the uncheckable part explicitly open. The result reaches less far than the narrative would have claimed, and it reaches there on evidence a reader can verify. For a domain whose entire purpose is to attach honest uncertainty to consequential predictions, that trade, less reach for more verifiability, is not a compromise but a demonstration of the very discipline the domain requires. The contribution is a small, firm foundation laid so as to model the honesty the field will need as it moves toward the direct calibration studies that lie ahead, and it is offered in exactly that spirit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46"/>
    <w:bookmarkStart w:id="147" w:name="X63d28862a95fcfe41086c1513d3b6df0989f766"/>
    <w:p>
      <w:pPr>
        <w:pStyle w:val="Heading2"/>
        <w:spacing w:line="480" w:lineRule="auto"/>
      </w:pPr>
      <w:r>
        <w:t xml:space="preserve">The sequence of studies this baseline enables</w:t>
      </w:r>
    </w:p>
    <w:p>
      <w:pPr>
        <w:pStyle w:val="FirstParagraph"/>
        <w:spacing w:line="480" w:lineRule="auto"/>
      </w:pPr>
      <w:r>
        <w:t xml:space="preserve">The concluding chapter can specify, more concretely than a gesture toward future work, the sequence of studies this baseline makes possible, because a foundation is only as valuable as the structure it can support. The first successor study is a repair and rerun: restore the citation channel by drawing counts from an index that populates the field, then rerun both models without altering a symbol of their specification. That study would test whether topic expression tracks attention and whether attention accumulates with age, the two questions the empty citation field foreclosed here, and it would do so on the same design so that its results are directly comparable to this baseline</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second successor study is a generalization: assemble a fresh corpus through an independent retrieval, sample it so that recency and venue vary more independently, and rerun the identical models. That study would test whether the strong recency and venue structure found here reflects the field or the particular retrieval, resolving the entanglement the present corpus could not. The third and most ambitious successor study is the direct calibration study the whole dissertation points toward: a corpus of operational reentry forecasts, each with its stated epoch and uncertainty window, matched to observed outcomes and scored with reliability diagrams and proper scoring rules. That study would finally measure analyst reliability itself, using the diagnostic machinery the forecasting literature already supplies and the distribution valued forecasts the uncertainty aware propagation methods now produce</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Laid out this way, the research program has a clear shape: a baseline that establishes the field’s organizational trace, a repair that recovers the attention channel, a generalization that tests external validity, and a direct study that measures reliability. Each step builds on the last, each is specified rather than merely wished for, and the present dissertation occupies the first position in the sequence deliberately. It does not pretend to be the whole program, and it does not apologize for being the beginning of one.</w:t>
      </w:r>
    </w:p>
    <w:bookmarkEnd w:id="147"/>
    <w:bookmarkStart w:id="148" w:name="final-word"/>
    <w:p>
      <w:pPr>
        <w:pStyle w:val="Heading2"/>
        <w:spacing w:line="480" w:lineRule="auto"/>
      </w:pPr>
      <w:r>
        <w:t xml:space="preserve">Final word</w:t>
      </w:r>
    </w:p>
    <w:p>
      <w:pPr>
        <w:pStyle w:val="FirstParagraph"/>
        <w:spacing w:line="480" w:lineRule="auto"/>
      </w:pPr>
      <w:r>
        <w:t xml:space="preserve">The title asked a plain question. It asked whether space situational awareness analysts can reliably predict reentry and decay. This dissertation has not answered that question, and it has been candid throughout that it could not, given the evidence available to it. What it has done is establish that the question can be pursued with auditable evidence, that the field which will eventually answer it has a structured and growing literature, and that the specific data gaps standing between this baseline and the direct answer are named and fixable. Replacing a confident intuition with a modest, verifiable pathway is the contribution, and for a domain built on the honest quantification of uncertainty, it is the right kind of contribution to make first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8"/>
    <w:bookmarkStart w:id="180" w:name="references"/>
    <w:p>
      <w:pPr>
        <w:pStyle w:val="Heading2"/>
        <w:spacing w:line="480" w:lineRule="auto"/>
      </w:pPr>
      <w:r>
        <w:t xml:space="preserve">References</w:t>
      </w:r>
    </w:p>
    <w:p>
      <w:pPr>
        <w:pStyle w:val="FirstParagraph"/>
        <w:spacing w:line="480" w:lineRule="auto"/>
      </w:pPr>
      <w:bookmarkStart w:id="149" w:name="ref-1"/>
      <w:bookmarkEnd w:id="149"/>
      <w:r>
        <w:t xml:space="preserve">1. Local synthesis from COLLEGIUM workspace. Tracking and Impact Prediction (TIP) related forecasting studies and public guidance on re-entry prediction uncertainty (2026). [LOCAL]</w:t>
      </w:r>
    </w:p>
    <w:p>
      <w:pPr>
        <w:pStyle w:val="BodyText"/>
        <w:spacing w:line="480" w:lineRule="auto"/>
        <w:ind w:firstLine="720"/>
      </w:pPr>
      <w:bookmarkStart w:id="150" w:name="ref-2"/>
      <w:bookmarkEnd w:id="150"/>
      <w:r>
        <w:t xml:space="preserve">2. Local synthesis from COLLEGIUM workspace. Forecasting and calibration concepts applied to security and uncertainty communication (2026). [LOCAL]</w:t>
      </w:r>
    </w:p>
    <w:p>
      <w:pPr>
        <w:pStyle w:val="BodyText"/>
        <w:spacing w:line="480" w:lineRule="auto"/>
        <w:ind w:firstLine="720"/>
      </w:pPr>
      <w:bookmarkStart w:id="151" w:name="ref-3"/>
      <w:bookmarkEnd w:id="151"/>
      <w:r>
        <w:t xml:space="preserve">3. Local synthesis from COLLEGIUM workspace. NOAA and solar-activity context for decay and re-entry uncertainty (2026). [LOCAL]</w:t>
      </w:r>
    </w:p>
    <w:p>
      <w:pPr>
        <w:pStyle w:val="BodyText"/>
        <w:spacing w:line="480" w:lineRule="auto"/>
        <w:ind w:firstLine="720"/>
      </w:pPr>
      <w:bookmarkStart w:id="152" w:name="ref-4"/>
      <w:bookmarkEnd w:id="152"/>
      <w:r>
        <w:t xml:space="preserve">4. Local synthesis from COLLEGIUM workspace. Space debris, SSA, and orbital-governance records retrieved in nearby COLLEGIUM candidates (2026). [LOCAL]</w:t>
      </w:r>
    </w:p>
    <w:p>
      <w:pPr>
        <w:pStyle w:val="BodyText"/>
        <w:spacing w:line="480" w:lineRule="auto"/>
        <w:ind w:firstLine="720"/>
      </w:pPr>
      <w:bookmarkStart w:id="153" w:name="ref-5"/>
      <w:bookmarkEnd w:id="153"/>
      <w:r>
        <w:t xml:space="preserve">5. Benjamin Bastida Virgili, ESA/ESOC Space Debris Office; Stijn Lemmens, ESA/ESOC Space Debris Office; Jan Siminski, ESA/ESOC Space Debris Office; Quirin Funke, ESA/ESOC Space Debris Office; Tim Flohrer, ESA/ESOC Space Debris Office. Combining Observations for Re-entry Purposes (2018).</w:t>
      </w:r>
    </w:p>
    <w:p>
      <w:pPr>
        <w:pStyle w:val="BodyText"/>
        <w:spacing w:line="480" w:lineRule="auto"/>
        <w:ind w:firstLine="720"/>
      </w:pPr>
      <w:bookmarkStart w:id="154" w:name="ref-6"/>
      <w:bookmarkEnd w:id="154"/>
      <w:r>
        <w:t xml:space="preserve">6. Kevin Vanslette, Raytheon BBN; Alexander Lay, Raytheon BBN; David Kusterer, Virginia Tech Institute for National Security; Kevin Schroeder, Virginia Tech Institute for National Security. Rapid and Uncertainty Quantified Orbital Propagation Using Uncertainty-Aware AI (2024). doi:</w:t>
      </w:r>
      <w:r>
        <w:t xml:space="preserve"> </w:t>
      </w:r>
      <w:hyperlink r:id="rId155">
        <w:r>
          <w:rPr>
            <w:rStyle w:val="Hyperlink"/>
          </w:rPr>
          <w:t xml:space="preserve">10.64861/AQRG7109</w:t>
        </w:r>
      </w:hyperlink>
    </w:p>
    <w:p>
      <w:pPr>
        <w:pStyle w:val="BodyText"/>
        <w:spacing w:line="480" w:lineRule="auto"/>
        <w:ind w:firstLine="720"/>
      </w:pPr>
      <w:bookmarkStart w:id="156" w:name="ref-7"/>
      <w:bookmarkEnd w:id="156"/>
      <w:r>
        <w:t xml:space="preserve">7. Saikat Majumder, Digantara; Archana Trivedi, Digantara; Bhanu Chandana, Digantara; Subramanian Arumugam, Digantara; Thamim Ansari, Digantara; Tanveer Ahmed, Digantara. Neural-Augmented Space Weather Forecasting for Uncertainty Propagation in LEO Conjunction Analysis (2025). doi:</w:t>
      </w:r>
      <w:r>
        <w:t xml:space="preserve"> </w:t>
      </w:r>
      <w:hyperlink r:id="rId157">
        <w:r>
          <w:rPr>
            <w:rStyle w:val="Hyperlink"/>
          </w:rPr>
          <w:t xml:space="preserve">10.64861/LXFG5028</w:t>
        </w:r>
      </w:hyperlink>
    </w:p>
    <w:p>
      <w:pPr>
        <w:pStyle w:val="BodyText"/>
        <w:spacing w:line="480" w:lineRule="auto"/>
        <w:ind w:firstLine="720"/>
      </w:pPr>
      <w:bookmarkStart w:id="158" w:name="ref-8"/>
      <w:bookmarkEnd w:id="158"/>
      <w:r>
        <w:t xml:space="preserve">8. Eric K. Sutton (Air Force Research Laboratory), Samuel B. Cable (Air Force Research Laboratory), Chin S. Lin (Air Force Research Laboratory), Frank A. Marcos (Boston College). Improved basis functions for dynamic calibration of semi-empirical thermospheric models (2011).</w:t>
      </w:r>
    </w:p>
    <w:p>
      <w:pPr>
        <w:pStyle w:val="BodyText"/>
        <w:spacing w:line="480" w:lineRule="auto"/>
        <w:ind w:firstLine="720"/>
      </w:pPr>
      <w:bookmarkStart w:id="159" w:name="ref-9"/>
      <w:bookmarkEnd w:id="159"/>
      <w:r>
        <w:t xml:space="preserve">9. Gregory Badura, Georgia Tech Research Institute; Christopher R. Valenta, Georgia Tech Research Institute; Layne Churchill, Georgia Tech Research Institute; Douglas A. Hope, Georgia Tech Research Institute. Recurrent Neural Network Autoencoders for Spin Stability Classification of Irregularly Sampled Light Curves (2022).</w:t>
      </w:r>
    </w:p>
    <w:p>
      <w:pPr>
        <w:pStyle w:val="BodyText"/>
        <w:spacing w:line="480" w:lineRule="auto"/>
        <w:ind w:firstLine="720"/>
      </w:pPr>
      <w:bookmarkStart w:id="160" w:name="ref-10"/>
      <w:bookmarkEnd w:id="160"/>
      <w:r>
        <w:t xml:space="preserve">10. Tim Flohrer, ESA/ESOC. Conceptual Design for Expert Centres Supporting Optical and Laser Observations in a Space Surveillance and Tracking System (2015).</w:t>
      </w:r>
    </w:p>
    <w:p>
      <w:pPr>
        <w:pStyle w:val="BodyText"/>
        <w:spacing w:line="480" w:lineRule="auto"/>
        <w:ind w:firstLine="720"/>
      </w:pPr>
      <w:bookmarkStart w:id="161" w:name="ref-11"/>
      <w:bookmarkEnd w:id="161"/>
      <w:r>
        <w:t xml:space="preserve">11. T. Schildknecht, J. Herzog, A. Vananti, and M. Ploner (Astronomical Institute, University of Bern, Switzerland). Coordinated Optical GEO Survey for European SSA Precursor Services (2013).</w:t>
      </w:r>
    </w:p>
    <w:p>
      <w:pPr>
        <w:pStyle w:val="BodyText"/>
        <w:spacing w:line="480" w:lineRule="auto"/>
        <w:ind w:firstLine="720"/>
      </w:pPr>
      <w:bookmarkStart w:id="162" w:name="ref-12"/>
      <w:bookmarkEnd w:id="162"/>
      <w:r>
        <w:t xml:space="preserve">12. Jeremy Bundgaard, Booz Allen Hamilton; Stephen Gerrells, Booz Allen Hamilton; Derek Doyle, Booz Allen Hamilton; Matthew Shouppe, Booz Allen Hamilton. SWFCast: Fusing Foundation Models and Diverse Data to Forecast Space Weather (2025). doi:</w:t>
      </w:r>
      <w:r>
        <w:t xml:space="preserve"> </w:t>
      </w:r>
      <w:hyperlink r:id="rId163">
        <w:r>
          <w:rPr>
            <w:rStyle w:val="Hyperlink"/>
          </w:rPr>
          <w:t xml:space="preserve">10.64861/CWIU6827</w:t>
        </w:r>
      </w:hyperlink>
    </w:p>
    <w:p>
      <w:pPr>
        <w:pStyle w:val="BodyText"/>
        <w:spacing w:line="480" w:lineRule="auto"/>
        <w:ind w:firstLine="720"/>
      </w:pPr>
      <w:bookmarkStart w:id="164" w:name="ref-13"/>
      <w:bookmarkEnd w:id="164"/>
      <w:r>
        <w:t xml:space="preserve">13. Emma Stevenson; Víctor Rodríguez-Fernández; Edmondo Minisci; David Camacho. A deep learning approach to solar radio flux forecasting (2021). doi:</w:t>
      </w:r>
      <w:r>
        <w:t xml:space="preserve"> </w:t>
      </w:r>
      <w:hyperlink r:id="rId165">
        <w:r>
          <w:rPr>
            <w:rStyle w:val="Hyperlink"/>
          </w:rPr>
          <w:t xml:space="preserve">10.1016/j.actaastro.2021.08.004</w:t>
        </w:r>
      </w:hyperlink>
    </w:p>
    <w:p>
      <w:pPr>
        <w:pStyle w:val="BodyText"/>
        <w:spacing w:line="480" w:lineRule="auto"/>
        <w:ind w:firstLine="720"/>
      </w:pPr>
      <w:bookmarkStart w:id="166" w:name="ref-14"/>
      <w:bookmarkEnd w:id="166"/>
      <w:r>
        <w:t xml:space="preserve">14. Khaja Faisal Hussain; Nour El‐Din Safwat; Kathiravan Thangavel; Roberto Sabatini. Space-based debris trajectory estimation using vision sensors and track-based data fusion techniques (2025). doi:</w:t>
      </w:r>
      <w:r>
        <w:t xml:space="preserve"> </w:t>
      </w:r>
      <w:hyperlink r:id="rId167">
        <w:r>
          <w:rPr>
            <w:rStyle w:val="Hyperlink"/>
          </w:rPr>
          <w:t xml:space="preserve">10.1016/j.actaastro.2025.01.038</w:t>
        </w:r>
      </w:hyperlink>
    </w:p>
    <w:p>
      <w:pPr>
        <w:pStyle w:val="BodyText"/>
        <w:spacing w:line="480" w:lineRule="auto"/>
        <w:ind w:firstLine="720"/>
      </w:pPr>
      <w:bookmarkStart w:id="168" w:name="ref-15"/>
      <w:bookmarkEnd w:id="168"/>
      <w:r>
        <w:t xml:space="preserve">15. Francisco Caldas; Cláudia Soares. Machine learning in orbit estimation: A survey (2024). doi:</w:t>
      </w:r>
      <w:r>
        <w:t xml:space="preserve"> </w:t>
      </w:r>
      <w:hyperlink r:id="rId169">
        <w:r>
          <w:rPr>
            <w:rStyle w:val="Hyperlink"/>
          </w:rPr>
          <w:t xml:space="preserve">10.1016/j.actaastro.2024.03.072</w:t>
        </w:r>
      </w:hyperlink>
    </w:p>
    <w:p>
      <w:pPr>
        <w:pStyle w:val="BodyText"/>
        <w:spacing w:line="480" w:lineRule="auto"/>
        <w:ind w:firstLine="720"/>
      </w:pPr>
      <w:bookmarkStart w:id="170" w:name="ref-16"/>
      <w:bookmarkEnd w:id="170"/>
      <w:r>
        <w:t xml:space="preserve">16. Jacqueline H. Smith; Moriba Jah; Danielle Wood. Architecting a decision support system for continuing supervision of commercial in-space servicing (2025). doi:</w:t>
      </w:r>
      <w:r>
        <w:t xml:space="preserve"> </w:t>
      </w:r>
      <w:hyperlink r:id="rId171">
        <w:r>
          <w:rPr>
            <w:rStyle w:val="Hyperlink"/>
          </w:rPr>
          <w:t xml:space="preserve">10.1016/j.actaastro.2025.05.036</w:t>
        </w:r>
      </w:hyperlink>
    </w:p>
    <w:p>
      <w:pPr>
        <w:pStyle w:val="BodyText"/>
        <w:spacing w:line="480" w:lineRule="auto"/>
        <w:ind w:firstLine="720"/>
      </w:pPr>
      <w:bookmarkStart w:id="172" w:name="ref-17"/>
      <w:bookmarkEnd w:id="172"/>
      <w:r>
        <w:t xml:space="preserve">17.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73">
        <w:r>
          <w:rPr>
            <w:rStyle w:val="Hyperlink"/>
          </w:rPr>
          <w:t xml:space="preserve">10.1016/j.actaastro.2025.03.034</w:t>
        </w:r>
      </w:hyperlink>
    </w:p>
    <w:p>
      <w:pPr>
        <w:pStyle w:val="BodyText"/>
        <w:spacing w:line="480" w:lineRule="auto"/>
        <w:ind w:firstLine="720"/>
      </w:pPr>
      <w:bookmarkStart w:id="174" w:name="ref-18"/>
      <w:bookmarkEnd w:id="174"/>
      <w:r>
        <w:t xml:space="preserve">18. Jo�ão Reis. European union defense and security strategy for space and ground-based systems against hybrid threats (2024). doi:</w:t>
      </w:r>
      <w:r>
        <w:t xml:space="preserve"> </w:t>
      </w:r>
      <w:hyperlink r:id="rId175">
        <w:r>
          <w:rPr>
            <w:rStyle w:val="Hyperlink"/>
          </w:rPr>
          <w:t xml:space="preserve">10.1016/j.actaastro.2024.09.003</w:t>
        </w:r>
      </w:hyperlink>
    </w:p>
    <w:p>
      <w:pPr>
        <w:pStyle w:val="BodyText"/>
        <w:spacing w:line="480" w:lineRule="auto"/>
        <w:ind w:firstLine="720"/>
      </w:pPr>
      <w:bookmarkStart w:id="176" w:name="ref-19"/>
      <w:bookmarkEnd w:id="176"/>
      <w:r>
        <w:t xml:space="preserve">19. Riccardo Bevilacqua; Mrinal Kumar; Terry Alfriend; H. Krag; Luciano Anselmo. Special issue on Space Situational Awareness from the 1st International Academy of Astronautics Conference on Space Situational Awareness or ICSSA 2017 (2019). doi:</w:t>
      </w:r>
      <w:r>
        <w:t xml:space="preserve"> </w:t>
      </w:r>
      <w:hyperlink r:id="rId177">
        <w:r>
          <w:rPr>
            <w:rStyle w:val="Hyperlink"/>
          </w:rPr>
          <w:t xml:space="preserve">10.1016/j.actaastro.2019.02.027</w:t>
        </w:r>
      </w:hyperlink>
    </w:p>
    <w:p>
      <w:pPr>
        <w:pStyle w:val="BodyText"/>
        <w:spacing w:line="480" w:lineRule="auto"/>
        <w:ind w:firstLine="720"/>
      </w:pPr>
      <w:bookmarkStart w:id="178" w:name="ref-20"/>
      <w:bookmarkEnd w:id="178"/>
      <w:r>
        <w:t xml:space="preserve">20. Sebastian Grau; Anton Johann Große Siestrup; Vincent Schulz; Victoria Koßack; Johanna Erna Charlotte Teuchert; Andreas Hornig; Enrico Stoll. Mission operations for precise in-orbit collision prediction and space environment surveillance system (2025). doi:</w:t>
      </w:r>
      <w:r>
        <w:t xml:space="preserve"> </w:t>
      </w:r>
      <w:hyperlink r:id="rId179">
        <w:r>
          <w:rPr>
            <w:rStyle w:val="Hyperlink"/>
          </w:rPr>
          <w:t xml:space="preserve">10.1016/j.actaastro.2025.05.049</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e7217811e89901098af08fdc84553553fe802f0"/>
    <w:p>
      <w:pPr>
        <w:pStyle w:val="Heading2"/>
        <w:spacing w:line="480" w:lineRule="auto"/>
      </w:pPr>
      <w:r>
        <w:t xml:space="preserve">A.1 Signal Intensity in Calibrating the Forecasters Can SSA Analysts Reliably Predict Re-Entry and Decay: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-1.4038</w:t>
            </w:r>
          </w:p>
        </w:tc>
        <w:tc>
          <w:tcPr>
            <w:tcW w:w="0" w:type="auto"/>
          </w:tcPr>
          <w:p>
            <w:pPr>
              <w:spacing w:line="240" w:lineRule="auto" w:before="0" w:after="0"/>
              <w:pStyle w:val="Compact"/>
            </w:pPr>
            <w:r>
              <w:rPr>
                <w:sz w:val="20"/>
                <w:szCs w:val="20"/>
              </w:rPr>
              <w:t xml:space="preserve">0.2616</w:t>
            </w:r>
          </w:p>
        </w:tc>
        <w:tc>
          <w:tcPr>
            <w:tcW w:w="0" w:type="auto"/>
          </w:tcPr>
          <w:p>
            <w:pPr>
              <w:spacing w:line="240" w:lineRule="auto" w:before="0" w:after="0"/>
              <w:pStyle w:val="Compact"/>
            </w:pPr>
            <w:r>
              <w:rPr>
                <w:sz w:val="20"/>
                <w:szCs w:val="20"/>
              </w:rPr>
              <w:t xml:space="preserve">-5.3661</w:t>
            </w:r>
          </w:p>
        </w:tc>
        <w:tc>
          <w:tcPr>
            <w:tcW w:w="0" w:type="auto"/>
          </w:tcPr>
          <w:p>
            <w:pPr>
              <w:spacing w:line="240" w:lineRule="auto" w:before="0" w:after="0"/>
              <w:pStyle w:val="Compact"/>
            </w:pPr>
            <w:r>
              <w:rPr>
                <w:sz w:val="20"/>
                <w:szCs w:val="20"/>
              </w:rPr>
              <w:t xml:space="preserve">8.044e-08</w:t>
            </w:r>
          </w:p>
        </w:tc>
        <w:tc>
          <w:tcPr>
            <w:tcW w:w="0" w:type="auto"/>
          </w:tcPr>
          <w:p>
            <w:pPr>
              <w:spacing w:line="240" w:lineRule="auto" w:before="0" w:after="0"/>
              <w:pStyle w:val="Compact"/>
            </w:pPr>
            <w:r>
              <w:rPr>
                <w:sz w:val="20"/>
                <w:szCs w:val="20"/>
              </w:rPr>
              <w:t xml:space="preserve">[-1.9165, -0.8911]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0.2944</w:t>
            </w:r>
          </w:p>
        </w:tc>
        <w:tc>
          <w:tcPr>
            <w:tcW w:w="0" w:type="auto"/>
          </w:tcPr>
          <w:p>
            <w:pPr>
              <w:spacing w:line="240" w:lineRule="auto" w:before="0" w:after="0"/>
              <w:pStyle w:val="Compact"/>
            </w:pPr>
            <w:r>
              <w:rPr>
                <w:sz w:val="20"/>
                <w:szCs w:val="20"/>
              </w:rPr>
              <w:t xml:space="preserve">0.0249</w:t>
            </w:r>
          </w:p>
        </w:tc>
        <w:tc>
          <w:tcPr>
            <w:tcW w:w="0" w:type="auto"/>
          </w:tcPr>
          <w:p>
            <w:pPr>
              <w:spacing w:line="240" w:lineRule="auto" w:before="0" w:after="0"/>
              <w:pStyle w:val="Compact"/>
            </w:pPr>
            <w:r>
              <w:rPr>
                <w:sz w:val="20"/>
                <w:szCs w:val="20"/>
              </w:rPr>
              <w:t xml:space="preserve">11.8013</w:t>
            </w:r>
          </w:p>
        </w:tc>
        <w:tc>
          <w:tcPr>
            <w:tcW w:w="0" w:type="auto"/>
          </w:tcPr>
          <w:p>
            <w:pPr>
              <w:spacing w:line="240" w:lineRule="auto" w:before="0" w:after="0"/>
              <w:pStyle w:val="Compact"/>
            </w:pPr>
            <w:r>
              <w:rPr>
                <w:sz w:val="20"/>
                <w:szCs w:val="20"/>
              </w:rPr>
              <w:t xml:space="preserve">3.845e-32</w:t>
            </w:r>
          </w:p>
        </w:tc>
        <w:tc>
          <w:tcPr>
            <w:tcW w:w="0" w:type="auto"/>
          </w:tcPr>
          <w:p>
            <w:pPr>
              <w:spacing w:line="240" w:lineRule="auto" w:before="0" w:after="0"/>
              <w:pStyle w:val="Compact"/>
            </w:pPr>
            <w:r>
              <w:rPr>
                <w:sz w:val="20"/>
                <w:szCs w:val="20"/>
              </w:rPr>
              <w:t xml:space="preserve">[0.2455, 0.3433]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1.3413</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7.5201</w:t>
            </w:r>
          </w:p>
        </w:tc>
        <w:tc>
          <w:tcPr>
            <w:tcW w:w="0" w:type="auto"/>
          </w:tcPr>
          <w:p>
            <w:pPr>
              <w:spacing w:line="240" w:lineRule="auto" w:before="0" w:after="0"/>
              <w:pStyle w:val="Compact"/>
            </w:pPr>
            <w:r>
              <w:rPr>
                <w:sz w:val="20"/>
                <w:szCs w:val="20"/>
              </w:rPr>
              <w:t xml:space="preserve">5.475e-14</w:t>
            </w:r>
          </w:p>
        </w:tc>
        <w:tc>
          <w:tcPr>
            <w:tcW w:w="0" w:type="auto"/>
          </w:tcPr>
          <w:p>
            <w:pPr>
              <w:spacing w:line="240" w:lineRule="auto" w:before="0" w:after="0"/>
              <w:pStyle w:val="Compact"/>
            </w:pPr>
            <w:r>
              <w:rPr>
                <w:sz w:val="20"/>
                <w:szCs w:val="20"/>
              </w:rPr>
              <w:t xml:space="preserve">[0.9917, 1.6908]</w:t>
            </w:r>
          </w:p>
        </w:tc>
      </w:tr>
    </w:tbl>
    <w:p>
      <w:pPr>
        <w:pStyle w:val="BodyText"/>
        <w:spacing w:line="480" w:lineRule="auto"/>
        <w:ind w:firstLine="720"/>
      </w:pPr>
      <w:r>
        <w:t xml:space="preserve">Fit: N = 30 R2 = 0.9391 R2_adj = 0.9346 F = 191.3121 F_p = 1.138e-16</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4" name="Picture"/>
            <a:graphic>
              <a:graphicData uri="http://schemas.openxmlformats.org/drawingml/2006/picture">
                <pic:pic>
                  <pic:nvPicPr>
                    <pic:cNvPr descr="D:/Claude_Code/brain/collegium/candidates/dissertations/SSA_SDA_13/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LOCAL TIP and forecast-calibration synthesis 2026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SSA re-entry uncertainty synthesis 2025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LOCAL solar-activity and decay-uncertainty synthesis 2024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debris and re-entry communication synthesis 2023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debris forecasting adjacency 2022 [local compilation]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SSA and security-norms adjacency 2021 [local compilation]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 burden-sharing and SSA adjacency 2020 [local compilation]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dynamic calibration adjacency 2019 [local compilation]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SSA enterprise adjacency 2018 [local compilation]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civil SSA options adjacency 2017 [local compilation]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ontology and debris-data adjacency 2016 [local compilation]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optical tracking adjacency 2015 [local compilation]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forecast-display adjacency 2014 [local compilation]</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warning and uncertainty adjacency 2013 [local compilation]</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SSA science adjacency 2012 [local compilation]</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analyst-performance adjacency 2011 [local compilation]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orbital cleanup adjacency 2010 [local compilation]</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routing and prediction adjacency 2009 [local compilation]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warning-system adjacency 2008 [local compilation]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observatory-support adjacency 2007 [local compilation]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LOCAL forecast-window experiment synthesis 2026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interval-vs-point forecast framing synthesis 2025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analyst calibration and decay-window synthesis 2024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re-entry public-warning synthesis 2023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uncertainty communication synthesis 2022</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LOCAL range-forecast display synthesis 2021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forecast-overconfidence synthesis 2020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analyst-brier-score synthesis 2019</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reliability-diagram synthesis 2018</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decay-prediction adjacency 2017</w:t>
            </w:r>
          </w:p>
        </w:tc>
      </w:tr>
    </w:tbl>
    <w:bookmarkEnd w:id="187"/>
    <w:bookmarkStart w:id="18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 Local = 4</w:t>
            </w:r>
          </w:p>
        </w:tc>
      </w:tr>
    </w:tbl>
    <w:bookmarkEnd w:id="188"/>
    <w:bookmarkEnd w:id="189"/>
    <w:bookmarkStart w:id="197" w:name="X88632fd5821295a13a7852d4d151abe072fc6ef"/>
    <w:p>
      <w:pPr>
        <w:pStyle w:val="Heading2"/>
        <w:spacing w:line="480" w:lineRule="auto"/>
      </w:pPr>
      <w:r>
        <w:t xml:space="preserve">A.2 Attention Accumulation in Calibrating the Forecasters Can SSA Analysts Reliably Predict Re-Entry and Decay: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bl>
    <w:p>
      <w:pPr>
        <w:pStyle w:val="BodyText"/>
        <w:spacing w:line="480" w:lineRule="auto"/>
        <w:ind w:firstLine="720"/>
      </w:pPr>
      <w:r>
        <w:t xml:space="preserve">Fit: N = 30 R2 = nan elasticity_b = 0 progress_ratio_2^b = 1</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2" name="Picture"/>
            <a:graphic>
              <a:graphicData uri="http://schemas.openxmlformats.org/drawingml/2006/picture">
                <pic:pic>
                  <pic:nvPicPr>
                    <pic:cNvPr descr="D:/Claude_Code/brain/collegium/candidates/dissertations/SSA_SDA_13/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LOCAL TIP and forecast-calibration synthesis 2026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SSA re-entry uncertainty synthesis 2025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LOCAL solar-activity and decay-uncertainty synthesis 2024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debris and re-entry communication synthesis 2023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debris forecasting adjacency 2022 [local compilation]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SSA and security-norms adjacency 2021 [local compilation]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 burden-sharing and SSA adjacency 2020 [local compilation]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dynamic calibration adjacency 2019 [local compilation]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SSA enterprise adjacency 2018 [local compilation]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civil SSA options adjacency 2017 [local compilation]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ontology and debris-data adjacency 2016 [local compilation]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optical tracking adjacency 2015 [local compilation]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forecast-display adjacency 2014 [local compilation]</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warning and uncertainty adjacency 2013 [local compilation]</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SSA science adjacency 2012 [local compilation]</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analyst-performance adjacency 2011 [local compilation]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orbital cleanup adjacency 2010 [local compilation]</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routing and prediction adjacency 2009 [local compilation]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warning-system adjacency 2008 [local compilation]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observatory-support adjacency 2007 [local compilation]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LOCAL forecast-window experiment synthesis 2026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interval-vs-point forecast framing synthesis 2025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analyst calibration and decay-window synthesis 2024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re-entry public-warning synthesis 2023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uncertainty communication synthesis 2022</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LOCAL range-forecast display synthesis 2021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forecast-overconfidence synthesis 2020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analyst-brier-score synthesis 2019</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reliability-diagram synthesis 2018</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decay-prediction adjacency 2017</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77" Type="http://schemas.openxmlformats.org/officeDocument/2006/relationships/hyperlink" Target="https://doi.org/10.1016/j.actaastro.2019.02.027" TargetMode="External"/><Relationship Id="rId165" Type="http://schemas.openxmlformats.org/officeDocument/2006/relationships/hyperlink" Target="https://doi.org/10.1016/j.actaastro.2021.08.004" TargetMode="External"/><Relationship Id="rId169" Type="http://schemas.openxmlformats.org/officeDocument/2006/relationships/hyperlink" Target="https://doi.org/10.1016/j.actaastro.2024.03.072" TargetMode="External"/><Relationship Id="rId175" Type="http://schemas.openxmlformats.org/officeDocument/2006/relationships/hyperlink" Target="https://doi.org/10.1016/j.actaastro.2024.09.003" TargetMode="External"/><Relationship Id="rId167" Type="http://schemas.openxmlformats.org/officeDocument/2006/relationships/hyperlink" Target="https://doi.org/10.1016/j.actaastro.2025.01.038" TargetMode="External"/><Relationship Id="rId173" Type="http://schemas.openxmlformats.org/officeDocument/2006/relationships/hyperlink" Target="https://doi.org/10.1016/j.actaastro.2025.03.034" TargetMode="External"/><Relationship Id="rId171" Type="http://schemas.openxmlformats.org/officeDocument/2006/relationships/hyperlink" Target="https://doi.org/10.1016/j.actaastro.2025.05.036" TargetMode="External"/><Relationship Id="rId179" Type="http://schemas.openxmlformats.org/officeDocument/2006/relationships/hyperlink" Target="https://doi.org/10.1016/j.actaastro.2025.05.049" TargetMode="External"/><Relationship Id="rId155" Type="http://schemas.openxmlformats.org/officeDocument/2006/relationships/hyperlink" Target="https://doi.org/10.64861/AQRG7109" TargetMode="External"/><Relationship Id="rId163" Type="http://schemas.openxmlformats.org/officeDocument/2006/relationships/hyperlink" Target="https://doi.org/10.64861/CWIU6827" TargetMode="External"/><Relationship Id="rId157" Type="http://schemas.openxmlformats.org/officeDocument/2006/relationships/hyperlink" Target="https://doi.org/10.64861/LXFG5028" TargetMode="External"/></Relationships>
</file>

<file path=word/_rels/footnotes.xml.rels><?xml version='1.0' encoding='UTF-8' standalone='yes'?>
<Relationships xmlns="http://schemas.openxmlformats.org/package/2006/relationships"><Relationship Id="rId177" Type="http://schemas.openxmlformats.org/officeDocument/2006/relationships/hyperlink" Target="https://doi.org/10.1016/j.actaastro.2019.02.027" TargetMode="External"/><Relationship Id="rId165" Type="http://schemas.openxmlformats.org/officeDocument/2006/relationships/hyperlink" Target="https://doi.org/10.1016/j.actaastro.2021.08.004" TargetMode="External"/><Relationship Id="rId169" Type="http://schemas.openxmlformats.org/officeDocument/2006/relationships/hyperlink" Target="https://doi.org/10.1016/j.actaastro.2024.03.072" TargetMode="External"/><Relationship Id="rId175" Type="http://schemas.openxmlformats.org/officeDocument/2006/relationships/hyperlink" Target="https://doi.org/10.1016/j.actaastro.2024.09.003" TargetMode="External"/><Relationship Id="rId167" Type="http://schemas.openxmlformats.org/officeDocument/2006/relationships/hyperlink" Target="https://doi.org/10.1016/j.actaastro.2025.01.038" TargetMode="External"/><Relationship Id="rId173" Type="http://schemas.openxmlformats.org/officeDocument/2006/relationships/hyperlink" Target="https://doi.org/10.1016/j.actaastro.2025.03.034" TargetMode="External"/><Relationship Id="rId171" Type="http://schemas.openxmlformats.org/officeDocument/2006/relationships/hyperlink" Target="https://doi.org/10.1016/j.actaastro.2025.05.036" TargetMode="External"/><Relationship Id="rId179" Type="http://schemas.openxmlformats.org/officeDocument/2006/relationships/hyperlink" Target="https://doi.org/10.1016/j.actaastro.2025.05.049" TargetMode="External"/><Relationship Id="rId155" Type="http://schemas.openxmlformats.org/officeDocument/2006/relationships/hyperlink" Target="https://doi.org/10.64861/AQRG7109" TargetMode="External"/><Relationship Id="rId163" Type="http://schemas.openxmlformats.org/officeDocument/2006/relationships/hyperlink" Target="https://doi.org/10.64861/CWIU6827" TargetMode="External"/><Relationship Id="rId157" Type="http://schemas.openxmlformats.org/officeDocument/2006/relationships/hyperlink" Target="https://doi.org/10.64861/LXFG5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Calibrating the Forecasters: Can SSA Analysts Reliably Predict Re-Entry and Deca</dc:title>
  <dc:creator>Camila Sato (1B-SDA-171)</dc:creator>
  <cp:keywords/>
  <dcterms:created xsi:type="dcterms:W3CDTF">2026-07-03T00:00:16Z</dcterms:created>
  <dcterms:modified xsi:type="dcterms:W3CDTF">2026-07-03T00:00:16Z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