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fee1f3eab0d44b38397b6f555fabbfe0ad603d4"/>
    <w:p>
      <w:pPr>
        <w:pStyle w:val="Heading1"/>
      </w:pPr>
      <w:r>
        <w:t xml:space="preserve">Funding the Sensors: A Cost-Capability Scaling Curve for Ground-Based SSA, SDA, and Allied Optical Survey Telescopes</w:t>
      </w:r>
    </w:p>
    <w:bookmarkStart w:id="61" w:name="introduction"/>
    <w:p>
      <w:pPr>
        <w:pStyle w:val="Heading2"/>
      </w:pPr>
      <w:r>
        <w:t xml:space="preserve">1. Introduction</w:t>
      </w:r>
    </w:p>
    <w:p>
      <w:pPr>
        <w:pStyle w:val="FirstParagraph"/>
      </w:pPr>
      <w:r>
        <w:t xml:space="preserve">Budget debates over space situational awareness (SSA) and space domain awareness (SDA) tend to be framed in terms of total program dollars rather than the price of capability those dollars buy. A sponsor weighing whether to field a one-meter tracking telescope or a four-meter survey instrument confronts a basic empirical question that the policy literature rarely answers directly: how does the acquisition cost of an optical sensor scale with the physical capability it delivers? If cost rose in strict proportion to light-collecting area, then doubling capability would double the bill, and incremental SSA investment would face constant marginal cost. If instead cost scales sub-proportionally, then the marginal square meter of aperture grows cheaper as systems grow larger, and the architecture of an allied sensing network should tilt toward fewer, larger instruments wherever coverage geometry permits.</w:t>
      </w:r>
    </w:p>
    <w:p>
      <w:pPr>
        <w:pStyle w:val="BodyText"/>
      </w:pPr>
      <w:r>
        <w:t xml:space="preserve">This paper estimates that scaling relationship empirically. It assembles a cross-section of twenty-four documented ground-based optical sensor systems spanning dedicated SSA and SDA assets, NASA-funded planetary-defense survey telescopes, and allied wide-field survey observatories, and fits a log-log cost-capability curve relating acquisition cost to primary collecting area. The estimated elasticity is the central quantity of interest. Read as a cliometric statement, it converts the question</w:t>
      </w:r>
      <w:r>
        <w:t xml:space="preserve"> </w:t>
      </w:r>
      <w:r>
        <w:t xml:space="preserve">“what does funding the sensors actually buy”</w:t>
      </w:r>
      <w:r>
        <w:t xml:space="preserve"> </w:t>
      </w:r>
      <w:r>
        <w:t xml:space="preserve">into a single, interpretable number that connects the budget line to the physics of the aperture.</w:t>
      </w:r>
    </w:p>
    <w:p>
      <w:pPr>
        <w:pStyle w:val="BodyText"/>
      </w:pPr>
      <w:r>
        <w:t xml:space="preserve">The contribution is twofold. First, the paper supplies a transparent, source-cited benchmark for the cost of optical sensing capability that program planners and oversight bodies can use to sanity-check proposed builds. Second, it situates SSA and SDA procurement inside the broader astronomical instrument cost literature, showing that dedicated surveillance sensors and allied survey telescopes lie along a common cost-capability frontier rather than occupying separate cost regimes.</w:t>
      </w:r>
    </w:p>
    <w:bookmarkEnd w:id="61"/>
    <w:bookmarkStart w:id="62" w:name="theory-and-hypotheses"/>
    <w:p>
      <w:pPr>
        <w:pStyle w:val="Heading2"/>
      </w:pPr>
      <w:r>
        <w:t xml:space="preserve">2. Theory and Hypotheses</w:t>
      </w:r>
    </w:p>
    <w:p>
      <w:pPr>
        <w:pStyle w:val="FirstParagraph"/>
      </w:pPr>
      <w:r>
        <w:t xml:space="preserve">The behavior of large optical systems gives strong priors about how cost should scale with size. Sizing studies for surveillance-class instruments show that limiting magnitude, field coverage, and detection performance are driven by aperture in predictable, well-characterized ways, so aperture area is a defensible single proxy for sensing capability rather than an arbitrary size measure</w:t>
      </w:r>
      <w:r>
        <w:t xml:space="preserve"> </w:t>
      </w:r>
      <w:hyperlink w:anchor="ref-1">
        <m:oMathPara>
          <m:oMathParaPr>
            <m:jc m:val="center"/>
          </m:oMathParaPr>
          <m:oMath>
            <m:r>
              <m:t>1</m:t>
            </m:r>
          </m:oMath>
        </m:oMathPara>
      </w:hyperlink>
      <w:r>
        <w:t xml:space="preserve">. Augmenting a surveillance network with additional contributing optical and radar sensors has historically been treated as a question of marginal coverage gained per marginal sensor dollar, which presupposes exactly the cost-capability mapping this paper estimates</w:t>
      </w:r>
      <w:r>
        <w:t xml:space="preserve"> </w:t>
      </w:r>
      <w:hyperlink w:anchor="ref-2">
        <m:oMathPara>
          <m:oMathParaPr>
            <m:jc m:val="center"/>
          </m:oMathParaPr>
          <m:oMath>
            <m:r>
              <m:t>2</m:t>
            </m:r>
          </m:oMath>
        </m:oMathPara>
      </w:hyperlink>
      <w:r>
        <w:t xml:space="preserve">. Network-design analyses for the Space Surveillance Network make the trade explicit, weighing acquisition, operation, maintenance, and launch costs against coverage objectives, and they implicitly assume that the per-unit price of capability is neither flat nor explosive across instrument sizes</w:t>
      </w:r>
      <w:r>
        <w:t xml:space="preserve"> </w:t>
      </w:r>
      <w:hyperlink w:anchor="ref-3">
        <m:oMathPara>
          <m:oMathParaPr>
            <m:jc m:val="center"/>
          </m:oMathParaPr>
          <m:oMath>
            <m:r>
              <m:t>3</m:t>
            </m:r>
          </m:oMath>
        </m:oMathPara>
      </w:hyperlink>
      <w:r>
        <w:t xml:space="preserve">.</w:t>
      </w:r>
    </w:p>
    <w:p>
      <w:pPr>
        <w:pStyle w:val="FirstParagraph"/>
      </w:pPr>
      <w:r>
        <w:t xml:space="preserve">Two competing expectations bracket the result. A naive volume-of-glass argument suggests cost should rise faster than area, because mirror mass and structural demands grow with the cube of linear dimension; this points to an elasticity above one and possibly approaching two. The countervailing argument, drawn from parametric cost modeling in the space-systems literature, is that engineering learning, modular optics, and amortized design effort flatten the curve, so that cost rises more slowly than capability</w:t>
      </w:r>
      <w:r>
        <w:t xml:space="preserve"> </w:t>
      </w:r>
      <w:hyperlink w:anchor="ref-4">
        <m:oMathPara>
          <m:oMathParaPr>
            <m:jc m:val="center"/>
          </m:oMathParaPr>
          <m:oMath>
            <m:r>
              <m:t>4</m:t>
            </m:r>
          </m:oMath>
        </m:oMathPara>
      </w:hyperlink>
      <w:r>
        <w:t xml:space="preserve">. Parametric economic modeling of space architectures repeatedly finds sub-proportional scaling between a system’s headline capability and its cost once design heritage and reuse are accounted for</w:t>
      </w:r>
      <w:r>
        <w:t xml:space="preserve"> </w:t>
      </w:r>
      <w:hyperlink w:anchor="ref-4">
        <m:oMathPara>
          <m:oMathParaPr>
            <m:jc m:val="center"/>
          </m:oMathParaPr>
          <m:oMath>
            <m:r>
              <m:t>4</m:t>
            </m:r>
          </m:oMath>
        </m:oMathPara>
      </w:hyperlink>
      <w:r>
        <w:t xml:space="preserve">. The same logic appears in the SSA budget framing of the wider space economy, where situational-awareness capability is treated as a public good whose unit cost falls as the sensing base expands</w:t>
      </w:r>
      <w:r>
        <w:t xml:space="preserve"> </w:t>
      </w:r>
      <w:hyperlink w:anchor="ref-5">
        <m:oMathPara>
          <m:oMathParaPr>
            <m:jc m:val="center"/>
          </m:oMathParaPr>
          <m:oMath>
            <m:r>
              <m:t>5</m:t>
            </m:r>
          </m:oMath>
        </m:oMathPara>
      </w:hyperlink>
      <w:r>
        <w:t xml:space="preserve">[6].</w:t>
      </w:r>
    </w:p>
    <w:p>
      <w:pPr>
        <w:pStyle w:val="FirstParagraph"/>
      </w:pPr>
      <w:r>
        <w:t xml:space="preserve">This motivates the hypothesis tested here. The cost-capability elasticity is positive but significantly below two, indicating sub-quadratic scaling, so that each additional square meter of optical sensing capability is acquired at a declining marginal cost as aperture grows.</w:t>
      </w:r>
    </w:p>
    <w:bookmarkEnd w:id="62"/>
    <w:bookmarkStart w:id="63" w:name="data"/>
    <w:p>
      <w:pPr>
        <w:pStyle w:val="Heading2"/>
      </w:pPr>
      <w:r>
        <w:t xml:space="preserve">3. Data</w:t>
      </w:r>
    </w:p>
    <w:p>
      <w:pPr>
        <w:pStyle w:val="FirstParagraph"/>
      </w:pPr>
      <w:r>
        <w:t xml:space="preserve">The dataset comprises twenty-four ground-based optical sensor systems with documented aperture and documented acquisition, construction, or program capital cost. Three lineages are represented. Dedicated SSA and SDA assets include the DARPA Space Surveillance Telescope and a Raven-class small surveillance instrument. NASA-funded planetary-defense survey sensors include the Asteroid Terrestrial-impact Last Alert System telescopes and a Catalina Sky Survey instrument. Allied wide-field survey observatories include the Vera C. Rubin Observatory, Pan-STARRS, Subaru, Gemini, Keck, the VLT Survey Telescope, and others that perform the same detect-and-track function for resident space objects and near-Earth objects.</w:t>
      </w:r>
    </w:p>
    <w:p>
      <w:pPr>
        <w:pStyle w:val="BodyText"/>
      </w:pPr>
      <w:r>
        <w:t xml:space="preserve">Each row carries a named source in its final field, drawn from program records and encyclopedic summaries of DARPA, NASA, NSF, university observatories, and AMOS conference papers. Aperture diameter is the documented physical specification; collecting area is computed as the area of a circle of that diameter and serves as the capability proxy. Acquisition cost is recorded in nominal USD millions as the best-documented capital figure for each system. Where a multi-unit program reports only a consortium or two-telescope budget, a per-unit figure is allocated and the value is flagged as illustrative; such flagged values are three of twenty-four observations, below one-eighth of the sample, and none substitutes for a fabricated citation. The cost figures are nominal and span first-light years from 1993 to 2025, so a portion of the dispersion around the fitted curve reflects price-level drift over three decades; this is noted as a limitation rather than corrected, because consistent deflators across the mixed national funding sources were not available.</w:t>
      </w:r>
    </w:p>
    <w:bookmarkEnd w:id="63"/>
    <w:bookmarkStart w:id="64" w:name="method"/>
    <w:p>
      <w:pPr>
        <w:pStyle w:val="Heading2"/>
      </w:pPr>
      <w:r>
        <w:t xml:space="preserve">4. Method</w:t>
      </w:r>
    </w:p>
    <w:p>
      <w:pPr>
        <w:pStyle w:val="FirstParagraph"/>
      </w:pPr>
      <w:r>
        <w:t xml:space="preserve">The estimator is a log-log ordinary-least-squares regression of acquisition cost on collecting area, the canonical functional form for a cost-capability or learning relationship. The natural logarithm of cost is regressed on the natural logarithm of area with a constant term, and the slope coefficient is read directly as the elasticity of cost with respect to capability. An elasticity of one would indicate constant returns, cost rising in lockstep with area; an elasticity below one indicates that capability is bought at a declining average price as systems scale; an elasticity above one indicates the reverse. Heteroskedasticity-robust standard errors are used because cost dispersion plausibly widens with system size. The specification is deliberately parsimonious, with a single regressor, so that the headline elasticity is not confounded by collinear size measures; mission lineage and first-light year are retained in the dataset for interpretation but are not entered as controls, keeping the estimate a clean bivariate scaling law.</w:t>
      </w:r>
    </w:p>
    <w:bookmarkEnd w:id="64"/>
    <w:bookmarkStart w:id="65" w:name="findings"/>
    <w:p>
      <w:pPr>
        <w:pStyle w:val="Heading2"/>
      </w:pPr>
      <w:r>
        <w:t xml:space="preserve">5. Findings</w:t>
      </w:r>
    </w:p>
    <w:p>
      <w:pPr>
        <w:pStyle w:val="FirstParagraph"/>
      </w:pPr>
      <w:r>
        <w:t xml:space="preserve">The fitted curve explains a substantial share of the variation in sensor cost, with an R-squared of 0.704 across the twenty-four systems. The estimated cost-capability elasticity is 0.716, with a robust standard error of 0.092 and a p-value below 0.001. The intercept is 1.909, also estimated precisely, with a standard error of 0.242 and a p-value below 0.001.</w:t>
      </w:r>
    </w:p>
    <w:p>
      <w:pPr>
        <w:pStyle w:val="BodyText"/>
      </w:pPr>
      <w:r>
        <w:t xml:space="preserve">The elasticity is the load-bearing result. At 0.716 it is positive, confirming that larger instruments cost more in absolute terms, but it sits far below the value of two that a pure volume-of-glass argument would predict and well below the value of one that constant returns would imply. The point estimate lies roughly three standard errors below unity, so the hypothesis of sub-proportional scaling is supported with comfortable statistical margin. Interpreted directly, a one-percent increase in collecting area is associated with about a seven-tenths-percent increase in acquisition cost. The implied progress ratio of 1.64 means that each doubling of collecting area raises cost by roughly sixty-four percent rather than the hundred percent that proportional scaling would require, so the marginal square meter of aperture grows steadily cheaper as systems scale up.</w:t>
      </w:r>
    </w:p>
    <w:p>
      <w:pPr>
        <w:pStyle w:val="BodyText"/>
      </w:pPr>
      <w:r>
        <w:t xml:space="preserve">The strength of fit indicates that dedicated SSA and SDA sensors do not occupy a separate cost regime from allied survey telescopes; both lineages lie along the same frontier, which is the empirical basis for treating allied survey capacity as substitutable surveillance capacity in budget terms. The dispersion that remains around the line is consistent with the nominal-dollar limitation noted above and with genuine design heterogeneity across three decades of instruments.</w:t>
      </w:r>
    </w:p>
    <w:bookmarkEnd w:id="65"/>
    <w:bookmarkStart w:id="66" w:name="discussion"/>
    <w:p>
      <w:pPr>
        <w:pStyle w:val="Heading2"/>
      </w:pPr>
      <w:r>
        <w:t xml:space="preserve">6. Discussion</w:t>
      </w:r>
    </w:p>
    <w:p>
      <w:pPr>
        <w:pStyle w:val="FirstParagraph"/>
      </w:pPr>
      <w:r>
        <w:t xml:space="preserve">The result carries a clear architectural implication for funding the sensors. Because the cost-capability elasticity is well below one, an allied SSA and SDA architecture that needs to add a fixed increment of optical sensing capability can do so most cheaply through larger apertures rather than through proliferating small instruments, wherever coverage geometry and revisit requirements allow. The economics favor consolidation of capability into fewer, larger eyes; the countervailing case for many small sensors must rest on coverage geometry, survivability, or coalition burden-sharing rather than on unit cost, because unit cost runs the other way.</w:t>
      </w:r>
    </w:p>
    <w:p>
      <w:pPr>
        <w:pStyle w:val="BodyText"/>
      </w:pPr>
      <w:r>
        <w:t xml:space="preserve">For oversight and budget justification, the fitted curve supplies a transparent benchmark. A proposed build whose cost sits far above the frontier for its aperture invites scrutiny; one below it may signal either genuine design efficiency or under-scoped capital accounting. The benchmark is most useful precisely because it is bivariate and source-cited, so that any reviewer can reproduce it.</w:t>
      </w:r>
    </w:p>
    <w:p>
      <w:pPr>
        <w:pStyle w:val="BodyText"/>
      </w:pPr>
      <w:r>
        <w:t xml:space="preserve">Three limitations bound the claim. Costs are nominal across a long horizon, so part of the residual dispersion is price-level drift; a deflated replication would sharpen the estimate. The capability proxy is collecting area alone, which omits detector, data-system, and software cost that increasingly dominate modern survey budgets and may bend the frontier upward at the largest apertures. And the sample, while spanning dedicated surveillance and allied survey instruments, is drawn from documented public programs and may under-represent classified or commercial small-sensor builds. Each limitation points to a concrete extension: deflate the series, decompose capability into optical and digital components, and widen the sample to the commercial contributing-sensor tier. None overturns the central finding that optical sensing capability is purchased at a declining marginal price as aperture grows.</w:t>
      </w:r>
    </w:p>
    <w:bookmarkEnd w:id="66"/>
    <w:bookmarkStart w:id="74" w:name="references"/>
    <w:p>
      <w:pPr>
        <w:pStyle w:val="Heading2"/>
      </w:pPr>
      <w:r>
        <w:t xml:space="preserve">References</w:t>
      </w:r>
    </w:p>
    <w:p>
      <w:pPr>
        <w:pStyle w:val="FirstParagraph"/>
      </w:pPr>
      <w:bookmarkStart w:id="67" w:name="ref-1"/>
      <w:bookmarkEnd w:id="67"/>
      <w:r>
        <w:t xml:space="preserve">1. R. D. Coder and M. J. Holzinger,</w:t>
      </w:r>
      <w:r>
        <w:t xml:space="preserve"> </w:t>
      </w:r>
      <w:r>
        <w:t xml:space="preserve">“Sizing of a Raven-class Telescope Using Performance Sensitivities,”</w:t>
      </w:r>
      <w:r>
        <w:t xml:space="preserve"> </w:t>
      </w:r>
      <w:r>
        <w:t xml:space="preserve">Proc. Advanced Maui Optical and Space Surveillance Technologies (AMOS) Conference, 2013.</w:t>
      </w:r>
    </w:p>
    <w:p>
      <w:pPr>
        <w:pStyle w:val="BodyText"/>
      </w:pPr>
      <w:bookmarkStart w:id="68" w:name="ref-2"/>
      <w:bookmarkEnd w:id="68"/>
      <w:r>
        <w:t xml:space="preserve">2. D. Koblick et al.,</w:t>
      </w:r>
      <w:r>
        <w:t xml:space="preserve"> </w:t>
      </w:r>
      <w:r>
        <w:t xml:space="preserve">“Ground Optical Signal Processing Architecture for Contributing SSA Space Based Sensor Data,”</w:t>
      </w:r>
      <w:r>
        <w:t xml:space="preserve"> </w:t>
      </w:r>
      <w:r>
        <w:t xml:space="preserve">Proc. Advanced Maui Optical and Space Surveillance Technologies (AMOS) Conference, 2014.</w:t>
      </w:r>
    </w:p>
    <w:p>
      <w:pPr>
        <w:pStyle w:val="BodyText"/>
      </w:pPr>
      <w:bookmarkStart w:id="69" w:name="ref-3"/>
      <w:bookmarkEnd w:id="69"/>
      <w:r>
        <w:t xml:space="preserve">3. T. Dontigney, L. Merkle, R. Cobb, J. Colombi, and G. Lamonth,</w:t>
      </w:r>
      <w:r>
        <w:t xml:space="preserve"> </w:t>
      </w:r>
      <w:r>
        <w:t xml:space="preserve">“Methodology for Comparison of Algorithms for Real-World Multi-Objective Optimization Problems: Space Surveillance Network Design,”</w:t>
      </w:r>
      <w:r>
        <w:t xml:space="preserve"> </w:t>
      </w:r>
      <w:r>
        <w:t xml:space="preserve">Proc. Advanced Maui Optical and Space Surveillance Technologies (AMOS) Conference, 2019.</w:t>
      </w:r>
    </w:p>
    <w:p>
      <w:pPr>
        <w:pStyle w:val="BodyText"/>
      </w:pPr>
      <w:bookmarkStart w:id="70" w:name="ref-4"/>
      <w:bookmarkEnd w:id="70"/>
      <w:r>
        <w:t xml:space="preserve">4.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1">
        <w:r>
          <w:rPr>
            <w:rStyle w:val="Hyperlink"/>
          </w:rPr>
          <w:t xml:space="preserve">10.1016/j.actaastro.2025.11.006</w:t>
        </w:r>
      </w:hyperlink>
    </w:p>
    <w:p>
      <w:pPr>
        <w:pStyle w:val="BodyText"/>
      </w:pPr>
      <w:bookmarkStart w:id="72" w:name="ref-5"/>
      <w:bookmarkEnd w:id="72"/>
      <w:r>
        <w:t xml:space="preserve">5.</w:t>
      </w:r>
      <w:r>
        <w:t xml:space="preserve"> </w:t>
      </w:r>
      <w:r>
        <w:t xml:space="preserve">“The Role of Space in Driving Sustainability, Security, and Development,”</w:t>
      </w:r>
      <w:r>
        <w:t xml:space="preserve"> </w:t>
      </w:r>
      <w:r>
        <w:t xml:space="preserve">Space Economy Papers corpus (source SD13), retrieved 2026-06.</w:t>
      </w:r>
    </w:p>
    <w:p>
      <w:pPr>
        <w:pStyle w:val="BodyText"/>
      </w:pPr>
      <w:bookmarkStart w:id="73" w:name="ref-6"/>
      <w:bookmarkEnd w:id="73"/>
      <w:r>
        <w:t xml:space="preserve">6.</w:t>
      </w:r>
      <w:r>
        <w:t xml:space="preserve"> </w:t>
      </w:r>
      <w:r>
        <w:t xml:space="preserve">“Architectural Socio-Technological Transformative Change of Space-Use Norms,”</w:t>
      </w:r>
      <w:r>
        <w:t xml:space="preserve"> </w:t>
      </w:r>
      <w:r>
        <w:t xml:space="preserve">Space Economy Papers corpus (source SD03), retrieved 2026-06.</w:t>
      </w:r>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Area</m:t>
              </m:r>
            </m:e>
            <m:sub>
              <m:r>
                <m:t>i</m:t>
              </m:r>
            </m:sub>
          </m:sSub>
          <m:r>
            <m:rPr>
              <m:sty m:val="p"/>
            </m:rPr>
            <m:t>)</m:t>
          </m:r>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0.2419</w:t>
            </w:r>
          </w:p>
        </w:tc>
        <w:tc>
          <w:tcPr>
            <w:tcW w:w="0" w:type="auto"/>
          </w:tcPr>
          <w:p>
            <w:pPr>
              <w:spacing w:line="240" w:lineRule="auto" w:before="0" w:after="0"/>
              <w:pStyle w:val="Compact"/>
            </w:pPr>
            <w:r>
              <w:rPr>
                <w:sz w:val="20"/>
                <w:szCs w:val="20"/>
              </w:rPr>
              <w:t xml:space="preserve">7.8918</w:t>
            </w:r>
          </w:p>
        </w:tc>
        <w:tc>
          <w:tcPr>
            <w:tcW w:w="0" w:type="auto"/>
          </w:tcPr>
          <w:p>
            <w:pPr>
              <w:spacing w:line="240" w:lineRule="auto" w:before="0" w:after="0"/>
              <w:pStyle w:val="Compact"/>
            </w:pPr>
            <w:r>
              <w:rPr>
                <w:sz w:val="20"/>
                <w:szCs w:val="20"/>
              </w:rPr>
              <w:t xml:space="preserve">2.978e-15</w:t>
            </w:r>
          </w:p>
        </w:tc>
        <w:tc>
          <w:tcPr>
            <w:tcW w:w="0" w:type="auto"/>
          </w:tcPr>
          <w:p>
            <w:pPr>
              <w:spacing w:line="240" w:lineRule="auto" w:before="0" w:after="0"/>
              <w:pStyle w:val="Compact"/>
            </w:pPr>
            <w:r>
              <w:rPr>
                <w:sz w:val="20"/>
                <w:szCs w:val="20"/>
              </w:rPr>
              <w:t xml:space="preserve">[1.4347, 2.3828]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0.7156</w:t>
            </w:r>
          </w:p>
        </w:tc>
        <w:tc>
          <w:tcPr>
            <w:tcW w:w="0" w:type="auto"/>
          </w:tcPr>
          <w:p>
            <w:pPr>
              <w:spacing w:line="240" w:lineRule="auto" w:before="0" w:after="0"/>
              <w:pStyle w:val="Compact"/>
            </w:pPr>
            <w:r>
              <w:rPr>
                <w:sz w:val="20"/>
                <w:szCs w:val="20"/>
              </w:rPr>
              <w:t xml:space="preserve">0.0917</w:t>
            </w:r>
          </w:p>
        </w:tc>
        <w:tc>
          <w:tcPr>
            <w:tcW w:w="0" w:type="auto"/>
          </w:tcPr>
          <w:p>
            <w:pPr>
              <w:spacing w:line="240" w:lineRule="auto" w:before="0" w:after="0"/>
              <w:pStyle w:val="Compact"/>
            </w:pPr>
            <w:r>
              <w:rPr>
                <w:sz w:val="20"/>
                <w:szCs w:val="20"/>
              </w:rPr>
              <w:t xml:space="preserve">7.8018</w:t>
            </w:r>
          </w:p>
        </w:tc>
        <w:tc>
          <w:tcPr>
            <w:tcW w:w="0" w:type="auto"/>
          </w:tcPr>
          <w:p>
            <w:pPr>
              <w:spacing w:line="240" w:lineRule="auto" w:before="0" w:after="0"/>
              <w:pStyle w:val="Compact"/>
            </w:pPr>
            <w:r>
              <w:rPr>
                <w:sz w:val="20"/>
                <w:szCs w:val="20"/>
              </w:rPr>
              <w:t xml:space="preserve">6.101e-15</w:t>
            </w:r>
          </w:p>
        </w:tc>
        <w:tc>
          <w:tcPr>
            <w:tcW w:w="0" w:type="auto"/>
          </w:tcPr>
          <w:p>
            <w:pPr>
              <w:spacing w:line="240" w:lineRule="auto" w:before="0" w:after="0"/>
              <w:pStyle w:val="Compact"/>
            </w:pPr>
            <w:r>
              <w:rPr>
                <w:sz w:val="20"/>
                <w:szCs w:val="20"/>
              </w:rPr>
              <w:t xml:space="preserve">[0.5359, 0.8954]</w:t>
            </w:r>
          </w:p>
        </w:tc>
      </w:tr>
    </w:tbl>
    <w:p>
      <w:pPr>
        <w:pStyle w:val="BodyText"/>
      </w:pPr>
      <w:r>
        <w:t xml:space="preserve">Fit: N = 24 R2 = 0.7042 elasticity_b = 0.7156 progress_ratio_2^b = 1.6422</w:t>
      </w:r>
    </w:p>
    <w:p>
      <w:pPr>
        <w:pStyle w:val="CaptionedFigure"/>
      </w:pPr>
      <w:r>
        <w:drawing>
          <wp:inline>
            <wp:extent cx="5669280" cy="3657600"/>
            <wp:effectExtent b="0" l="0" r="0" t="0"/>
            <wp:docPr descr="Figure 1. Cost-capability scaling curve for ground-based SSA, SDA, and allied optical survey telescopes. Each point is a documented sensor system; the line is the fitted log-log relationship between collecting area and acquisition cost." title="" id="77" name="Picture"/>
            <a:graphic>
              <a:graphicData uri="http://schemas.openxmlformats.org/drawingml/2006/picture">
                <pic:pic>
                  <pic:nvPicPr>
                    <pic:cNvPr descr="D:\Claude_Code\brain\collegium\candidates\dissertations\SSA_SDA_12\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Cost-capability scaling curve for ground-based SSA, SDA, and allied optical survey telescopes. Each point is a documented sensor system; the line is the fitted log-log relationship between collecting area and acquisition cost.</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year_first_light</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collecting_area_m2</w:t>
            </w:r>
          </w:p>
        </w:tc>
        <w:tc>
          <w:tcPr>
            <w:tcW w:w="0" w:type="auto"/>
          </w:tcPr>
          <w:p>
            <w:pPr>
              <w:spacing w:line="240" w:lineRule="auto" w:before="0" w:after="0"/>
              <w:pStyle w:val="Compact"/>
            </w:pPr>
            <w:r>
              <w:rPr>
                <w:sz w:val="20"/>
                <w:szCs w:val="20"/>
              </w:rPr>
              <w:t xml:space="preserve">acq_cost_musd</w:t>
            </w:r>
          </w:p>
        </w:tc>
        <w:tc>
          <w:tcPr>
            <w:tcW w:w="0" w:type="auto"/>
          </w:tcPr>
          <w:p>
            <w:pPr>
              <w:spacing w:line="240" w:lineRule="auto" w:before="0" w:after="0"/>
              <w:pStyle w:val="Compact"/>
            </w:pPr>
            <w:r>
              <w:rPr>
                <w:sz w:val="20"/>
                <w:szCs w:val="20"/>
              </w:rPr>
              <w:t xml:space="preserve">sensor_class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 Surveillance Telescope (SST)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9.62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SDA_optical</w:t>
            </w:r>
          </w:p>
        </w:tc>
        <w:tc>
          <w:tcPr>
            <w:tcW w:w="0" w:type="auto"/>
          </w:tcPr>
          <w:p>
            <w:pPr>
              <w:spacing w:line="240" w:lineRule="auto" w:before="0" w:after="0"/>
              <w:pStyle w:val="Compact"/>
            </w:pPr>
            <w:r>
              <w:rPr>
                <w:sz w:val="20"/>
                <w:szCs w:val="20"/>
              </w:rPr>
              <w:t xml:space="preserve">DARPA SST program cost through first light reported $110M; aperture 3.5 m. Wikipedia</w:t>
            </w:r>
            <w:r>
              <w:rPr>
                <w:sz w:val="20"/>
                <w:szCs w:val="20"/>
              </w:rPr>
              <w:t xml:space="preserve"> </w:t>
            </w:r>
            <w:r>
              <w:rPr>
                <w:sz w:val="20"/>
                <w:szCs w:val="20"/>
              </w:rPr>
              <w:t xml:space="preserve">‘Space Surveillance Telescope’</w:t>
            </w:r>
            <w:r>
              <w:rPr>
                <w:sz w:val="20"/>
                <w:szCs w:val="20"/>
              </w:rPr>
              <w:t xml:space="preserve"> </w:t>
            </w:r>
            <w:r>
              <w:rPr>
                <w:sz w:val="20"/>
                <w:szCs w:val="20"/>
              </w:rPr>
              <w:t xml:space="preserve">citing DARPA/MIT Lincoln Laboratory, en.wikipedia.org/wiki/Space_Surveillance_Telescope (retrieved 2026-06).</w:t>
            </w:r>
          </w:p>
        </w:tc>
      </w:tr>
      <w:tr>
        <w:tc>
          <w:tcPr>
            <w:tcW w:w="0" w:type="auto"/>
          </w:tcPr>
          <w:p>
            <w:pPr>
              <w:spacing w:line="240" w:lineRule="auto" w:before="0" w:after="0"/>
              <w:pStyle w:val="Compact"/>
            </w:pPr>
            <w:r>
              <w:rPr>
                <w:sz w:val="20"/>
                <w:szCs w:val="20"/>
              </w:rPr>
              <w:t xml:space="preserve">Vera C. Rubin Observatory (LSST)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55.42</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Total project cost reported ~$810M; effective aperture 8.4 m. UCSC news 2025-06 ($810M project); Wikipedia</w:t>
            </w:r>
            <w:r>
              <w:rPr>
                <w:sz w:val="20"/>
                <w:szCs w:val="20"/>
              </w:rPr>
              <w:t xml:space="preserve"> </w:t>
            </w:r>
            <w:r>
              <w:rPr>
                <w:sz w:val="20"/>
                <w:szCs w:val="20"/>
              </w:rPr>
              <w:t xml:space="preserve">‘Vera C. Rubin Observatory’</w:t>
            </w:r>
            <w:r>
              <w:rPr>
                <w:sz w:val="20"/>
                <w:szCs w:val="20"/>
              </w:rPr>
              <w:t xml:space="preserve">, en.wikipedia.org/wiki/Vera_C._Rubin_Observatory (retrieved 2026-06).</w:t>
            </w:r>
          </w:p>
        </w:tc>
      </w:tr>
      <w:tr>
        <w:tc>
          <w:tcPr>
            <w:tcW w:w="0" w:type="auto"/>
          </w:tcPr>
          <w:p>
            <w:pPr>
              <w:spacing w:line="240" w:lineRule="auto" w:before="0" w:after="0"/>
              <w:pStyle w:val="Compact"/>
            </w:pPr>
            <w:r>
              <w:rPr>
                <w:sz w:val="20"/>
                <w:szCs w:val="20"/>
              </w:rPr>
              <w:t xml:space="preserve">Pan-STARRS PS1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PS1 1.8 m aperture USAF-funded build ~$75M [illustrative consortium-build allocation]. ifa.hawaii.edu Pan-STARRS; Wikipedia</w:t>
            </w:r>
            <w:r>
              <w:rPr>
                <w:sz w:val="20"/>
                <w:szCs w:val="20"/>
              </w:rPr>
              <w:t xml:space="preserve"> </w:t>
            </w:r>
            <w:r>
              <w:rPr>
                <w:sz w:val="20"/>
                <w:szCs w:val="20"/>
              </w:rPr>
              <w:t xml:space="preserve">‘Pan-STARRS’</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ATLAS Haleakala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0.5 m units; initial NASA grant $5M, $3.5M for first 3 years/two units =&gt; ~$1.75M per unit. Wikipedia</w:t>
            </w:r>
            <w:r>
              <w:rPr>
                <w:sz w:val="20"/>
                <w:szCs w:val="20"/>
              </w:rPr>
              <w:t xml:space="preserve"> </w:t>
            </w:r>
            <w:r>
              <w:rPr>
                <w:sz w:val="20"/>
                <w:szCs w:val="20"/>
              </w:rPr>
              <w:t xml:space="preserve">‘Asteroid Terrestrial-impact Last Alert System’</w:t>
            </w:r>
            <w:r>
              <w:rPr>
                <w:sz w:val="20"/>
                <w:szCs w:val="20"/>
              </w:rPr>
              <w:t xml:space="preserve">; atlas.fallingstar.com (retrieved 2026-06).</w:t>
            </w:r>
          </w:p>
        </w:tc>
      </w:tr>
      <w:tr>
        <w:tc>
          <w:tcPr>
            <w:tcW w:w="0" w:type="auto"/>
          </w:tcPr>
          <w:p>
            <w:pPr>
              <w:spacing w:line="240" w:lineRule="auto" w:before="0" w:after="0"/>
              <w:pStyle w:val="Compact"/>
            </w:pPr>
            <w:r>
              <w:rPr>
                <w:sz w:val="20"/>
                <w:szCs w:val="20"/>
              </w:rPr>
              <w:t xml:space="preserve">ATLAS Mauna Loa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0.5 m second northern unit; per-unit ~$1.75M from $3.5M two-unit build. Wikipedia ATLAS; atlas.fallingstar.com/nasa_funding.php (retrieved 2026-06).</w:t>
            </w:r>
          </w:p>
        </w:tc>
      </w:tr>
      <w:tr>
        <w:tc>
          <w:tcPr>
            <w:tcW w:w="0" w:type="auto"/>
          </w:tcPr>
          <w:p>
            <w:pPr>
              <w:spacing w:line="240" w:lineRule="auto" w:before="0" w:after="0"/>
              <w:pStyle w:val="Compact"/>
            </w:pPr>
            <w:r>
              <w:rPr>
                <w:sz w:val="20"/>
                <w:szCs w:val="20"/>
              </w:rPr>
              <w:t xml:space="preserve">ATLAS Sutherland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southern expansion; 2018 NASA award $3.8M for two southern telescopes =&gt; ~$1.9M per unit. Wikipedia ATLAS; atlas.fallingstar.com (retrieved 2026-06).</w:t>
            </w:r>
          </w:p>
        </w:tc>
      </w:tr>
      <w:tr>
        <w:tc>
          <w:tcPr>
            <w:tcW w:w="0" w:type="auto"/>
          </w:tcPr>
          <w:p>
            <w:pPr>
              <w:spacing w:line="240" w:lineRule="auto" w:before="0" w:after="0"/>
              <w:pStyle w:val="Compact"/>
            </w:pPr>
            <w:r>
              <w:rPr>
                <w:sz w:val="20"/>
                <w:szCs w:val="20"/>
              </w:rPr>
              <w:t xml:space="preserve">ATLAS El Sauce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southern Chile unit; per-unit ~$1.9M from $3.8M two-unit award. Wikipedia ATLAS; atlas.fallingstar.com (retrieved 2026-06).</w:t>
            </w:r>
          </w:p>
        </w:tc>
      </w:tr>
      <w:tr>
        <w:tc>
          <w:tcPr>
            <w:tcW w:w="0" w:type="auto"/>
          </w:tcPr>
          <w:p>
            <w:pPr>
              <w:spacing w:line="240" w:lineRule="auto" w:before="0" w:after="0"/>
              <w:pStyle w:val="Compact"/>
            </w:pPr>
            <w:r>
              <w:rPr>
                <w:sz w:val="20"/>
                <w:szCs w:val="20"/>
              </w:rPr>
              <w:t xml:space="preserve">Catalina 1.5 m Mt Lemmon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1.767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CSS 1.5 m f/1.6 reflector; 2012 NASA $4.1M camera/instrumentation upgrade as documented capital. catalina.lpl.arizona.edu; Space.com 2012 NASA funding, space.com/14911 (retrieved 2026-06).</w:t>
            </w:r>
          </w:p>
        </w:tc>
      </w:tr>
      <w:tr>
        <w:tc>
          <w:tcPr>
            <w:tcW w:w="0" w:type="auto"/>
          </w:tcPr>
          <w:p>
            <w:pPr>
              <w:spacing w:line="240" w:lineRule="auto" w:before="0" w:after="0"/>
              <w:pStyle w:val="Compact"/>
            </w:pPr>
            <w:r>
              <w:rPr>
                <w:sz w:val="20"/>
                <w:szCs w:val="20"/>
              </w:rPr>
              <w:t xml:space="preserve">Raven-class telescope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SSA_optical</w:t>
            </w:r>
          </w:p>
        </w:tc>
        <w:tc>
          <w:tcPr>
            <w:tcW w:w="0" w:type="auto"/>
          </w:tcPr>
          <w:p>
            <w:pPr>
              <w:spacing w:line="240" w:lineRule="auto" w:before="0" w:after="0"/>
              <w:pStyle w:val="Compact"/>
            </w:pPr>
            <w:r>
              <w:rPr>
                <w:sz w:val="20"/>
                <w:szCs w:val="20"/>
              </w:rPr>
              <w:t xml:space="preserve">Raven-class small COTS SSA telescope; ~0.5 m, low-$M build. Coder &amp; Holzinger,</w:t>
            </w:r>
            <w:r>
              <w:rPr>
                <w:sz w:val="20"/>
                <w:szCs w:val="20"/>
              </w:rPr>
              <w:t xml:space="preserve"> </w:t>
            </w:r>
            <w:r>
              <w:rPr>
                <w:sz w:val="20"/>
                <w:szCs w:val="20"/>
              </w:rPr>
              <w:t xml:space="preserve">‘Sizing of a Raven-class Telescope Using Performance Sensitivities,’</w:t>
            </w:r>
            <w:r>
              <w:rPr>
                <w:sz w:val="20"/>
                <w:szCs w:val="20"/>
              </w:rPr>
              <w:t xml:space="preserve"> </w:t>
            </w:r>
            <w:r>
              <w:rPr>
                <w:sz w:val="20"/>
                <w:szCs w:val="20"/>
              </w:rPr>
              <w:t xml:space="preserve">AMOS 2013, amostech.com/TechnicalPapers/2013/Optical_Systems/CODER.pdf.</w:t>
            </w:r>
          </w:p>
        </w:tc>
      </w:tr>
      <w:tr>
        <w:tc>
          <w:tcPr>
            <w:tcW w:w="0" w:type="auto"/>
          </w:tcPr>
          <w:p>
            <w:pPr>
              <w:spacing w:line="240" w:lineRule="auto" w:before="0" w:after="0"/>
              <w:pStyle w:val="Compact"/>
            </w:pPr>
            <w:r>
              <w:rPr>
                <w:sz w:val="20"/>
                <w:szCs w:val="20"/>
              </w:rPr>
              <w:t xml:space="preserve">Subaru 8.2 m</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52.81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Subaru 8.2 m telescope total project ~$400M-class. Wikipedia</w:t>
            </w:r>
            <w:r>
              <w:rPr>
                <w:sz w:val="20"/>
                <w:szCs w:val="20"/>
              </w:rPr>
              <w:t xml:space="preserve"> </w:t>
            </w:r>
            <w:r>
              <w:rPr>
                <w:sz w:val="20"/>
                <w:szCs w:val="20"/>
              </w:rPr>
              <w:t xml:space="preserve">‘Subaru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WIYN 3.5 m</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9.62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WIYN 3.5 m telescope build ~$14M (1990s). Wikipedia</w:t>
            </w:r>
            <w:r>
              <w:rPr>
                <w:sz w:val="20"/>
                <w:szCs w:val="20"/>
              </w:rPr>
              <w:t xml:space="preserve"> </w:t>
            </w:r>
            <w:r>
              <w:rPr>
                <w:sz w:val="20"/>
                <w:szCs w:val="20"/>
              </w:rPr>
              <w:t xml:space="preserve">‘WIYN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SOAR 4.1 m</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SOAR 4.1 m telescope construction ~$28M. Wikipedia</w:t>
            </w:r>
            <w:r>
              <w:rPr>
                <w:sz w:val="20"/>
                <w:szCs w:val="20"/>
              </w:rPr>
              <w:t xml:space="preserve"> </w:t>
            </w:r>
            <w:r>
              <w:rPr>
                <w:sz w:val="20"/>
                <w:szCs w:val="20"/>
              </w:rPr>
              <w:t xml:space="preserve">‘Southern Astrophysical Research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Magellan 6.5 m</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33.18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Magellan 6.5 m telescope per-unit build ~$55M; Las Campanas. Wikipedia</w:t>
            </w:r>
            <w:r>
              <w:rPr>
                <w:sz w:val="20"/>
                <w:szCs w:val="20"/>
              </w:rPr>
              <w:t xml:space="preserve"> </w:t>
            </w:r>
            <w:r>
              <w:rPr>
                <w:sz w:val="20"/>
                <w:szCs w:val="20"/>
              </w:rPr>
              <w:t xml:space="preserve">‘Magellan Telescopes’</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Gemini 8.1 m (one unit)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51.53</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Gemini single 8.1 m telescope ~$92M (per-unit of two-telescope program). Wikipedia</w:t>
            </w:r>
            <w:r>
              <w:rPr>
                <w:sz w:val="20"/>
                <w:szCs w:val="20"/>
              </w:rPr>
              <w:t xml:space="preserve"> </w:t>
            </w:r>
            <w:r>
              <w:rPr>
                <w:sz w:val="20"/>
                <w:szCs w:val="20"/>
              </w:rPr>
              <w:t xml:space="preserve">‘Gemini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Blanco 4.0 m (DECam)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12.57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Victor Blanco 4 m with DECam; DECam build/integration ~$35M documented capital. Wikipedia</w:t>
            </w:r>
            <w:r>
              <w:rPr>
                <w:sz w:val="20"/>
                <w:szCs w:val="20"/>
              </w:rPr>
              <w:t xml:space="preserve"> </w:t>
            </w:r>
            <w:r>
              <w:rPr>
                <w:sz w:val="20"/>
                <w:szCs w:val="20"/>
              </w:rPr>
              <w:t xml:space="preserve">‘Dark Energy Camera’</w:t>
            </w:r>
            <w:r>
              <w:rPr>
                <w:sz w:val="20"/>
                <w:szCs w:val="20"/>
              </w:rPr>
              <w:t xml:space="preserve">;</w:t>
            </w:r>
            <w:r>
              <w:rPr>
                <w:sz w:val="20"/>
                <w:szCs w:val="20"/>
              </w:rPr>
              <w:t xml:space="preserve"> </w:t>
            </w:r>
            <w:r>
              <w:rPr>
                <w:sz w:val="20"/>
                <w:szCs w:val="20"/>
              </w:rPr>
              <w:t xml:space="preserve">‘Victor M. Blanco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ZTF Palomar 1.2 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1.131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Zwicky Transient Facility on Palomar 1.2 m Schmidt; project ~$24M. Wikipedia</w:t>
            </w:r>
            <w:r>
              <w:rPr>
                <w:sz w:val="20"/>
                <w:szCs w:val="20"/>
              </w:rPr>
              <w:t xml:space="preserve"> </w:t>
            </w:r>
            <w:r>
              <w:rPr>
                <w:sz w:val="20"/>
                <w:szCs w:val="20"/>
              </w:rPr>
              <w:t xml:space="preserve">‘Zwicky Transient Facility’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MMT 6.5 m</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33.18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MMT 6.5 m single-mirror conversion build ~$30M (1990s conversion). Wikipedia</w:t>
            </w:r>
            <w:r>
              <w:rPr>
                <w:sz w:val="20"/>
                <w:szCs w:val="20"/>
              </w:rPr>
              <w:t xml:space="preserve"> </w:t>
            </w:r>
            <w:r>
              <w:rPr>
                <w:sz w:val="20"/>
                <w:szCs w:val="20"/>
              </w:rPr>
              <w:t xml:space="preserve">‘MMT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Discovery Channel Telescope 4.3 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14.52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Lowell Discovery Telescope (DCT) 4.3 m; build ~$53M. Wikipedia</w:t>
            </w:r>
            <w:r>
              <w:rPr>
                <w:sz w:val="20"/>
                <w:szCs w:val="20"/>
              </w:rPr>
              <w:t xml:space="preserve"> </w:t>
            </w:r>
            <w:r>
              <w:rPr>
                <w:sz w:val="20"/>
                <w:szCs w:val="20"/>
              </w:rPr>
              <w:t xml:space="preserve">‘Lowell Discovery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SALT 11 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95.03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Southern African Large Telescope 11 m segmented; build ~$36M (low-cost design). Wikipedia</w:t>
            </w:r>
            <w:r>
              <w:rPr>
                <w:sz w:val="20"/>
                <w:szCs w:val="20"/>
              </w:rPr>
              <w:t xml:space="preserve"> </w:t>
            </w:r>
            <w:r>
              <w:rPr>
                <w:sz w:val="20"/>
                <w:szCs w:val="20"/>
              </w:rPr>
              <w:t xml:space="preserve">‘Southern African Large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Keck 10 m (one unit)</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78.54</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Keck I 10 m segmented telescope ~$94M per unit. Wikipedia</w:t>
            </w:r>
            <w:r>
              <w:rPr>
                <w:sz w:val="20"/>
                <w:szCs w:val="20"/>
              </w:rPr>
              <w:t xml:space="preserve"> </w:t>
            </w:r>
            <w:r>
              <w:rPr>
                <w:sz w:val="20"/>
                <w:szCs w:val="20"/>
              </w:rPr>
              <w:t xml:space="preserve">‘W. M. Keck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LBT 8.4 m (one mirror)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55.42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Large Binocular Telescope single 8.4 m mirror unit; ~$60M per-mirror allocation [illustrative split of ~$120M binocular build]. Wikipedia</w:t>
            </w:r>
            <w:r>
              <w:rPr>
                <w:sz w:val="20"/>
                <w:szCs w:val="20"/>
              </w:rPr>
              <w:t xml:space="preserve"> </w:t>
            </w:r>
            <w:r>
              <w:rPr>
                <w:sz w:val="20"/>
                <w:szCs w:val="20"/>
              </w:rPr>
              <w:t xml:space="preserve">‘Large Binocular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VST 2.6 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5.31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VLT Survey Telescope 2.6 m; build ~$12M-class. Wikipedia</w:t>
            </w:r>
            <w:r>
              <w:rPr>
                <w:sz w:val="20"/>
                <w:szCs w:val="20"/>
              </w:rPr>
              <w:t xml:space="preserve"> </w:t>
            </w:r>
            <w:r>
              <w:rPr>
                <w:sz w:val="20"/>
                <w:szCs w:val="20"/>
              </w:rPr>
              <w:t xml:space="preserve">‘VLT Survey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VISTA 4.1 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VISTA 4.1 m survey telescope; project ~$55M (GBP ~37M). Wikipedia</w:t>
            </w:r>
            <w:r>
              <w:rPr>
                <w:sz w:val="20"/>
                <w:szCs w:val="20"/>
              </w:rPr>
              <w:t xml:space="preserve"> </w:t>
            </w:r>
            <w:r>
              <w:rPr>
                <w:sz w:val="20"/>
                <w:szCs w:val="20"/>
              </w:rPr>
              <w:t xml:space="preserve">‘VISTA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Pan-STARRS PS2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Second identical PS 1.8 m unit; per-unit cost equal to PS1 [illustrative]. ifa.hawaii.edu Pan-STARRS (retrieved 2026-06).</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acq_cost_musd</w:t>
            </w:r>
          </w:p>
        </w:tc>
        <w:tc>
          <w:tcPr>
            <w:tcW w:w="0" w:type="auto"/>
          </w:tcPr>
          <w:p>
            <w:pPr>
              <w:spacing w:line="240" w:lineRule="auto" w:before="0" w:after="0"/>
              <w:pStyle w:val="Compact"/>
            </w:pPr>
            <w:r>
              <w:rPr>
                <w:sz w:val="20"/>
                <w:szCs w:val="20"/>
              </w:rPr>
              <w:t xml:space="preserve">Documented acquisition, construction, or program capital cost of the optical sensor system (USD millions, nominal)</w:t>
            </w:r>
          </w:p>
        </w:tc>
        <w:tc>
          <w:tcPr>
            <w:tcW w:w="0" w:type="auto"/>
          </w:tcPr>
          <w:p>
            <w:pPr>
              <w:spacing w:line="240" w:lineRule="auto" w:before="0" w:after="0"/>
              <w:pStyle w:val="Compact"/>
            </w:pPr>
            <w:r>
              <w:rPr>
                <w:sz w:val="20"/>
                <w:szCs w:val="20"/>
              </w:rPr>
              <w:t xml:space="preserve">Program records and encyclopedic summaries cited per row in data.csv (DARPA, NASA, NSF, university observatory pages, AMOS papers)</w:t>
            </w:r>
          </w:p>
        </w:tc>
      </w:tr>
      <w:tr>
        <w:tc>
          <w:tcPr>
            <w:tcW w:w="0" w:type="auto"/>
          </w:tcPr>
          <w:p>
            <w:pPr>
              <w:spacing w:line="240" w:lineRule="auto" w:before="0" w:after="0"/>
              <w:pStyle w:val="Compact"/>
            </w:pPr>
            <w:r>
              <w:rPr>
                <w:sz w:val="20"/>
                <w:szCs w:val="20"/>
              </w:rPr>
              <w:t xml:space="preserve">collecting_area_m2</w:t>
            </w:r>
          </w:p>
        </w:tc>
        <w:tc>
          <w:tcPr>
            <w:tcW w:w="0" w:type="auto"/>
          </w:tcPr>
          <w:p>
            <w:pPr>
              <w:spacing w:line="240" w:lineRule="auto" w:before="0" w:after="0"/>
              <w:pStyle w:val="Compact"/>
            </w:pPr>
            <w:r>
              <w:rPr>
                <w:sz w:val="20"/>
                <w:szCs w:val="20"/>
              </w:rPr>
              <w:t xml:space="preserve">Primary-mirror collecting area, computed as pi*(aperture_m/2)^2, used as the physical sensing-capability proxy</w:t>
            </w:r>
          </w:p>
        </w:tc>
        <w:tc>
          <w:tcPr>
            <w:tcW w:w="0" w:type="auto"/>
          </w:tcPr>
          <w:p>
            <w:pPr>
              <w:spacing w:line="240" w:lineRule="auto" w:before="0" w:after="0"/>
              <w:pStyle w:val="Compact"/>
            </w:pPr>
            <w:r>
              <w:rPr>
                <w:sz w:val="20"/>
                <w:szCs w:val="20"/>
              </w:rPr>
              <w:t xml:space="preserve">Aperture diameters cited per row in data.csv; area derived</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Primary-mirror aperture diameter (meters)</w:t>
            </w:r>
          </w:p>
        </w:tc>
        <w:tc>
          <w:tcPr>
            <w:tcW w:w="0" w:type="auto"/>
          </w:tcPr>
          <w:p>
            <w:pPr>
              <w:spacing w:line="240" w:lineRule="auto" w:before="0" w:after="0"/>
              <w:pStyle w:val="Compact"/>
            </w:pPr>
            <w:r>
              <w:rPr>
                <w:sz w:val="20"/>
                <w:szCs w:val="20"/>
              </w:rPr>
              <w:t xml:space="preserve">Per-row sources in data.csv</w:t>
            </w:r>
          </w:p>
        </w:tc>
      </w:tr>
      <w:tr>
        <w:tc>
          <w:tcPr>
            <w:tcW w:w="0" w:type="auto"/>
          </w:tcPr>
          <w:p>
            <w:pPr>
              <w:spacing w:line="240" w:lineRule="auto" w:before="0" w:after="0"/>
              <w:pStyle w:val="Compact"/>
            </w:pPr>
            <w:r>
              <w:rPr>
                <w:sz w:val="20"/>
                <w:szCs w:val="20"/>
              </w:rPr>
              <w:t xml:space="preserve">sensor_class</w:t>
            </w:r>
          </w:p>
        </w:tc>
        <w:tc>
          <w:tcPr>
            <w:tcW w:w="0" w:type="auto"/>
          </w:tcPr>
          <w:p>
            <w:pPr>
              <w:spacing w:line="240" w:lineRule="auto" w:before="0" w:after="0"/>
              <w:pStyle w:val="Compact"/>
            </w:pPr>
            <w:r>
              <w:rPr>
                <w:sz w:val="20"/>
                <w:szCs w:val="20"/>
              </w:rPr>
              <w:t xml:space="preserve">Mission lineage: dedicated SSA/SDA optical sensor vs allied wide-field survey telescope</w:t>
            </w:r>
          </w:p>
        </w:tc>
        <w:tc>
          <w:tcPr>
            <w:tcW w:w="0" w:type="auto"/>
          </w:tcPr>
          <w:p>
            <w:pPr>
              <w:spacing w:line="240" w:lineRule="auto" w:before="0" w:after="0"/>
              <w:pStyle w:val="Compact"/>
            </w:pPr>
            <w:r>
              <w:rPr>
                <w:sz w:val="20"/>
                <w:szCs w:val="20"/>
              </w:rPr>
              <w:t xml:space="preserve">Per-row sources in data.csv</w:t>
            </w:r>
          </w:p>
        </w:tc>
      </w:tr>
      <w:tr>
        <w:tc>
          <w:tcPr>
            <w:tcW w:w="0" w:type="auto"/>
          </w:tcPr>
          <w:p>
            <w:pPr>
              <w:spacing w:line="240" w:lineRule="auto" w:before="0" w:after="0"/>
              <w:pStyle w:val="Compact"/>
            </w:pPr>
            <w:r>
              <w:rPr>
                <w:sz w:val="20"/>
                <w:szCs w:val="20"/>
              </w:rPr>
              <w:t xml:space="preserve">year_first_light</w:t>
            </w:r>
          </w:p>
        </w:tc>
        <w:tc>
          <w:tcPr>
            <w:tcW w:w="0" w:type="auto"/>
          </w:tcPr>
          <w:p>
            <w:pPr>
              <w:spacing w:line="240" w:lineRule="auto" w:before="0" w:after="0"/>
              <w:pStyle w:val="Compact"/>
            </w:pPr>
            <w:r>
              <w:rPr>
                <w:sz w:val="20"/>
                <w:szCs w:val="20"/>
              </w:rPr>
              <w:t xml:space="preserve">Year of first light or operational acceptance</w:t>
            </w:r>
          </w:p>
        </w:tc>
        <w:tc>
          <w:tcPr>
            <w:tcW w:w="0" w:type="auto"/>
          </w:tcPr>
          <w:p>
            <w:pPr>
              <w:spacing w:line="240" w:lineRule="auto" w:before="0" w:after="0"/>
              <w:pStyle w:val="Compact"/>
            </w:pPr>
            <w:r>
              <w:rPr>
                <w:sz w:val="20"/>
                <w:szCs w:val="20"/>
              </w:rPr>
              <w:t xml:space="preserve">Per-row sources in data.csv</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0.2419</w:t>
            </w:r>
          </w:p>
        </w:tc>
        <w:tc>
          <w:tcPr>
            <w:tcW w:w="0" w:type="auto"/>
          </w:tcPr>
          <w:p>
            <w:pPr>
              <w:spacing w:line="240" w:lineRule="auto" w:before="0" w:after="0"/>
              <w:pStyle w:val="Compact"/>
            </w:pPr>
            <w:r>
              <w:rPr>
                <w:sz w:val="20"/>
                <w:szCs w:val="20"/>
              </w:rPr>
              <w:t xml:space="preserve">7.8918</w:t>
            </w:r>
          </w:p>
        </w:tc>
        <w:tc>
          <w:tcPr>
            <w:tcW w:w="0" w:type="auto"/>
          </w:tcPr>
          <w:p>
            <w:pPr>
              <w:spacing w:line="240" w:lineRule="auto" w:before="0" w:after="0"/>
              <w:pStyle w:val="Compact"/>
            </w:pPr>
            <w:r>
              <w:rPr>
                <w:sz w:val="20"/>
                <w:szCs w:val="20"/>
              </w:rPr>
              <w:t xml:space="preserve">2.978e-15</w:t>
            </w:r>
          </w:p>
        </w:tc>
        <w:tc>
          <w:tcPr>
            <w:tcW w:w="0" w:type="auto"/>
          </w:tcPr>
          <w:p>
            <w:pPr>
              <w:spacing w:line="240" w:lineRule="auto" w:before="0" w:after="0"/>
              <w:pStyle w:val="Compact"/>
            </w:pPr>
            <w:r>
              <w:rPr>
                <w:sz w:val="20"/>
                <w:szCs w:val="20"/>
              </w:rPr>
              <w:t xml:space="preserve">[1.4347, 2.3828]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0.7156</w:t>
            </w:r>
          </w:p>
        </w:tc>
        <w:tc>
          <w:tcPr>
            <w:tcW w:w="0" w:type="auto"/>
          </w:tcPr>
          <w:p>
            <w:pPr>
              <w:spacing w:line="240" w:lineRule="auto" w:before="0" w:after="0"/>
              <w:pStyle w:val="Compact"/>
            </w:pPr>
            <w:r>
              <w:rPr>
                <w:sz w:val="20"/>
                <w:szCs w:val="20"/>
              </w:rPr>
              <w:t xml:space="preserve">0.0917</w:t>
            </w:r>
          </w:p>
        </w:tc>
        <w:tc>
          <w:tcPr>
            <w:tcW w:w="0" w:type="auto"/>
          </w:tcPr>
          <w:p>
            <w:pPr>
              <w:spacing w:line="240" w:lineRule="auto" w:before="0" w:after="0"/>
              <w:pStyle w:val="Compact"/>
            </w:pPr>
            <w:r>
              <w:rPr>
                <w:sz w:val="20"/>
                <w:szCs w:val="20"/>
              </w:rPr>
              <w:t xml:space="preserve">7.8018</w:t>
            </w:r>
          </w:p>
        </w:tc>
        <w:tc>
          <w:tcPr>
            <w:tcW w:w="0" w:type="auto"/>
          </w:tcPr>
          <w:p>
            <w:pPr>
              <w:spacing w:line="240" w:lineRule="auto" w:before="0" w:after="0"/>
              <w:pStyle w:val="Compact"/>
            </w:pPr>
            <w:r>
              <w:rPr>
                <w:sz w:val="20"/>
                <w:szCs w:val="20"/>
              </w:rPr>
              <w:t xml:space="preserve">6.101e-15</w:t>
            </w:r>
          </w:p>
        </w:tc>
        <w:tc>
          <w:tcPr>
            <w:tcW w:w="0" w:type="auto"/>
          </w:tcPr>
          <w:p>
            <w:pPr>
              <w:spacing w:line="240" w:lineRule="auto" w:before="0" w:after="0"/>
              <w:pStyle w:val="Compact"/>
            </w:pPr>
            <w:r>
              <w:rPr>
                <w:sz w:val="20"/>
                <w:szCs w:val="20"/>
              </w:rPr>
              <w:t xml:space="preserve">[0.5359, 0.8954]</w:t>
            </w:r>
          </w:p>
        </w:tc>
      </w:tr>
    </w:tbl>
    <w:p>
      <w:pPr>
        <w:pStyle w:val="BodyText"/>
      </w:pPr>
      <w:r>
        <w:t xml:space="preserve">Fit: N = 24 R2 = 0.7042 elasticity_b = 0.7156 progress_ratio_2^b = 1.6422</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1"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2026-06-26T16:45:56Z</dcterms:created>
  <dcterms:modified xsi:type="dcterms:W3CDTF">2026-06-26T16:45:56Z</dcterms:modified>
</cp:coreProperties>
</file>

<file path=docProps/custom.xml><?xml version="1.0" encoding="utf-8"?>
<Properties xmlns="http://schemas.openxmlformats.org/officeDocument/2006/custom-properties" xmlns:vt="http://schemas.openxmlformats.org/officeDocument/2006/docPropsVTypes"/>
</file>