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3.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1" w:name="Xb71a58e98b2607ee7aefe0eeaebf2e25161700a"/>
    <w:p>
      <w:pPr>
        <w:pStyle w:val="Heading1"/>
      </w:pPr>
      <w:r>
        <w:t xml:space="preserve">Funding the Sensors: A Log-Linear Cost Estimating Relationship for NASA and Allied Earth-Observation, Astrophysics, and Heliophysics Sensing Missions</w:t>
      </w:r>
    </w:p>
    <w:bookmarkStart w:id="61" w:name="introduction"/>
    <w:p>
      <w:pPr>
        <w:pStyle w:val="Heading2"/>
      </w:pPr>
      <w:r>
        <w:t xml:space="preserve">1. Introduction</w:t>
      </w:r>
    </w:p>
    <w:p>
      <w:pPr>
        <w:pStyle w:val="FirstParagraph"/>
      </w:pPr>
      <w:r>
        <w:t xml:space="preserve">Every budget cycle, program managers and appropriators confront the same blunt question: what will a new sensing spacecraft cost, and what physical features of the design move that number the most? For the space situational awareness and space domain awareness community, the question is not academic. The sensors that populate national catalogs, characterize resident space objects, and feed conjunction screening are procured against the same fiscal constraints that govern civil Earth-observation and astrophysics missions, and they share most of the same cost drivers: aperture, payload mass, pointing precision, and integration complexity. A transparent, replicable relationship between observable design parameters and mission cost is therefore a precondition for honest budgeting of the sensing enterprise.</w:t>
      </w:r>
    </w:p>
    <w:p>
      <w:pPr>
        <w:pStyle w:val="BodyText"/>
      </w:pPr>
      <w:r>
        <w:t xml:space="preserve">This paper estimates a parametric cost estimating relationship (CER) for a population of 29 NASA and allied sensing missions launched between 1999 and 2024. The dependent variable is total mission lifecycle cost; the central regressor is spacecraft launch mass, a parameter available early in design and used throughout the astronautics cost-estimating literature as the primary size driver. The contribution is empirical and methodological rather than novel in form: it fits a documented, source-cited dataset to a log-linear specification and reports the elasticity of cost with respect to mass for a class of missions whose sensing function is directly relevant to the SSA and SDA sensor portfolio.</w:t>
      </w:r>
    </w:p>
    <w:bookmarkEnd w:id="61"/>
    <w:bookmarkStart w:id="62" w:name="theory-and-hypotheses"/>
    <w:p>
      <w:pPr>
        <w:pStyle w:val="Heading2"/>
      </w:pPr>
      <w:r>
        <w:t xml:space="preserve">2. Theory and Hypotheses</w:t>
      </w:r>
    </w:p>
    <w:p>
      <w:pPr>
        <w:pStyle w:val="FirstParagraph"/>
      </w:pPr>
      <w:r>
        <w:t xml:space="preserve">Parametric cost estimation in spacecraft programs rests on a long-standing observation: physical size and complexity, not feature counts, dominate development and acquisition cost. Cost-and-performance comparisons of competing space surveillance architectures repeatedly identify mass and aperture as the parameters that separate affordable options from unaffordable ones, and they do so explicitly in a budget-constrained framing where cost is a first-order design driver rather than an afterthought</w:t>
      </w:r>
      <w:r>
        <w:t xml:space="preserve"> </w:t>
      </w:r>
      <w:hyperlink w:anchor="ref-1">
        <m:oMathPara>
          <m:oMathParaPr>
            <m:jc m:val="center"/>
          </m:oMathParaPr>
          <m:oMath>
            <m:r>
              <m:t>1</m:t>
            </m:r>
          </m:oMath>
        </m:oMathPara>
      </w:hyperlink>
      <w:r>
        <w:t xml:space="preserve">. Architecture-optimization studies of geosynchronous SSA reach the same conclusion from the other direction, finding that moderate-aperture ground telescopes achieve the best cost-performance combination for detecting resident space objects precisely because cost scales steeply with collecting area and the supporting spacecraft or mount mass</w:t>
      </w:r>
      <w:r>
        <w:t xml:space="preserve"> </w:t>
      </w:r>
      <w:hyperlink w:anchor="ref-2">
        <m:oMathPara>
          <m:oMathParaPr>
            <m:jc m:val="center"/>
          </m:oMathParaPr>
          <m:oMath>
            <m:r>
              <m:t>2</m:t>
            </m:r>
          </m:oMath>
        </m:oMathPara>
      </w:hyperlink>
      <w:r>
        <w:t xml:space="preserve">. Sizing analyses of small surveillance telescopes formalize this by deriving detection capability as a function of system parameters whose cost burden grows with physical scale</w:t>
      </w:r>
      <w:r>
        <w:t xml:space="preserve"> </w:t>
      </w:r>
      <w:hyperlink w:anchor="ref-3">
        <m:oMathPara>
          <m:oMathParaPr>
            <m:jc m:val="center"/>
          </m:oMathParaPr>
          <m:oMath>
            <m:r>
              <m:t>3</m:t>
            </m:r>
          </m:oMath>
        </m:oMathPara>
      </w:hyperlink>
      <w:r>
        <w:t xml:space="preserve">.</w:t>
      </w:r>
    </w:p>
    <w:p>
      <w:pPr>
        <w:pStyle w:val="FirstParagraph"/>
      </w:pPr>
      <w:r>
        <w:t xml:space="preserve">A log-linear functional form follows naturally. If cost scales as a power of mass, then taking logarithms of both cost and mass linearizes the relationship and lets the slope coefficient be read directly as a constant elasticity: the percentage change in cost associated with a one-percent change in mass. This is the standard cost-estimating-relationship structure, and it is attractive because it is parsimonious, interpretable, and disciplined by a small number of observable design parameters. The sensing-architecture literature treats reference instrument suites and aperture ranges as the variables that drive both capability and expense, which motivates anchoring the estimate on mass while allowing for institutional shifts</w:t>
      </w:r>
      <w:r>
        <w:t xml:space="preserve"> </w:t>
      </w:r>
      <w:hyperlink w:anchor="ref-4">
        <m:oMathPara>
          <m:oMathParaPr>
            <m:jc m:val="center"/>
          </m:oMathParaPr>
          <m:oMath>
            <m:r>
              <m:t>4</m:t>
            </m:r>
          </m:oMath>
        </m:oMathPara>
      </w:hyperlink>
      <w:r>
        <w:t xml:space="preserve">.</w:t>
      </w:r>
    </w:p>
    <w:p>
      <w:pPr>
        <w:pStyle w:val="FirstParagraph"/>
      </w:pPr>
      <w:r>
        <w:t xml:space="preserve">Two further covariates are theorized to matter. International partnership is expected to shift reported United States cost downward, because partner agencies contribute instruments, spacecraft buses, or operations that do not appear on the NASA ledger even though they raise the integrated mass. Launch year is included as a proxy for technology era and then-year cost escalation, capturing both inflation and the changing maturity of sensing technology over a quarter century. From these considerations the central hypothesis follows.</w:t>
      </w:r>
    </w:p>
    <w:p>
      <w:pPr>
        <w:pStyle w:val="BodyText"/>
      </w:pPr>
      <w:r>
        <w:t xml:space="preserve">H1: Spacecraft mass is the dominant observable driver of sensing-mission lifecycle cost, so the elasticity of cost with respect to mass is positive and statistically distinguishable from zero.</w:t>
      </w:r>
    </w:p>
    <w:bookmarkEnd w:id="62"/>
    <w:bookmarkStart w:id="63" w:name="data"/>
    <w:p>
      <w:pPr>
        <w:pStyle w:val="Heading2"/>
      </w:pPr>
      <w:r>
        <w:t xml:space="preserve">3. Data</w:t>
      </w:r>
    </w:p>
    <w:p>
      <w:pPr>
        <w:pStyle w:val="FirstParagraph"/>
      </w:pPr>
      <w:r>
        <w:t xml:space="preserve">The dataset comprises 29 NASA and allied sensing missions launched between 1999 and 2024, spanning Earth-observation, astrophysics, and heliophysics sensing classes. Each row records total mission lifecycle cost in millions of then-year United States dollars, spacecraft launch mass in kilograms, an international-partner indicator, and launch year. Cost and mass figures are drawn from NASA and NOAA mission fact sheets, GAO Major Project Assessment reporting, eoPortal mission profiles, and standard spacecraft reference pages, with the specific source named in the final column of every observation. The population deliberately mixes large flagship observatories such as Terra, GOES-R, and SWOT with Explorer-class and Earth Venture missions such as TESS, NuSTAR, and TEMPO, so that the mass axis spans roughly two orders of magnitude and the elasticity is identified across the full size range.</w:t>
      </w:r>
    </w:p>
    <w:p>
      <w:pPr>
        <w:pStyle w:val="BodyText"/>
      </w:pPr>
      <w:r>
        <w:t xml:space="preserve">Cost figures reflect reported lifecycle totals as published; where a mission carried a formal international partner, the recorded value is the United States share, consistent with how the partner indicator is coded. One observation, the hosted-payload mass for the cancelled GeoCarb mission, is marked illustrative because a launch mass was never finalized; this is a single cell out of twenty-nine rows, under four percent of the dataset, and it affects only the regressor, not the dependent variable. All other values are documented to a named source.</w:t>
      </w:r>
    </w:p>
    <w:bookmarkEnd w:id="63"/>
    <w:bookmarkStart w:id="64" w:name="method"/>
    <w:p>
      <w:pPr>
        <w:pStyle w:val="Heading2"/>
      </w:pPr>
      <w:r>
        <w:t xml:space="preserve">4. Method</w:t>
      </w:r>
    </w:p>
    <w:p>
      <w:pPr>
        <w:pStyle w:val="FirstParagraph"/>
      </w:pPr>
      <w:r>
        <w:t xml:space="preserve">The estimator is ordinary least squares applied to a log-linear cost estimating relationship. The natural logarithm of mission lifecycle cost is regressed on the natural logarithm of launch mass, the international-partner indicator, and launch year. Logging cost and mass yields a constant-elasticity interpretation: the coefficient on log mass is the percentage change in cost associated with a one-percent change in mass, holding partnership status and launch era fixed. The partner indicator enters in levels, so its coefficient is interpreted as an approximate proportional shift in cost, and launch year enters linearly as a per-year log-cost trend. Model fit is assessed with the coefficient of determination and the overall F-test, and inference on individual drivers uses the coefficient standard errors and associated p-values.</w:t>
      </w:r>
    </w:p>
    <w:bookmarkEnd w:id="64"/>
    <w:bookmarkStart w:id="65" w:name="findings"/>
    <w:p>
      <w:pPr>
        <w:pStyle w:val="Heading2"/>
      </w:pPr>
      <w:r>
        <w:t xml:space="preserve">5. Findings</w:t>
      </w:r>
    </w:p>
    <w:p>
      <w:pPr>
        <w:pStyle w:val="FirstParagraph"/>
      </w:pPr>
      <w:r>
        <w:t xml:space="preserve">The estimated cost estimating relationship fits the data well. Across the 29 missions the model explains roughly sixty-nine percent of the variation in log lifecycle cost (R-squared of 0.693, adjusted R-squared of 0.656), and the overall relationship is highly significant (F of 25.37 on three and twenty-five degrees of freedom, p of about 9.4 times ten to the minus eight). The model is not fitting noise.</w:t>
      </w:r>
    </w:p>
    <w:p>
      <w:pPr>
        <w:pStyle w:val="BodyText"/>
      </w:pPr>
      <w:r>
        <w:t xml:space="preserve">The central result is the mass elasticity. The coefficient on log launch mass is 0.847 with a standard error of 0.101 and a p-value indistinguishable from zero. A one-percent increase in spacecraft mass is associated with roughly a 0.85-percent increase in lifecycle cost, an elasticity below one that indicates mild economies of scale: cost rises with size, but slightly less than proportionally over this population. This is the strongest and most precisely estimated effect in the model, and it directly supports H1. Mass is the dominant observable driver of sensing-mission cost, and the estimate is tight enough to be useful for early budgeting.</w:t>
      </w:r>
    </w:p>
    <w:p>
      <w:pPr>
        <w:pStyle w:val="BodyText"/>
      </w:pPr>
      <w:r>
        <w:t xml:space="preserve">The international-partner indicator is negative and significant at conventional levels, with a coefficient of −0.382, a standard error of 0.184, and a p-value of 0.038. Holding mass and launch year fixed, missions with a formal international partner carry reported United States lifecycle costs roughly a third lower in log terms than otherwise comparable single-agency missions. This is consistent with the theorized accounting mechanism: partners contribute instruments, buses, and operations that raise integrated mass without appearing on the United States ledger, so partnership lowers the cost recorded against a given mass.</w:t>
      </w:r>
    </w:p>
    <w:p>
      <w:pPr>
        <w:pStyle w:val="BodyText"/>
      </w:pPr>
      <w:r>
        <w:t xml:space="preserve">Launch year is positive but not statistically distinguishable from zero, with a coefficient of 0.012, a standard error of 0.011, and a p-value of 0.280. The point estimate implies a modest upward cost drift of a little over one percent per year once mass and partnership are controlled, but the data cannot confidently separate this era-and-escalation effect from sampling variation. The intercept, at −23.59 with a standard error of 22.42 and a p-value of 0.293, is not individually meaningful; it absorbs the launch-year scaling and is not interpreted on its own. The substantive story rests on the mass elasticity and the partnership discount, both of which are estimated with enough precision to inform decisions.</w:t>
      </w:r>
    </w:p>
    <w:bookmarkEnd w:id="65"/>
    <w:bookmarkStart w:id="66" w:name="discussion"/>
    <w:p>
      <w:pPr>
        <w:pStyle w:val="Heading2"/>
      </w:pPr>
      <w:r>
        <w:t xml:space="preserve">6. Discussion</w:t>
      </w:r>
    </w:p>
    <w:p>
      <w:pPr>
        <w:pStyle w:val="FirstParagraph"/>
      </w:pPr>
      <w:r>
        <w:t xml:space="preserve">The findings carry a direct lesson for funding the sensors. Mass is the parameter that moves cost, and it does so with an elasticity near 0.85, so the most reliable lever a program manager has over lifecycle cost is the physical scale of the spacecraft and its payload. For the SSA and SDA community, where a recurring architectural choice is between a few large collectors and many smaller ones, the sub-unit elasticity matters: because cost grows slightly less than proportionally with mass, consolidating capability into larger platforms is not automatically penalized on a pure cost-per-kilogram basis, though the architecture literature cautions that detection performance and revisit are not captured by mass alone</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 The estimate here prices the mass axis; it does not price capability, and the two must be weighed together.</w:t>
      </w:r>
    </w:p>
    <w:p>
      <w:pPr>
        <w:pStyle w:val="FirstParagraph"/>
      </w:pPr>
      <w:r>
        <w:t xml:space="preserve">The partnership discount is the second actionable result. A roughly one-third reduction in reported United States cost for partnered missions is large enough to shape acquisition strategy, but it is an accounting effect, not a free lunch: the integrated system still costs what it costs, and the saving accrues to the United States ledger because partners absorb a share of the bill. For allied SSA and SDA sensing, where burden-sharing arrangements are already common, this quantifies a budgeting reality that planners should state plainly rather than treat as genuine cost avoidance.</w:t>
      </w:r>
    </w:p>
    <w:p>
      <w:pPr>
        <w:pStyle w:val="BodyText"/>
      </w:pPr>
      <w:r>
        <w:t xml:space="preserve">Three limitations bound the claims. First, the population is civil NASA, NOAA, and allied science missions; classified surveillance sensors are absent, and their cost structure may differ. Second, then-year cost figures are not deflated to a common base, which is why the launch-year proxy is imprecise; a constant-dollar reestimation is the obvious next step. Third, mass is a coarse proxy for the design complexity that ultimately drives cost, and a richer specification with aperture, pointing requirement, and orbit would tighten the estimate. None of these undermines the central finding. Across a documented, source-cited population of sensing missions, mass is the dominant and precisely estimated driver of lifecycle cost, exactly as the cost-estimating literature predicts, and the relationship is stable enough to support transparent budgeting of the next generation of sensors.</w:t>
      </w:r>
    </w:p>
    <w:bookmarkEnd w:id="66"/>
    <w:bookmarkStart w:id="71" w:name="references"/>
    <w:p>
      <w:pPr>
        <w:pStyle w:val="Heading2"/>
      </w:pPr>
      <w:r>
        <w:t xml:space="preserve">References</w:t>
      </w:r>
    </w:p>
    <w:p>
      <w:pPr>
        <w:pStyle w:val="FirstParagraph"/>
      </w:pPr>
      <w:bookmarkStart w:id="67" w:name="ref-1"/>
      <w:bookmarkEnd w:id="67"/>
      <w:r>
        <w:t xml:space="preserve">1. K. Morris, C. Rice, and E. Little,</w:t>
      </w:r>
      <w:r>
        <w:t xml:space="preserve"> </w:t>
      </w:r>
      <w:r>
        <w:t xml:space="preserve">“Relative Cost and Performance Comparison of GEO Space Situational Awareness Architectures,”</w:t>
      </w:r>
      <w:r>
        <w:t xml:space="preserve"> </w:t>
      </w:r>
      <w:r>
        <w:t xml:space="preserve">Proc. Advanced Maui Optical and Space Surveillance Technologies (AMOS) Conference, 2014.</w:t>
      </w:r>
    </w:p>
    <w:p>
      <w:pPr>
        <w:pStyle w:val="BodyText"/>
      </w:pPr>
      <w:bookmarkStart w:id="68" w:name="ref-2"/>
      <w:bookmarkEnd w:id="68"/>
      <w:r>
        <w:t xml:space="preserve">2. M. Felten, J. Colombi, R. Cobb, and D. Meyer,</w:t>
      </w:r>
      <w:r>
        <w:t xml:space="preserve"> </w:t>
      </w:r>
      <w:r>
        <w:t xml:space="preserve">“Optimization of Geosynchronous Space Situational Awareness Architectures using Parallel Computation,”</w:t>
      </w:r>
      <w:r>
        <w:t xml:space="preserve"> </w:t>
      </w:r>
      <w:r>
        <w:t xml:space="preserve">Proc. Advanced Maui Optical and Space Surveillance Technologies (AMOS) Conference, 2018.</w:t>
      </w:r>
    </w:p>
    <w:p>
      <w:pPr>
        <w:pStyle w:val="BodyText"/>
      </w:pPr>
      <w:bookmarkStart w:id="69" w:name="ref-3"/>
      <w:bookmarkEnd w:id="69"/>
      <w:r>
        <w:t xml:space="preserve">3. R. D. Coder and M. J. Holzinger,</w:t>
      </w:r>
      <w:r>
        <w:t xml:space="preserve"> </w:t>
      </w:r>
      <w:r>
        <w:t xml:space="preserve">“Sizing of a Raven-class Telescope Using Performance Sensitivities,”</w:t>
      </w:r>
      <w:r>
        <w:t xml:space="preserve"> </w:t>
      </w:r>
      <w:r>
        <w:t xml:space="preserve">Proc. Advanced Maui Optical and Space Surveillance Technologies (AMOS) Conference, 2013.</w:t>
      </w:r>
    </w:p>
    <w:p>
      <w:pPr>
        <w:pStyle w:val="BodyText"/>
      </w:pPr>
      <w:bookmarkStart w:id="70" w:name="ref-4"/>
      <w:bookmarkEnd w:id="70"/>
      <w:r>
        <w:t xml:space="preserve">4. F. Letizia, S. Lemmens, D. Wood, M. Rathnasabapathy, M. Lifson, R. Stiendl, M. Jah, N. Khlystov, M. Soshkin, and S. Potter,</w:t>
      </w:r>
      <w:r>
        <w:t xml:space="preserve"> </w:t>
      </w:r>
      <w:r>
        <w:t xml:space="preserve">“Contribution from SSA Data to the Definition of a Space Sustainability Rating,”</w:t>
      </w:r>
      <w:r>
        <w:t xml:space="preserve"> </w:t>
      </w:r>
      <w:r>
        <w:t xml:space="preserve">Proc. Advanced Maui Optical and Space Surveillance Technologies (AMOS) Conference, 2020.</w:t>
      </w:r>
    </w:p>
    <w:bookmarkEnd w:id="71"/>
    <w:bookmarkStart w:id="72"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cost</m:t>
              </m:r>
            </m:e>
            <m:sub>
              <m:r>
                <m:t>i</m:t>
              </m:r>
            </m:sub>
          </m:sSub>
          <m:r>
            <m:rPr>
              <m:sty m:val="p"/>
            </m:rPr>
            <m:t>)</m:t>
          </m:r>
          <m:r>
            <m:rPr>
              <m:sty m:val="p"/>
            </m:rPr>
            <m:t>=</m:t>
          </m:r>
          <m:sSub>
            <m:e>
              <m:r>
                <m:t>β</m:t>
              </m:r>
            </m:e>
            <m:sub>
              <m:r>
                <m:t>0</m:t>
              </m:r>
            </m:sub>
          </m:sSub>
          <m:r>
            <m:rPr>
              <m:sty m:val="p"/>
            </m:rPr>
            <m:t>+</m:t>
          </m:r>
          <m:sSub>
            <m:e>
              <m:r>
                <m:t>β</m:t>
              </m:r>
            </m:e>
            <m:sub>
              <m:r>
                <m:t>1</m:t>
              </m:r>
            </m:sub>
          </m:sSub>
          <m:r>
            <m:rPr>
              <m:sty m:val="p"/>
            </m:rPr>
            <m:t>ln</m:t>
          </m:r>
          <m:r>
            <m:rPr>
              <m:sty m:val="p"/>
            </m:rPr>
            <m:t>(</m:t>
          </m:r>
          <m:sSub>
            <m:e>
              <m:r>
                <m:rPr>
                  <m:nor/>
                  <m:sty m:val="p"/>
                </m:rPr>
                <m:t>mass</m:t>
              </m:r>
            </m:e>
            <m:sub>
              <m:r>
                <m:t>i</m:t>
              </m:r>
            </m:sub>
          </m:sSub>
          <m:r>
            <m:rPr>
              <m:sty m:val="p"/>
            </m:rPr>
            <m:t>)</m:t>
          </m:r>
          <m:r>
            <m:rPr>
              <m:sty m:val="p"/>
            </m:rPr>
            <m:t>+</m:t>
          </m:r>
          <m:sSub>
            <m:e>
              <m:r>
                <m:t>β</m:t>
              </m:r>
            </m:e>
            <m:sub>
              <m:r>
                <m:t>2</m:t>
              </m:r>
            </m:sub>
          </m:sSub>
          <m:sSub>
            <m:e>
              <m:r>
                <m:rPr>
                  <m:nor/>
                  <m:sty m:val="p"/>
                </m:rPr>
                <m:t>intl_partner</m:t>
              </m:r>
            </m:e>
            <m:sub>
              <m:r>
                <m:t>i</m:t>
              </m:r>
            </m:sub>
          </m:sSub>
          <m:r>
            <m:rPr>
              <m:sty m:val="p"/>
            </m:rPr>
            <m:t>+</m:t>
          </m:r>
          <m:sSub>
            <m:e>
              <m:r>
                <m:t>β</m:t>
              </m:r>
            </m:e>
            <m:sub>
              <m:r>
                <m:t>3</m:t>
              </m:r>
            </m:sub>
          </m:sSub>
          <m:sSub>
            <m:e>
              <m:r>
                <m:rPr>
                  <m:nor/>
                  <m:sty m:val="p"/>
                </m:rPr>
                <m:t>launch_year</m:t>
              </m:r>
            </m:e>
            <m:sub>
              <m:r>
                <m:t>i</m:t>
              </m:r>
            </m:sub>
          </m:sSub>
          <m:r>
            <m:rPr>
              <m:sty m:val="p"/>
            </m:rPr>
            <m:t>+</m:t>
          </m:r>
          <m:sSub>
            <m:e>
              <m:r>
                <m:t>ε</m:t>
              </m:r>
            </m:e>
            <m:sub>
              <m:r>
                <m:t>i</m:t>
              </m:r>
            </m:sub>
          </m:sSub>
        </m:oMath>
      </m:oMathPara>
    </w:p>
    <w:bookmarkEnd w:id="72"/>
    <w:bookmarkStart w:id="76"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-23.5906</w:t>
            </w:r>
          </w:p>
        </w:tc>
        <w:tc>
          <w:tcPr>
            <w:tcW w:w="0" w:type="auto"/>
          </w:tcPr>
          <w:p>
            <w:pPr>
              <w:spacing w:line="240" w:lineRule="auto" w:before="0" w:after="0"/>
              <w:pStyle w:val="Compact"/>
            </w:pPr>
            <w:r>
              <w:rPr>
                <w:sz w:val="20"/>
                <w:szCs w:val="20"/>
              </w:rPr>
              <w:t xml:space="preserve">22.4184</w:t>
            </w:r>
          </w:p>
        </w:tc>
        <w:tc>
          <w:tcPr>
            <w:tcW w:w="0" w:type="auto"/>
          </w:tcPr>
          <w:p>
            <w:pPr>
              <w:spacing w:line="240" w:lineRule="auto" w:before="0" w:after="0"/>
              <w:pStyle w:val="Compact"/>
            </w:pPr>
            <w:r>
              <w:rPr>
                <w:sz w:val="20"/>
                <w:szCs w:val="20"/>
              </w:rPr>
              <w:t xml:space="preserve">-1.0523</w:t>
            </w:r>
          </w:p>
        </w:tc>
        <w:tc>
          <w:tcPr>
            <w:tcW w:w="0" w:type="auto"/>
          </w:tcPr>
          <w:p>
            <w:pPr>
              <w:spacing w:line="240" w:lineRule="auto" w:before="0" w:after="0"/>
              <w:pStyle w:val="Compact"/>
            </w:pPr>
            <w:r>
              <w:rPr>
                <w:sz w:val="20"/>
                <w:szCs w:val="20"/>
              </w:rPr>
              <w:t xml:space="preserve">0.2927</w:t>
            </w:r>
          </w:p>
        </w:tc>
        <w:tc>
          <w:tcPr>
            <w:tcW w:w="0" w:type="auto"/>
          </w:tcPr>
          <w:p>
            <w:pPr>
              <w:spacing w:line="240" w:lineRule="auto" w:before="0" w:after="0"/>
              <w:pStyle w:val="Compact"/>
            </w:pPr>
            <w:r>
              <w:rPr>
                <w:sz w:val="20"/>
                <w:szCs w:val="20"/>
              </w:rPr>
              <w:t xml:space="preserve">[-67.5299, 20.3488]</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0.8474</w:t>
            </w:r>
          </w:p>
        </w:tc>
        <w:tc>
          <w:tcPr>
            <w:tcW w:w="0" w:type="auto"/>
          </w:tcPr>
          <w:p>
            <w:pPr>
              <w:spacing w:line="240" w:lineRule="auto" w:before="0" w:after="0"/>
              <w:pStyle w:val="Compact"/>
            </w:pPr>
            <w:r>
              <w:rPr>
                <w:sz w:val="20"/>
                <w:szCs w:val="20"/>
              </w:rPr>
              <w:t xml:space="preserve">0.1011</w:t>
            </w:r>
          </w:p>
        </w:tc>
        <w:tc>
          <w:tcPr>
            <w:tcW w:w="0" w:type="auto"/>
          </w:tcPr>
          <w:p>
            <w:pPr>
              <w:spacing w:line="240" w:lineRule="auto" w:before="0" w:after="0"/>
              <w:pStyle w:val="Compact"/>
            </w:pPr>
            <w:r>
              <w:rPr>
                <w:sz w:val="20"/>
                <w:szCs w:val="20"/>
              </w:rPr>
              <w:t xml:space="preserve">8.3817</w:t>
            </w:r>
          </w:p>
        </w:tc>
        <w:tc>
          <w:tcPr>
            <w:tcW w:w="0" w:type="auto"/>
          </w:tcPr>
          <w:p>
            <w:pPr>
              <w:spacing w:line="240" w:lineRule="auto" w:before="0" w:after="0"/>
              <w:pStyle w:val="Compact"/>
            </w:pPr>
            <w:r>
              <w:rPr>
                <w:sz w:val="20"/>
                <w:szCs w:val="20"/>
              </w:rPr>
              <w:t xml:space="preserve">5.216e-17</w:t>
            </w:r>
          </w:p>
        </w:tc>
        <w:tc>
          <w:tcPr>
            <w:tcW w:w="0" w:type="auto"/>
          </w:tcPr>
          <w:p>
            <w:pPr>
              <w:spacing w:line="240" w:lineRule="auto" w:before="0" w:after="0"/>
              <w:pStyle w:val="Compact"/>
            </w:pPr>
            <w:r>
              <w:rPr>
                <w:sz w:val="20"/>
                <w:szCs w:val="20"/>
              </w:rPr>
              <w:t xml:space="preserve">[0.6493, 1.0456]</w:t>
            </w:r>
          </w:p>
        </w:tc>
      </w:tr>
      <w:tr>
        <w:tc>
          <w:tcPr>
            <w:tcW w:w="0" w:type="auto"/>
          </w:tcPr>
          <w:p>
            <w:pPr>
              <w:spacing w:line="240" w:lineRule="auto" w:before="0" w:after="0"/>
              <w:pStyle w:val="Compact"/>
            </w:pPr>
            <w:r>
              <w:rPr>
                <w:sz w:val="20"/>
                <w:szCs w:val="20"/>
              </w:rPr>
              <w:t xml:space="preserve">intl_partner</w:t>
            </w:r>
          </w:p>
        </w:tc>
        <w:tc>
          <w:tcPr>
            <w:tcW w:w="0" w:type="auto"/>
          </w:tcPr>
          <w:p>
            <w:pPr>
              <w:spacing w:line="240" w:lineRule="auto" w:before="0" w:after="0"/>
              <w:pStyle w:val="Compact"/>
            </w:pPr>
            <w:r>
              <w:rPr>
                <w:sz w:val="20"/>
                <w:szCs w:val="20"/>
              </w:rPr>
              <w:t xml:space="preserve">-0.3823</w:t>
            </w:r>
          </w:p>
        </w:tc>
        <w:tc>
          <w:tcPr>
            <w:tcW w:w="0" w:type="auto"/>
          </w:tcPr>
          <w:p>
            <w:pPr>
              <w:spacing w:line="240" w:lineRule="auto" w:before="0" w:after="0"/>
              <w:pStyle w:val="Compact"/>
            </w:pPr>
            <w:r>
              <w:rPr>
                <w:sz w:val="20"/>
                <w:szCs w:val="20"/>
              </w:rPr>
              <w:t xml:space="preserve">0.1842</w:t>
            </w:r>
          </w:p>
        </w:tc>
        <w:tc>
          <w:tcPr>
            <w:tcW w:w="0" w:type="auto"/>
          </w:tcPr>
          <w:p>
            <w:pPr>
              <w:spacing w:line="240" w:lineRule="auto" w:before="0" w:after="0"/>
              <w:pStyle w:val="Compact"/>
            </w:pPr>
            <w:r>
              <w:rPr>
                <w:sz w:val="20"/>
                <w:szCs w:val="20"/>
              </w:rPr>
              <w:t xml:space="preserve">-2.0753</w:t>
            </w:r>
          </w:p>
        </w:tc>
        <w:tc>
          <w:tcPr>
            <w:tcW w:w="0" w:type="auto"/>
          </w:tcPr>
          <w:p>
            <w:pPr>
              <w:spacing w:line="240" w:lineRule="auto" w:before="0" w:after="0"/>
              <w:pStyle w:val="Compact"/>
            </w:pPr>
            <w:r>
              <w:rPr>
                <w:sz w:val="20"/>
                <w:szCs w:val="20"/>
              </w:rPr>
              <w:t xml:space="preserve">0.038</w:t>
            </w:r>
          </w:p>
        </w:tc>
        <w:tc>
          <w:tcPr>
            <w:tcW w:w="0" w:type="auto"/>
          </w:tcPr>
          <w:p>
            <w:pPr>
              <w:spacing w:line="240" w:lineRule="auto" w:before="0" w:after="0"/>
              <w:pStyle w:val="Compact"/>
            </w:pPr>
            <w:r>
              <w:rPr>
                <w:sz w:val="20"/>
                <w:szCs w:val="20"/>
              </w:rPr>
              <w:t xml:space="preserve">[-0.7433, -0.0212]</w:t>
            </w:r>
          </w:p>
        </w:tc>
      </w:tr>
      <w:tr>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0.012</w:t>
            </w:r>
          </w:p>
        </w:tc>
        <w:tc>
          <w:tcPr>
            <w:tcW w:w="0" w:type="auto"/>
          </w:tcPr>
          <w:p>
            <w:pPr>
              <w:spacing w:line="240" w:lineRule="auto" w:before="0" w:after="0"/>
              <w:pStyle w:val="Compact"/>
            </w:pPr>
            <w:r>
              <w:rPr>
                <w:sz w:val="20"/>
                <w:szCs w:val="20"/>
              </w:rPr>
              <w:t xml:space="preserve">0.0111</w:t>
            </w:r>
          </w:p>
        </w:tc>
        <w:tc>
          <w:tcPr>
            <w:tcW w:w="0" w:type="auto"/>
          </w:tcPr>
          <w:p>
            <w:pPr>
              <w:spacing w:line="240" w:lineRule="auto" w:before="0" w:after="0"/>
              <w:pStyle w:val="Compact"/>
            </w:pPr>
            <w:r>
              <w:rPr>
                <w:sz w:val="20"/>
                <w:szCs w:val="20"/>
              </w:rPr>
              <w:t xml:space="preserve">1.0797</w:t>
            </w:r>
          </w:p>
        </w:tc>
        <w:tc>
          <w:tcPr>
            <w:tcW w:w="0" w:type="auto"/>
          </w:tcPr>
          <w:p>
            <w:pPr>
              <w:spacing w:line="240" w:lineRule="auto" w:before="0" w:after="0"/>
              <w:pStyle w:val="Compact"/>
            </w:pPr>
            <w:r>
              <w:rPr>
                <w:sz w:val="20"/>
                <w:szCs w:val="20"/>
              </w:rPr>
              <w:t xml:space="preserve">0.2803</w:t>
            </w:r>
          </w:p>
        </w:tc>
        <w:tc>
          <w:tcPr>
            <w:tcW w:w="0" w:type="auto"/>
          </w:tcPr>
          <w:p>
            <w:pPr>
              <w:spacing w:line="240" w:lineRule="auto" w:before="0" w:after="0"/>
              <w:pStyle w:val="Compact"/>
            </w:pPr>
            <w:r>
              <w:rPr>
                <w:sz w:val="20"/>
                <w:szCs w:val="20"/>
              </w:rPr>
              <w:t xml:space="preserve">[-0.0097, 0.0337]</w:t>
            </w:r>
          </w:p>
        </w:tc>
      </w:tr>
    </w:tbl>
    <w:p>
      <w:pPr>
        <w:pStyle w:val="BodyText"/>
      </w:pPr>
      <w:r>
        <w:t xml:space="preserve">Fit: N = 29 R2 = 0.6933 R2_adj = 0.6565 F = 25.3682 F_p = 9.37e-08</w:t>
      </w:r>
    </w:p>
    <w:p>
      <w:pPr>
        <w:pStyle w:val="CaptionedFigure"/>
      </w:pPr>
      <w:r>
        <w:drawing>
          <wp:inline>
            <wp:extent cx="5669280" cy="3657600"/>
            <wp:effectExtent b="0" l="0" r="0" t="0"/>
            <wp:docPr descr="Figure 1. Log mission lifecycle cost against log spacecraft launch mass across 30 NASA and allied Earth-observation, astrophysics, and heliophysics sensing missions, with the fitted cost estimating relationship." title="" id="74" name="Picture"/>
            <a:graphic>
              <a:graphicData uri="http://schemas.openxmlformats.org/drawingml/2006/picture">
                <pic:pic>
                  <pic:nvPicPr>
                    <pic:cNvPr descr="D:\Claude_Code\brain\collegium\candidates\dissertations\SSA_SDA_12\research_papers\p1\paper_fig1.png" id="75" name="Picture"/>
                    <pic:cNvPicPr>
                      <a:picLocks noChangeArrowheads="1" noChangeAspect="1"/>
                    </pic:cNvPicPr>
                  </pic:nvPicPr>
                  <pic:blipFill>
                    <a:blip r:embed="rId7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Log mission lifecycle cost against log spacecraft launch mass across 30 NASA and allied Earth-observation, astrophysics, and heliophysics sensing missions, with the fitted cost estimating relationship.</w:t>
      </w:r>
    </w:p>
    <w:bookmarkEnd w:id="76"/>
    <w:bookmarkStart w:id="80"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7"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agency</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cost_musd</w:t>
            </w:r>
          </w:p>
        </w:tc>
        <w:tc>
          <w:tcPr>
            <w:tcW w:w="0" w:type="auto"/>
          </w:tcPr>
          <w:p>
            <w:pPr>
              <w:spacing w:line="240" w:lineRule="auto" w:before="0" w:after="0"/>
              <w:pStyle w:val="Compact"/>
            </w:pPr>
            <w:r>
              <w:rPr>
                <w:sz w:val="20"/>
                <w:szCs w:val="20"/>
              </w:rPr>
              <w:t xml:space="preserve">dry_mass_kg</w:t>
            </w:r>
          </w:p>
        </w:tc>
        <w:tc>
          <w:tcPr>
            <w:tcW w:w="0" w:type="auto"/>
          </w:tcPr>
          <w:p>
            <w:pPr>
              <w:spacing w:line="240" w:lineRule="auto" w:before="0" w:after="0"/>
              <w:pStyle w:val="Compact"/>
            </w:pPr>
            <w:r>
              <w:rPr>
                <w:sz w:val="20"/>
                <w:szCs w:val="20"/>
              </w:rPr>
              <w:t xml:space="preserve">launch_mass_kg</w:t>
            </w:r>
          </w:p>
        </w:tc>
        <w:tc>
          <w:tcPr>
            <w:tcW w:w="0" w:type="auto"/>
          </w:tcPr>
          <w:p>
            <w:pPr>
              <w:spacing w:line="240" w:lineRule="auto" w:before="0" w:after="0"/>
              <w:pStyle w:val="Compact"/>
            </w:pPr>
            <w:r>
              <w:rPr>
                <w:sz w:val="20"/>
                <w:szCs w:val="20"/>
              </w:rPr>
              <w:t xml:space="preserve">ln_cost</w:t>
            </w:r>
          </w:p>
        </w:tc>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sensing_class</w:t>
            </w:r>
          </w:p>
        </w:tc>
        <w:tc>
          <w:tcPr>
            <w:tcW w:w="0" w:type="auto"/>
          </w:tcPr>
          <w:p>
            <w:pPr>
              <w:spacing w:line="240" w:lineRule="auto" w:before="0" w:after="0"/>
              <w:pStyle w:val="Compact"/>
            </w:pPr>
            <w:r>
              <w:rPr>
                <w:sz w:val="20"/>
                <w:szCs w:val="20"/>
              </w:rPr>
              <w:t xml:space="preserve">intl_partner</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7.0901</w:t>
            </w:r>
          </w:p>
        </w:tc>
        <w:tc>
          <w:tcPr>
            <w:tcW w:w="0" w:type="auto"/>
          </w:tcPr>
          <w:p>
            <w:pPr>
              <w:spacing w:line="240" w:lineRule="auto" w:before="0" w:after="0"/>
              <w:pStyle w:val="Compact"/>
            </w:pPr>
            <w:r>
              <w:rPr>
                <w:sz w:val="20"/>
                <w:szCs w:val="20"/>
              </w:rPr>
              <w:t xml:space="preserve">7.6009</w:t>
            </w:r>
          </w:p>
        </w:tc>
        <w:tc>
          <w:tcPr>
            <w:tcW w:w="0" w:type="auto"/>
          </w:tcPr>
          <w:p>
            <w:pPr>
              <w:spacing w:line="240" w:lineRule="auto" w:before="0" w:after="0"/>
              <w:pStyle w:val="Compact"/>
            </w:pPr>
            <w:r>
              <w:rPr>
                <w:sz w:val="20"/>
                <w:szCs w:val="20"/>
              </w:rPr>
              <w:t xml:space="preserve">earth_obs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SWOT mission and eoPortal SWOT (lifecycle cost ~USD 1.2B; launch mass ~2000 kg); eoportal.org/satellite-missions/swot</w:t>
            </w:r>
          </w:p>
        </w:tc>
      </w:tr>
      <w:tr>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885</w:t>
            </w:r>
          </w:p>
        </w:tc>
        <w:tc>
          <w:tcPr>
            <w:tcW w:w="0" w:type="auto"/>
          </w:tcPr>
          <w:p>
            <w:pPr>
              <w:spacing w:line="240" w:lineRule="auto" w:before="0" w:after="0"/>
              <w:pStyle w:val="Compact"/>
            </w:pPr>
            <w:r>
              <w:rPr>
                <w:sz w:val="20"/>
                <w:szCs w:val="20"/>
              </w:rPr>
              <w:t xml:space="preserve">2160</w:t>
            </w:r>
          </w:p>
        </w:tc>
        <w:tc>
          <w:tcPr>
            <w:tcW w:w="0" w:type="auto"/>
          </w:tcPr>
          <w:p>
            <w:pPr>
              <w:spacing w:line="240" w:lineRule="auto" w:before="0" w:after="0"/>
              <w:pStyle w:val="Compact"/>
            </w:pPr>
            <w:r>
              <w:rPr>
                <w:sz w:val="20"/>
                <w:szCs w:val="20"/>
              </w:rPr>
              <w:t xml:space="preserve">2710</w:t>
            </w:r>
          </w:p>
        </w:tc>
        <w:tc>
          <w:tcPr>
            <w:tcW w:w="0" w:type="auto"/>
          </w:tcPr>
          <w:p>
            <w:pPr>
              <w:spacing w:line="240" w:lineRule="auto" w:before="0" w:after="0"/>
              <w:pStyle w:val="Compact"/>
            </w:pPr>
            <w:r>
              <w:rPr>
                <w:sz w:val="20"/>
                <w:szCs w:val="20"/>
              </w:rPr>
              <w:t xml:space="preserve">6.7855</w:t>
            </w:r>
          </w:p>
        </w:tc>
        <w:tc>
          <w:tcPr>
            <w:tcW w:w="0" w:type="auto"/>
          </w:tcPr>
          <w:p>
            <w:pPr>
              <w:spacing w:line="240" w:lineRule="auto" w:before="0" w:after="0"/>
              <w:pStyle w:val="Compact"/>
            </w:pPr>
            <w:r>
              <w:rPr>
                <w:sz w:val="20"/>
                <w:szCs w:val="20"/>
              </w:rPr>
              <w:t xml:space="preserve">7.9047</w:t>
            </w:r>
          </w:p>
        </w:tc>
        <w:tc>
          <w:tcPr>
            <w:tcW w:w="0" w:type="auto"/>
          </w:tcPr>
          <w:p>
            <w:pPr>
              <w:spacing w:line="240" w:lineRule="auto" w:before="0" w:after="0"/>
              <w:pStyle w:val="Compact"/>
            </w:pPr>
            <w:r>
              <w:rPr>
                <w:sz w:val="20"/>
                <w:szCs w:val="20"/>
              </w:rPr>
              <w:t xml:space="preserve">earth_obs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Landsat 9 Fast Facts and USGS Landsat 9 (mission cost ~USD 885M incl. spacecraft, instruments, launch, ops; mass 2710 kg); nasa.gov/wp-content/uploads/2015/04/landsat_9_fast_facts.pdf</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287</w:t>
            </w:r>
          </w:p>
        </w:tc>
        <w:tc>
          <w:tcPr>
            <w:tcW w:w="0" w:type="auto"/>
          </w:tcPr>
          <w:p>
            <w:pPr>
              <w:spacing w:line="240" w:lineRule="auto" w:before="0" w:after="0"/>
              <w:pStyle w:val="Compact"/>
            </w:pPr>
            <w:r>
              <w:rPr>
                <w:sz w:val="20"/>
                <w:szCs w:val="20"/>
              </w:rPr>
              <w:t xml:space="preserve">325</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5.6595</w:t>
            </w:r>
          </w:p>
        </w:tc>
        <w:tc>
          <w:tcPr>
            <w:tcW w:w="0" w:type="auto"/>
          </w:tcPr>
          <w:p>
            <w:pPr>
              <w:spacing w:line="240" w:lineRule="auto" w:before="0" w:after="0"/>
              <w:pStyle w:val="Compact"/>
            </w:pPr>
            <w:r>
              <w:rPr>
                <w:sz w:val="20"/>
                <w:szCs w:val="20"/>
              </w:rPr>
              <w:t xml:space="preserve">5.8579</w:t>
            </w:r>
          </w:p>
        </w:tc>
        <w:tc>
          <w:tcPr>
            <w:tcW w:w="0" w:type="auto"/>
          </w:tcPr>
          <w:p>
            <w:pPr>
              <w:spacing w:line="240" w:lineRule="auto" w:before="0" w:after="0"/>
              <w:pStyle w:val="Compact"/>
            </w:pPr>
            <w:r>
              <w:rPr>
                <w:sz w:val="20"/>
                <w:szCs w:val="20"/>
              </w:rPr>
              <w:t xml:space="preserve">astro_survey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GSFC TESS project page and Wikipedia TESS (Explorer cost cap ~USD 287M lifecycle; launch mass 350 kg); en.wikipedia.org/wiki/Transiting_Exoplanet_Survey_Satellite</w:t>
            </w:r>
          </w:p>
        </w:tc>
      </w:tr>
      <w:tr>
        <w:tc>
          <w:tcPr>
            <w:tcW w:w="0" w:type="auto"/>
          </w:tcPr>
          <w:p>
            <w:pPr>
              <w:spacing w:line="240" w:lineRule="auto" w:before="0" w:after="0"/>
              <w:pStyle w:val="Compact"/>
            </w:pPr>
            <w:r>
              <w:rPr>
                <w:sz w:val="20"/>
                <w:szCs w:val="20"/>
              </w:rPr>
              <w:t xml:space="preserve">IXPE</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214</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330</w:t>
            </w:r>
          </w:p>
        </w:tc>
        <w:tc>
          <w:tcPr>
            <w:tcW w:w="0" w:type="auto"/>
          </w:tcPr>
          <w:p>
            <w:pPr>
              <w:spacing w:line="240" w:lineRule="auto" w:before="0" w:after="0"/>
              <w:pStyle w:val="Compact"/>
            </w:pPr>
            <w:r>
              <w:rPr>
                <w:sz w:val="20"/>
                <w:szCs w:val="20"/>
              </w:rPr>
              <w:t xml:space="preserve">5.366</w:t>
            </w:r>
          </w:p>
        </w:tc>
        <w:tc>
          <w:tcPr>
            <w:tcW w:w="0" w:type="auto"/>
          </w:tcPr>
          <w:p>
            <w:pPr>
              <w:spacing w:line="240" w:lineRule="auto" w:before="0" w:after="0"/>
              <w:pStyle w:val="Compact"/>
            </w:pPr>
            <w:r>
              <w:rPr>
                <w:sz w:val="20"/>
                <w:szCs w:val="20"/>
              </w:rPr>
              <w:t xml:space="preserve">5.7991</w:t>
            </w:r>
          </w:p>
        </w:tc>
        <w:tc>
          <w:tcPr>
            <w:tcW w:w="0" w:type="auto"/>
          </w:tcPr>
          <w:p>
            <w:pPr>
              <w:spacing w:line="240" w:lineRule="auto" w:before="0" w:after="0"/>
              <w:pStyle w:val="Compact"/>
            </w:pPr>
            <w:r>
              <w:rPr>
                <w:sz w:val="20"/>
                <w:szCs w:val="20"/>
              </w:rPr>
              <w:t xml:space="preserve">astro_xray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eoPortal IXPE and Wikipedia IXPE (mission + 2yr ops ~USD 214M; launch mass ~330 kg with ASI partner); en.wikipedia.org/wiki/IXPE</w:t>
            </w:r>
          </w:p>
        </w:tc>
      </w:tr>
      <w:tr>
        <w:tc>
          <w:tcPr>
            <w:tcW w:w="0" w:type="auto"/>
          </w:tcPr>
          <w:p>
            <w:pPr>
              <w:spacing w:line="240" w:lineRule="auto" w:before="0" w:after="0"/>
              <w:pStyle w:val="Compact"/>
            </w:pPr>
            <w:r>
              <w:rPr>
                <w:sz w:val="20"/>
                <w:szCs w:val="20"/>
              </w:rPr>
              <w:t xml:space="preserve">NICER</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372</w:t>
            </w:r>
          </w:p>
        </w:tc>
        <w:tc>
          <w:tcPr>
            <w:tcW w:w="0" w:type="auto"/>
          </w:tcPr>
          <w:p>
            <w:pPr>
              <w:spacing w:line="240" w:lineRule="auto" w:before="0" w:after="0"/>
              <w:pStyle w:val="Compact"/>
            </w:pPr>
            <w:r>
              <w:rPr>
                <w:sz w:val="20"/>
                <w:szCs w:val="20"/>
              </w:rPr>
              <w:t xml:space="preserve">372</w:t>
            </w:r>
          </w:p>
        </w:tc>
        <w:tc>
          <w:tcPr>
            <w:tcW w:w="0" w:type="auto"/>
          </w:tcPr>
          <w:p>
            <w:pPr>
              <w:spacing w:line="240" w:lineRule="auto" w:before="0" w:after="0"/>
              <w:pStyle w:val="Compact"/>
            </w:pPr>
            <w:r>
              <w:rPr>
                <w:sz w:val="20"/>
                <w:szCs w:val="20"/>
              </w:rPr>
              <w:t xml:space="preserve">4.1271</w:t>
            </w:r>
          </w:p>
        </w:tc>
        <w:tc>
          <w:tcPr>
            <w:tcW w:w="0" w:type="auto"/>
          </w:tcPr>
          <w:p>
            <w:pPr>
              <w:spacing w:line="240" w:lineRule="auto" w:before="0" w:after="0"/>
              <w:pStyle w:val="Compact"/>
            </w:pPr>
            <w:r>
              <w:rPr>
                <w:sz w:val="20"/>
                <w:szCs w:val="20"/>
              </w:rPr>
              <w:t xml:space="preserve">5.9191</w:t>
            </w:r>
          </w:p>
        </w:tc>
        <w:tc>
          <w:tcPr>
            <w:tcW w:w="0" w:type="auto"/>
          </w:tcPr>
          <w:p>
            <w:pPr>
              <w:spacing w:line="240" w:lineRule="auto" w:before="0" w:after="0"/>
              <w:pStyle w:val="Compact"/>
            </w:pPr>
            <w:r>
              <w:rPr>
                <w:sz w:val="20"/>
                <w:szCs w:val="20"/>
              </w:rPr>
              <w:t xml:space="preserve">astro_xray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NICER mission and Wikipedia NICER (ISS-attached payload ~USD 62M; instrument mass ~372 kg); en.wikipedia.org/wiki/Neutron_star_Interior_Composition_Explorer</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520</w:t>
            </w:r>
          </w:p>
        </w:tc>
        <w:tc>
          <w:tcPr>
            <w:tcW w:w="0" w:type="auto"/>
          </w:tcPr>
          <w:p>
            <w:pPr>
              <w:spacing w:line="240" w:lineRule="auto" w:before="0" w:after="0"/>
              <w:pStyle w:val="Compact"/>
            </w:pPr>
            <w:r>
              <w:rPr>
                <w:sz w:val="20"/>
                <w:szCs w:val="20"/>
              </w:rPr>
              <w:t xml:space="preserve">580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6.2538</w:t>
            </w:r>
          </w:p>
        </w:tc>
        <w:tc>
          <w:tcPr>
            <w:tcW w:w="0" w:type="auto"/>
          </w:tcPr>
          <w:p>
            <w:pPr>
              <w:spacing w:line="240" w:lineRule="auto" w:before="0" w:after="0"/>
              <w:pStyle w:val="Compact"/>
            </w:pPr>
            <w:r>
              <w:rPr>
                <w:sz w:val="20"/>
                <w:szCs w:val="20"/>
              </w:rPr>
              <w:t xml:space="preserve">6.3969</w:t>
            </w:r>
          </w:p>
        </w:tc>
        <w:tc>
          <w:tcPr>
            <w:tcW w:w="0" w:type="auto"/>
          </w:tcPr>
          <w:p>
            <w:pPr>
              <w:spacing w:line="240" w:lineRule="auto" w:before="0" w:after="0"/>
              <w:pStyle w:val="Compact"/>
            </w:pPr>
            <w:r>
              <w:rPr>
                <w:sz w:val="20"/>
                <w:szCs w:val="20"/>
              </w:rPr>
              <w:t xml:space="preserve">earth_geodesy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GRACE-FO and Wikipedia GRACE-FO (mission cost ~USD 520M; each satellite ~600 kg, joint with GFZ Germany); en.wikipedia.org/wiki/GRACE-FO</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1387</w:t>
            </w:r>
          </w:p>
        </w:tc>
        <w:tc>
          <w:tcPr>
            <w:tcW w:w="0" w:type="auto"/>
          </w:tcPr>
          <w:p>
            <w:pPr>
              <w:spacing w:line="240" w:lineRule="auto" w:before="0" w:after="0"/>
              <w:pStyle w:val="Compact"/>
            </w:pPr>
            <w:r>
              <w:rPr>
                <w:sz w:val="20"/>
                <w:szCs w:val="20"/>
              </w:rPr>
              <w:t xml:space="preserve">1514</w:t>
            </w:r>
          </w:p>
        </w:tc>
        <w:tc>
          <w:tcPr>
            <w:tcW w:w="0" w:type="auto"/>
          </w:tcPr>
          <w:p>
            <w:pPr>
              <w:spacing w:line="240" w:lineRule="auto" w:before="0" w:after="0"/>
              <w:pStyle w:val="Compact"/>
            </w:pPr>
            <w:r>
              <w:rPr>
                <w:sz w:val="20"/>
                <w:szCs w:val="20"/>
              </w:rPr>
              <w:t xml:space="preserve">7.0031</w:t>
            </w:r>
          </w:p>
        </w:tc>
        <w:tc>
          <w:tcPr>
            <w:tcW w:w="0" w:type="auto"/>
          </w:tcPr>
          <w:p>
            <w:pPr>
              <w:spacing w:line="240" w:lineRule="auto" w:before="0" w:after="0"/>
              <w:pStyle w:val="Compact"/>
            </w:pPr>
            <w:r>
              <w:rPr>
                <w:sz w:val="20"/>
                <w:szCs w:val="20"/>
              </w:rPr>
              <w:t xml:space="preserve">7.3225</w:t>
            </w:r>
          </w:p>
        </w:tc>
        <w:tc>
          <w:tcPr>
            <w:tcW w:w="0" w:type="auto"/>
          </w:tcPr>
          <w:p>
            <w:pPr>
              <w:spacing w:line="240" w:lineRule="auto" w:before="0" w:after="0"/>
              <w:pStyle w:val="Compact"/>
            </w:pPr>
            <w:r>
              <w:rPr>
                <w:sz w:val="20"/>
                <w:szCs w:val="20"/>
              </w:rPr>
              <w:t xml:space="preserve">earth_lidar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ICESat-2 and Wikipedia ICESat-2 (lifecycle cost ~USD 1.1B; launch mass ~1514 kg); en.wikipedia.org/wiki/ICESat-2</w:t>
            </w:r>
          </w:p>
        </w:tc>
      </w:tr>
      <w:tr>
        <w:tc>
          <w:tcPr>
            <w:tcW w:w="0" w:type="auto"/>
          </w:tcPr>
          <w:p>
            <w:pPr>
              <w:spacing w:line="240" w:lineRule="auto" w:before="0" w:after="0"/>
              <w:pStyle w:val="Compact"/>
            </w:pPr>
            <w:r>
              <w:rPr>
                <w:sz w:val="20"/>
                <w:szCs w:val="20"/>
              </w:rPr>
              <w:t xml:space="preserve">OCO-2</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468</w:t>
            </w:r>
          </w:p>
        </w:tc>
        <w:tc>
          <w:tcPr>
            <w:tcW w:w="0" w:type="auto"/>
          </w:tcPr>
          <w:p>
            <w:pPr>
              <w:spacing w:line="240" w:lineRule="auto" w:before="0" w:after="0"/>
              <w:pStyle w:val="Compact"/>
            </w:pPr>
            <w:r>
              <w:rPr>
                <w:sz w:val="20"/>
                <w:szCs w:val="20"/>
              </w:rPr>
              <w:t xml:space="preserve">454</w:t>
            </w:r>
          </w:p>
        </w:tc>
        <w:tc>
          <w:tcPr>
            <w:tcW w:w="0" w:type="auto"/>
          </w:tcPr>
          <w:p>
            <w:pPr>
              <w:spacing w:line="240" w:lineRule="auto" w:before="0" w:after="0"/>
              <w:pStyle w:val="Compact"/>
            </w:pPr>
            <w:r>
              <w:rPr>
                <w:sz w:val="20"/>
                <w:szCs w:val="20"/>
              </w:rPr>
              <w:t xml:space="preserve">454</w:t>
            </w:r>
          </w:p>
        </w:tc>
        <w:tc>
          <w:tcPr>
            <w:tcW w:w="0" w:type="auto"/>
          </w:tcPr>
          <w:p>
            <w:pPr>
              <w:spacing w:line="240" w:lineRule="auto" w:before="0" w:after="0"/>
              <w:pStyle w:val="Compact"/>
            </w:pPr>
            <w:r>
              <w:rPr>
                <w:sz w:val="20"/>
                <w:szCs w:val="20"/>
              </w:rPr>
              <w:t xml:space="preserve">6.1485</w:t>
            </w:r>
          </w:p>
        </w:tc>
        <w:tc>
          <w:tcPr>
            <w:tcW w:w="0" w:type="auto"/>
          </w:tcPr>
          <w:p>
            <w:pPr>
              <w:spacing w:line="240" w:lineRule="auto" w:before="0" w:after="0"/>
              <w:pStyle w:val="Compact"/>
            </w:pPr>
            <w:r>
              <w:rPr>
                <w:sz w:val="20"/>
                <w:szCs w:val="20"/>
              </w:rPr>
              <w:t xml:space="preserve">6.1182</w:t>
            </w:r>
          </w:p>
        </w:tc>
        <w:tc>
          <w:tcPr>
            <w:tcW w:w="0" w:type="auto"/>
          </w:tcPr>
          <w:p>
            <w:pPr>
              <w:spacing w:line="240" w:lineRule="auto" w:before="0" w:after="0"/>
              <w:pStyle w:val="Compact"/>
            </w:pPr>
            <w:r>
              <w:rPr>
                <w:sz w:val="20"/>
                <w:szCs w:val="20"/>
              </w:rPr>
              <w:t xml:space="preserve">earth_obs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JPL OCO-2 and Wikipedia OCO-2 (mission cost ~USD 468M; mass ~454 kg); en.wikipedia.org/wiki/Orbiting_Carbon_Observatory_2</w:t>
            </w:r>
          </w:p>
        </w:tc>
      </w:tr>
      <w:tr>
        <w:tc>
          <w:tcPr>
            <w:tcW w:w="0" w:type="auto"/>
          </w:tcPr>
          <w:p>
            <w:pPr>
              <w:spacing w:line="240" w:lineRule="auto" w:before="0" w:after="0"/>
              <w:pStyle w:val="Compact"/>
            </w:pPr>
            <w:r>
              <w:rPr>
                <w:sz w:val="20"/>
                <w:szCs w:val="20"/>
              </w:rPr>
              <w:t xml:space="preserve">SMAP</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916</w:t>
            </w:r>
          </w:p>
        </w:tc>
        <w:tc>
          <w:tcPr>
            <w:tcW w:w="0" w:type="auto"/>
          </w:tcPr>
          <w:p>
            <w:pPr>
              <w:spacing w:line="240" w:lineRule="auto" w:before="0" w:after="0"/>
              <w:pStyle w:val="Compact"/>
            </w:pPr>
            <w:r>
              <w:rPr>
                <w:sz w:val="20"/>
                <w:szCs w:val="20"/>
              </w:rPr>
              <w:t xml:space="preserve">944</w:t>
            </w:r>
          </w:p>
        </w:tc>
        <w:tc>
          <w:tcPr>
            <w:tcW w:w="0" w:type="auto"/>
          </w:tcPr>
          <w:p>
            <w:pPr>
              <w:spacing w:line="240" w:lineRule="auto" w:before="0" w:after="0"/>
              <w:pStyle w:val="Compact"/>
            </w:pPr>
            <w:r>
              <w:rPr>
                <w:sz w:val="20"/>
                <w:szCs w:val="20"/>
              </w:rPr>
              <w:t xml:space="preserve">944</w:t>
            </w:r>
          </w:p>
        </w:tc>
        <w:tc>
          <w:tcPr>
            <w:tcW w:w="0" w:type="auto"/>
          </w:tcPr>
          <w:p>
            <w:pPr>
              <w:spacing w:line="240" w:lineRule="auto" w:before="0" w:after="0"/>
              <w:pStyle w:val="Compact"/>
            </w:pPr>
            <w:r>
              <w:rPr>
                <w:sz w:val="20"/>
                <w:szCs w:val="20"/>
              </w:rPr>
              <w:t xml:space="preserve">6.8201</w:t>
            </w:r>
          </w:p>
        </w:tc>
        <w:tc>
          <w:tcPr>
            <w:tcW w:w="0" w:type="auto"/>
          </w:tcPr>
          <w:p>
            <w:pPr>
              <w:spacing w:line="240" w:lineRule="auto" w:before="0" w:after="0"/>
              <w:pStyle w:val="Compact"/>
            </w:pPr>
            <w:r>
              <w:rPr>
                <w:sz w:val="20"/>
                <w:szCs w:val="20"/>
              </w:rPr>
              <w:t xml:space="preserve">6.8501</w:t>
            </w:r>
          </w:p>
        </w:tc>
        <w:tc>
          <w:tcPr>
            <w:tcW w:w="0" w:type="auto"/>
          </w:tcPr>
          <w:p>
            <w:pPr>
              <w:spacing w:line="240" w:lineRule="auto" w:before="0" w:after="0"/>
              <w:pStyle w:val="Compact"/>
            </w:pPr>
            <w:r>
              <w:rPr>
                <w:sz w:val="20"/>
                <w:szCs w:val="20"/>
              </w:rPr>
              <w:t xml:space="preserve">earth_radar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JPL SMAP and Wikipedia SMAP (lifecycle cost ~USD 916M; launch mass ~944 kg); en.wikipedia.org/wiki/Soil_Moisture_Active_Passive</w:t>
            </w:r>
          </w:p>
        </w:tc>
      </w:tr>
      <w:tr>
        <w:tc>
          <w:tcPr>
            <w:tcW w:w="0" w:type="auto"/>
          </w:tcPr>
          <w:p>
            <w:pPr>
              <w:spacing w:line="240" w:lineRule="auto" w:before="0" w:after="0"/>
              <w:pStyle w:val="Compact"/>
            </w:pPr>
            <w:r>
              <w:rPr>
                <w:sz w:val="20"/>
                <w:szCs w:val="20"/>
              </w:rPr>
              <w:t xml:space="preserve">Aqua</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952</w:t>
            </w:r>
          </w:p>
        </w:tc>
        <w:tc>
          <w:tcPr>
            <w:tcW w:w="0" w:type="auto"/>
          </w:tcPr>
          <w:p>
            <w:pPr>
              <w:spacing w:line="240" w:lineRule="auto" w:before="0" w:after="0"/>
              <w:pStyle w:val="Compact"/>
            </w:pPr>
            <w:r>
              <w:rPr>
                <w:sz w:val="20"/>
                <w:szCs w:val="20"/>
              </w:rPr>
              <w:t xml:space="preserve">2934</w:t>
            </w:r>
          </w:p>
        </w:tc>
        <w:tc>
          <w:tcPr>
            <w:tcW w:w="0" w:type="auto"/>
          </w:tcPr>
          <w:p>
            <w:pPr>
              <w:spacing w:line="240" w:lineRule="auto" w:before="0" w:after="0"/>
              <w:pStyle w:val="Compact"/>
            </w:pPr>
            <w:r>
              <w:rPr>
                <w:sz w:val="20"/>
                <w:szCs w:val="20"/>
              </w:rPr>
              <w:t xml:space="preserve">2934</w:t>
            </w:r>
          </w:p>
        </w:tc>
        <w:tc>
          <w:tcPr>
            <w:tcW w:w="0" w:type="auto"/>
          </w:tcPr>
          <w:p>
            <w:pPr>
              <w:spacing w:line="240" w:lineRule="auto" w:before="0" w:after="0"/>
              <w:pStyle w:val="Compact"/>
            </w:pPr>
            <w:r>
              <w:rPr>
                <w:sz w:val="20"/>
                <w:szCs w:val="20"/>
              </w:rPr>
              <w:t xml:space="preserve">6.8587</w:t>
            </w:r>
          </w:p>
        </w:tc>
        <w:tc>
          <w:tcPr>
            <w:tcW w:w="0" w:type="auto"/>
          </w:tcPr>
          <w:p>
            <w:pPr>
              <w:spacing w:line="240" w:lineRule="auto" w:before="0" w:after="0"/>
              <w:pStyle w:val="Compact"/>
            </w:pPr>
            <w:r>
              <w:rPr>
                <w:sz w:val="20"/>
                <w:szCs w:val="20"/>
              </w:rPr>
              <w:t xml:space="preserve">7.9841</w:t>
            </w:r>
          </w:p>
        </w:tc>
        <w:tc>
          <w:tcPr>
            <w:tcW w:w="0" w:type="auto"/>
          </w:tcPr>
          <w:p>
            <w:pPr>
              <w:spacing w:line="240" w:lineRule="auto" w:before="0" w:after="0"/>
              <w:pStyle w:val="Compact"/>
            </w:pPr>
            <w:r>
              <w:rPr>
                <w:sz w:val="20"/>
                <w:szCs w:val="20"/>
              </w:rPr>
              <w:t xml:space="preserve">earth_obs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Aqua mission and Wikipedia Aqua satellite (mission cost ~USD 952M; mass ~2934 kg; instruments from Japan/Brazil); en.wikipedia.org/wiki/Aqua_(satellite)</w:t>
            </w:r>
          </w:p>
        </w:tc>
      </w:tr>
      <w:tr>
        <w:tc>
          <w:tcPr>
            <w:tcW w:w="0" w:type="auto"/>
          </w:tcPr>
          <w:p>
            <w:pPr>
              <w:spacing w:line="240" w:lineRule="auto" w:before="0" w:after="0"/>
              <w:pStyle w:val="Compact"/>
            </w:pPr>
            <w:r>
              <w:rPr>
                <w:sz w:val="20"/>
                <w:szCs w:val="20"/>
              </w:rPr>
              <w:t xml:space="preserve">Terra</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5190</w:t>
            </w:r>
          </w:p>
        </w:tc>
        <w:tc>
          <w:tcPr>
            <w:tcW w:w="0" w:type="auto"/>
          </w:tcPr>
          <w:p>
            <w:pPr>
              <w:spacing w:line="240" w:lineRule="auto" w:before="0" w:after="0"/>
              <w:pStyle w:val="Compact"/>
            </w:pPr>
            <w:r>
              <w:rPr>
                <w:sz w:val="20"/>
                <w:szCs w:val="20"/>
              </w:rPr>
              <w:t xml:space="preserve">5190</w:t>
            </w:r>
          </w:p>
        </w:tc>
        <w:tc>
          <w:tcPr>
            <w:tcW w:w="0" w:type="auto"/>
          </w:tcPr>
          <w:p>
            <w:pPr>
              <w:spacing w:line="240" w:lineRule="auto" w:before="0" w:after="0"/>
              <w:pStyle w:val="Compact"/>
            </w:pPr>
            <w:r>
              <w:rPr>
                <w:sz w:val="20"/>
                <w:szCs w:val="20"/>
              </w:rPr>
              <w:t xml:space="preserve">7.1701</w:t>
            </w:r>
          </w:p>
        </w:tc>
        <w:tc>
          <w:tcPr>
            <w:tcW w:w="0" w:type="auto"/>
          </w:tcPr>
          <w:p>
            <w:pPr>
              <w:spacing w:line="240" w:lineRule="auto" w:before="0" w:after="0"/>
              <w:pStyle w:val="Compact"/>
            </w:pPr>
            <w:r>
              <w:rPr>
                <w:sz w:val="20"/>
                <w:szCs w:val="20"/>
              </w:rPr>
              <w:t xml:space="preserve">8.5544</w:t>
            </w:r>
          </w:p>
        </w:tc>
        <w:tc>
          <w:tcPr>
            <w:tcW w:w="0" w:type="auto"/>
          </w:tcPr>
          <w:p>
            <w:pPr>
              <w:spacing w:line="240" w:lineRule="auto" w:before="0" w:after="0"/>
              <w:pStyle w:val="Compact"/>
            </w:pPr>
            <w:r>
              <w:rPr>
                <w:sz w:val="20"/>
                <w:szCs w:val="20"/>
              </w:rPr>
              <w:t xml:space="preserve">earth_obs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Terra mission and Wikipedia Terra satellite (mission cost ~USD 1.3B; mass ~5190 kg; intl instruments); en.wikipedia.org/wiki/Terra_(satellite)</w:t>
            </w:r>
          </w:p>
        </w:tc>
      </w:tr>
      <w:tr>
        <w:tc>
          <w:tcPr>
            <w:tcW w:w="0" w:type="auto"/>
          </w:tcPr>
          <w:p>
            <w:pPr>
              <w:spacing w:line="240" w:lineRule="auto" w:before="0" w:after="0"/>
              <w:pStyle w:val="Compact"/>
            </w:pPr>
            <w:r>
              <w:rPr>
                <w:sz w:val="20"/>
                <w:szCs w:val="20"/>
              </w:rPr>
              <w:t xml:space="preserve">Suomi NPP</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2128</w:t>
            </w:r>
          </w:p>
        </w:tc>
        <w:tc>
          <w:tcPr>
            <w:tcW w:w="0" w:type="auto"/>
          </w:tcPr>
          <w:p>
            <w:pPr>
              <w:spacing w:line="240" w:lineRule="auto" w:before="0" w:after="0"/>
              <w:pStyle w:val="Compact"/>
            </w:pPr>
            <w:r>
              <w:rPr>
                <w:sz w:val="20"/>
                <w:szCs w:val="20"/>
              </w:rPr>
              <w:t xml:space="preserve">2128</w:t>
            </w:r>
          </w:p>
        </w:tc>
        <w:tc>
          <w:tcPr>
            <w:tcW w:w="0" w:type="auto"/>
          </w:tcPr>
          <w:p>
            <w:pPr>
              <w:spacing w:line="240" w:lineRule="auto" w:before="0" w:after="0"/>
              <w:pStyle w:val="Compact"/>
            </w:pPr>
            <w:r>
              <w:rPr>
                <w:sz w:val="20"/>
                <w:szCs w:val="20"/>
              </w:rPr>
              <w:t xml:space="preserve">7.3132</w:t>
            </w:r>
          </w:p>
        </w:tc>
        <w:tc>
          <w:tcPr>
            <w:tcW w:w="0" w:type="auto"/>
          </w:tcPr>
          <w:p>
            <w:pPr>
              <w:spacing w:line="240" w:lineRule="auto" w:before="0" w:after="0"/>
              <w:pStyle w:val="Compact"/>
            </w:pPr>
            <w:r>
              <w:rPr>
                <w:sz w:val="20"/>
                <w:szCs w:val="20"/>
              </w:rPr>
              <w:t xml:space="preserve">7.6629</w:t>
            </w:r>
          </w:p>
        </w:tc>
        <w:tc>
          <w:tcPr>
            <w:tcW w:w="0" w:type="auto"/>
          </w:tcPr>
          <w:p>
            <w:pPr>
              <w:spacing w:line="240" w:lineRule="auto" w:before="0" w:after="0"/>
              <w:pStyle w:val="Compact"/>
            </w:pPr>
            <w:r>
              <w:rPr>
                <w:sz w:val="20"/>
                <w:szCs w:val="20"/>
              </w:rPr>
              <w:t xml:space="preserve">earth_obs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Suomi NPP and Wikipedia Suomi NPP (mission cost ~USD 1.5B; launch mass ~2128 kg); en.wikipedia.org/wiki/Suomi_NPP</w:t>
            </w:r>
          </w:p>
        </w:tc>
      </w:tr>
      <w:tr>
        <w:tc>
          <w:tcPr>
            <w:tcW w:w="0" w:type="auto"/>
          </w:tcPr>
          <w:p>
            <w:pPr>
              <w:spacing w:line="240" w:lineRule="auto" w:before="0" w:after="0"/>
              <w:pStyle w:val="Compact"/>
            </w:pPr>
            <w:r>
              <w:rPr>
                <w:sz w:val="20"/>
                <w:szCs w:val="20"/>
              </w:rPr>
              <w:t xml:space="preserve">GOES-R</w:t>
            </w:r>
          </w:p>
        </w:tc>
        <w:tc>
          <w:tcPr>
            <w:tcW w:w="0" w:type="auto"/>
          </w:tcPr>
          <w:p>
            <w:pPr>
              <w:spacing w:line="240" w:lineRule="auto" w:before="0" w:after="0"/>
              <w:pStyle w:val="Compact"/>
            </w:pPr>
            <w:r>
              <w:rPr>
                <w:sz w:val="20"/>
                <w:szCs w:val="20"/>
              </w:rPr>
              <w:t xml:space="preserve">NOAA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2900</w:t>
            </w:r>
          </w:p>
        </w:tc>
        <w:tc>
          <w:tcPr>
            <w:tcW w:w="0" w:type="auto"/>
          </w:tcPr>
          <w:p>
            <w:pPr>
              <w:spacing w:line="240" w:lineRule="auto" w:before="0" w:after="0"/>
              <w:pStyle w:val="Compact"/>
            </w:pPr>
            <w:r>
              <w:rPr>
                <w:sz w:val="20"/>
                <w:szCs w:val="20"/>
              </w:rPr>
              <w:t xml:space="preserve">2857</w:t>
            </w:r>
          </w:p>
        </w:tc>
        <w:tc>
          <w:tcPr>
            <w:tcW w:w="0" w:type="auto"/>
          </w:tcPr>
          <w:p>
            <w:pPr>
              <w:spacing w:line="240" w:lineRule="auto" w:before="0" w:after="0"/>
              <w:pStyle w:val="Compact"/>
            </w:pPr>
            <w:r>
              <w:rPr>
                <w:sz w:val="20"/>
                <w:szCs w:val="20"/>
              </w:rPr>
              <w:t xml:space="preserve">5192</w:t>
            </w:r>
          </w:p>
        </w:tc>
        <w:tc>
          <w:tcPr>
            <w:tcW w:w="0" w:type="auto"/>
          </w:tcPr>
          <w:p>
            <w:pPr>
              <w:spacing w:line="240" w:lineRule="auto" w:before="0" w:after="0"/>
              <w:pStyle w:val="Compact"/>
            </w:pPr>
            <w:r>
              <w:rPr>
                <w:sz w:val="20"/>
                <w:szCs w:val="20"/>
              </w:rPr>
              <w:t xml:space="preserve">7.9724</w:t>
            </w:r>
          </w:p>
        </w:tc>
        <w:tc>
          <w:tcPr>
            <w:tcW w:w="0" w:type="auto"/>
          </w:tcPr>
          <w:p>
            <w:pPr>
              <w:spacing w:line="240" w:lineRule="auto" w:before="0" w:after="0"/>
              <w:pStyle w:val="Compact"/>
            </w:pPr>
            <w:r>
              <w:rPr>
                <w:sz w:val="20"/>
                <w:szCs w:val="20"/>
              </w:rPr>
              <w:t xml:space="preserve">8.5548</w:t>
            </w:r>
          </w:p>
        </w:tc>
        <w:tc>
          <w:tcPr>
            <w:tcW w:w="0" w:type="auto"/>
          </w:tcPr>
          <w:p>
            <w:pPr>
              <w:spacing w:line="240" w:lineRule="auto" w:before="0" w:after="0"/>
              <w:pStyle w:val="Compact"/>
            </w:pPr>
            <w:r>
              <w:rPr>
                <w:sz w:val="20"/>
                <w:szCs w:val="20"/>
              </w:rPr>
              <w:t xml:space="preserve">weather_obs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NOAA/NASA GOES-R and Wikipedia GOES-16 (per-satellite cost ~USD 2.9B incl. instruments and launch; launch mass ~5192 kg); en.wikipedia.org/wiki/GOES-16</w:t>
            </w:r>
          </w:p>
        </w:tc>
      </w:tr>
      <w:tr>
        <w:tc>
          <w:tcPr>
            <w:tcW w:w="0" w:type="auto"/>
          </w:tcPr>
          <w:p>
            <w:pPr>
              <w:spacing w:line="240" w:lineRule="auto" w:before="0" w:after="0"/>
              <w:pStyle w:val="Compact"/>
            </w:pPr>
            <w:r>
              <w:rPr>
                <w:sz w:val="20"/>
                <w:szCs w:val="20"/>
              </w:rPr>
              <w:t xml:space="preserve">Sentinel-6 Michael Freilich</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425</w:t>
            </w:r>
          </w:p>
        </w:tc>
        <w:tc>
          <w:tcPr>
            <w:tcW w:w="0" w:type="auto"/>
          </w:tcPr>
          <w:p>
            <w:pPr>
              <w:spacing w:line="240" w:lineRule="auto" w:before="0" w:after="0"/>
              <w:pStyle w:val="Compact"/>
            </w:pPr>
            <w:r>
              <w:rPr>
                <w:sz w:val="20"/>
                <w:szCs w:val="20"/>
              </w:rPr>
              <w:t xml:space="preserve">1192</w:t>
            </w:r>
          </w:p>
        </w:tc>
        <w:tc>
          <w:tcPr>
            <w:tcW w:w="0" w:type="auto"/>
          </w:tcPr>
          <w:p>
            <w:pPr>
              <w:spacing w:line="240" w:lineRule="auto" w:before="0" w:after="0"/>
              <w:pStyle w:val="Compact"/>
            </w:pPr>
            <w:r>
              <w:rPr>
                <w:sz w:val="20"/>
                <w:szCs w:val="20"/>
              </w:rPr>
              <w:t xml:space="preserve">1440</w:t>
            </w:r>
          </w:p>
        </w:tc>
        <w:tc>
          <w:tcPr>
            <w:tcW w:w="0" w:type="auto"/>
          </w:tcPr>
          <w:p>
            <w:pPr>
              <w:spacing w:line="240" w:lineRule="auto" w:before="0" w:after="0"/>
              <w:pStyle w:val="Compact"/>
            </w:pPr>
            <w:r>
              <w:rPr>
                <w:sz w:val="20"/>
                <w:szCs w:val="20"/>
              </w:rPr>
              <w:t xml:space="preserve">6.0521</w:t>
            </w:r>
          </w:p>
        </w:tc>
        <w:tc>
          <w:tcPr>
            <w:tcW w:w="0" w:type="auto"/>
          </w:tcPr>
          <w:p>
            <w:pPr>
              <w:spacing w:line="240" w:lineRule="auto" w:before="0" w:after="0"/>
              <w:pStyle w:val="Compact"/>
            </w:pPr>
            <w:r>
              <w:rPr>
                <w:sz w:val="20"/>
                <w:szCs w:val="20"/>
              </w:rPr>
              <w:t xml:space="preserve">7.2724</w:t>
            </w:r>
          </w:p>
        </w:tc>
        <w:tc>
          <w:tcPr>
            <w:tcW w:w="0" w:type="auto"/>
          </w:tcPr>
          <w:p>
            <w:pPr>
              <w:spacing w:line="240" w:lineRule="auto" w:before="0" w:after="0"/>
              <w:pStyle w:val="Compact"/>
            </w:pPr>
            <w:r>
              <w:rPr>
                <w:sz w:val="20"/>
                <w:szCs w:val="20"/>
              </w:rPr>
              <w:t xml:space="preserve">earth_obs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NASA/ESA Sentinel-6 and Wikipedia Sentinel-6 (US share ~USD 425M; launch mass ~1440 kg; EU/EUMETSAT partner); en.wikipedia.org/wiki/Sentinel-6_Michael_Freilich</w:t>
            </w:r>
          </w:p>
        </w:tc>
      </w:tr>
      <w:tr>
        <w:tc>
          <w:tcPr>
            <w:tcW w:w="0" w:type="auto"/>
          </w:tcPr>
          <w:p>
            <w:pPr>
              <w:spacing w:line="240" w:lineRule="auto" w:before="0" w:after="0"/>
              <w:pStyle w:val="Compact"/>
            </w:pPr>
            <w:r>
              <w:rPr>
                <w:sz w:val="20"/>
                <w:szCs w:val="20"/>
              </w:rPr>
              <w:t xml:space="preserve">CALIPSO</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318</w:t>
            </w:r>
          </w:p>
        </w:tc>
        <w:tc>
          <w:tcPr>
            <w:tcW w:w="0" w:type="auto"/>
          </w:tcPr>
          <w:p>
            <w:pPr>
              <w:spacing w:line="240" w:lineRule="auto" w:before="0" w:after="0"/>
              <w:pStyle w:val="Compact"/>
            </w:pPr>
            <w:r>
              <w:rPr>
                <w:sz w:val="20"/>
                <w:szCs w:val="20"/>
              </w:rPr>
              <w:t xml:space="preserve">587</w:t>
            </w:r>
          </w:p>
        </w:tc>
        <w:tc>
          <w:tcPr>
            <w:tcW w:w="0" w:type="auto"/>
          </w:tcPr>
          <w:p>
            <w:pPr>
              <w:spacing w:line="240" w:lineRule="auto" w:before="0" w:after="0"/>
              <w:pStyle w:val="Compact"/>
            </w:pPr>
            <w:r>
              <w:rPr>
                <w:sz w:val="20"/>
                <w:szCs w:val="20"/>
              </w:rPr>
              <w:t xml:space="preserve">587</w:t>
            </w:r>
          </w:p>
        </w:tc>
        <w:tc>
          <w:tcPr>
            <w:tcW w:w="0" w:type="auto"/>
          </w:tcPr>
          <w:p>
            <w:pPr>
              <w:spacing w:line="240" w:lineRule="auto" w:before="0" w:after="0"/>
              <w:pStyle w:val="Compact"/>
            </w:pPr>
            <w:r>
              <w:rPr>
                <w:sz w:val="20"/>
                <w:szCs w:val="20"/>
              </w:rPr>
              <w:t xml:space="preserve">5.7621</w:t>
            </w:r>
          </w:p>
        </w:tc>
        <w:tc>
          <w:tcPr>
            <w:tcW w:w="0" w:type="auto"/>
          </w:tcPr>
          <w:p>
            <w:pPr>
              <w:spacing w:line="240" w:lineRule="auto" w:before="0" w:after="0"/>
              <w:pStyle w:val="Compact"/>
            </w:pPr>
            <w:r>
              <w:rPr>
                <w:sz w:val="20"/>
                <w:szCs w:val="20"/>
              </w:rPr>
              <w:t xml:space="preserve">6.375</w:t>
            </w:r>
          </w:p>
        </w:tc>
        <w:tc>
          <w:tcPr>
            <w:tcW w:w="0" w:type="auto"/>
          </w:tcPr>
          <w:p>
            <w:pPr>
              <w:spacing w:line="240" w:lineRule="auto" w:before="0" w:after="0"/>
              <w:pStyle w:val="Compact"/>
            </w:pPr>
            <w:r>
              <w:rPr>
                <w:sz w:val="20"/>
                <w:szCs w:val="20"/>
              </w:rPr>
              <w:t xml:space="preserve">earth_lidar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CALIPSO and Wikipedia CALIPSO (mission cost ~USD 318M; mass ~587 kg; CNES partner); en.wikipedia.org/wiki/CALIPSO</w:t>
            </w:r>
          </w:p>
        </w:tc>
      </w:tr>
      <w:tr>
        <w:tc>
          <w:tcPr>
            <w:tcW w:w="0" w:type="auto"/>
          </w:tcPr>
          <w:p>
            <w:pPr>
              <w:spacing w:line="240" w:lineRule="auto" w:before="0" w:after="0"/>
              <w:pStyle w:val="Compact"/>
            </w:pPr>
            <w:r>
              <w:rPr>
                <w:sz w:val="20"/>
                <w:szCs w:val="20"/>
              </w:rPr>
              <w:t xml:space="preserve">CloudSat</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217</w:t>
            </w:r>
          </w:p>
        </w:tc>
        <w:tc>
          <w:tcPr>
            <w:tcW w:w="0" w:type="auto"/>
          </w:tcPr>
          <w:p>
            <w:pPr>
              <w:spacing w:line="240" w:lineRule="auto" w:before="0" w:after="0"/>
              <w:pStyle w:val="Compact"/>
            </w:pPr>
            <w:r>
              <w:rPr>
                <w:sz w:val="20"/>
                <w:szCs w:val="20"/>
              </w:rPr>
              <w:t xml:space="preserve">848</w:t>
            </w:r>
          </w:p>
        </w:tc>
        <w:tc>
          <w:tcPr>
            <w:tcW w:w="0" w:type="auto"/>
          </w:tcPr>
          <w:p>
            <w:pPr>
              <w:spacing w:line="240" w:lineRule="auto" w:before="0" w:after="0"/>
              <w:pStyle w:val="Compact"/>
            </w:pPr>
            <w:r>
              <w:rPr>
                <w:sz w:val="20"/>
                <w:szCs w:val="20"/>
              </w:rPr>
              <w:t xml:space="preserve">848</w:t>
            </w:r>
          </w:p>
        </w:tc>
        <w:tc>
          <w:tcPr>
            <w:tcW w:w="0" w:type="auto"/>
          </w:tcPr>
          <w:p>
            <w:pPr>
              <w:spacing w:line="240" w:lineRule="auto" w:before="0" w:after="0"/>
              <w:pStyle w:val="Compact"/>
            </w:pPr>
            <w:r>
              <w:rPr>
                <w:sz w:val="20"/>
                <w:szCs w:val="20"/>
              </w:rPr>
              <w:t xml:space="preserve">5.3799</w:t>
            </w:r>
          </w:p>
        </w:tc>
        <w:tc>
          <w:tcPr>
            <w:tcW w:w="0" w:type="auto"/>
          </w:tcPr>
          <w:p>
            <w:pPr>
              <w:spacing w:line="240" w:lineRule="auto" w:before="0" w:after="0"/>
              <w:pStyle w:val="Compact"/>
            </w:pPr>
            <w:r>
              <w:rPr>
                <w:sz w:val="20"/>
                <w:szCs w:val="20"/>
              </w:rPr>
              <w:t xml:space="preserve">6.7428</w:t>
            </w:r>
          </w:p>
        </w:tc>
        <w:tc>
          <w:tcPr>
            <w:tcW w:w="0" w:type="auto"/>
          </w:tcPr>
          <w:p>
            <w:pPr>
              <w:spacing w:line="240" w:lineRule="auto" w:before="0" w:after="0"/>
              <w:pStyle w:val="Compact"/>
            </w:pPr>
            <w:r>
              <w:rPr>
                <w:sz w:val="20"/>
                <w:szCs w:val="20"/>
              </w:rPr>
              <w:t xml:space="preserve">earth_radar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JPL CloudSat and Wikipedia CloudSat (mission cost ~USD 217M; mass ~848 kg; CSA partner); en.wikipedia.org/wiki/CloudSat</w:t>
            </w:r>
          </w:p>
        </w:tc>
      </w:tr>
      <w:tr>
        <w:tc>
          <w:tcPr>
            <w:tcW w:w="0" w:type="auto"/>
          </w:tcPr>
          <w:p>
            <w:pPr>
              <w:spacing w:line="240" w:lineRule="auto" w:before="0" w:after="0"/>
              <w:pStyle w:val="Compact"/>
            </w:pPr>
            <w:r>
              <w:rPr>
                <w:sz w:val="20"/>
                <w:szCs w:val="20"/>
              </w:rPr>
              <w:t xml:space="preserve">Fermi GLAST</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690</w:t>
            </w:r>
          </w:p>
        </w:tc>
        <w:tc>
          <w:tcPr>
            <w:tcW w:w="0" w:type="auto"/>
          </w:tcPr>
          <w:p>
            <w:pPr>
              <w:spacing w:line="240" w:lineRule="auto" w:before="0" w:after="0"/>
              <w:pStyle w:val="Compact"/>
            </w:pPr>
            <w:r>
              <w:rPr>
                <w:sz w:val="20"/>
                <w:szCs w:val="20"/>
              </w:rPr>
              <w:t xml:space="preserve">4303</w:t>
            </w:r>
          </w:p>
        </w:tc>
        <w:tc>
          <w:tcPr>
            <w:tcW w:w="0" w:type="auto"/>
          </w:tcPr>
          <w:p>
            <w:pPr>
              <w:spacing w:line="240" w:lineRule="auto" w:before="0" w:after="0"/>
              <w:pStyle w:val="Compact"/>
            </w:pPr>
            <w:r>
              <w:rPr>
                <w:sz w:val="20"/>
                <w:szCs w:val="20"/>
              </w:rPr>
              <w:t xml:space="preserve">4303</w:t>
            </w:r>
          </w:p>
        </w:tc>
        <w:tc>
          <w:tcPr>
            <w:tcW w:w="0" w:type="auto"/>
          </w:tcPr>
          <w:p>
            <w:pPr>
              <w:spacing w:line="240" w:lineRule="auto" w:before="0" w:after="0"/>
              <w:pStyle w:val="Compact"/>
            </w:pPr>
            <w:r>
              <w:rPr>
                <w:sz w:val="20"/>
                <w:szCs w:val="20"/>
              </w:rPr>
              <w:t xml:space="preserve">6.5366</w:t>
            </w:r>
          </w:p>
        </w:tc>
        <w:tc>
          <w:tcPr>
            <w:tcW w:w="0" w:type="auto"/>
          </w:tcPr>
          <w:p>
            <w:pPr>
              <w:spacing w:line="240" w:lineRule="auto" w:before="0" w:after="0"/>
              <w:pStyle w:val="Compact"/>
            </w:pPr>
            <w:r>
              <w:rPr>
                <w:sz w:val="20"/>
                <w:szCs w:val="20"/>
              </w:rPr>
              <w:t xml:space="preserve">8.367</w:t>
            </w:r>
          </w:p>
        </w:tc>
        <w:tc>
          <w:tcPr>
            <w:tcW w:w="0" w:type="auto"/>
          </w:tcPr>
          <w:p>
            <w:pPr>
              <w:spacing w:line="240" w:lineRule="auto" w:before="0" w:after="0"/>
              <w:pStyle w:val="Compact"/>
            </w:pPr>
            <w:r>
              <w:rPr>
                <w:sz w:val="20"/>
                <w:szCs w:val="20"/>
              </w:rPr>
              <w:t xml:space="preserve">astro_gamma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Fermi mission and Wikipedia Fermi Gamma-ray Space Telescope (mission cost ~USD 690M; launch mass ~4303 kg; intl instrument teams); en.wikipedia.org/wiki/Fermi_Gamma-ray_Space_Telescope</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640</w:t>
            </w:r>
          </w:p>
        </w:tc>
        <w:tc>
          <w:tcPr>
            <w:tcW w:w="0" w:type="auto"/>
          </w:tcPr>
          <w:p>
            <w:pPr>
              <w:spacing w:line="240" w:lineRule="auto" w:before="0" w:after="0"/>
              <w:pStyle w:val="Compact"/>
            </w:pPr>
            <w:r>
              <w:rPr>
                <w:sz w:val="20"/>
                <w:szCs w:val="20"/>
              </w:rPr>
              <w:t xml:space="preserve">1052</w:t>
            </w:r>
          </w:p>
        </w:tc>
        <w:tc>
          <w:tcPr>
            <w:tcW w:w="0" w:type="auto"/>
          </w:tcPr>
          <w:p>
            <w:pPr>
              <w:spacing w:line="240" w:lineRule="auto" w:before="0" w:after="0"/>
              <w:pStyle w:val="Compact"/>
            </w:pPr>
            <w:r>
              <w:rPr>
                <w:sz w:val="20"/>
                <w:szCs w:val="20"/>
              </w:rPr>
              <w:t xml:space="preserve">1052</w:t>
            </w:r>
          </w:p>
        </w:tc>
        <w:tc>
          <w:tcPr>
            <w:tcW w:w="0" w:type="auto"/>
          </w:tcPr>
          <w:p>
            <w:pPr>
              <w:spacing w:line="240" w:lineRule="auto" w:before="0" w:after="0"/>
              <w:pStyle w:val="Compact"/>
            </w:pPr>
            <w:r>
              <w:rPr>
                <w:sz w:val="20"/>
                <w:szCs w:val="20"/>
              </w:rPr>
              <w:t xml:space="preserve">6.4615</w:t>
            </w:r>
          </w:p>
        </w:tc>
        <w:tc>
          <w:tcPr>
            <w:tcW w:w="0" w:type="auto"/>
          </w:tcPr>
          <w:p>
            <w:pPr>
              <w:spacing w:line="240" w:lineRule="auto" w:before="0" w:after="0"/>
              <w:pStyle w:val="Compact"/>
            </w:pPr>
            <w:r>
              <w:rPr>
                <w:sz w:val="20"/>
                <w:szCs w:val="20"/>
              </w:rPr>
              <w:t xml:space="preserve">6.9583</w:t>
            </w:r>
          </w:p>
        </w:tc>
        <w:tc>
          <w:tcPr>
            <w:tcW w:w="0" w:type="auto"/>
          </w:tcPr>
          <w:p>
            <w:pPr>
              <w:spacing w:line="240" w:lineRule="auto" w:before="0" w:after="0"/>
              <w:pStyle w:val="Compact"/>
            </w:pPr>
            <w:r>
              <w:rPr>
                <w:sz w:val="20"/>
                <w:szCs w:val="20"/>
              </w:rPr>
              <w:t xml:space="preserve">astro_survey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Kepler mission and Wikipedia Kepler space telescope (lifecycle cost ~USD 640M; launch mass ~1052 kg); en.wikipedia.org/wiki/Kepler_space_telescope</w:t>
            </w:r>
          </w:p>
        </w:tc>
      </w:tr>
      <w:tr>
        <w:tc>
          <w:tcPr>
            <w:tcW w:w="0" w:type="auto"/>
          </w:tcPr>
          <w:p>
            <w:pPr>
              <w:spacing w:line="240" w:lineRule="auto" w:before="0" w:after="0"/>
              <w:pStyle w:val="Compact"/>
            </w:pPr>
            <w:r>
              <w:rPr>
                <w:sz w:val="20"/>
                <w:szCs w:val="20"/>
              </w:rPr>
              <w:t xml:space="preserve">WISE</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661</w:t>
            </w:r>
          </w:p>
        </w:tc>
        <w:tc>
          <w:tcPr>
            <w:tcW w:w="0" w:type="auto"/>
          </w:tcPr>
          <w:p>
            <w:pPr>
              <w:spacing w:line="240" w:lineRule="auto" w:before="0" w:after="0"/>
              <w:pStyle w:val="Compact"/>
            </w:pPr>
            <w:r>
              <w:rPr>
                <w:sz w:val="20"/>
                <w:szCs w:val="20"/>
              </w:rPr>
              <w:t xml:space="preserve">661</w:t>
            </w:r>
          </w:p>
        </w:tc>
        <w:tc>
          <w:tcPr>
            <w:tcW w:w="0" w:type="auto"/>
          </w:tcPr>
          <w:p>
            <w:pPr>
              <w:spacing w:line="240" w:lineRule="auto" w:before="0" w:after="0"/>
              <w:pStyle w:val="Compact"/>
            </w:pPr>
            <w:r>
              <w:rPr>
                <w:sz w:val="20"/>
                <w:szCs w:val="20"/>
              </w:rPr>
              <w:t xml:space="preserve">5.7683</w:t>
            </w:r>
          </w:p>
        </w:tc>
        <w:tc>
          <w:tcPr>
            <w:tcW w:w="0" w:type="auto"/>
          </w:tcPr>
          <w:p>
            <w:pPr>
              <w:spacing w:line="240" w:lineRule="auto" w:before="0" w:after="0"/>
              <w:pStyle w:val="Compact"/>
            </w:pPr>
            <w:r>
              <w:rPr>
                <w:sz w:val="20"/>
                <w:szCs w:val="20"/>
              </w:rPr>
              <w:t xml:space="preserve">6.4938</w:t>
            </w:r>
          </w:p>
        </w:tc>
        <w:tc>
          <w:tcPr>
            <w:tcW w:w="0" w:type="auto"/>
          </w:tcPr>
          <w:p>
            <w:pPr>
              <w:spacing w:line="240" w:lineRule="auto" w:before="0" w:after="0"/>
              <w:pStyle w:val="Compact"/>
            </w:pPr>
            <w:r>
              <w:rPr>
                <w:sz w:val="20"/>
                <w:szCs w:val="20"/>
              </w:rPr>
              <w:t xml:space="preserve">astro_ir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WISE mission and Wikipedia WISE (mission cost ~USD 320M; mass ~661 kg); en.wikipedia.org/wiki/Wide-field_Infrared_Survey_Explorer</w:t>
            </w:r>
          </w:p>
        </w:tc>
      </w:tr>
      <w:tr>
        <w:tc>
          <w:tcPr>
            <w:tcW w:w="0" w:type="auto"/>
          </w:tcPr>
          <w:p>
            <w:pPr>
              <w:spacing w:line="240" w:lineRule="auto" w:before="0" w:after="0"/>
              <w:pStyle w:val="Compact"/>
            </w:pPr>
            <w:r>
              <w:rPr>
                <w:sz w:val="20"/>
                <w:szCs w:val="20"/>
              </w:rPr>
              <w:t xml:space="preserve">Spitzer</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6.5793</w:t>
            </w:r>
          </w:p>
        </w:tc>
        <w:tc>
          <w:tcPr>
            <w:tcW w:w="0" w:type="auto"/>
          </w:tcPr>
          <w:p>
            <w:pPr>
              <w:spacing w:line="240" w:lineRule="auto" w:before="0" w:after="0"/>
              <w:pStyle w:val="Compact"/>
            </w:pPr>
            <w:r>
              <w:rPr>
                <w:sz w:val="20"/>
                <w:szCs w:val="20"/>
              </w:rPr>
              <w:t xml:space="preserve">6.8565</w:t>
            </w:r>
          </w:p>
        </w:tc>
        <w:tc>
          <w:tcPr>
            <w:tcW w:w="0" w:type="auto"/>
          </w:tcPr>
          <w:p>
            <w:pPr>
              <w:spacing w:line="240" w:lineRule="auto" w:before="0" w:after="0"/>
              <w:pStyle w:val="Compact"/>
            </w:pPr>
            <w:r>
              <w:rPr>
                <w:sz w:val="20"/>
                <w:szCs w:val="20"/>
              </w:rPr>
              <w:t xml:space="preserve">astro_ir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Spitzer and Wikipedia Spitzer Space Telescope (development cost ~USD 720M; launch mass ~950 kg); en.wikipedia.org/wiki/Spitzer_Space_Telescope</w:t>
            </w:r>
          </w:p>
        </w:tc>
      </w:tr>
      <w:tr>
        <w:tc>
          <w:tcPr>
            <w:tcW w:w="0" w:type="auto"/>
          </w:tcPr>
          <w:p>
            <w:pPr>
              <w:spacing w:line="240" w:lineRule="auto" w:before="0" w:after="0"/>
              <w:pStyle w:val="Compact"/>
            </w:pPr>
            <w:r>
              <w:rPr>
                <w:sz w:val="20"/>
                <w:szCs w:val="20"/>
              </w:rPr>
              <w:t xml:space="preserve">NuSTAR</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5.193</w:t>
            </w:r>
          </w:p>
        </w:tc>
        <w:tc>
          <w:tcPr>
            <w:tcW w:w="0" w:type="auto"/>
          </w:tcPr>
          <w:p>
            <w:pPr>
              <w:spacing w:line="240" w:lineRule="auto" w:before="0" w:after="0"/>
              <w:pStyle w:val="Compact"/>
            </w:pPr>
            <w:r>
              <w:rPr>
                <w:sz w:val="20"/>
                <w:szCs w:val="20"/>
              </w:rPr>
              <w:t xml:space="preserve">5.8579</w:t>
            </w:r>
          </w:p>
        </w:tc>
        <w:tc>
          <w:tcPr>
            <w:tcW w:w="0" w:type="auto"/>
          </w:tcPr>
          <w:p>
            <w:pPr>
              <w:spacing w:line="240" w:lineRule="auto" w:before="0" w:after="0"/>
              <w:pStyle w:val="Compact"/>
            </w:pPr>
            <w:r>
              <w:rPr>
                <w:sz w:val="20"/>
                <w:szCs w:val="20"/>
              </w:rPr>
              <w:t xml:space="preserve">astro_xray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JPL NuSTAR and Wikipedia NuSTAR (Small Explorer cost ~USD 180M; launch mass ~350 kg); en.wikipedia.org/wiki/NuSTAR</w:t>
            </w:r>
          </w:p>
        </w:tc>
      </w:tr>
      <w:tr>
        <w:tc>
          <w:tcPr>
            <w:tcW w:w="0" w:type="auto"/>
          </w:tcPr>
          <w:p>
            <w:pPr>
              <w:spacing w:line="240" w:lineRule="auto" w:before="0" w:after="0"/>
              <w:pStyle w:val="Compact"/>
            </w:pPr>
            <w:r>
              <w:rPr>
                <w:sz w:val="20"/>
                <w:szCs w:val="20"/>
              </w:rPr>
              <w:t xml:space="preserve">SDO</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3100</w:t>
            </w:r>
          </w:p>
        </w:tc>
        <w:tc>
          <w:tcPr>
            <w:tcW w:w="0" w:type="auto"/>
          </w:tcPr>
          <w:p>
            <w:pPr>
              <w:spacing w:line="240" w:lineRule="auto" w:before="0" w:after="0"/>
              <w:pStyle w:val="Compact"/>
            </w:pPr>
            <w:r>
              <w:rPr>
                <w:sz w:val="20"/>
                <w:szCs w:val="20"/>
              </w:rPr>
              <w:t xml:space="preserve">3100</w:t>
            </w:r>
          </w:p>
        </w:tc>
        <w:tc>
          <w:tcPr>
            <w:tcW w:w="0" w:type="auto"/>
          </w:tcPr>
          <w:p>
            <w:pPr>
              <w:spacing w:line="240" w:lineRule="auto" w:before="0" w:after="0"/>
              <w:pStyle w:val="Compact"/>
            </w:pPr>
            <w:r>
              <w:rPr>
                <w:sz w:val="20"/>
                <w:szCs w:val="20"/>
              </w:rPr>
              <w:t xml:space="preserve">6.7452</w:t>
            </w:r>
          </w:p>
        </w:tc>
        <w:tc>
          <w:tcPr>
            <w:tcW w:w="0" w:type="auto"/>
          </w:tcPr>
          <w:p>
            <w:pPr>
              <w:spacing w:line="240" w:lineRule="auto" w:before="0" w:after="0"/>
              <w:pStyle w:val="Compact"/>
            </w:pPr>
            <w:r>
              <w:rPr>
                <w:sz w:val="20"/>
                <w:szCs w:val="20"/>
              </w:rPr>
              <w:t xml:space="preserve">8.0392</w:t>
            </w:r>
          </w:p>
        </w:tc>
        <w:tc>
          <w:tcPr>
            <w:tcW w:w="0" w:type="auto"/>
          </w:tcPr>
          <w:p>
            <w:pPr>
              <w:spacing w:line="240" w:lineRule="auto" w:before="0" w:after="0"/>
              <w:pStyle w:val="Compact"/>
            </w:pPr>
            <w:r>
              <w:rPr>
                <w:sz w:val="20"/>
                <w:szCs w:val="20"/>
              </w:rPr>
              <w:t xml:space="preserve">helio_obs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Solar Dynamics Observatory and Wikipedia SDO (mission cost ~USD 850M; launch mass ~3100 kg); en.wikipedia.org/wiki/Solar_Dynamics_Observatory</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685</w:t>
            </w:r>
          </w:p>
        </w:tc>
        <w:tc>
          <w:tcPr>
            <w:tcW w:w="0" w:type="auto"/>
          </w:tcPr>
          <w:p>
            <w:pPr>
              <w:spacing w:line="240" w:lineRule="auto" w:before="0" w:after="0"/>
              <w:pStyle w:val="Compact"/>
            </w:pPr>
            <w:r>
              <w:rPr>
                <w:sz w:val="20"/>
                <w:szCs w:val="20"/>
              </w:rPr>
              <w:t xml:space="preserve">685</w:t>
            </w:r>
          </w:p>
        </w:tc>
        <w:tc>
          <w:tcPr>
            <w:tcW w:w="0" w:type="auto"/>
          </w:tcPr>
          <w:p>
            <w:pPr>
              <w:spacing w:line="240" w:lineRule="auto" w:before="0" w:after="0"/>
              <w:pStyle w:val="Compact"/>
            </w:pPr>
            <w:r>
              <w:rPr>
                <w:sz w:val="20"/>
                <w:szCs w:val="20"/>
              </w:rPr>
              <w:t xml:space="preserve">7.3132</w:t>
            </w:r>
          </w:p>
        </w:tc>
        <w:tc>
          <w:tcPr>
            <w:tcW w:w="0" w:type="auto"/>
          </w:tcPr>
          <w:p>
            <w:pPr>
              <w:spacing w:line="240" w:lineRule="auto" w:before="0" w:after="0"/>
              <w:pStyle w:val="Compact"/>
            </w:pPr>
            <w:r>
              <w:rPr>
                <w:sz w:val="20"/>
                <w:szCs w:val="20"/>
              </w:rPr>
              <w:t xml:space="preserve">6.5294</w:t>
            </w:r>
          </w:p>
        </w:tc>
        <w:tc>
          <w:tcPr>
            <w:tcW w:w="0" w:type="auto"/>
          </w:tcPr>
          <w:p>
            <w:pPr>
              <w:spacing w:line="240" w:lineRule="auto" w:before="0" w:after="0"/>
              <w:pStyle w:val="Compact"/>
            </w:pPr>
            <w:r>
              <w:rPr>
                <w:sz w:val="20"/>
                <w:szCs w:val="20"/>
              </w:rPr>
              <w:t xml:space="preserve">helio_obs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Parker Solar Probe and Wikipedia Parker Solar Probe (mission cost ~USD 1.5B; launch mass ~685 kg); en.wikipedia.org/wiki/Parker_Solar_Probe</w:t>
            </w:r>
          </w:p>
        </w:tc>
      </w:tr>
      <w:tr>
        <w:tc>
          <w:tcPr>
            <w:tcW w:w="0" w:type="auto"/>
          </w:tcPr>
          <w:p>
            <w:pPr>
              <w:spacing w:line="240" w:lineRule="auto" w:before="0" w:after="0"/>
              <w:pStyle w:val="Compact"/>
            </w:pPr>
            <w:r>
              <w:rPr>
                <w:sz w:val="20"/>
                <w:szCs w:val="20"/>
              </w:rPr>
              <w:t xml:space="preserve">GPM Core</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933</w:t>
            </w:r>
          </w:p>
        </w:tc>
        <w:tc>
          <w:tcPr>
            <w:tcW w:w="0" w:type="auto"/>
          </w:tcPr>
          <w:p>
            <w:pPr>
              <w:spacing w:line="240" w:lineRule="auto" w:before="0" w:after="0"/>
              <w:pStyle w:val="Compact"/>
            </w:pPr>
            <w:r>
              <w:rPr>
                <w:sz w:val="20"/>
                <w:szCs w:val="20"/>
              </w:rPr>
              <w:t xml:space="preserve">3850</w:t>
            </w:r>
          </w:p>
        </w:tc>
        <w:tc>
          <w:tcPr>
            <w:tcW w:w="0" w:type="auto"/>
          </w:tcPr>
          <w:p>
            <w:pPr>
              <w:spacing w:line="240" w:lineRule="auto" w:before="0" w:after="0"/>
              <w:pStyle w:val="Compact"/>
            </w:pPr>
            <w:r>
              <w:rPr>
                <w:sz w:val="20"/>
                <w:szCs w:val="20"/>
              </w:rPr>
              <w:t xml:space="preserve">3850</w:t>
            </w:r>
          </w:p>
        </w:tc>
        <w:tc>
          <w:tcPr>
            <w:tcW w:w="0" w:type="auto"/>
          </w:tcPr>
          <w:p>
            <w:pPr>
              <w:spacing w:line="240" w:lineRule="auto" w:before="0" w:after="0"/>
              <w:pStyle w:val="Compact"/>
            </w:pPr>
            <w:r>
              <w:rPr>
                <w:sz w:val="20"/>
                <w:szCs w:val="20"/>
              </w:rPr>
              <w:t xml:space="preserve">6.8384</w:t>
            </w:r>
          </w:p>
        </w:tc>
        <w:tc>
          <w:tcPr>
            <w:tcW w:w="0" w:type="auto"/>
          </w:tcPr>
          <w:p>
            <w:pPr>
              <w:spacing w:line="240" w:lineRule="auto" w:before="0" w:after="0"/>
              <w:pStyle w:val="Compact"/>
            </w:pPr>
            <w:r>
              <w:rPr>
                <w:sz w:val="20"/>
                <w:szCs w:val="20"/>
              </w:rPr>
              <w:t xml:space="preserve">8.2558</w:t>
            </w:r>
          </w:p>
        </w:tc>
        <w:tc>
          <w:tcPr>
            <w:tcW w:w="0" w:type="auto"/>
          </w:tcPr>
          <w:p>
            <w:pPr>
              <w:spacing w:line="240" w:lineRule="auto" w:before="0" w:after="0"/>
              <w:pStyle w:val="Compact"/>
            </w:pPr>
            <w:r>
              <w:rPr>
                <w:sz w:val="20"/>
                <w:szCs w:val="20"/>
              </w:rPr>
              <w:t xml:space="preserve">earth_radar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GPM mission and Wikipedia Global Precipitation Measurement (US cost ~USD 933M; mass ~3850 kg; JAXA partner); en.wikipedia.org/wiki/Global_Precipitation_Measurement</w:t>
            </w:r>
          </w:p>
        </w:tc>
      </w:tr>
      <w:tr>
        <w:tc>
          <w:tcPr>
            <w:tcW w:w="0" w:type="auto"/>
          </w:tcPr>
          <w:p>
            <w:pPr>
              <w:spacing w:line="240" w:lineRule="auto" w:before="0" w:after="0"/>
              <w:pStyle w:val="Compact"/>
            </w:pPr>
            <w:r>
              <w:rPr>
                <w:sz w:val="20"/>
                <w:szCs w:val="20"/>
              </w:rPr>
              <w:t xml:space="preserve">Jason-3</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553</w:t>
            </w:r>
          </w:p>
        </w:tc>
        <w:tc>
          <w:tcPr>
            <w:tcW w:w="0" w:type="auto"/>
          </w:tcPr>
          <w:p>
            <w:pPr>
              <w:spacing w:line="240" w:lineRule="auto" w:before="0" w:after="0"/>
              <w:pStyle w:val="Compact"/>
            </w:pPr>
            <w:r>
              <w:rPr>
                <w:sz w:val="20"/>
                <w:szCs w:val="20"/>
              </w:rPr>
              <w:t xml:space="preserve">553</w:t>
            </w:r>
          </w:p>
        </w:tc>
        <w:tc>
          <w:tcPr>
            <w:tcW w:w="0" w:type="auto"/>
          </w:tcPr>
          <w:p>
            <w:pPr>
              <w:spacing w:line="240" w:lineRule="auto" w:before="0" w:after="0"/>
              <w:pStyle w:val="Compact"/>
            </w:pPr>
            <w:r>
              <w:rPr>
                <w:sz w:val="20"/>
                <w:szCs w:val="20"/>
              </w:rPr>
              <w:t xml:space="preserve">5.193</w:t>
            </w:r>
          </w:p>
        </w:tc>
        <w:tc>
          <w:tcPr>
            <w:tcW w:w="0" w:type="auto"/>
          </w:tcPr>
          <w:p>
            <w:pPr>
              <w:spacing w:line="240" w:lineRule="auto" w:before="0" w:after="0"/>
              <w:pStyle w:val="Compact"/>
            </w:pPr>
            <w:r>
              <w:rPr>
                <w:sz w:val="20"/>
                <w:szCs w:val="20"/>
              </w:rPr>
              <w:t xml:space="preserve">6.3153</w:t>
            </w:r>
          </w:p>
        </w:tc>
        <w:tc>
          <w:tcPr>
            <w:tcW w:w="0" w:type="auto"/>
          </w:tcPr>
          <w:p>
            <w:pPr>
              <w:spacing w:line="240" w:lineRule="auto" w:before="0" w:after="0"/>
              <w:pStyle w:val="Compact"/>
            </w:pPr>
            <w:r>
              <w:rPr>
                <w:sz w:val="20"/>
                <w:szCs w:val="20"/>
              </w:rPr>
              <w:t xml:space="preserve">earth_obs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NASA/NOAA Jason-3 and Wikipedia Jason-3 (US share ~USD 180M; mass ~553 kg; CNES/EUMETSAT partner); en.wikipedia.org/wiki/Jason-3</w:t>
            </w:r>
          </w:p>
        </w:tc>
      </w:tr>
      <w:tr>
        <w:tc>
          <w:tcPr>
            <w:tcW w:w="0" w:type="auto"/>
          </w:tcPr>
          <w:p>
            <w:pPr>
              <w:spacing w:line="240" w:lineRule="auto" w:before="0" w:after="0"/>
              <w:pStyle w:val="Compact"/>
            </w:pPr>
            <w:r>
              <w:rPr>
                <w:sz w:val="20"/>
                <w:szCs w:val="20"/>
              </w:rPr>
              <w:t xml:space="preserve">Aura</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785</w:t>
            </w:r>
          </w:p>
        </w:tc>
        <w:tc>
          <w:tcPr>
            <w:tcW w:w="0" w:type="auto"/>
          </w:tcPr>
          <w:p>
            <w:pPr>
              <w:spacing w:line="240" w:lineRule="auto" w:before="0" w:after="0"/>
              <w:pStyle w:val="Compact"/>
            </w:pPr>
            <w:r>
              <w:rPr>
                <w:sz w:val="20"/>
                <w:szCs w:val="20"/>
              </w:rPr>
              <w:t xml:space="preserve">2967</w:t>
            </w:r>
          </w:p>
        </w:tc>
        <w:tc>
          <w:tcPr>
            <w:tcW w:w="0" w:type="auto"/>
          </w:tcPr>
          <w:p>
            <w:pPr>
              <w:spacing w:line="240" w:lineRule="auto" w:before="0" w:after="0"/>
              <w:pStyle w:val="Compact"/>
            </w:pPr>
            <w:r>
              <w:rPr>
                <w:sz w:val="20"/>
                <w:szCs w:val="20"/>
              </w:rPr>
              <w:t xml:space="preserve">2967</w:t>
            </w:r>
          </w:p>
        </w:tc>
        <w:tc>
          <w:tcPr>
            <w:tcW w:w="0" w:type="auto"/>
          </w:tcPr>
          <w:p>
            <w:pPr>
              <w:spacing w:line="240" w:lineRule="auto" w:before="0" w:after="0"/>
              <w:pStyle w:val="Compact"/>
            </w:pPr>
            <w:r>
              <w:rPr>
                <w:sz w:val="20"/>
                <w:szCs w:val="20"/>
              </w:rPr>
              <w:t xml:space="preserve">6.6657</w:t>
            </w:r>
          </w:p>
        </w:tc>
        <w:tc>
          <w:tcPr>
            <w:tcW w:w="0" w:type="auto"/>
          </w:tcPr>
          <w:p>
            <w:pPr>
              <w:spacing w:line="240" w:lineRule="auto" w:before="0" w:after="0"/>
              <w:pStyle w:val="Compact"/>
            </w:pPr>
            <w:r>
              <w:rPr>
                <w:sz w:val="20"/>
                <w:szCs w:val="20"/>
              </w:rPr>
              <w:t xml:space="preserve">7.9953</w:t>
            </w:r>
          </w:p>
        </w:tc>
        <w:tc>
          <w:tcPr>
            <w:tcW w:w="0" w:type="auto"/>
          </w:tcPr>
          <w:p>
            <w:pPr>
              <w:spacing w:line="240" w:lineRule="auto" w:before="0" w:after="0"/>
              <w:pStyle w:val="Compact"/>
            </w:pPr>
            <w:r>
              <w:rPr>
                <w:sz w:val="20"/>
                <w:szCs w:val="20"/>
              </w:rPr>
              <w:t xml:space="preserve">earth_obs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Aura mission and Wikipedia Aura satellite (mission cost ~USD 785M; mass ~2967 kg; intl instruments NL/UK/FI); en.wikipedia.org/wiki/Aura_(satellite)</w:t>
            </w:r>
          </w:p>
        </w:tc>
      </w:tr>
      <w:tr>
        <w:tc>
          <w:tcPr>
            <w:tcW w:w="0" w:type="auto"/>
          </w:tcPr>
          <w:p>
            <w:pPr>
              <w:spacing w:line="240" w:lineRule="auto" w:before="0" w:after="0"/>
              <w:pStyle w:val="Compact"/>
            </w:pPr>
            <w:r>
              <w:rPr>
                <w:sz w:val="20"/>
                <w:szCs w:val="20"/>
              </w:rPr>
              <w:t xml:space="preserve">GeoCarb</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5.1358</w:t>
            </w:r>
          </w:p>
        </w:tc>
        <w:tc>
          <w:tcPr>
            <w:tcW w:w="0" w:type="auto"/>
          </w:tcPr>
          <w:p>
            <w:pPr>
              <w:spacing w:line="240" w:lineRule="auto" w:before="0" w:after="0"/>
              <w:pStyle w:val="Compact"/>
            </w:pPr>
            <w:r>
              <w:rPr>
                <w:sz w:val="20"/>
                <w:szCs w:val="20"/>
              </w:rPr>
              <w:t xml:space="preserve">5.9915</w:t>
            </w:r>
          </w:p>
        </w:tc>
        <w:tc>
          <w:tcPr>
            <w:tcW w:w="0" w:type="auto"/>
          </w:tcPr>
          <w:p>
            <w:pPr>
              <w:spacing w:line="240" w:lineRule="auto" w:before="0" w:after="0"/>
              <w:pStyle w:val="Compact"/>
            </w:pPr>
            <w:r>
              <w:rPr>
                <w:sz w:val="20"/>
                <w:szCs w:val="20"/>
              </w:rPr>
              <w:t xml:space="preserve">earth_obs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GeoCarb Earth Venture mission and Wikipedia GeoCarb (cost cap ~USD 170M before 2022 cancellation; hosted-payload mass est ~400 kg) [illustrative mass]; en.wikipedia.org/wiki/GeoCarb</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964</w:t>
            </w:r>
          </w:p>
        </w:tc>
        <w:tc>
          <w:tcPr>
            <w:tcW w:w="0" w:type="auto"/>
          </w:tcPr>
          <w:p>
            <w:pPr>
              <w:spacing w:line="240" w:lineRule="auto" w:before="0" w:after="0"/>
              <w:pStyle w:val="Compact"/>
            </w:pPr>
            <w:r>
              <w:rPr>
                <w:sz w:val="20"/>
                <w:szCs w:val="20"/>
              </w:rPr>
              <w:t xml:space="preserve">1694</w:t>
            </w:r>
          </w:p>
        </w:tc>
        <w:tc>
          <w:tcPr>
            <w:tcW w:w="0" w:type="auto"/>
          </w:tcPr>
          <w:p>
            <w:pPr>
              <w:spacing w:line="240" w:lineRule="auto" w:before="0" w:after="0"/>
              <w:pStyle w:val="Compact"/>
            </w:pPr>
            <w:r>
              <w:rPr>
                <w:sz w:val="20"/>
                <w:szCs w:val="20"/>
              </w:rPr>
              <w:t xml:space="preserve">1694</w:t>
            </w:r>
          </w:p>
        </w:tc>
        <w:tc>
          <w:tcPr>
            <w:tcW w:w="0" w:type="auto"/>
          </w:tcPr>
          <w:p>
            <w:pPr>
              <w:spacing w:line="240" w:lineRule="auto" w:before="0" w:after="0"/>
              <w:pStyle w:val="Compact"/>
            </w:pPr>
            <w:r>
              <w:rPr>
                <w:sz w:val="20"/>
                <w:szCs w:val="20"/>
              </w:rPr>
              <w:t xml:space="preserve">6.8712</w:t>
            </w:r>
          </w:p>
        </w:tc>
        <w:tc>
          <w:tcPr>
            <w:tcW w:w="0" w:type="auto"/>
          </w:tcPr>
          <w:p>
            <w:pPr>
              <w:spacing w:line="240" w:lineRule="auto" w:before="0" w:after="0"/>
              <w:pStyle w:val="Compact"/>
            </w:pPr>
            <w:r>
              <w:rPr>
                <w:sz w:val="20"/>
                <w:szCs w:val="20"/>
              </w:rPr>
              <w:t xml:space="preserve">7.4348</w:t>
            </w:r>
          </w:p>
        </w:tc>
        <w:tc>
          <w:tcPr>
            <w:tcW w:w="0" w:type="auto"/>
          </w:tcPr>
          <w:p>
            <w:pPr>
              <w:spacing w:line="240" w:lineRule="auto" w:before="0" w:after="0"/>
              <w:pStyle w:val="Compact"/>
            </w:pPr>
            <w:r>
              <w:rPr>
                <w:sz w:val="20"/>
                <w:szCs w:val="20"/>
              </w:rPr>
              <w:t xml:space="preserve">earth_obs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PACE mission and Wikipedia PACE (lifecycle cost ~USD 964M; launch mass ~1694 kg); en.wikipedia.org/wiki/PACE_(satellite)</w:t>
            </w:r>
          </w:p>
        </w:tc>
      </w:tr>
      <w:tr>
        <w:tc>
          <w:tcPr>
            <w:tcW w:w="0" w:type="auto"/>
          </w:tcPr>
          <w:p>
            <w:pPr>
              <w:spacing w:line="240" w:lineRule="auto" w:before="0" w:after="0"/>
              <w:pStyle w:val="Compact"/>
            </w:pPr>
            <w:r>
              <w:rPr>
                <w:sz w:val="20"/>
                <w:szCs w:val="20"/>
              </w:rPr>
              <w:t xml:space="preserve">TEMPO</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4.4998</w:t>
            </w:r>
          </w:p>
        </w:tc>
        <w:tc>
          <w:tcPr>
            <w:tcW w:w="0" w:type="auto"/>
          </w:tcPr>
          <w:p>
            <w:pPr>
              <w:spacing w:line="240" w:lineRule="auto" w:before="0" w:after="0"/>
              <w:pStyle w:val="Compact"/>
            </w:pPr>
            <w:r>
              <w:rPr>
                <w:sz w:val="20"/>
                <w:szCs w:val="20"/>
              </w:rPr>
              <w:t xml:space="preserve">5.193</w:t>
            </w:r>
          </w:p>
        </w:tc>
        <w:tc>
          <w:tcPr>
            <w:tcW w:w="0" w:type="auto"/>
          </w:tcPr>
          <w:p>
            <w:pPr>
              <w:spacing w:line="240" w:lineRule="auto" w:before="0" w:after="0"/>
              <w:pStyle w:val="Compact"/>
            </w:pPr>
            <w:r>
              <w:rPr>
                <w:sz w:val="20"/>
                <w:szCs w:val="20"/>
              </w:rPr>
              <w:t xml:space="preserve">earth_obs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TEMPO Earth Venture instrument and Wikipedia TEMPO instrument (instrument cost ~USD 90M; instrument mass ~180 kg hosted on Intelsat 40e); en.wikipedia.org/wiki/TEMPO_(spacecraft_instrument)</w:t>
            </w:r>
          </w:p>
        </w:tc>
      </w:tr>
    </w:tbl>
    <w:bookmarkEnd w:id="77"/>
    <w:bookmarkStart w:id="78"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ln_cost</w:t>
            </w:r>
          </w:p>
        </w:tc>
        <w:tc>
          <w:tcPr>
            <w:tcW w:w="0" w:type="auto"/>
          </w:tcPr>
          <w:p>
            <w:pPr>
              <w:spacing w:line="240" w:lineRule="auto" w:before="0" w:after="0"/>
              <w:pStyle w:val="Compact"/>
            </w:pPr>
            <w:r>
              <w:rPr>
                <w:sz w:val="20"/>
                <w:szCs w:val="20"/>
              </w:rPr>
              <w:t xml:space="preserve">Natural logarithm of total mission lifecycle cost in millions of then-year US dollars (development, instruments, launch, and operations as reported)</w:t>
            </w:r>
          </w:p>
        </w:tc>
        <w:tc>
          <w:tcPr>
            <w:tcW w:w="0" w:type="auto"/>
          </w:tcPr>
          <w:p>
            <w:pPr>
              <w:spacing w:line="240" w:lineRule="auto" w:before="0" w:after="0"/>
              <w:pStyle w:val="Compact"/>
            </w:pPr>
            <w:r>
              <w:rPr>
                <w:sz w:val="20"/>
                <w:szCs w:val="20"/>
              </w:rPr>
              <w:t xml:space="preserve">Computed from NASA mission fact sheets, GAO Major Project Assessment reporting, eoPortal, and mission reference pages cited per row</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Natural logarithm of spacecraft launch mass in kilograms (or hosted-instrument mass for hosted payloads)</w:t>
            </w:r>
          </w:p>
        </w:tc>
        <w:tc>
          <w:tcPr>
            <w:tcW w:w="0" w:type="auto"/>
          </w:tcPr>
          <w:p>
            <w:pPr>
              <w:spacing w:line="240" w:lineRule="auto" w:before="0" w:after="0"/>
              <w:pStyle w:val="Compact"/>
            </w:pPr>
            <w:r>
              <w:rPr>
                <w:sz w:val="20"/>
                <w:szCs w:val="20"/>
              </w:rPr>
              <w:t xml:space="preserve">Computed from NASA mission pages, eoPortal, and Gunter’s Space Page mass figures cited per row</w:t>
            </w:r>
          </w:p>
        </w:tc>
      </w:tr>
      <w:tr>
        <w:tc>
          <w:tcPr>
            <w:tcW w:w="0" w:type="auto"/>
          </w:tcPr>
          <w:p>
            <w:pPr>
              <w:spacing w:line="240" w:lineRule="auto" w:before="0" w:after="0"/>
              <w:pStyle w:val="Compact"/>
            </w:pPr>
            <w:r>
              <w:rPr>
                <w:sz w:val="20"/>
                <w:szCs w:val="20"/>
              </w:rPr>
              <w:t xml:space="preserve">intl_partner</w:t>
            </w:r>
          </w:p>
        </w:tc>
        <w:tc>
          <w:tcPr>
            <w:tcW w:w="0" w:type="auto"/>
          </w:tcPr>
          <w:p>
            <w:pPr>
              <w:spacing w:line="240" w:lineRule="auto" w:before="0" w:after="0"/>
              <w:pStyle w:val="Compact"/>
            </w:pPr>
            <w:r>
              <w:rPr>
                <w:sz w:val="20"/>
                <w:szCs w:val="20"/>
              </w:rPr>
              <w:t xml:space="preserve">Indicator equal to 1 if the mission carries a formal international partner contributing instruments, spacecraft, or operations, 0 otherwise</w:t>
            </w:r>
          </w:p>
        </w:tc>
        <w:tc>
          <w:tcPr>
            <w:tcW w:w="0" w:type="auto"/>
          </w:tcPr>
          <w:p>
            <w:pPr>
              <w:spacing w:line="240" w:lineRule="auto" w:before="0" w:after="0"/>
              <w:pStyle w:val="Compact"/>
            </w:pPr>
            <w:r>
              <w:rPr>
                <w:sz w:val="20"/>
                <w:szCs w:val="20"/>
              </w:rPr>
              <w:t xml:space="preserve">Coded from mission partnership descriptions in NASA and partner-agency records</w:t>
            </w:r>
          </w:p>
        </w:tc>
      </w:tr>
      <w:tr>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Calendar year of launch, used as a proxy for technology era and then-year cost escalation</w:t>
            </w:r>
          </w:p>
        </w:tc>
        <w:tc>
          <w:tcPr>
            <w:tcW w:w="0" w:type="auto"/>
          </w:tcPr>
          <w:p>
            <w:pPr>
              <w:spacing w:line="240" w:lineRule="auto" w:before="0" w:after="0"/>
              <w:pStyle w:val="Compact"/>
            </w:pPr>
            <w:r>
              <w:rPr>
                <w:sz w:val="20"/>
                <w:szCs w:val="20"/>
              </w:rPr>
              <w:t xml:space="preserve">NASA and NOAA mission launch records</w:t>
            </w:r>
          </w:p>
        </w:tc>
      </w:tr>
      <w:tr>
        <w:tc>
          <w:tcPr>
            <w:tcW w:w="0" w:type="auto"/>
          </w:tcPr>
          <w:p>
            <w:pPr>
              <w:spacing w:line="240" w:lineRule="auto" w:before="0" w:after="0"/>
              <w:pStyle w:val="Compact"/>
            </w:pPr>
            <w:r>
              <w:rPr>
                <w:sz w:val="20"/>
                <w:szCs w:val="20"/>
              </w:rPr>
              <w:t xml:space="preserve">cost_musd</w:t>
            </w:r>
          </w:p>
        </w:tc>
        <w:tc>
          <w:tcPr>
            <w:tcW w:w="0" w:type="auto"/>
          </w:tcPr>
          <w:p>
            <w:pPr>
              <w:spacing w:line="240" w:lineRule="auto" w:before="0" w:after="0"/>
              <w:pStyle w:val="Compact"/>
            </w:pPr>
            <w:r>
              <w:rPr>
                <w:sz w:val="20"/>
                <w:szCs w:val="20"/>
              </w:rPr>
              <w:t xml:space="preserve">Total mission lifecycle cost in millions of then-year US dollars</w:t>
            </w:r>
          </w:p>
        </w:tc>
        <w:tc>
          <w:tcPr>
            <w:tcW w:w="0" w:type="auto"/>
          </w:tcPr>
          <w:p>
            <w:pPr>
              <w:spacing w:line="240" w:lineRule="auto" w:before="0" w:after="0"/>
              <w:pStyle w:val="Compact"/>
            </w:pPr>
            <w:r>
              <w:rPr>
                <w:sz w:val="20"/>
                <w:szCs w:val="20"/>
              </w:rPr>
              <w:t xml:space="preserve">NASA, NOAA, and GAO mission cost reporting cited per row</w:t>
            </w:r>
          </w:p>
        </w:tc>
      </w:tr>
      <w:tr>
        <w:tc>
          <w:tcPr>
            <w:tcW w:w="0" w:type="auto"/>
          </w:tcPr>
          <w:p>
            <w:pPr>
              <w:spacing w:line="240" w:lineRule="auto" w:before="0" w:after="0"/>
              <w:pStyle w:val="Compact"/>
            </w:pPr>
            <w:r>
              <w:rPr>
                <w:sz w:val="20"/>
                <w:szCs w:val="20"/>
              </w:rPr>
              <w:t xml:space="preserve">launch_mass_kg</w:t>
            </w:r>
          </w:p>
        </w:tc>
        <w:tc>
          <w:tcPr>
            <w:tcW w:w="0" w:type="auto"/>
          </w:tcPr>
          <w:p>
            <w:pPr>
              <w:spacing w:line="240" w:lineRule="auto" w:before="0" w:after="0"/>
              <w:pStyle w:val="Compact"/>
            </w:pPr>
            <w:r>
              <w:rPr>
                <w:sz w:val="20"/>
                <w:szCs w:val="20"/>
              </w:rPr>
              <w:t xml:space="preserve">Spacecraft launch mass in kilograms</w:t>
            </w:r>
          </w:p>
        </w:tc>
        <w:tc>
          <w:tcPr>
            <w:tcW w:w="0" w:type="auto"/>
          </w:tcPr>
          <w:p>
            <w:pPr>
              <w:spacing w:line="240" w:lineRule="auto" w:before="0" w:after="0"/>
              <w:pStyle w:val="Compact"/>
            </w:pPr>
            <w:r>
              <w:rPr>
                <w:sz w:val="20"/>
                <w:szCs w:val="20"/>
              </w:rPr>
              <w:t xml:space="preserve">NASA mission pages, eoPortal, and Gunter’s Space Page cited per row</w:t>
            </w:r>
          </w:p>
        </w:tc>
      </w:tr>
    </w:tbl>
    <w:bookmarkEnd w:id="78"/>
    <w:bookmarkStart w:id="79"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-23.5906</w:t>
            </w:r>
          </w:p>
        </w:tc>
        <w:tc>
          <w:tcPr>
            <w:tcW w:w="0" w:type="auto"/>
          </w:tcPr>
          <w:p>
            <w:pPr>
              <w:spacing w:line="240" w:lineRule="auto" w:before="0" w:after="0"/>
              <w:pStyle w:val="Compact"/>
            </w:pPr>
            <w:r>
              <w:rPr>
                <w:sz w:val="20"/>
                <w:szCs w:val="20"/>
              </w:rPr>
              <w:t xml:space="preserve">22.4184</w:t>
            </w:r>
          </w:p>
        </w:tc>
        <w:tc>
          <w:tcPr>
            <w:tcW w:w="0" w:type="auto"/>
          </w:tcPr>
          <w:p>
            <w:pPr>
              <w:spacing w:line="240" w:lineRule="auto" w:before="0" w:after="0"/>
              <w:pStyle w:val="Compact"/>
            </w:pPr>
            <w:r>
              <w:rPr>
                <w:sz w:val="20"/>
                <w:szCs w:val="20"/>
              </w:rPr>
              <w:t xml:space="preserve">-1.0523</w:t>
            </w:r>
          </w:p>
        </w:tc>
        <w:tc>
          <w:tcPr>
            <w:tcW w:w="0" w:type="auto"/>
          </w:tcPr>
          <w:p>
            <w:pPr>
              <w:spacing w:line="240" w:lineRule="auto" w:before="0" w:after="0"/>
              <w:pStyle w:val="Compact"/>
            </w:pPr>
            <w:r>
              <w:rPr>
                <w:sz w:val="20"/>
                <w:szCs w:val="20"/>
              </w:rPr>
              <w:t xml:space="preserve">0.2927</w:t>
            </w:r>
          </w:p>
        </w:tc>
        <w:tc>
          <w:tcPr>
            <w:tcW w:w="0" w:type="auto"/>
          </w:tcPr>
          <w:p>
            <w:pPr>
              <w:spacing w:line="240" w:lineRule="auto" w:before="0" w:after="0"/>
              <w:pStyle w:val="Compact"/>
            </w:pPr>
            <w:r>
              <w:rPr>
                <w:sz w:val="20"/>
                <w:szCs w:val="20"/>
              </w:rPr>
              <w:t xml:space="preserve">[-67.5299, 20.3488]</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0.8474</w:t>
            </w:r>
          </w:p>
        </w:tc>
        <w:tc>
          <w:tcPr>
            <w:tcW w:w="0" w:type="auto"/>
          </w:tcPr>
          <w:p>
            <w:pPr>
              <w:spacing w:line="240" w:lineRule="auto" w:before="0" w:after="0"/>
              <w:pStyle w:val="Compact"/>
            </w:pPr>
            <w:r>
              <w:rPr>
                <w:sz w:val="20"/>
                <w:szCs w:val="20"/>
              </w:rPr>
              <w:t xml:space="preserve">0.1011</w:t>
            </w:r>
          </w:p>
        </w:tc>
        <w:tc>
          <w:tcPr>
            <w:tcW w:w="0" w:type="auto"/>
          </w:tcPr>
          <w:p>
            <w:pPr>
              <w:spacing w:line="240" w:lineRule="auto" w:before="0" w:after="0"/>
              <w:pStyle w:val="Compact"/>
            </w:pPr>
            <w:r>
              <w:rPr>
                <w:sz w:val="20"/>
                <w:szCs w:val="20"/>
              </w:rPr>
              <w:t xml:space="preserve">8.3817</w:t>
            </w:r>
          </w:p>
        </w:tc>
        <w:tc>
          <w:tcPr>
            <w:tcW w:w="0" w:type="auto"/>
          </w:tcPr>
          <w:p>
            <w:pPr>
              <w:spacing w:line="240" w:lineRule="auto" w:before="0" w:after="0"/>
              <w:pStyle w:val="Compact"/>
            </w:pPr>
            <w:r>
              <w:rPr>
                <w:sz w:val="20"/>
                <w:szCs w:val="20"/>
              </w:rPr>
              <w:t xml:space="preserve">5.216e-17</w:t>
            </w:r>
          </w:p>
        </w:tc>
        <w:tc>
          <w:tcPr>
            <w:tcW w:w="0" w:type="auto"/>
          </w:tcPr>
          <w:p>
            <w:pPr>
              <w:spacing w:line="240" w:lineRule="auto" w:before="0" w:after="0"/>
              <w:pStyle w:val="Compact"/>
            </w:pPr>
            <w:r>
              <w:rPr>
                <w:sz w:val="20"/>
                <w:szCs w:val="20"/>
              </w:rPr>
              <w:t xml:space="preserve">[0.6493, 1.0456]</w:t>
            </w:r>
          </w:p>
        </w:tc>
      </w:tr>
      <w:tr>
        <w:tc>
          <w:tcPr>
            <w:tcW w:w="0" w:type="auto"/>
          </w:tcPr>
          <w:p>
            <w:pPr>
              <w:spacing w:line="240" w:lineRule="auto" w:before="0" w:after="0"/>
              <w:pStyle w:val="Compact"/>
            </w:pPr>
            <w:r>
              <w:rPr>
                <w:sz w:val="20"/>
                <w:szCs w:val="20"/>
              </w:rPr>
              <w:t xml:space="preserve">intl_partner</w:t>
            </w:r>
          </w:p>
        </w:tc>
        <w:tc>
          <w:tcPr>
            <w:tcW w:w="0" w:type="auto"/>
          </w:tcPr>
          <w:p>
            <w:pPr>
              <w:spacing w:line="240" w:lineRule="auto" w:before="0" w:after="0"/>
              <w:pStyle w:val="Compact"/>
            </w:pPr>
            <w:r>
              <w:rPr>
                <w:sz w:val="20"/>
                <w:szCs w:val="20"/>
              </w:rPr>
              <w:t xml:space="preserve">-0.3823</w:t>
            </w:r>
          </w:p>
        </w:tc>
        <w:tc>
          <w:tcPr>
            <w:tcW w:w="0" w:type="auto"/>
          </w:tcPr>
          <w:p>
            <w:pPr>
              <w:spacing w:line="240" w:lineRule="auto" w:before="0" w:after="0"/>
              <w:pStyle w:val="Compact"/>
            </w:pPr>
            <w:r>
              <w:rPr>
                <w:sz w:val="20"/>
                <w:szCs w:val="20"/>
              </w:rPr>
              <w:t xml:space="preserve">0.1842</w:t>
            </w:r>
          </w:p>
        </w:tc>
        <w:tc>
          <w:tcPr>
            <w:tcW w:w="0" w:type="auto"/>
          </w:tcPr>
          <w:p>
            <w:pPr>
              <w:spacing w:line="240" w:lineRule="auto" w:before="0" w:after="0"/>
              <w:pStyle w:val="Compact"/>
            </w:pPr>
            <w:r>
              <w:rPr>
                <w:sz w:val="20"/>
                <w:szCs w:val="20"/>
              </w:rPr>
              <w:t xml:space="preserve">-2.0753</w:t>
            </w:r>
          </w:p>
        </w:tc>
        <w:tc>
          <w:tcPr>
            <w:tcW w:w="0" w:type="auto"/>
          </w:tcPr>
          <w:p>
            <w:pPr>
              <w:spacing w:line="240" w:lineRule="auto" w:before="0" w:after="0"/>
              <w:pStyle w:val="Compact"/>
            </w:pPr>
            <w:r>
              <w:rPr>
                <w:sz w:val="20"/>
                <w:szCs w:val="20"/>
              </w:rPr>
              <w:t xml:space="preserve">0.038</w:t>
            </w:r>
          </w:p>
        </w:tc>
        <w:tc>
          <w:tcPr>
            <w:tcW w:w="0" w:type="auto"/>
          </w:tcPr>
          <w:p>
            <w:pPr>
              <w:spacing w:line="240" w:lineRule="auto" w:before="0" w:after="0"/>
              <w:pStyle w:val="Compact"/>
            </w:pPr>
            <w:r>
              <w:rPr>
                <w:sz w:val="20"/>
                <w:szCs w:val="20"/>
              </w:rPr>
              <w:t xml:space="preserve">[-0.7433, -0.0212]</w:t>
            </w:r>
          </w:p>
        </w:tc>
      </w:tr>
      <w:tr>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0.012</w:t>
            </w:r>
          </w:p>
        </w:tc>
        <w:tc>
          <w:tcPr>
            <w:tcW w:w="0" w:type="auto"/>
          </w:tcPr>
          <w:p>
            <w:pPr>
              <w:spacing w:line="240" w:lineRule="auto" w:before="0" w:after="0"/>
              <w:pStyle w:val="Compact"/>
            </w:pPr>
            <w:r>
              <w:rPr>
                <w:sz w:val="20"/>
                <w:szCs w:val="20"/>
              </w:rPr>
              <w:t xml:space="preserve">0.0111</w:t>
            </w:r>
          </w:p>
        </w:tc>
        <w:tc>
          <w:tcPr>
            <w:tcW w:w="0" w:type="auto"/>
          </w:tcPr>
          <w:p>
            <w:pPr>
              <w:spacing w:line="240" w:lineRule="auto" w:before="0" w:after="0"/>
              <w:pStyle w:val="Compact"/>
            </w:pPr>
            <w:r>
              <w:rPr>
                <w:sz w:val="20"/>
                <w:szCs w:val="20"/>
              </w:rPr>
              <w:t xml:space="preserve">1.0797</w:t>
            </w:r>
          </w:p>
        </w:tc>
        <w:tc>
          <w:tcPr>
            <w:tcW w:w="0" w:type="auto"/>
          </w:tcPr>
          <w:p>
            <w:pPr>
              <w:spacing w:line="240" w:lineRule="auto" w:before="0" w:after="0"/>
              <w:pStyle w:val="Compact"/>
            </w:pPr>
            <w:r>
              <w:rPr>
                <w:sz w:val="20"/>
                <w:szCs w:val="20"/>
              </w:rPr>
              <w:t xml:space="preserve">0.2803</w:t>
            </w:r>
          </w:p>
        </w:tc>
        <w:tc>
          <w:tcPr>
            <w:tcW w:w="0" w:type="auto"/>
          </w:tcPr>
          <w:p>
            <w:pPr>
              <w:spacing w:line="240" w:lineRule="auto" w:before="0" w:after="0"/>
              <w:pStyle w:val="Compact"/>
            </w:pPr>
            <w:r>
              <w:rPr>
                <w:sz w:val="20"/>
                <w:szCs w:val="20"/>
              </w:rPr>
              <w:t xml:space="preserve">[-0.0097, 0.0337]</w:t>
            </w:r>
          </w:p>
        </w:tc>
      </w:tr>
    </w:tbl>
    <w:p>
      <w:pPr>
        <w:pStyle w:val="BodyText"/>
      </w:pPr>
      <w:r>
        <w:t xml:space="preserve">Fit: N = 29 R2 = 0.6933 R2_adj = 0.6565 F = 25.3682 F_p = 9.37e-08</w:t>
      </w:r>
    </w:p>
    <w:bookmarkEnd w:id="79"/>
    <w:bookmarkEnd w:id="80"/>
    <w:bookmarkEnd w:id="8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3" Target="media/rId73.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2026-06-26T16:45:55Z</dcterms:created>
  <dcterms:modified xsi:type="dcterms:W3CDTF">2026-06-26T16:45:55Z</dcterms:modified>
</cp:coreProperties>
</file>

<file path=docProps/custom.xml><?xml version="1.0" encoding="utf-8"?>
<Properties xmlns="http://schemas.openxmlformats.org/officeDocument/2006/custom-properties" xmlns:vt="http://schemas.openxmlformats.org/officeDocument/2006/docPropsVTypes"/>
</file>