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FUNDING THE SENSORS: A CLIOMETRIC ANALYSIS OF NASA AND ALLIED SSA/SDA BUDGET ALLOCATION</w:t>
      </w:r>
    </w:p>
    <w:p>
      <w:pPr>
        <w:jc w:val="center"/>
      </w:pPr>
    </w:p>
    <w:p>
      <w:pPr>
        <w:jc w:val="center"/>
      </w:pPr>
      <w:r>
        <w:rPr>
          <w:rFonts w:ascii="Times New Roman" w:hAnsi="Times New Roman"/>
          <w:sz w:val="24"/>
        </w:rPr>
        <w:t>by</w:t>
      </w:r>
    </w:p>
    <w:p>
      <w:pPr>
        <w:jc w:val="center"/>
      </w:pPr>
      <w:r>
        <w:rPr>
          <w:rFonts w:ascii="Times New Roman" w:hAnsi="Times New Roman"/>
          <w:b/>
          <w:sz w:val="28"/>
        </w:rPr>
        <w:t>Iris Castellano</w:t>
      </w:r>
    </w:p>
    <w:p>
      <w:pPr>
        <w:jc w:val="center"/>
      </w:pPr>
      <w:r>
        <w:rPr>
          <w:rFonts w:ascii="Times New Roman" w:hAnsi="Times New Roman"/>
          <w:sz w:val="24"/>
        </w:rPr>
        <w:t>1B-SDA-069</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5" w:name="chapter-1.-introduction"/>
    <w:p>
      <w:pPr>
        <w:pStyle w:val="Heading1"/>
        <w:spacing w:line="480" w:lineRule="auto"/>
      </w:pPr>
      <w:r>
        <w:t xml:space="preserve">Chapter 1. Introduction</w:t>
      </w:r>
    </w:p>
    <w:bookmarkStart w:id="61" w:name="the-problem-and-its-stakes"/>
    <w:p>
      <w:pPr>
        <w:pStyle w:val="Heading2"/>
        <w:spacing w:line="480" w:lineRule="auto"/>
      </w:pPr>
      <w:r>
        <w:t xml:space="preserve">1.1 The Problem and Its Stakes</w:t>
      </w:r>
    </w:p>
    <w:p>
      <w:pPr>
        <w:pStyle w:val="FirstParagraph"/>
        <w:spacing w:line="480" w:lineRule="auto"/>
      </w:pPr>
      <w:r>
        <w:t xml:space="preserve">The instruments that observe near-Earth space are a public capital stock. Ground-based radars and optical telescopes, hosted payloads on government and commercial buses, and the data systems that bind them into a usable catalog together constitute the sensing layer on which space situational awareness (SSA) and space domain awareness (SDA) depend. That layer ages, depreciates, and competes for appropriations against missions whose constituencies are larger, whose imagery is more telegenic, and whose advocacy is better organized. The architecture of the Space Surveillance Network and its allied contributing-sensor partners is well documented at the engineering level</w:t>
      </w:r>
      <w:r>
        <w:t xml:space="preserve"> </w:t>
      </w:r>
      <w:hyperlink w:anchor="ref-1">
        <w:r>
          <w:rPr>
            <w:rStyle w:val="Hyperlink"/>
          </w:rPr>
          <w:t xml:space="preserve">[1]</w:t>
        </w:r>
      </w:hyperlink>
      <w:r>
        <w:t xml:space="preserve">[6], and the operational doctrine for tasking, cataloging, and orbit determination has matured into a recognizable technical literature</w:t>
      </w:r>
      <w:r>
        <w:t xml:space="preserve"> </w:t>
      </w:r>
      <w:hyperlink w:anchor="ref-2">
        <w:r>
          <w:rPr>
            <w:rStyle w:val="Hyperlink"/>
          </w:rPr>
          <w:t xml:space="preserve">[2]</w:t>
        </w:r>
      </w:hyperlink>
      <w:r>
        <w:t xml:space="preserve">[3][4]. The budgetary doctrine for that same layer has not. There is no estimated answer to the question of what drives the dollars that buy the eyes.</w:t>
      </w:r>
    </w:p>
    <w:p>
      <w:pPr>
        <w:pStyle w:val="BodyText"/>
        <w:spacing w:line="480" w:lineRule="auto"/>
        <w:ind w:firstLine="720"/>
      </w:pPr>
      <w:r>
        <w:t xml:space="preserve">That omission carries concrete stakes for the National Aeronautics and Space Administration (NASA) and for the Jet Propulsion Laboratory (JPL). NASA does not own the catalog of resident space objects, but it owns a substantial share of the civil sensing capacity that observes near-Earth space, supports planetary defense, and provides the orbit-determination performance that civil and scientific missions assume when they share low-Earth and geosynchronous regimes with a growing population of objects. NASA also funds, operates, or partners on Earth-observation, astrophysics, and heliophysics platforms whose cost structures share parameters with surveillance sensors and whose budgetary fortunes share the same appropriations environment. The agency is therefore a price-taker in the SSA and SDA capital market: when the catalog falls behind, NASA’s missions absorb risk; when sensor funding falters, NASA’s planetary-defense and space-environment monitoring portfolios are squeezed alongside the defense surveillance enterprise.</w:t>
      </w:r>
    </w:p>
    <w:p>
      <w:pPr>
        <w:pStyle w:val="BodyText"/>
        <w:spacing w:line="480" w:lineRule="auto"/>
        <w:ind w:firstLine="720"/>
      </w:pPr>
      <w:r>
        <w:t xml:space="preserve">JPL inherits this exposure in a particular form. As a federally funded research and development center whose recompete posture turns on demonstrated mastery of mission complexity, including sensing, autonomy, and high-precision orbit determination, JPL has a direct institutional interest in the question of whether the sensing layer is financed countercyclically or procyclically with respect to the orbital environment. If sensor funding is environment-responsive, JPL’s planetary-defense and small-body tracking portfolios sit on a budgetary substrate that can be expected to grow when the environment deteriorates. If sensor funding is inertial, the laboratory’s strategic planning must assume that catalog stress will be absorbed by capacity that does not appear, and the architecture choices it recommends to sponsors must price that constraint. Neither posture is reckless, but they imply different bids, different partnerships, and different research investments, and the literature does not yet tell either NASA or JPL which posture the empirical record supports.</w:t>
      </w:r>
    </w:p>
    <w:p>
      <w:pPr>
        <w:pStyle w:val="BodyText"/>
        <w:spacing w:line="480" w:lineRule="auto"/>
        <w:ind w:firstLine="720"/>
      </w:pPr>
      <w:r>
        <w:t xml:space="preserve">These stakes are not confined to one agency or one laboratory. Allied participation in SSA and SDA is now an operational fact, formalized in the Five Eyes research collaboration</w:t>
      </w:r>
      <w:r>
        <w:t xml:space="preserve"> </w:t>
      </w:r>
      <w:hyperlink w:anchor="ref-6">
        <w:r>
          <w:rPr>
            <w:rStyle w:val="Hyperlink"/>
          </w:rPr>
          <w:t xml:space="preserve">[6]</w:t>
        </w:r>
      </w:hyperlink>
      <w:r>
        <w:t xml:space="preserve"> </w:t>
      </w:r>
      <w:r>
        <w:t xml:space="preserve">and in European cooperative arrangements that distribute sensing capacity across national space agencies</w:t>
      </w:r>
      <w:r>
        <w:t xml:space="preserve"> </w:t>
      </w:r>
      <w:hyperlink w:anchor="ref-23">
        <w:r>
          <w:rPr>
            <w:rStyle w:val="Hyperlink"/>
          </w:rPr>
          <w:t xml:space="preserve">[23]</w:t>
        </w:r>
      </w:hyperlink>
      <w:r>
        <w:t xml:space="preserve">. The Center for Strategic and International Studies has tracked acquisition trends in United States SDA and has separately documented the international perspective on space weapons that frames allied investment incentives</w:t>
      </w:r>
      <w:r>
        <w:t xml:space="preserve"> </w:t>
      </w:r>
      <w:hyperlink w:anchor="ref-21">
        <w:r>
          <w:rPr>
            <w:rStyle w:val="Hyperlink"/>
          </w:rPr>
          <w:t xml:space="preserve">[21]</w:t>
        </w:r>
      </w:hyperlink>
      <w:r>
        <w:t xml:space="preserve">[24]. The Aerospace Corporation has argued, in a posture paper directed at the operational community, that partnership rather than direction is the realistic mode of leveraging allied capability</w:t>
      </w:r>
      <w:r>
        <w:t xml:space="preserve"> </w:t>
      </w:r>
      <w:hyperlink w:anchor="ref-22">
        <w:r>
          <w:rPr>
            <w:rStyle w:val="Hyperlink"/>
          </w:rPr>
          <w:t xml:space="preserve">[22]</w:t>
        </w:r>
      </w:hyperlink>
      <w:r>
        <w:t xml:space="preserve">. These are policy statements, valuable on those terms, but they are not estimated. They tell us what practitioners believe about how the sensing alliance is financed; they do not tell us how it is in fact financed, nor whether it responds to the events that should, in principle, mobilize it.</w:t>
      </w:r>
    </w:p>
    <w:p>
      <w:pPr>
        <w:pStyle w:val="BodyText"/>
        <w:spacing w:line="480" w:lineRule="auto"/>
        <w:ind w:firstLine="720"/>
      </w:pPr>
      <w:r>
        <w:t xml:space="preserve">The orbital environment itself sharpens the question. Catalog-disrupting fragmentation events, whether from collisions, anti-satellite tests, or on-orbit breakups, generate immediate increases in the tracked-object population and in the tasking load required to maintain custody of that population</w:t>
      </w:r>
      <w:r>
        <w:t xml:space="preserve"> </w:t>
      </w:r>
      <w:hyperlink w:anchor="ref-9">
        <w:r>
          <w:rPr>
            <w:rStyle w:val="Hyperlink"/>
          </w:rPr>
          <w:t xml:space="preserve">[9]</w:t>
        </w:r>
      </w:hyperlink>
      <w:r>
        <w:t xml:space="preserve">. Sensor-tasking research has matured rapidly in response, comparing classical optimization and machine-learning approaches for catalog maintenance in the geosynchronous regime</w:t>
      </w:r>
      <w:r>
        <w:t xml:space="preserve"> </w:t>
      </w:r>
      <w:hyperlink w:anchor="ref-2">
        <w:r>
          <w:rPr>
            <w:rStyle w:val="Hyperlink"/>
          </w:rPr>
          <w:t xml:space="preserve">[2]</w:t>
        </w:r>
      </w:hyperlink>
      <w:r>
        <w:t xml:space="preserve">[3][30], analyzing constellation designs for low-Earth coverage</w:t>
      </w:r>
      <w:r>
        <w:t xml:space="preserve"> </w:t>
      </w:r>
      <w:hyperlink w:anchor="ref-31">
        <w:r>
          <w:rPr>
            <w:rStyle w:val="Hyperlink"/>
          </w:rPr>
          <w:t xml:space="preserve">[31]</w:t>
        </w:r>
      </w:hyperlink>
      <w:r>
        <w:t xml:space="preserve">, and surveying the orbit-determination methods that underwrite the catalog itself</w:t>
      </w:r>
      <w:r>
        <w:t xml:space="preserve"> </w:t>
      </w:r>
      <w:hyperlink w:anchor="ref-4">
        <w:r>
          <w:rPr>
            <w:rStyle w:val="Hyperlink"/>
          </w:rPr>
          <w:t xml:space="preserve">[4]</w:t>
        </w:r>
      </w:hyperlink>
      <w:r>
        <w:t xml:space="preserve">. Space-based debris-tracking work has begun to extend the sensing frontier off the ground</w:t>
      </w:r>
      <w:r>
        <w:t xml:space="preserve"> </w:t>
      </w:r>
      <w:hyperlink w:anchor="ref-29">
        <w:r>
          <w:rPr>
            <w:rStyle w:val="Hyperlink"/>
          </w:rPr>
          <w:t xml:space="preserve">[29]</w:t>
        </w:r>
      </w:hyperlink>
      <w:r>
        <w:t xml:space="preserve">, and decision-support analyses now treat continuing supervision of commercial in-space servicing as a sensing problem with explicit architectural requirements</w:t>
      </w:r>
      <w:r>
        <w:t xml:space="preserve"> </w:t>
      </w:r>
      <w:hyperlink w:anchor="ref-32">
        <w:r>
          <w:rPr>
            <w:rStyle w:val="Hyperlink"/>
          </w:rPr>
          <w:t xml:space="preserve">[32]</w:t>
        </w:r>
      </w:hyperlink>
      <w:r>
        <w:t xml:space="preserve">. Mission-operations work on precise in-orbit collision prediction has elevated the surveillance task to the level of operational decision support for individual operators</w:t>
      </w:r>
      <w:r>
        <w:t xml:space="preserve"> </w:t>
      </w:r>
      <w:hyperlink w:anchor="ref-34">
        <w:r>
          <w:rPr>
            <w:rStyle w:val="Hyperlink"/>
          </w:rPr>
          <w:t xml:space="preserve">[34]</w:t>
        </w:r>
      </w:hyperlink>
      <w:r>
        <w:t xml:space="preserve">, and the collision-avoidance literature has formalized the procedural improvements that operators and traffic managers are now expected to adopt</w:t>
      </w:r>
      <w:r>
        <w:t xml:space="preserve"> </w:t>
      </w:r>
      <w:hyperlink w:anchor="ref-35">
        <w:r>
          <w:rPr>
            <w:rStyle w:val="Hyperlink"/>
          </w:rPr>
          <w:t xml:space="preserve">[35]</w:t>
        </w:r>
      </w:hyperlink>
      <w:r>
        <w:t xml:space="preserve">. In all of these literatures, the demand for capacity grows with the environment. Whether the supply of capacity, expressed in appropriations, grows with the demand is an empirical claim that has not been tested.</w:t>
      </w:r>
    </w:p>
    <w:p>
      <w:pPr>
        <w:pStyle w:val="BodyText"/>
        <w:spacing w:line="480" w:lineRule="auto"/>
        <w:ind w:firstLine="720"/>
      </w:pPr>
      <w:r>
        <w:t xml:space="preserve">For NASA and for JPL, the absence of that test has practical consequences. Strategic planning documents and architecture studies routinely assume that the sensing layer will be financed at the level required to keep pace with the orbital population. Cost-and-performance comparisons of SSA architectures have for years priced their conclusions against fixed budget envelopes</w:t>
      </w:r>
      <w:r>
        <w:t xml:space="preserve"> </w:t>
      </w:r>
      <w:hyperlink w:anchor="ref-13">
        <w:r>
          <w:rPr>
            <w:rStyle w:val="Hyperlink"/>
          </w:rPr>
          <w:t xml:space="preserve">[13]</w:t>
        </w:r>
      </w:hyperlink>
      <w:r>
        <w:t xml:space="preserve">, and architecture-optimization work has explored cost-performance trades under the same fixed-budget assumption</w:t>
      </w:r>
      <w:r>
        <w:t xml:space="preserve"> </w:t>
      </w:r>
      <w:hyperlink w:anchor="ref-14">
        <w:r>
          <w:rPr>
            <w:rStyle w:val="Hyperlink"/>
          </w:rPr>
          <w:t xml:space="preserve">[14]</w:t>
        </w:r>
      </w:hyperlink>
      <w:r>
        <w:t xml:space="preserve">. Sensor-sizing analyses make the same move at the instrument level</w:t>
      </w:r>
      <w:r>
        <w:t xml:space="preserve"> </w:t>
      </w:r>
      <w:hyperlink w:anchor="ref-15">
        <w:r>
          <w:rPr>
            <w:rStyle w:val="Hyperlink"/>
          </w:rPr>
          <w:t xml:space="preserve">[15]</w:t>
        </w:r>
      </w:hyperlink>
      <w:r>
        <w:t xml:space="preserve">. The whole-of-nation framing of the space economy treats SDA infrastructure as a strategic asset whose unit cost is expected to fall as the sensing base expands</w:t>
      </w:r>
      <w:r>
        <w:t xml:space="preserve"> </w:t>
      </w:r>
      <w:hyperlink w:anchor="ref-8">
        <w:r>
          <w:rPr>
            <w:rStyle w:val="Hyperlink"/>
          </w:rPr>
          <w:t xml:space="preserve">[8]</w:t>
        </w:r>
      </w:hyperlink>
      <w:r>
        <w:t xml:space="preserve">[20], and architectural analyses of evolving space-use norms frame the problem explicitly as one of supporting investment decisions by public or commercial sources</w:t>
      </w:r>
      <w:r>
        <w:t xml:space="preserve"> </w:t>
      </w:r>
      <w:hyperlink w:anchor="ref-7">
        <w:r>
          <w:rPr>
            <w:rStyle w:val="Hyperlink"/>
          </w:rPr>
          <w:t xml:space="preserve">[7]</w:t>
        </w:r>
      </w:hyperlink>
      <w:r>
        <w:t xml:space="preserve">. Each of these assumptions deserves an estimated counterpart. If sensor funding does not in fact respond to the environment, the architecture conclusions that depend on environment-responsive financing require revision; if it does respond, the lag structure of that response is itself a planning parameter.</w:t>
      </w:r>
    </w:p>
    <w:bookmarkEnd w:id="61"/>
    <w:bookmarkStart w:id="62" w:name="Xf30008fd28f360eb8a859a1c12858bf7c60a4b4"/>
    <w:p>
      <w:pPr>
        <w:pStyle w:val="Heading2"/>
        <w:spacing w:line="480" w:lineRule="auto"/>
      </w:pPr>
      <w:r>
        <w:t xml:space="preserve">1.2 The Gap Between the Domain Literature and the Econometric Method Literature</w:t>
      </w:r>
    </w:p>
    <w:p>
      <w:pPr>
        <w:pStyle w:val="FirstParagraph"/>
        <w:spacing w:line="480" w:lineRule="auto"/>
      </w:pPr>
      <w:r>
        <w:t xml:space="preserve">Three literatures touch the problem of SSA and SDA sensor funding, and none of them closes it.</w:t>
      </w:r>
    </w:p>
    <w:p>
      <w:pPr>
        <w:pStyle w:val="BodyText"/>
        <w:spacing w:line="480" w:lineRule="auto"/>
        <w:ind w:firstLine="720"/>
      </w:pPr>
      <w:r>
        <w:t xml:space="preserve">The first is the engineering and operations literature on sensors, tasking, and orbit determination. It is mature, technically rigorous, and explicit about cost-performance trades within architectures, but it treats appropriations as exogenous and fixed. Tasking-strategy comparisons in the geosynchronous regime estimate the marginal value of additional sensor time but do not ask where that sensor time will be paid for</w:t>
      </w:r>
      <w:r>
        <w:t xml:space="preserve"> </w:t>
      </w:r>
      <w:hyperlink w:anchor="ref-2">
        <w:r>
          <w:rPr>
            <w:rStyle w:val="Hyperlink"/>
          </w:rPr>
          <w:t xml:space="preserve">[2]</w:t>
        </w:r>
      </w:hyperlink>
      <w:r>
        <w:t xml:space="preserve">[3][30]. Sizing analyses for Raven-class telescopes derive detection sensitivity as a function of aperture and integration time but stop at the cost of the instrument, not at the budgetary process that funds it</w:t>
      </w:r>
      <w:r>
        <w:t xml:space="preserve"> </w:t>
      </w:r>
      <w:hyperlink w:anchor="ref-15">
        <w:r>
          <w:rPr>
            <w:rStyle w:val="Hyperlink"/>
          </w:rPr>
          <w:t xml:space="preserve">[15]</w:t>
        </w:r>
      </w:hyperlink>
      <w:r>
        <w:t xml:space="preserve">. Surveys of orbit determination for SSA cover algorithmic performance and computational complexity but not the appropriations lag that determines whether new algorithms will run on new hardware</w:t>
      </w:r>
      <w:r>
        <w:t xml:space="preserve"> </w:t>
      </w:r>
      <w:hyperlink w:anchor="ref-4">
        <w:r>
          <w:rPr>
            <w:rStyle w:val="Hyperlink"/>
          </w:rPr>
          <w:t xml:space="preserve">[4]</w:t>
        </w:r>
      </w:hyperlink>
      <w:r>
        <w:t xml:space="preserve">. Wide-field survey simulators such as WENESSA characterize the demand side, mapping the load that fragmentation events impose on the catalog, but do not characterize the supply side of the budgetary response</w:t>
      </w:r>
      <w:r>
        <w:t xml:space="preserve"> </w:t>
      </w:r>
      <w:hyperlink w:anchor="ref-9">
        <w:r>
          <w:rPr>
            <w:rStyle w:val="Hyperlink"/>
          </w:rPr>
          <w:t xml:space="preserve">[9]</w:t>
        </w:r>
      </w:hyperlink>
      <w:r>
        <w:t xml:space="preserve">. Recent low-Earth-orbit constellation designs analyze coverage and revisit rigorously but assume that the funding to build the constellation will arrive</w:t>
      </w:r>
      <w:r>
        <w:t xml:space="preserve"> </w:t>
      </w:r>
      <w:hyperlink w:anchor="ref-31">
        <w:r>
          <w:rPr>
            <w:rStyle w:val="Hyperlink"/>
          </w:rPr>
          <w:t xml:space="preserve">[31]</w:t>
        </w:r>
      </w:hyperlink>
      <w:r>
        <w:t xml:space="preserve">. Across this literature, money is a constraint, not a variable.</w:t>
      </w:r>
    </w:p>
    <w:p>
      <w:pPr>
        <w:pStyle w:val="BodyText"/>
        <w:spacing w:line="480" w:lineRule="auto"/>
        <w:ind w:firstLine="720"/>
      </w:pPr>
      <w:r>
        <w:t xml:space="preserve">The second is the governance and traffic-management literature. It is conceptually ambitious and institutionally informed, but it reasons in the register of norms, rules, and incentives rather than in the register of estimated allocation. The gradualist analysis of space traffic management associated with UNISPACE+50 frames institutional development as a sequence of voluntary measures and graduated authority</w:t>
      </w:r>
      <w:r>
        <w:t xml:space="preserve"> </w:t>
      </w:r>
      <w:hyperlink w:anchor="ref-10">
        <w:r>
          <w:rPr>
            <w:rStyle w:val="Hyperlink"/>
          </w:rPr>
          <w:t xml:space="preserve">[10]</w:t>
        </w:r>
      </w:hyperlink>
      <w:r>
        <w:t xml:space="preserve">; the incentive-based mechanisms proposed for multi-stakeholder space sustainability are designed to alter actor behavior without specifying the appropriations consequences of doing so</w:t>
      </w:r>
      <w:r>
        <w:t xml:space="preserve"> </w:t>
      </w:r>
      <w:hyperlink w:anchor="ref-11">
        <w:r>
          <w:rPr>
            <w:rStyle w:val="Hyperlink"/>
          </w:rPr>
          <w:t xml:space="preserve">[11]</w:t>
        </w:r>
      </w:hyperlink>
      <w:r>
        <w:t xml:space="preserve">. The cislunar and cismartian extensions of the space traffic management problem identify architectural and jurisdictional challenges that will eventually require funded sensing</w:t>
      </w:r>
      <w:r>
        <w:t xml:space="preserve"> </w:t>
      </w:r>
      <w:hyperlink w:anchor="ref-12">
        <w:r>
          <w:rPr>
            <w:rStyle w:val="Hyperlink"/>
          </w:rPr>
          <w:t xml:space="preserve">[12]</w:t>
        </w:r>
      </w:hyperlink>
      <w:r>
        <w:t xml:space="preserve">[36], and decision-support architectures for commercial in-space servicing translate governance ambition into operational requirements</w:t>
      </w:r>
      <w:r>
        <w:t xml:space="preserve"> </w:t>
      </w:r>
      <w:hyperlink w:anchor="ref-32">
        <w:r>
          <w:rPr>
            <w:rStyle w:val="Hyperlink"/>
          </w:rPr>
          <w:t xml:space="preserve">[32]</w:t>
        </w:r>
      </w:hyperlink>
      <w:r>
        <w:t xml:space="preserve">. Space sustainability rating frameworks now formalize the connection between operator behavior and the environmental externalities the sensing layer measures</w:t>
      </w:r>
      <w:r>
        <w:t xml:space="preserve"> </w:t>
      </w:r>
      <w:hyperlink w:anchor="ref-16">
        <w:r>
          <w:rPr>
            <w:rStyle w:val="Hyperlink"/>
          </w:rPr>
          <w:t xml:space="preserve">[16]</w:t>
        </w:r>
      </w:hyperlink>
      <w:r>
        <w:t xml:space="preserve">[33]. These analyses describe the institutional environment within which sensor budgets are determined, but they do not estimate the determination itself.</w:t>
      </w:r>
    </w:p>
    <w:p>
      <w:pPr>
        <w:pStyle w:val="BodyText"/>
        <w:spacing w:line="480" w:lineRule="auto"/>
        <w:ind w:firstLine="720"/>
      </w:pPr>
      <w:r>
        <w:t xml:space="preserve">The third is the space-economics literature. It is the closest in spirit to the present work, because it treats sensing as infrastructure and forecasts demand for it</w:t>
      </w:r>
      <w:r>
        <w:t xml:space="preserve"> </w:t>
      </w:r>
      <w:hyperlink w:anchor="ref-5">
        <w:r>
          <w:rPr>
            <w:rStyle w:val="Hyperlink"/>
          </w:rPr>
          <w:t xml:space="preserve">[5]</w:t>
        </w:r>
      </w:hyperlink>
      <w:r>
        <w:t xml:space="preserve">[8][20]. Parametric economic modeling has been applied to architectures elsewhere in the space economy, including asteroid-mining architectures whose cost structures share parameters with surveillance sensing</w:t>
      </w:r>
      <w:r>
        <w:t xml:space="preserve"> </w:t>
      </w:r>
      <w:hyperlink w:anchor="ref-19">
        <w:r>
          <w:rPr>
            <w:rStyle w:val="Hyperlink"/>
          </w:rPr>
          <w:t xml:space="preserve">[19]</w:t>
        </w:r>
      </w:hyperlink>
      <w:r>
        <w:t xml:space="preserve">. Cost-estimating-relationship work on sensing missions, including the log-linear analysis in this dissertation’s first research paper, identifies mass as the dominant observable driver of mission lifecycle cost and demonstrates the structure of partnership accounting. The complementary cost-capability scaling analysis in the second research paper shows that ground-based optical sensors lie along a common cost-capability frontier with allied survey telescopes, with an elasticity well below unity. These results price the sensing layer’s supply curve. They do not, however, ask what determines the level of appropriations at which that supply curve operates, nor whether realized appropriations respond to observed demand shocks. The forecasting framing stops at projection.</w:t>
      </w:r>
    </w:p>
    <w:p>
      <w:pPr>
        <w:pStyle w:val="BodyText"/>
        <w:spacing w:line="480" w:lineRule="auto"/>
        <w:ind w:firstLine="720"/>
      </w:pPr>
      <w:r>
        <w:t xml:space="preserve">Against these three domain literatures stands an econometric method literature that has been quietly building exactly the apparatus the SSA and SDA budgetary question requires. Dynamic panel estimation with system generalized method of moments has matured into a standard tool for allocation analysis under short panels and small cross-sections. Event-study designs with staggered adoption have been refined to permit non-parametric inference on lag profiles and on pre-trends, with formal corrections for the heterogeneous-treatment-effect problems that have preoccupied the difference-in-differences literature in the past decade. Cliometric work in defense economics and infrastructure economics has shown that appropriations series can be modeled as responses to exogenous environmental and political shocks, with identification anchored on the plausible exogeneity of the shocks’ timing. The methodological scaffolding is in place. It has simply never been brought into contact with the SSA and SDA sensor-funding series, because the series themselves have not been assembled and the engineering and governance literatures that own the domain have not pressed the econometric question.</w:t>
      </w:r>
    </w:p>
    <w:p>
      <w:pPr>
        <w:pStyle w:val="BodyText"/>
        <w:spacing w:line="480" w:lineRule="auto"/>
        <w:ind w:firstLine="720"/>
      </w:pPr>
      <w:r>
        <w:t xml:space="preserve">The gap is therefore cliometric in the precise sense. The engineering literature owns the demand drivers but treats supply as fixed. The governance literature owns the institutional channels but does not estimate. The economics literature owns the cost structure but stops at forecasting. The econometric method literature owns the estimation apparatus but has not been applied to the domain. No published study models SSA and SDA sensor funding as a panel of allocation decisions and asks whether those decisions respond to the shocks the sensors exist to observe. This dissertation occupies that intersection.</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The dissertation advances a single falsifiable contribution, stated precisely and held to throughout. The contribution is a test of the responsiveness of SSA and SDA sensor funding to exogenous orbital-population shocks, on a panel of contributing-state budget years covering 2006 through 2025.</w:t>
      </w:r>
    </w:p>
    <w:p>
      <w:pPr>
        <w:pStyle w:val="BodyText"/>
        <w:spacing w:line="480" w:lineRule="auto"/>
        <w:ind w:firstLine="720"/>
      </w:pPr>
      <w:r>
        <w:t xml:space="preserve">The null hypothesis is that sensor-funding allocations follow an inertial budgetary path. After conditioning on lagged appropriations, a common time trend, and total national space-budget envelope, the occurrence and magnitude of exogenous orbital fragmentation events have no measurable effect on subsequent sensor-tasking and cataloging-capacity funding. Under the null, the coefficient on the fragmentation-shock term in the dynamic panel specification is statistically indistinguishable from zero, and the event-study lag profile is flat in the post-event window.</w:t>
      </w:r>
    </w:p>
    <w:p>
      <w:pPr>
        <w:pStyle w:val="BodyText"/>
        <w:spacing w:line="480" w:lineRule="auto"/>
        <w:ind w:firstLine="720"/>
      </w:pPr>
      <w:r>
        <w:t xml:space="preserve">The alternative hypothesis is that sensor-funding allocations are environment-responsive. A fragmentation or major conjunction shock produces a positive and statistically significant increase in sensor-related funding in subsequent budget cycles, with the effect concentrated at a lag of one to three years, consistent with documented appropriations timelines. Under the alternative, the coefficient on the fragmentation-shock term is positive and bounded away from zero with conventional confidence, and the event-study lag profile shows the characteristic delayed response without a pre-trend.</w:t>
      </w:r>
    </w:p>
    <w:p>
      <w:pPr>
        <w:pStyle w:val="BodyText"/>
        <w:spacing w:line="480" w:lineRule="auto"/>
        <w:ind w:firstLine="720"/>
      </w:pPr>
      <w:r>
        <w:t xml:space="preserve">The estimand is the lagged response of the sensor-funding series to the fragmentation-shock series, identified by treating catalog-disrupting fragmentation events as a quasi-experimental shock to the demand for tracking capacity. Fragmentation timing is plausibly exogenous to the budget process in the sense that collisions and on-orbit breakups arise from physical and technical processes whose realization is not chosen by appropriators. Anti-satellite tests are politically timed and are therefore excluded from the instrument set for the primary specification and treated separately as a robustness exercise. The first stage of identification is the demand shock that each fragmentation imposes on the tasking system, which is documented in the engineering literature</w:t>
      </w:r>
      <w:r>
        <w:t xml:space="preserve"> </w:t>
      </w:r>
      <w:hyperlink w:anchor="ref-2">
        <w:r>
          <w:rPr>
            <w:rStyle w:val="Hyperlink"/>
          </w:rPr>
          <w:t xml:space="preserve">[2]</w:t>
        </w:r>
      </w:hyperlink>
      <w:r>
        <w:t xml:space="preserve">[3][9][30] and is now visible in operational mission-design and collision-avoidance analyses as a binding constraint</w:t>
      </w:r>
      <w:r>
        <w:t xml:space="preserve"> </w:t>
      </w:r>
      <w:hyperlink w:anchor="ref-34">
        <w:r>
          <w:rPr>
            <w:rStyle w:val="Hyperlink"/>
          </w:rPr>
          <w:t xml:space="preserve">[34]</w:t>
        </w:r>
      </w:hyperlink>
      <w:r>
        <w:t xml:space="preserve">[35]. The second stage is the funding response, which is the quantity this dissertation estimates.</w:t>
      </w:r>
    </w:p>
    <w:p>
      <w:pPr>
        <w:pStyle w:val="BodyText"/>
        <w:spacing w:line="480" w:lineRule="auto"/>
        <w:ind w:firstLine="720"/>
      </w:pPr>
      <w:r>
        <w:t xml:space="preserve">The contribution is falsifiable in the strong sense required of a doctoral claim. A precisely estimated null coefficient refutes the alternative. A negative coefficient refutes the alternative more emphatically. An event-study profile with a significant pre-trend casts the identification into doubt and is reported plainly rather than concealed. The dynamic panel estimate, the event-study estimate, and the staggered difference-in-differences estimate are all reported, so that no single identification assumption carries the inference. The contribution is also bounded in its claim: it estimates the responsiveness of funding to fragmentation shocks, not the optimality of the response, not the welfare consequences of the response, and not the political economy of the appropriations process beyond what the panel identifies. The bounding is deliberate. A single falsifiable claim, defended with discipline, is the contribution; broader claims are reserved for subsequent work.</w:t>
      </w:r>
    </w:p>
    <w:p>
      <w:pPr>
        <w:pStyle w:val="BodyText"/>
        <w:spacing w:line="480" w:lineRule="auto"/>
        <w:ind w:firstLine="720"/>
      </w:pPr>
      <w:r>
        <w:t xml:space="preserve">The methodological contribution rides on the substantive one. Importing the cliometric apparatus into SSA and SDA budget analysis demonstrates that the domain admits estimated answers to questions that have so far been answered by narrative. The dissertation does not claim to invent the apparatus; it claims to bring the apparatus into useful contact with a domain that has lacked it. The combination is the contribution.</w:t>
      </w:r>
    </w:p>
    <w:bookmarkEnd w:id="63"/>
    <w:bookmarkStart w:id="64" w:name="roadmap"/>
    <w:p>
      <w:pPr>
        <w:pStyle w:val="Heading2"/>
        <w:spacing w:line="480" w:lineRule="auto"/>
      </w:pPr>
      <w:r>
        <w:t xml:space="preserve">1.4 Roadmap</w:t>
      </w:r>
    </w:p>
    <w:p>
      <w:pPr>
        <w:pStyle w:val="FirstParagraph"/>
        <w:spacing w:line="480" w:lineRule="auto"/>
      </w:pPr>
      <w:r>
        <w:t xml:space="preserve">The remainder of the dissertation proceeds as follows.</w:t>
      </w:r>
    </w:p>
    <w:p>
      <w:pPr>
        <w:pStyle w:val="BodyText"/>
        <w:spacing w:line="480" w:lineRule="auto"/>
        <w:ind w:firstLine="720"/>
      </w:pPr>
      <w:r>
        <w:t xml:space="preserve">Chapter 2 develops the conceptual framework. It situates SSA and SDA sensors as a depreciating public capital stock, derives the appropriations-response model from a standard dynamic public-investment specification, and articulates the linkage between fragmentation-driven demand shocks and the sensor-tasking and cataloging-capacity funding lines that the panel will track. The chapter draws on the architectural framing of space-use norms</w:t>
      </w:r>
      <w:r>
        <w:t xml:space="preserve"> </w:t>
      </w:r>
      <w:hyperlink w:anchor="ref-7">
        <w:r>
          <w:rPr>
            <w:rStyle w:val="Hyperlink"/>
          </w:rPr>
          <w:t xml:space="preserve">[7]</w:t>
        </w:r>
      </w:hyperlink>
      <w:r>
        <w:t xml:space="preserve"> </w:t>
      </w:r>
      <w:r>
        <w:t xml:space="preserve">and the whole-of-nation framing of the space economy</w:t>
      </w:r>
      <w:r>
        <w:t xml:space="preserve"> </w:t>
      </w:r>
      <w:hyperlink w:anchor="ref-8">
        <w:r>
          <w:rPr>
            <w:rStyle w:val="Hyperlink"/>
          </w:rPr>
          <w:t xml:space="preserve">[8]</w:t>
        </w:r>
      </w:hyperlink>
      <w:r>
        <w:t xml:space="preserve"> </w:t>
      </w:r>
      <w:r>
        <w:t xml:space="preserve">to motivate the cross-state structure of the panel, and on the engineering literature on tasking and orbit determination</w:t>
      </w:r>
      <w:r>
        <w:t xml:space="preserve"> </w:t>
      </w:r>
      <w:hyperlink w:anchor="ref-2">
        <w:r>
          <w:rPr>
            <w:rStyle w:val="Hyperlink"/>
          </w:rPr>
          <w:t xml:space="preserve">[2]</w:t>
        </w:r>
      </w:hyperlink>
      <w:r>
        <w:t xml:space="preserve">[3][4][30] to motivate the demand-shock construction.</w:t>
      </w:r>
    </w:p>
    <w:p>
      <w:pPr>
        <w:pStyle w:val="BodyText"/>
        <w:spacing w:line="480" w:lineRule="auto"/>
        <w:ind w:firstLine="720"/>
      </w:pPr>
      <w:r>
        <w:t xml:space="preserve">Chapter 3 reviews the three domain literatures and the econometric method literature in full, extending the summary offered in Section 1.2 above. It maps the engineering literature on sensors, tasking, and orbit determination, including the recent constellation-design and space-based debris-tracking extensions</w:t>
      </w:r>
      <w:r>
        <w:t xml:space="preserve"> </w:t>
      </w:r>
      <w:hyperlink w:anchor="ref-29">
        <w:r>
          <w:rPr>
            <w:rStyle w:val="Hyperlink"/>
          </w:rPr>
          <w:t xml:space="preserve">[29]</w:t>
        </w:r>
      </w:hyperlink>
      <w:r>
        <w:t xml:space="preserve">[31]; the governance literature on space traffic management and sustainability incentives</w:t>
      </w:r>
      <w:r>
        <w:t xml:space="preserve"> </w:t>
      </w:r>
      <w:hyperlink w:anchor="ref-10">
        <w:r>
          <w:rPr>
            <w:rStyle w:val="Hyperlink"/>
          </w:rPr>
          <w:t xml:space="preserve">[10]</w:t>
        </w:r>
      </w:hyperlink>
      <w:r>
        <w:t xml:space="preserve">[11][12][36]; and the economics literature on sensing infrastructure and parametric cost modeling</w:t>
      </w:r>
      <w:r>
        <w:t xml:space="preserve"> </w:t>
      </w:r>
      <w:hyperlink w:anchor="ref-5">
        <w:r>
          <w:rPr>
            <w:rStyle w:val="Hyperlink"/>
          </w:rPr>
          <w:t xml:space="preserve">[5]</w:t>
        </w:r>
      </w:hyperlink>
      <w:r>
        <w:t xml:space="preserve">[8][19][20]. It closes by identifying the specific econometric techniques on which the analysis will rely and by stating the design choices each technique imposes.</w:t>
      </w:r>
    </w:p>
    <w:p>
      <w:pPr>
        <w:pStyle w:val="BodyText"/>
        <w:spacing w:line="480" w:lineRule="auto"/>
        <w:ind w:firstLine="720"/>
      </w:pPr>
      <w:r>
        <w:t xml:space="preserve">Chapter 4 presents the data and provenance. The dependent variable is constructed from the published NASA budget request and Congressional Justification series and from the Office of the Under Secretary of Defense Comptroller J-books for the United States Space Force and predecessor Air Force sensing lines. Allied observations are drawn from published national space-agency budget documents identified in the Five Eyes and European cooperative literatures</w:t>
      </w:r>
      <w:r>
        <w:t xml:space="preserve"> </w:t>
      </w:r>
      <w:hyperlink w:anchor="ref-6">
        <w:r>
          <w:rPr>
            <w:rStyle w:val="Hyperlink"/>
          </w:rPr>
          <w:t xml:space="preserve">[6]</w:t>
        </w:r>
      </w:hyperlink>
      <w:r>
        <w:t xml:space="preserve">[23]. The fragmentation-shock series is constructed from the NASA Orbital Debris Program Office History of On-Orbit Satellite Fragmentations and the Orbital Debris Quarterly News. The chapter documents every observation to the document and page level and reports the harmonization protocol for currency, fiscal-year alignment, and reorganization-induced series breaks.</w:t>
      </w:r>
    </w:p>
    <w:p>
      <w:pPr>
        <w:pStyle w:val="BodyText"/>
        <w:spacing w:line="480" w:lineRule="auto"/>
        <w:ind w:firstLine="720"/>
      </w:pPr>
      <w:r>
        <w:t xml:space="preserve">Chapter 5 specifies the identification strategy and the estimator. The baseline is a dynamic panel regression of sensor funding on its lag, the fragmentation-shock measure interacted with lag structure, fixed effects, and the total national space-budget envelope as a control. Estimation uses system generalized method of moments with collapsed instruments and Hansen over-identification testing. The chapter develops the event-study specification as a non-parametric check on the lag profile and on the absence of pre-trends, and the staggered difference-in-differences specification as a second identification lever exploiting differential exposure of states to a given fragmentation’s tracked population. The two cost-side research papers feed this chapter directly: the mass-elasticity result from the first paper supplies the parametric link between the sensor-funding series and physical sensing capacity, and the cost-capability elasticity from the second paper supplies the corresponding link for the ground-based optical share of the panel.</w:t>
      </w:r>
    </w:p>
    <w:p>
      <w:pPr>
        <w:pStyle w:val="BodyText"/>
        <w:spacing w:line="480" w:lineRule="auto"/>
        <w:ind w:firstLine="720"/>
      </w:pPr>
      <w:r>
        <w:t xml:space="preserve">Chapter 6 reports the empirical findings. The dynamic panel estimate is presented first, with the full diagnostic suite. The event-study profile is reported next, with attention to the pre-trend window and to the timing of the post-event response. The staggered difference-in-differences estimate is reported third, with the heterogeneous-treatment-effect diagnostics. The chapter reports robustness exercises on alternative aggregations of the dependent variable, on the exclusion of anti-satellite events from the instrument set, on alternative purchasing-power adjustments for allied observations, and on alternative lag structures.</w:t>
      </w:r>
    </w:p>
    <w:p>
      <w:pPr>
        <w:pStyle w:val="BodyText"/>
        <w:spacing w:line="480" w:lineRule="auto"/>
        <w:ind w:firstLine="720"/>
      </w:pPr>
      <w:r>
        <w:t xml:space="preserve">Chapter 7 discusses the findings against the three domain literatures. It returns to the architectural framing</w:t>
      </w:r>
      <w:r>
        <w:t xml:space="preserve"> </w:t>
      </w:r>
      <w:hyperlink w:anchor="ref-7">
        <w:r>
          <w:rPr>
            <w:rStyle w:val="Hyperlink"/>
          </w:rPr>
          <w:t xml:space="preserve">[7]</w:t>
        </w:r>
      </w:hyperlink>
      <w:r>
        <w:t xml:space="preserve"> </w:t>
      </w:r>
      <w:r>
        <w:t xml:space="preserve">and the whole-of-nation framing</w:t>
      </w:r>
      <w:r>
        <w:t xml:space="preserve"> </w:t>
      </w:r>
      <w:hyperlink w:anchor="ref-8">
        <w:r>
          <w:rPr>
            <w:rStyle w:val="Hyperlink"/>
          </w:rPr>
          <w:t xml:space="preserve">[8]</w:t>
        </w:r>
      </w:hyperlink>
      <w:r>
        <w:t xml:space="preserve"> </w:t>
      </w:r>
      <w:r>
        <w:t xml:space="preserve">to interpret the estimated lag profile, and to the governance literature</w:t>
      </w:r>
      <w:r>
        <w:t xml:space="preserve"> </w:t>
      </w:r>
      <w:hyperlink w:anchor="ref-10">
        <w:r>
          <w:rPr>
            <w:rStyle w:val="Hyperlink"/>
          </w:rPr>
          <w:t xml:space="preserve">[10]</w:t>
        </w:r>
      </w:hyperlink>
      <w:r>
        <w:t xml:space="preserve">[11][12] to interpret the institutional channels through which the response, or its absence, operates. It addresses what the estimates imply for NASA’s strategic planning, for JPL’s recompete and partnership posture, and for the allied SSA and SDA architecture in the cislunar extension that recent traffic-management work has begun to map</w:t>
      </w:r>
      <w:r>
        <w:t xml:space="preserve"> </w:t>
      </w:r>
      <w:hyperlink w:anchor="ref-12">
        <w:r>
          <w:rPr>
            <w:rStyle w:val="Hyperlink"/>
          </w:rPr>
          <w:t xml:space="preserve">[12]</w:t>
        </w:r>
      </w:hyperlink>
      <w:r>
        <w:t xml:space="preserve">[36]. The chapter draws on the partnership-leverage literature to interpret the cross-state coefficients</w:t>
      </w:r>
      <w:r>
        <w:t xml:space="preserve"> </w:t>
      </w:r>
      <w:hyperlink w:anchor="ref-22">
        <w:r>
          <w:rPr>
            <w:rStyle w:val="Hyperlink"/>
          </w:rPr>
          <w:t xml:space="preserve">[22]</w:t>
        </w:r>
      </w:hyperlink>
      <w:r>
        <w:t xml:space="preserve"> </w:t>
      </w:r>
      <w:r>
        <w:t xml:space="preserve">and on the SDA acquisition literature to interpret the United States coefficient</w:t>
      </w:r>
      <w:r>
        <w:t xml:space="preserve"> </w:t>
      </w:r>
      <w:hyperlink w:anchor="ref-21">
        <w:r>
          <w:rPr>
            <w:rStyle w:val="Hyperlink"/>
          </w:rPr>
          <w:t xml:space="preserve">[21]</w:t>
        </w:r>
      </w:hyperlink>
      <w:r>
        <w:t xml:space="preserve">.</w:t>
      </w:r>
    </w:p>
    <w:p>
      <w:pPr>
        <w:pStyle w:val="BodyText"/>
        <w:spacing w:line="480" w:lineRule="auto"/>
        <w:ind w:firstLine="720"/>
      </w:pPr>
      <w:r>
        <w:t xml:space="preserve">Chapter 8 addresses threats to validity and the boundaries of the claim. It is explicit about the short panel, the small cross-section, the measurement error in line items that do not isolate the sensing layer cleanly, the reorganization-induced series breaks, and the limits of the demand-shock proxy. It reports the sensitivity of the estimates to each threat and identifies the analyses that the present data will not support, so that subsequent work can take them up.</w:t>
      </w:r>
    </w:p>
    <w:p>
      <w:pPr>
        <w:pStyle w:val="BodyText"/>
        <w:spacing w:line="480" w:lineRule="auto"/>
        <w:ind w:firstLine="720"/>
      </w:pPr>
      <w:r>
        <w:t xml:space="preserve">Chapter 9 concludes. It restates the single falsifiable contribution, summarizes the estimated answer, and identifies the methodological extensions that the cliometric apparatus invites once it has been introduced to the domain. The conclusion is the place where the dissertation will say plainly what it has shown and what it has not, and where it will identify the next questions for the engineering, governance, and economics literatures to take up jointly. It will also state what the result implies for the operational architecture of the sensing layer over the cislunar horizon that the strategic-frameworks literature now anticipates</w:t>
      </w:r>
      <w:r>
        <w:t xml:space="preserve"> </w:t>
      </w:r>
      <w:hyperlink w:anchor="ref-12">
        <w:r>
          <w:rPr>
            <w:rStyle w:val="Hyperlink"/>
          </w:rPr>
          <w:t xml:space="preserve">[12]</w:t>
        </w:r>
      </w:hyperlink>
      <w:r>
        <w:t xml:space="preserve">[36], so that the cliometric contribution lands not as a retrospective curiosity but as a usable input to the next decade of allied sensor-funding decisions.</w:t>
      </w:r>
    </w:p>
    <w:bookmarkEnd w:id="64"/>
    <w:bookmarkEnd w:id="65"/>
    <w:bookmarkStart w:id="76" w:name="chapter-2.-literature-review"/>
    <w:p>
      <w:pPr>
        <w:pStyle w:val="Heading1"/>
        <w:spacing w:line="480" w:lineRule="auto"/>
      </w:pPr>
      <w:r>
        <w:t xml:space="preserve">Chapter 2. Literature Review</w:t>
      </w:r>
    </w:p>
    <w:bookmarkStart w:id="66" w:name="X595e0ddb1187baeb5a2c3f1ef3001d58d11868c"/>
    <w:p>
      <w:pPr>
        <w:pStyle w:val="Heading2"/>
        <w:spacing w:line="480" w:lineRule="auto"/>
      </w:pPr>
      <w:r>
        <w:t xml:space="preserve">2.1 Orientation: Two Literatures That Do Not Meet</w:t>
      </w:r>
    </w:p>
    <w:p>
      <w:pPr>
        <w:pStyle w:val="FirstParagraph"/>
        <w:spacing w:line="480" w:lineRule="auto"/>
      </w:pPr>
      <w:r>
        <w:t xml:space="preserve">The dissertation occupies the seam between two large, mature, and largely non-communicating bodies of work. On one side stands the engineering, operational, and policy literature on space situational awareness (SSA) and space domain awareness (SDA): a corpus that describes the sensors, tasking algorithms, network architectures, and governance arrangements through which the orbital environment is observed and cataloged. On the other side stands the cliometric and allocation-econometric literature: a corpus that models public-budget decisions as time-indexed, panel-structured outcomes whose drivers can be estimated rather than narrated. The first literature treats funding as exogenous and largely fixed in its analytical frame; the second literature, almost without exception, has not been applied to the SSA/SDA sensing portfolio. The purpose of this chapter is to read both bodies of work in detail, to surface the points at which each anticipates but does not perform the analysis the dissertation will conduct, and to define the gap that the panel design proposed in Chapter 1 is built to close.</w:t>
      </w:r>
    </w:p>
    <w:p>
      <w:pPr>
        <w:pStyle w:val="BodyText"/>
        <w:spacing w:line="480" w:lineRule="auto"/>
        <w:ind w:firstLine="720"/>
      </w:pPr>
      <w:r>
        <w:t xml:space="preserve">The review proceeds in five movements. Section 2.2 maps the SSA/SDA domain technical literature across four sub-strands: sensor architectures and contributing-sensor arrangements, sensor tasking and catalog maintenance, orbit determination and capability sizing, and emerging space-based and constellation approaches. Section 2.3 takes up the governance, sustainability, and acquisition literature that conditions how sensing capacity is procured and shared across allies. Section 2.4 reviews the cliometric and methodological literature that the dissertation will import, with particular attention to parametric cost estimating relationships, cost-capability scaling laws, and dynamic panel estimation as practiced in adjacent infrastructure domains. Section 2.5 synthesizes the two literatures and isolates the analytical gap. Section 2.6 states the contribution in terms that locate the dissertation precisely against the prior work reviewed.</w:t>
      </w:r>
    </w:p>
    <w:bookmarkEnd w:id="66"/>
    <w:bookmarkStart w:id="71" w:name="the-ssasda-domain-technical-literature"/>
    <w:p>
      <w:pPr>
        <w:pStyle w:val="Heading2"/>
        <w:spacing w:line="480" w:lineRule="auto"/>
      </w:pPr>
      <w:r>
        <w:t xml:space="preserve">2.2 The SSA/SDA Domain Technical Literature</w:t>
      </w:r>
    </w:p>
    <w:bookmarkStart w:id="67" w:name="Xac1c23f1d670300c8a335bd9604a0922c4d544c"/>
    <w:p>
      <w:pPr>
        <w:pStyle w:val="Heading3"/>
        <w:spacing w:line="480" w:lineRule="auto"/>
      </w:pPr>
      <w:r>
        <w:t xml:space="preserve">2.2.1 Sensor Architectures and Contributing-Sensor Arrangements</w:t>
      </w:r>
    </w:p>
    <w:p>
      <w:pPr>
        <w:pStyle w:val="FirstParagraph"/>
        <w:spacing w:line="480" w:lineRule="auto"/>
      </w:pPr>
      <w:r>
        <w:t xml:space="preserve">The architectural backbone of the SSA enterprise is well documented at the engineering level. The Space Surveillance Network is the canonical aggregator, and the contributing-sensor model that augments it has been described in successive AMOS conference papers that lay out how hosted payloads, dedicated assets, and partner contributions are integrated into a coherent observational substrate</w:t>
      </w:r>
      <w:r>
        <w:t xml:space="preserve"> </w:t>
      </w:r>
      <w:hyperlink w:anchor="ref-1">
        <w:r>
          <w:rPr>
            <w:rStyle w:val="Hyperlink"/>
          </w:rPr>
          <w:t xml:space="preserve">[1]</w:t>
        </w:r>
      </w:hyperlink>
      <w:r>
        <w:t xml:space="preserve">. The contributing-sensor framing is essential to the dissertation because it makes explicit that the sensing layer is not a single line item under a single appropriator: it is a portfolio composed of national assets, hosted payloads on commercial spacecraft, and allied contributions whose budgetary provenance varies by partner and by year.</w:t>
      </w:r>
    </w:p>
    <w:p>
      <w:pPr>
        <w:pStyle w:val="BodyText"/>
        <w:spacing w:line="480" w:lineRule="auto"/>
        <w:ind w:firstLine="720"/>
      </w:pPr>
      <w:r>
        <w:t xml:space="preserve">The allied dimension is given its most coherent treatment in the Five Eyes SSA collaboration literature, which documents both the research program structure and the operational coordination that links the United States, the United Kingdom, Canada, Australia, and New Zealand into a single sensing community for selected SDA tasks</w:t>
      </w:r>
      <w:r>
        <w:t xml:space="preserve"> </w:t>
      </w:r>
      <w:hyperlink w:anchor="ref-6">
        <w:r>
          <w:rPr>
            <w:rStyle w:val="Hyperlink"/>
          </w:rPr>
          <w:t xml:space="preserve">[6]</w:t>
        </w:r>
      </w:hyperlink>
      <w:r>
        <w:t xml:space="preserve">. This literature is operationally rich. It identifies the sensors, the data flows, the tasking interfaces, and the research questions through which the alliance distributes work. It is also, however, silent on the budgetary side: it does not estimate which partner pays what share, how that share has evolved, or how shocks to the orbital environment have shifted the burden across national ledgers. A subsequent and more pointed contribution to the same literature, written under the title</w:t>
      </w:r>
      <w:r>
        <w:t xml:space="preserve"> </w:t>
      </w:r>
      <w:r>
        <w:t xml:space="preserve">“Partnering not Bossing,”</w:t>
      </w:r>
      <w:r>
        <w:t xml:space="preserve"> </w:t>
      </w:r>
      <w:r>
        <w:t xml:space="preserve">argues explicitly for better leveraging of international capabilities for SDA and articulates the alliance-economic logic in policy terms, without performing the quantitative allocation analysis that would test whether observed practice matches the partnership rhetoric</w:t>
      </w:r>
      <w:r>
        <w:t xml:space="preserve"> </w:t>
      </w:r>
      <w:hyperlink w:anchor="ref-22">
        <w:r>
          <w:rPr>
            <w:rStyle w:val="Hyperlink"/>
          </w:rPr>
          <w:t xml:space="preserve">[22]</w:t>
        </w:r>
      </w:hyperlink>
      <w:r>
        <w:t xml:space="preserve">. The PHANTOM ECHOES experiment, organized as a Five Eyes SDA exercise in GEO rendezvous and proximity, provides a concrete demonstration of the operational coordination the alliance can deliver but is again silent on the funding architecture that sustains it</w:t>
      </w:r>
      <w:r>
        <w:t xml:space="preserve"> </w:t>
      </w:r>
      <w:hyperlink w:anchor="ref-28">
        <w:r>
          <w:rPr>
            <w:rStyle w:val="Hyperlink"/>
          </w:rPr>
          <w:t xml:space="preserve">[28]</w:t>
        </w:r>
      </w:hyperlink>
      <w:r>
        <w:t xml:space="preserve">.</w:t>
      </w:r>
    </w:p>
    <w:p>
      <w:pPr>
        <w:pStyle w:val="BodyText"/>
        <w:spacing w:line="480" w:lineRule="auto"/>
        <w:ind w:firstLine="720"/>
      </w:pPr>
      <w:r>
        <w:t xml:space="preserve">The European contribution to the alliance picture is documented in the EU Space Surveillance and Tracking research and development plan, which lays out the multi-national, multi-agency funding and capability architecture coordinated across CNES, DLR, ASI, CDTI, and the German Space Agency</w:t>
      </w:r>
      <w:r>
        <w:t xml:space="preserve"> </w:t>
      </w:r>
      <w:hyperlink w:anchor="ref-23">
        <w:r>
          <w:rPr>
            <w:rStyle w:val="Hyperlink"/>
          </w:rPr>
          <w:t xml:space="preserve">[23]</w:t>
        </w:r>
      </w:hyperlink>
      <w:r>
        <w:t xml:space="preserve">. The EU-SST literature is unusually explicit about the institutional structure of allied sensing investment, identifying funding streams, capability gaps, and roadmap items. It stops short, however, of estimating the relationship between exogenous orbital-environment shocks and subsequent appropriations adjustments across the member states. The literature describes the architecture; it does not model the allocation function.</w:t>
      </w:r>
    </w:p>
    <w:bookmarkEnd w:id="67"/>
    <w:bookmarkStart w:id="68" w:name="sensor-tasking-and-catalog-maintenance"/>
    <w:p>
      <w:pPr>
        <w:pStyle w:val="Heading3"/>
        <w:spacing w:line="480" w:lineRule="auto"/>
      </w:pPr>
      <w:r>
        <w:t xml:space="preserve">2.2.2 Sensor Tasking and Catalog Maintenance</w:t>
      </w:r>
    </w:p>
    <w:p>
      <w:pPr>
        <w:pStyle w:val="FirstParagraph"/>
        <w:spacing w:line="480" w:lineRule="auto"/>
      </w:pPr>
      <w:r>
        <w:t xml:space="preserve">The sensor-tasking literature is the most quantitatively mature portion of the SSA technical corpus. Schubert and colleagues evaluate sensor-tasking strategies for object cataloging in the geosynchronous regime, comparing heuristic and optimization-based approaches across a defined performance envelope and demonstrating that the strategy chosen has first-order consequences for catalog completeness and timeliness</w:t>
      </w:r>
      <w:r>
        <w:t xml:space="preserve"> </w:t>
      </w:r>
      <w:hyperlink w:anchor="ref-2">
        <w:r>
          <w:rPr>
            <w:rStyle w:val="Hyperlink"/>
          </w:rPr>
          <w:t xml:space="preserve">[2]</w:t>
        </w:r>
      </w:hyperlink>
      <w:r>
        <w:t xml:space="preserve">[30]. Cai and colleagues address sensor tasking for search and catalog maintenance of geosynchronous space objects, comparing machine-learning and classical optimization approaches against the constraint that sensor time is finite and the resident space object population is growing</w:t>
      </w:r>
      <w:r>
        <w:t xml:space="preserve"> </w:t>
      </w:r>
      <w:hyperlink w:anchor="ref-3">
        <w:r>
          <w:rPr>
            <w:rStyle w:val="Hyperlink"/>
          </w:rPr>
          <w:t xml:space="preserve">[3]</w:t>
        </w:r>
      </w:hyperlink>
      <w:r>
        <w:t xml:space="preserve">. The survey by Kazemi and colleagues on orbit determination for SSA provides the most comprehensive single-source treatment of the methodological space, mapping the families of estimators, the data-assimilation strategies, and the performance benchmarks under which catalog maintenance is conducted</w:t>
      </w:r>
      <w:r>
        <w:t xml:space="preserve"> </w:t>
      </w:r>
      <w:hyperlink w:anchor="ref-4">
        <w:r>
          <w:rPr>
            <w:rStyle w:val="Hyperlink"/>
          </w:rPr>
          <w:t xml:space="preserve">[4]</w:t>
        </w:r>
      </w:hyperlink>
      <w:r>
        <w:t xml:space="preserve">.</w:t>
      </w:r>
    </w:p>
    <w:p>
      <w:pPr>
        <w:pStyle w:val="BodyText"/>
        <w:spacing w:line="480" w:lineRule="auto"/>
        <w:ind w:firstLine="720"/>
      </w:pPr>
      <w:r>
        <w:t xml:space="preserve">These contributions share a common analytical posture. They take sensor capacity as a constraint to be optimized against, not as a quantity to be explained. The tasking literature is a literature of demand for sensor time and a literature of efficient use of that time; it is not a literature of how the supply of sensor time, measured in funded sensor inventory and operating budget, comes to be. Yet the same literature provides the engineering vocabulary in which the demand-for-tracking-capacity series at the heart of the dissertation will be operationalized. When this dissertation argues that a fragmentation event raises the cataloging workload that sensor-tasking systems must absorb, the magnitude and time profile of that workload increase are read out of precisely the tasking and OD performance models surveyed in</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and</w:t>
      </w:r>
      <w:r>
        <w:t xml:space="preserve"> </w:t>
      </w:r>
      <w:hyperlink w:anchor="ref-4">
        <w:r>
          <w:rPr>
            <w:rStyle w:val="Hyperlink"/>
          </w:rPr>
          <w:t xml:space="preserve">[4]</w:t>
        </w:r>
      </w:hyperlink>
      <w:r>
        <w:t xml:space="preserve">.</w:t>
      </w:r>
    </w:p>
    <w:p>
      <w:pPr>
        <w:pStyle w:val="BodyText"/>
        <w:spacing w:line="480" w:lineRule="auto"/>
        <w:ind w:firstLine="720"/>
      </w:pPr>
      <w:r>
        <w:t xml:space="preserve">Adjacent contributions sharpen the picture. The WENESSA simulation framework, which couples wide-eye and narrow-eye sensing into a single situational-awareness pipeline, is explicitly motivated by the growth in tracked objects and the catalog-maintenance burden that growth imposes</w:t>
      </w:r>
      <w:r>
        <w:t xml:space="preserve"> </w:t>
      </w:r>
      <w:hyperlink w:anchor="ref-9">
        <w:r>
          <w:rPr>
            <w:rStyle w:val="Hyperlink"/>
          </w:rPr>
          <w:t xml:space="preserve">[9]</w:t>
        </w:r>
      </w:hyperlink>
      <w:r>
        <w:t xml:space="preserve">. Hussain and colleagues develop space-based debris trajectory estimation using vision sensors with track-based data fusion, which represents an emerging route to expand effective catalog capacity through new sensing modalities</w:t>
      </w:r>
      <w:r>
        <w:t xml:space="preserve"> </w:t>
      </w:r>
      <w:hyperlink w:anchor="ref-29">
        <w:r>
          <w:rPr>
            <w:rStyle w:val="Hyperlink"/>
          </w:rPr>
          <w:t xml:space="preserve">[29]</w:t>
        </w:r>
      </w:hyperlink>
      <w:r>
        <w:t xml:space="preserve">. D’Anniballe and colleagues conduct a preliminary analysis and design of an optical space surveillance and tracking constellation for LEO coverage, providing a recent design-space sweep that ties capability requirements to physical sensor parameters</w:t>
      </w:r>
      <w:r>
        <w:t xml:space="preserve"> </w:t>
      </w:r>
      <w:hyperlink w:anchor="ref-31">
        <w:r>
          <w:rPr>
            <w:rStyle w:val="Hyperlink"/>
          </w:rPr>
          <w:t xml:space="preserve">[31]</w:t>
        </w:r>
      </w:hyperlink>
      <w:r>
        <w:t xml:space="preserve">. Grau and colleagues, in their treatment of mission operations for precise in-orbit collision prediction and space-environment surveillance, document how operational performance depends on sustained investment in both ground segment and tasking infrastructure</w:t>
      </w:r>
      <w:r>
        <w:t xml:space="preserve"> </w:t>
      </w:r>
      <w:hyperlink w:anchor="ref-34">
        <w:r>
          <w:rPr>
            <w:rStyle w:val="Hyperlink"/>
          </w:rPr>
          <w:t xml:space="preserve">[34]</w:t>
        </w:r>
      </w:hyperlink>
      <w:r>
        <w:t xml:space="preserve">. Sorge and colleagues, in their multi-author overview of improvements to spacecraft collision avoidance, frame the entire enterprise as a coupled engineering and operational problem in which the supply of conjunction-screening capacity is a binding constraint</w:t>
      </w:r>
      <w:r>
        <w:t xml:space="preserve"> </w:t>
      </w:r>
      <w:hyperlink w:anchor="ref-35">
        <w:r>
          <w:rPr>
            <w:rStyle w:val="Hyperlink"/>
          </w:rPr>
          <w:t xml:space="preserve">[35]</w:t>
        </w:r>
      </w:hyperlink>
      <w:r>
        <w:t xml:space="preserve">. None of these treatments analyzes the budget process behind the capacity they describe.</w:t>
      </w:r>
    </w:p>
    <w:bookmarkEnd w:id="68"/>
    <w:bookmarkStart w:id="69" w:name="Xf99f7e521ac97ec9ada3e4d1be8804d5d6c0b61"/>
    <w:p>
      <w:pPr>
        <w:pStyle w:val="Heading3"/>
        <w:spacing w:line="480" w:lineRule="auto"/>
      </w:pPr>
      <w:r>
        <w:t xml:space="preserve">2.2.3 Capability Sizing, Architecture Cost, and Performance Tradeoffs</w:t>
      </w:r>
    </w:p>
    <w:p>
      <w:pPr>
        <w:pStyle w:val="FirstParagraph"/>
        <w:spacing w:line="480" w:lineRule="auto"/>
      </w:pPr>
      <w:r>
        <w:t xml:space="preserve">A distinct sub-strand of the engineering literature comes closer to the cliometric question than the tasking literature does, because it explicitly considers cost and performance together. Morris, Rice, and Little compare the relative cost and performance of GEO SSA architectures and report that mass and aperture are the parameters that separate affordable architectures from unaffordable ones</w:t>
      </w:r>
      <w:r>
        <w:t xml:space="preserve"> </w:t>
      </w:r>
      <w:hyperlink w:anchor="ref-13">
        <w:r>
          <w:rPr>
            <w:rStyle w:val="Hyperlink"/>
          </w:rPr>
          <w:t xml:space="preserve">[13]</w:t>
        </w:r>
      </w:hyperlink>
      <w:r>
        <w:t xml:space="preserve">. Felten and colleagues optimize geosynchronous SSA architectures using parallel computation and confirm that moderate-aperture ground telescopes deliver the most favorable cost-performance combinations across a wide search space</w:t>
      </w:r>
      <w:r>
        <w:t xml:space="preserve"> </w:t>
      </w:r>
      <w:hyperlink w:anchor="ref-14">
        <w:r>
          <w:rPr>
            <w:rStyle w:val="Hyperlink"/>
          </w:rPr>
          <w:t xml:space="preserve">[14]</w:t>
        </w:r>
      </w:hyperlink>
      <w:r>
        <w:t xml:space="preserve">. Coder and Holzinger size a Raven-class telescope using performance sensitivities, exposing the explicit physical-to-budgetary mapping that smaller surveillance instruments embody</w:t>
      </w:r>
      <w:r>
        <w:t xml:space="preserve"> </w:t>
      </w:r>
      <w:hyperlink w:anchor="ref-15">
        <w:r>
          <w:rPr>
            <w:rStyle w:val="Hyperlink"/>
          </w:rPr>
          <w:t xml:space="preserve">[15]</w:t>
        </w:r>
      </w:hyperlink>
      <w:r>
        <w:t xml:space="preserve">. Dontigney and colleagues develop a methodology for comparison of algorithms for real-world multi-objective optimization problems in the SSN-design context, weighting acquisition, operation, maintenance, and launch costs against coverage objectives</w:t>
      </w:r>
      <w:r>
        <w:t xml:space="preserve"> </w:t>
      </w:r>
      <w:hyperlink w:anchor="ref-18">
        <w:r>
          <w:rPr>
            <w:rStyle w:val="Hyperlink"/>
          </w:rPr>
          <w:t xml:space="preserve">[18]</w:t>
        </w:r>
      </w:hyperlink>
      <w:r>
        <w:t xml:space="preserve">. Koblick and colleagues describe a ground optical signal processing architecture for contributing SSA space-based sensor data, which is one of the clearest engineering articulations of the data-pipeline implications of the contributing-sensor model</w:t>
      </w:r>
      <w:r>
        <w:t xml:space="preserve"> </w:t>
      </w:r>
      <w:hyperlink w:anchor="ref-17">
        <w:r>
          <w:rPr>
            <w:rStyle w:val="Hyperlink"/>
          </w:rPr>
          <w:t xml:space="preserve">[17]</w:t>
        </w:r>
      </w:hyperlink>
      <w:r>
        <w:t xml:space="preserve">.</w:t>
      </w:r>
    </w:p>
    <w:p>
      <w:pPr>
        <w:pStyle w:val="BodyText"/>
        <w:spacing w:line="480" w:lineRule="auto"/>
        <w:ind w:firstLine="720"/>
      </w:pPr>
      <w:r>
        <w:t xml:space="preserve">These contributions converge on a hypothesis that the second supporting paper of this dissertation tests directly. They argue or assume that cost scales with capability through observable design parameters; the cost-capability scaling paper estimates that elasticity empirically across twenty-four ground-based optical sensors and finds an elasticity of about 0.72, well below unity and consistent with sub-proportional scaling. Equally, the first supporting paper estimates a parametric cost estimating relationship for civil sensing missions and recovers a mass elasticity of about 0.85. Together these results establish that the sensing-cost frontier is empirically estimable; the dissertation’s central panel then asks whether the funding flowing to that frontier is environment-responsive at the appropriations cycle.</w:t>
      </w:r>
    </w:p>
    <w:p>
      <w:pPr>
        <w:pStyle w:val="BodyText"/>
        <w:spacing w:line="480" w:lineRule="auto"/>
        <w:ind w:firstLine="720"/>
      </w:pPr>
      <w:r>
        <w:t xml:space="preserve">The space-surveillance literature also documents emerging sensor modalities whose cost structures will increasingly shape the budget panel. Robie, Freeman, and Peterkin describe MicroSat laser-communication terminals and infrared imaging payloads for space-based applications, an instance of the cost-structure shift that small-form-factor space-based sensors introduce</w:t>
      </w:r>
      <w:r>
        <w:t xml:space="preserve"> </w:t>
      </w:r>
      <w:hyperlink w:anchor="ref-25">
        <w:r>
          <w:rPr>
            <w:rStyle w:val="Hyperlink"/>
          </w:rPr>
          <w:t xml:space="preserve">[25]</w:t>
        </w:r>
      </w:hyperlink>
      <w:r>
        <w:t xml:space="preserve">. Furlich and colleagues report on utilizing civilian launches as live exercises for evaluating a federated protect-and-defend SDA battle-management system, illustrating how dual-use of commercial launch cadence redistributes the effective sensing budget across public and private ledgers</w:t>
      </w:r>
      <w:r>
        <w:t xml:space="preserve"> </w:t>
      </w:r>
      <w:hyperlink w:anchor="ref-26">
        <w:r>
          <w:rPr>
            <w:rStyle w:val="Hyperlink"/>
          </w:rPr>
          <w:t xml:space="preserve">[26]</w:t>
        </w:r>
      </w:hyperlink>
      <w:r>
        <w:t xml:space="preserve">. Stottler’s spoken-language interface for SSA/SDA represents the software-operations layer whose marginal cost behavior is qualitatively different from the optics-dominated architectures of the previous generation</w:t>
      </w:r>
      <w:r>
        <w:t xml:space="preserve"> </w:t>
      </w:r>
      <w:hyperlink w:anchor="ref-27">
        <w:r>
          <w:rPr>
            <w:rStyle w:val="Hyperlink"/>
          </w:rPr>
          <w:t xml:space="preserve">[27]</w:t>
        </w:r>
      </w:hyperlink>
      <w:r>
        <w:t xml:space="preserve">.</w:t>
      </w:r>
    </w:p>
    <w:bookmarkEnd w:id="69"/>
    <w:bookmarkStart w:id="70" w:name="Xb34c4c5c7384f8f177064d52e5b989ce124ffe6"/>
    <w:p>
      <w:pPr>
        <w:pStyle w:val="Heading3"/>
        <w:spacing w:line="480" w:lineRule="auto"/>
      </w:pPr>
      <w:r>
        <w:t xml:space="preserve">2.2.4 Space Sustainability Ratings, Decision Support, and Acquisition</w:t>
      </w:r>
    </w:p>
    <w:p>
      <w:pPr>
        <w:pStyle w:val="FirstParagraph"/>
        <w:spacing w:line="480" w:lineRule="auto"/>
      </w:pPr>
      <w:r>
        <w:t xml:space="preserve">A third strand of the technical literature bridges into the policy and acquisition register. Letizia and colleagues, in their AMOS treatment of SSA data contributions to the Space Sustainability Rating, articulate how the same observational substrate that supports cataloging also supports rating regimes that aim to discipline operator behavior</w:t>
      </w:r>
      <w:r>
        <w:t xml:space="preserve"> </w:t>
      </w:r>
      <w:hyperlink w:anchor="ref-16">
        <w:r>
          <w:rPr>
            <w:rStyle w:val="Hyperlink"/>
          </w:rPr>
          <w:t xml:space="preserve">[16]</w:t>
        </w:r>
      </w:hyperlink>
      <w:r>
        <w:t xml:space="preserve">. Rathnasabapathy and colleagues extend this work in a recent design treatment of the SSR as a composite indicator</w:t>
      </w:r>
      <w:r>
        <w:t xml:space="preserve"> </w:t>
      </w:r>
      <w:hyperlink w:anchor="ref-33">
        <w:r>
          <w:rPr>
            <w:rStyle w:val="Hyperlink"/>
          </w:rPr>
          <w:t xml:space="preserve">[33]</w:t>
        </w:r>
      </w:hyperlink>
      <w:r>
        <w:t xml:space="preserve">. Smith, Jah, and Wood take the decision-support implications further, architecting a system for continuing supervision of commercial in-space servicing, a use case that depends on the underlying SSA sensing layer being adequately funded and tasked</w:t>
      </w:r>
      <w:r>
        <w:t xml:space="preserve"> </w:t>
      </w:r>
      <w:hyperlink w:anchor="ref-32">
        <w:r>
          <w:rPr>
            <w:rStyle w:val="Hyperlink"/>
          </w:rPr>
          <w:t xml:space="preserve">[32]</w:t>
        </w:r>
      </w:hyperlink>
      <w:r>
        <w:t xml:space="preserve">.</w:t>
      </w:r>
    </w:p>
    <w:p>
      <w:pPr>
        <w:pStyle w:val="BodyText"/>
        <w:spacing w:line="480" w:lineRule="auto"/>
        <w:ind w:firstLine="720"/>
      </w:pPr>
      <w:r>
        <w:t xml:space="preserve">The acquisition-policy literature is comparatively thin but has begun to sharpen. The Buying Space report by Johnson and Daniels at CSIS provides one of the few sustained treatments of trends in United States SDA acquisition, surveying program activity and policy direction across the relevant DoD components</w:t>
      </w:r>
      <w:r>
        <w:t xml:space="preserve"> </w:t>
      </w:r>
      <w:hyperlink w:anchor="ref-21">
        <w:r>
          <w:rPr>
            <w:rStyle w:val="Hyperlink"/>
          </w:rPr>
          <w:t xml:space="preserve">[21]</w:t>
        </w:r>
      </w:hyperlink>
      <w:r>
        <w:t xml:space="preserve">. Harrison’s CSIS treatment of international perspectives on space weapons sits adjacent to this body of work and matters for the dissertation because anti-satellite testing is precisely the class of state-directed fragmentation event that the identification strategy must exclude from the instrument set on grounds of political endogeneity</w:t>
      </w:r>
      <w:r>
        <w:t xml:space="preserve"> </w:t>
      </w:r>
      <w:hyperlink w:anchor="ref-24">
        <w:r>
          <w:rPr>
            <w:rStyle w:val="Hyperlink"/>
          </w:rPr>
          <w:t xml:space="preserve">[24]</w:t>
        </w:r>
      </w:hyperlink>
      <w:r>
        <w:t xml:space="preserve">. Both contributions illustrate the policy register at its best: descriptive, well-sourced, and historically informed. Neither performs allocation econometrics.</w:t>
      </w:r>
    </w:p>
    <w:bookmarkEnd w:id="70"/>
    <w:bookmarkEnd w:id="71"/>
    <w:bookmarkStart w:id="72" w:name="Xca234c54bfe052ed3c188949c8a2544327e2c46"/>
    <w:p>
      <w:pPr>
        <w:pStyle w:val="Heading2"/>
        <w:spacing w:line="480" w:lineRule="auto"/>
      </w:pPr>
      <w:r>
        <w:t xml:space="preserve">2.3 Governance, Sustainability, and the Institutional Channel</w:t>
      </w:r>
    </w:p>
    <w:p>
      <w:pPr>
        <w:pStyle w:val="FirstParagraph"/>
        <w:spacing w:line="480" w:lineRule="auto"/>
      </w:pPr>
      <w:r>
        <w:t xml:space="preserve">A second body of work informs the dissertation indirectly by characterizing the institutional channels through which appropriations decisions for sensing capacity are conditioned. Stubbe’s account of the gradual approach toward space traffic management through UNISPACE+50 traces the deliberative pace at which international consensus accretes around STM rules, including the data and sensing requirements that any operative STM regime would impose</w:t>
      </w:r>
      <w:r>
        <w:t xml:space="preserve"> </w:t>
      </w:r>
      <w:hyperlink w:anchor="ref-10">
        <w:r>
          <w:rPr>
            <w:rStyle w:val="Hyperlink"/>
          </w:rPr>
          <w:t xml:space="preserve">[10]</w:t>
        </w:r>
      </w:hyperlink>
      <w:r>
        <w:t xml:space="preserve">. David and colleagues advance the incentive-based mechanism literature for space sustainability, proposing multi-stakeholder collaboration structures that, if operationalized, would create new constituencies and funding routes for sensing capacity</w:t>
      </w:r>
      <w:r>
        <w:t xml:space="preserve"> </w:t>
      </w:r>
      <w:hyperlink w:anchor="ref-11">
        <w:r>
          <w:rPr>
            <w:rStyle w:val="Hyperlink"/>
          </w:rPr>
          <w:t xml:space="preserve">[11]</w:t>
        </w:r>
      </w:hyperlink>
      <w:r>
        <w:t xml:space="preserve">. Anilkumar and colleagues extend the STM frame to cislunar and cismartian environments and identify the strategic frameworks within which next-generation sensing investment will be debated</w:t>
      </w:r>
      <w:r>
        <w:t xml:space="preserve"> </w:t>
      </w:r>
      <w:hyperlink w:anchor="ref-12">
        <w:r>
          <w:rPr>
            <w:rStyle w:val="Hyperlink"/>
          </w:rPr>
          <w:t xml:space="preserve">[12]</w:t>
        </w:r>
      </w:hyperlink>
      <w:r>
        <w:t xml:space="preserve">[36].</w:t>
      </w:r>
    </w:p>
    <w:p>
      <w:pPr>
        <w:pStyle w:val="BodyText"/>
        <w:spacing w:line="480" w:lineRule="auto"/>
        <w:ind w:firstLine="720"/>
      </w:pPr>
      <w:r>
        <w:t xml:space="preserve">The space-economy literature provides a more direct bridge to the funding question. The OCEA</w:t>
      </w:r>
      <w:r>
        <w:t xml:space="preserve"> </w:t>
      </w:r>
      <w:r>
        <w:t xml:space="preserve">“Forecasting the Space Economy”</w:t>
      </w:r>
      <w:r>
        <w:t xml:space="preserve"> </w:t>
      </w:r>
      <w:r>
        <w:t xml:space="preserve">treatment projects demand for SDA infrastructure as part of a coherent cislunar-traffic monitoring picture and treats SDA as identifiable infrastructure at specifiable technology-readiness levels requiring sustained public and commercial investment</w:t>
      </w:r>
      <w:r>
        <w:t xml:space="preserve"> </w:t>
      </w:r>
      <w:hyperlink w:anchor="ref-5">
        <w:r>
          <w:rPr>
            <w:rStyle w:val="Hyperlink"/>
          </w:rPr>
          <w:t xml:space="preserve">[5]</w:t>
        </w:r>
      </w:hyperlink>
      <w:r>
        <w:t xml:space="preserve">. The</w:t>
      </w:r>
      <w:r>
        <w:t xml:space="preserve"> </w:t>
      </w:r>
      <w:r>
        <w:t xml:space="preserve">“Space Imperative”</w:t>
      </w:r>
      <w:r>
        <w:t xml:space="preserve"> </w:t>
      </w:r>
      <w:r>
        <w:t xml:space="preserve">whole-of-nation treatment frames SDA within the broader posture of national space-economic strategy</w:t>
      </w:r>
      <w:r>
        <w:t xml:space="preserve"> </w:t>
      </w:r>
      <w:hyperlink w:anchor="ref-8">
        <w:r>
          <w:rPr>
            <w:rStyle w:val="Hyperlink"/>
          </w:rPr>
          <w:t xml:space="preserve">[8]</w:t>
        </w:r>
      </w:hyperlink>
      <w:r>
        <w:t xml:space="preserve">. The</w:t>
      </w:r>
      <w:r>
        <w:t xml:space="preserve"> </w:t>
      </w:r>
      <w:r>
        <w:t xml:space="preserve">“Architectural Socio-Technological Transformative Change of Space-Use Norms”</w:t>
      </w:r>
      <w:r>
        <w:t xml:space="preserve"> </w:t>
      </w:r>
      <w:r>
        <w:t xml:space="preserve">contribution makes explicit that architectural choices about sensing capacity rest on investment decisions taken by public or commercial sources whose preferences shape the pace and shape of the buildout</w:t>
      </w:r>
      <w:r>
        <w:t xml:space="preserve"> </w:t>
      </w:r>
      <w:hyperlink w:anchor="ref-7">
        <w:r>
          <w:rPr>
            <w:rStyle w:val="Hyperlink"/>
          </w:rPr>
          <w:t xml:space="preserve">[7]</w:t>
        </w:r>
      </w:hyperlink>
      <w:r>
        <w:t xml:space="preserve">[20]. Dorrington and Olsen’s parametric economic modeling of asteroid mining architectures, although focused on a different application, establishes the parametric-economic-modeling style that recurs across the space-architecture literature and that this dissertation’s supporting papers extend to sensing</w:t>
      </w:r>
      <w:r>
        <w:t xml:space="preserve"> </w:t>
      </w:r>
      <w:hyperlink w:anchor="ref-19">
        <w:r>
          <w:rPr>
            <w:rStyle w:val="Hyperlink"/>
          </w:rPr>
          <w:t xml:space="preserve">[19]</w:t>
        </w:r>
      </w:hyperlink>
      <w:r>
        <w:t xml:space="preserve">.</w:t>
      </w:r>
    </w:p>
    <w:p>
      <w:pPr>
        <w:pStyle w:val="BodyText"/>
        <w:spacing w:line="480" w:lineRule="auto"/>
        <w:ind w:firstLine="720"/>
      </w:pPr>
      <w:r>
        <w:t xml:space="preserve">Across these treatments a consistent posture emerges. The governance and economics literature reasons about future investment and about the design of incentive and rule structures that would condition it. It does not, with the notable exception of</w:t>
      </w:r>
      <w:r>
        <w:t xml:space="preserve"> </w:t>
      </w:r>
      <w:hyperlink w:anchor="ref-21">
        <w:r>
          <w:rPr>
            <w:rStyle w:val="Hyperlink"/>
          </w:rPr>
          <w:t xml:space="preserve">[21]</w:t>
        </w:r>
      </w:hyperlink>
      <w:r>
        <w:t xml:space="preserve">, estimate the historical determinants of realized sensor appropriations. The dissertation accepts the demand framing and the infrastructure framing offered by this literature and supplies the missing estimation step.</w:t>
      </w:r>
    </w:p>
    <w:bookmarkEnd w:id="72"/>
    <w:bookmarkStart w:id="73" w:name="Xaaea16d1d0e3136daf8e8565a09525bf219674e"/>
    <w:p>
      <w:pPr>
        <w:pStyle w:val="Heading2"/>
        <w:spacing w:line="480" w:lineRule="auto"/>
      </w:pPr>
      <w:r>
        <w:t xml:space="preserve">2.4 The Cliometric and Methodological Literature</w:t>
      </w:r>
    </w:p>
    <w:p>
      <w:pPr>
        <w:pStyle w:val="FirstParagraph"/>
        <w:spacing w:line="480" w:lineRule="auto"/>
      </w:pPr>
      <w:r>
        <w:t xml:space="preserve">The methodological literature the dissertation imports is, within the space-economics corpus accessible to this review, represented most directly by the parametric cost-modeling tradition exemplified in</w:t>
      </w:r>
      <w:r>
        <w:t xml:space="preserve"> </w:t>
      </w:r>
      <w:hyperlink w:anchor="ref-19">
        <w:r>
          <w:rPr>
            <w:rStyle w:val="Hyperlink"/>
          </w:rPr>
          <w:t xml:space="preserve">[19]</w:t>
        </w:r>
      </w:hyperlink>
      <w:r>
        <w:t xml:space="preserve"> </w:t>
      </w:r>
      <w:r>
        <w:t xml:space="preserve">and by the cost-and-performance comparative methodology embedded in</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 and</w:t>
      </w:r>
      <w:r>
        <w:t xml:space="preserve"> </w:t>
      </w:r>
      <w:hyperlink w:anchor="ref-18">
        <w:r>
          <w:rPr>
            <w:rStyle w:val="Hyperlink"/>
          </w:rPr>
          <w:t xml:space="preserve">[18]</w:t>
        </w:r>
      </w:hyperlink>
      <w:r>
        <w:t xml:space="preserve">. These contributions establish two methodological precedents that the dissertation builds upon.</w:t>
      </w:r>
    </w:p>
    <w:p>
      <w:pPr>
        <w:pStyle w:val="BodyText"/>
        <w:spacing w:line="480" w:lineRule="auto"/>
        <w:ind w:firstLine="720"/>
      </w:pPr>
      <w:r>
        <w:t xml:space="preserve">The first precedent is the log-linear cost estimating relationship. The CER tradition is implicit in much of the space-architecture comparative literature: cost-and-performance comparisons of GEO SSA architectures presuppose that capability scales with mass and aperture in regular ways</w:t>
      </w:r>
      <w:r>
        <w:t xml:space="preserve"> </w:t>
      </w:r>
      <w:hyperlink w:anchor="ref-13">
        <w:r>
          <w:rPr>
            <w:rStyle w:val="Hyperlink"/>
          </w:rPr>
          <w:t xml:space="preserve">[13]</w:t>
        </w:r>
      </w:hyperlink>
      <w:r>
        <w:t xml:space="preserve">[14], and sizing studies make the underlying physics explicit</w:t>
      </w:r>
      <w:r>
        <w:t xml:space="preserve"> </w:t>
      </w:r>
      <w:hyperlink w:anchor="ref-15">
        <w:r>
          <w:rPr>
            <w:rStyle w:val="Hyperlink"/>
          </w:rPr>
          <w:t xml:space="preserve">[15]</w:t>
        </w:r>
      </w:hyperlink>
      <w:r>
        <w:t xml:space="preserve">. Parametric economic modeling of space architectures of any kind, including asteroid-mining concepts, rests on the same functional logic</w:t>
      </w:r>
      <w:r>
        <w:t xml:space="preserve"> </w:t>
      </w:r>
      <w:hyperlink w:anchor="ref-19">
        <w:r>
          <w:rPr>
            <w:rStyle w:val="Hyperlink"/>
          </w:rPr>
          <w:t xml:space="preserve">[19]</w:t>
        </w:r>
      </w:hyperlink>
      <w:r>
        <w:t xml:space="preserve">. The first supporting paper of this dissertation extends this tradition by estimating a CER over a documented population of twenty-nine NASA and allied sensing missions and recovering a mass elasticity of about 0.85 with a partnership discount of about one-third. The estimated elasticity is consistent with the priors that the comparative-architecture literature has long maintained without estimating them.</w:t>
      </w:r>
    </w:p>
    <w:p>
      <w:pPr>
        <w:pStyle w:val="BodyText"/>
        <w:spacing w:line="480" w:lineRule="auto"/>
        <w:ind w:firstLine="720"/>
      </w:pPr>
      <w:r>
        <w:t xml:space="preserve">The second precedent is the cost-capability scaling law. Coder and Holzinger’s sizing of a Raven-class telescope using performance sensitivities is the canonical small-scale instance of the scaling-law approach in this corpus</w:t>
      </w:r>
      <w:r>
        <w:t xml:space="preserve"> </w:t>
      </w:r>
      <w:hyperlink w:anchor="ref-15">
        <w:r>
          <w:rPr>
            <w:rStyle w:val="Hyperlink"/>
          </w:rPr>
          <w:t xml:space="preserve">[15]</w:t>
        </w:r>
      </w:hyperlink>
      <w:r>
        <w:t xml:space="preserve">. Koblick and colleagues apply the same reasoning at the data-pipeline level</w:t>
      </w:r>
      <w:r>
        <w:t xml:space="preserve"> </w:t>
      </w:r>
      <w:hyperlink w:anchor="ref-17">
        <w:r>
          <w:rPr>
            <w:rStyle w:val="Hyperlink"/>
          </w:rPr>
          <w:t xml:space="preserve">[17]</w:t>
        </w:r>
      </w:hyperlink>
      <w:r>
        <w:t xml:space="preserve">. Dontigney and colleagues operationalize cost-capability tradeoffs at the network-design level</w:t>
      </w:r>
      <w:r>
        <w:t xml:space="preserve"> </w:t>
      </w:r>
      <w:hyperlink w:anchor="ref-18">
        <w:r>
          <w:rPr>
            <w:rStyle w:val="Hyperlink"/>
          </w:rPr>
          <w:t xml:space="preserve">[18]</w:t>
        </w:r>
      </w:hyperlink>
      <w:r>
        <w:t xml:space="preserve">. The second supporting paper extends this tradition by estimating a cost-capability elasticity of about 0.72 across twenty-four ground-based optical sensors, demonstrating that dedicated SSA assets and allied survey instruments lie along a single sub-proportional frontier rather than occupying separate cost regimes.</w:t>
      </w:r>
    </w:p>
    <w:p>
      <w:pPr>
        <w:pStyle w:val="BodyText"/>
        <w:spacing w:line="480" w:lineRule="auto"/>
        <w:ind w:firstLine="720"/>
      </w:pPr>
      <w:r>
        <w:t xml:space="preserve">The third methodological precedent, the panel estimation of allocation decisions in response to environmental shocks, is the one that the corpus accessible to this review does not directly supply. The dissertation must import it from the cliometric and applied-econometric tradition more broadly. The closest analogue within the corpus is the institutional-architecture reasoning that the space-economics treatments offer about how investment in sensing infrastructure responds to perceived risk and to whole-of-nation strategic priorities</w:t>
      </w:r>
      <w:r>
        <w:t xml:space="preserve"> </w:t>
      </w:r>
      <w:hyperlink w:anchor="ref-5">
        <w:r>
          <w:rPr>
            <w:rStyle w:val="Hyperlink"/>
          </w:rPr>
          <w:t xml:space="preserve">[5]</w:t>
        </w:r>
      </w:hyperlink>
      <w:r>
        <w:t xml:space="preserve">[7][8][20]. These contributions establish the qualitative theory that fragmentation-driven workload growth ought to translate into capacity investment; the dissertation operationalizes that theory in a dynamic panel specification and tests it.</w:t>
      </w:r>
    </w:p>
    <w:p>
      <w:pPr>
        <w:pStyle w:val="BodyText"/>
        <w:spacing w:line="480" w:lineRule="auto"/>
        <w:ind w:firstLine="720"/>
      </w:pPr>
      <w:r>
        <w:t xml:space="preserve">A further methodological building block is supplied by the SSR composite-indicator literature</w:t>
      </w:r>
      <w:r>
        <w:t xml:space="preserve"> </w:t>
      </w:r>
      <w:hyperlink w:anchor="ref-16">
        <w:r>
          <w:rPr>
            <w:rStyle w:val="Hyperlink"/>
          </w:rPr>
          <w:t xml:space="preserve">[16]</w:t>
        </w:r>
      </w:hyperlink>
      <w:r>
        <w:t xml:space="preserve">[33]. The construction of a composite indicator from heterogeneous underlying observations is a methodological analogue to the construction of the dependent variable in the dissertation panel, where line-item appropriations across multiple agencies and partners must be harmonized into a single sensing-funding series. The SSR work establishes the documentary standards for traceable composite construction that the dissertation will mirror in its replication appendix.</w:t>
      </w:r>
    </w:p>
    <w:bookmarkEnd w:id="73"/>
    <w:bookmarkStart w:id="74" w:name="X08d5cbbb473e31955d208569732057ec11bb2f4"/>
    <w:p>
      <w:pPr>
        <w:pStyle w:val="Heading2"/>
        <w:spacing w:line="480" w:lineRule="auto"/>
      </w:pPr>
      <w:r>
        <w:t xml:space="preserve">2.5 Synthesis: The Gap Between the Two Literatures</w:t>
      </w:r>
    </w:p>
    <w:p>
      <w:pPr>
        <w:pStyle w:val="FirstParagraph"/>
        <w:spacing w:line="480" w:lineRule="auto"/>
      </w:pPr>
      <w:r>
        <w:t xml:space="preserve">Reading the two literatures side by side surfaces the gap with unusual clarity. The engineering and tasking literature has matured to the point at which the demand for tracking and cataloging capacity, as a function of the resident space object population and of major catalog-disrupting events, can be characterized quantitatively in advance of any budget cycle</w:t>
      </w:r>
      <w:r>
        <w:t xml:space="preserve"> </w:t>
      </w:r>
      <w:hyperlink w:anchor="ref-2">
        <w:r>
          <w:rPr>
            <w:rStyle w:val="Hyperlink"/>
          </w:rPr>
          <w:t xml:space="preserve">[2]</w:t>
        </w:r>
      </w:hyperlink>
      <w:r>
        <w:t xml:space="preserve">[3][4][9][30][31][34][35]. The architecture and sizing literature has matured to the point at which the cost of supplying a given increment of sensing capability, as a function of physical design parameters, can be estimated as a stable elasticity</w:t>
      </w:r>
      <w:r>
        <w:t xml:space="preserve"> </w:t>
      </w:r>
      <w:hyperlink w:anchor="ref-13">
        <w:r>
          <w:rPr>
            <w:rStyle w:val="Hyperlink"/>
          </w:rPr>
          <w:t xml:space="preserve">[13]</w:t>
        </w:r>
      </w:hyperlink>
      <w:r>
        <w:t xml:space="preserve">[14][15][17][18], a result that the supporting papers of this dissertation confirm with current data. The governance and economics literature has matured to the point at which the institutional channels through which sensing investment is debated and the strategic justifications for that investment are explicit</w:t>
      </w:r>
      <w:r>
        <w:t xml:space="preserve"> </w:t>
      </w:r>
      <w:hyperlink w:anchor="ref-5">
        <w:r>
          <w:rPr>
            <w:rStyle w:val="Hyperlink"/>
          </w:rPr>
          <w:t xml:space="preserve">[5]</w:t>
        </w:r>
      </w:hyperlink>
      <w:r>
        <w:t xml:space="preserve">[7][8][10][11][12][20][36]. The acquisition-policy literature has begun to describe SDA acquisition trends in the United States with policy-grade rigor</w:t>
      </w:r>
      <w:r>
        <w:t xml:space="preserve"> </w:t>
      </w:r>
      <w:hyperlink w:anchor="ref-21">
        <w:r>
          <w:rPr>
            <w:rStyle w:val="Hyperlink"/>
          </w:rPr>
          <w:t xml:space="preserve">[21]</w:t>
        </w:r>
      </w:hyperlink>
      <w:r>
        <w:t xml:space="preserve"> </w:t>
      </w:r>
      <w:r>
        <w:t xml:space="preserve">and to articulate the alliance-economic logic of better leveraging international capabilities</w:t>
      </w:r>
      <w:r>
        <w:t xml:space="preserve"> </w:t>
      </w:r>
      <w:hyperlink w:anchor="ref-22">
        <w:r>
          <w:rPr>
            <w:rStyle w:val="Hyperlink"/>
          </w:rPr>
          <w:t xml:space="preserve">[22]</w:t>
        </w:r>
      </w:hyperlink>
      <w:r>
        <w:t xml:space="preserve">[23][24].</w:t>
      </w:r>
    </w:p>
    <w:p>
      <w:pPr>
        <w:pStyle w:val="BodyText"/>
        <w:spacing w:line="480" w:lineRule="auto"/>
        <w:ind w:firstLine="720"/>
      </w:pPr>
      <w:r>
        <w:t xml:space="preserve">Yet across all four sub-strands the same analytical step is absent. No contribution in the corpus reviewed estimates whether and at what lag the supply of sensing capacity, measured as funded appropriations and as the contributing-state contributions that augment them, responds to the catalog-disrupting shocks that the engineering literature identifies as the binding demand driver. The closest the literature comes is the qualitative observation that fragmentation events drive sensing demand</w:t>
      </w:r>
      <w:r>
        <w:t xml:space="preserve"> </w:t>
      </w:r>
      <w:hyperlink w:anchor="ref-9">
        <w:r>
          <w:rPr>
            <w:rStyle w:val="Hyperlink"/>
          </w:rPr>
          <w:t xml:space="preserve">[9]</w:t>
        </w:r>
      </w:hyperlink>
      <w:r>
        <w:t xml:space="preserve">[35] and the policy observation that SDA acquisition activity has trended in certain directions over recent years</w:t>
      </w:r>
      <w:r>
        <w:t xml:space="preserve"> </w:t>
      </w:r>
      <w:hyperlink w:anchor="ref-21">
        <w:r>
          <w:rPr>
            <w:rStyle w:val="Hyperlink"/>
          </w:rPr>
          <w:t xml:space="preserve">[21]</w:t>
        </w:r>
      </w:hyperlink>
      <w:r>
        <w:t xml:space="preserve">. The dissertation’s contribution is to close exactly this analytical step.</w:t>
      </w:r>
    </w:p>
    <w:p>
      <w:pPr>
        <w:pStyle w:val="BodyText"/>
        <w:spacing w:line="480" w:lineRule="auto"/>
        <w:ind w:firstLine="720"/>
      </w:pPr>
      <w:r>
        <w:t xml:space="preserve">Three features of the existing literature make the gap consequential rather than incidental. First, the engineering literature’s framing of sensor capacity as a constraint to be optimized against assumes that the constraint is set elsewhere by a process the engineering register does not analyze</w:t>
      </w:r>
      <w:r>
        <w:t xml:space="preserve"> </w:t>
      </w:r>
      <w:hyperlink w:anchor="ref-2">
        <w:r>
          <w:rPr>
            <w:rStyle w:val="Hyperlink"/>
          </w:rPr>
          <w:t xml:space="preserve">[2]</w:t>
        </w:r>
      </w:hyperlink>
      <w:r>
        <w:t xml:space="preserve">[3][4]; if that process is itself responsive to the same shocks the engineering literature uses as motivating examples, the constraint and the demand are co-determined, with implications for how the engineering optimization should itself be specified. Second, the governance literature’s reasoning about future incentive mechanisms and rule structures for space sustainability is unanchored from the realized history of how appropriators have responded to past shocks</w:t>
      </w:r>
      <w:r>
        <w:t xml:space="preserve"> </w:t>
      </w:r>
      <w:hyperlink w:anchor="ref-10">
        <w:r>
          <w:rPr>
            <w:rStyle w:val="Hyperlink"/>
          </w:rPr>
          <w:t xml:space="preserve">[10]</w:t>
        </w:r>
      </w:hyperlink>
      <w:r>
        <w:t xml:space="preserve">[11][12]; an estimate of that historical responsiveness is a precondition for designing mechanisms whose feasibility depends on what appropriators have demonstrably done. Third, the alliance-economic logic articulated in the partnering-not-bossing literature</w:t>
      </w:r>
      <w:r>
        <w:t xml:space="preserve"> </w:t>
      </w:r>
      <w:hyperlink w:anchor="ref-22">
        <w:r>
          <w:rPr>
            <w:rStyle w:val="Hyperlink"/>
          </w:rPr>
          <w:t xml:space="preserve">[22]</w:t>
        </w:r>
      </w:hyperlink>
      <w:r>
        <w:t xml:space="preserve"> </w:t>
      </w:r>
      <w:r>
        <w:t xml:space="preserve">and the EU-SST plan</w:t>
      </w:r>
      <w:r>
        <w:t xml:space="preserve"> </w:t>
      </w:r>
      <w:hyperlink w:anchor="ref-23">
        <w:r>
          <w:rPr>
            <w:rStyle w:val="Hyperlink"/>
          </w:rPr>
          <w:t xml:space="preserve">[23]</w:t>
        </w:r>
      </w:hyperlink>
      <w:r>
        <w:t xml:space="preserve"> </w:t>
      </w:r>
      <w:r>
        <w:t xml:space="preserve">presupposes an allocation function across allies whose empirical shape has not been recovered; the panel design proposed in Chapter 1 is the natural vehicle for that recovery.</w:t>
      </w:r>
    </w:p>
    <w:p>
      <w:pPr>
        <w:pStyle w:val="BodyText"/>
        <w:spacing w:line="480" w:lineRule="auto"/>
        <w:ind w:firstLine="720"/>
      </w:pPr>
      <w:r>
        <w:t xml:space="preserve">The gap is therefore methodological, substantive, and policy-relevant in a single integrated way. It is methodological because no application of dynamic panel estimation, event-study analysis, or staggered difference-in-differences design to the SSA/SDA sensing portfolio appears in the corpus. It is substantive because the central question of whether sensor funding is environment-responsive has not been answered in estimable form. It is policy-relevant because the answer conditions the design of sustainability mechanisms, the negotiation of allied burden-sharing arrangements, and the construction of internal cost-and-performance comparisons that the architecture literature already uses</w:t>
      </w:r>
      <w:r>
        <w:t xml:space="preserve"> </w:t>
      </w:r>
      <w:hyperlink w:anchor="ref-13">
        <w:r>
          <w:rPr>
            <w:rStyle w:val="Hyperlink"/>
          </w:rPr>
          <w:t xml:space="preserve">[13]</w:t>
        </w:r>
      </w:hyperlink>
      <w:r>
        <w:t xml:space="preserve">[14].</w:t>
      </w:r>
    </w:p>
    <w:bookmarkEnd w:id="74"/>
    <w:bookmarkStart w:id="75" w:name="where-the-dissertation-sits"/>
    <w:p>
      <w:pPr>
        <w:pStyle w:val="Heading2"/>
        <w:spacing w:line="480" w:lineRule="auto"/>
      </w:pPr>
      <w:r>
        <w:t xml:space="preserve">2.6 Where the Dissertation Sits</w:t>
      </w:r>
    </w:p>
    <w:p>
      <w:pPr>
        <w:pStyle w:val="FirstParagraph"/>
        <w:spacing w:line="480" w:lineRule="auto"/>
      </w:pPr>
      <w:r>
        <w:t xml:space="preserve">The dissertation occupies the intersection that the four sub-strands of the SSA/SDA literature collectively imply but none of them performs. From the engineering literature it takes the demand framing: catalog-disrupting events raise the cataloging workload, and the tasking and OD literatures supply the engineering proxy for the magnitude and time profile of that workload increase</w:t>
      </w:r>
      <w:r>
        <w:t xml:space="preserve"> </w:t>
      </w:r>
      <w:hyperlink w:anchor="ref-2">
        <w:r>
          <w:rPr>
            <w:rStyle w:val="Hyperlink"/>
          </w:rPr>
          <w:t xml:space="preserve">[2]</w:t>
        </w:r>
      </w:hyperlink>
      <w:r>
        <w:t xml:space="preserve">[3][4][9][30][31][35]. From the architecture and sizing literature it takes the supply framing: the cost of an additional increment of sensing capability is governed by stable elasticities across physical design parameters</w:t>
      </w:r>
      <w:r>
        <w:t xml:space="preserve"> </w:t>
      </w:r>
      <w:hyperlink w:anchor="ref-13">
        <w:r>
          <w:rPr>
            <w:rStyle w:val="Hyperlink"/>
          </w:rPr>
          <w:t xml:space="preserve">[13]</w:t>
        </w:r>
      </w:hyperlink>
      <w:r>
        <w:t xml:space="preserve">[14][15][18], elasticities that the supporting papers of this dissertation estimate at 0.85 for civil sensing missions on mass and 0.72 for ground-based optical sensors on collecting area. From the governance and economics literature it takes the institutional framing: appropriations decisions for sensing capacity are conditioned by strategic posture, by alliance arrangements, and by the slowly evolving consensus on the sustainability of the orbital environment</w:t>
      </w:r>
      <w:r>
        <w:t xml:space="preserve"> </w:t>
      </w:r>
      <w:hyperlink w:anchor="ref-5">
        <w:r>
          <w:rPr>
            <w:rStyle w:val="Hyperlink"/>
          </w:rPr>
          <w:t xml:space="preserve">[5]</w:t>
        </w:r>
      </w:hyperlink>
      <w:r>
        <w:t xml:space="preserve">[7][8][10][11][12][20][36]. From the alliance and acquisition literature it takes the panel structure: contributing-state appropriations across the Five Eyes alliance and across the EU-SST membership define the cross-section over which the dissertation will estimate the responsiveness of funding to fragmentation shocks</w:t>
      </w:r>
      <w:r>
        <w:t xml:space="preserve"> </w:t>
      </w:r>
      <w:hyperlink w:anchor="ref-6">
        <w:r>
          <w:rPr>
            <w:rStyle w:val="Hyperlink"/>
          </w:rPr>
          <w:t xml:space="preserve">[6]</w:t>
        </w:r>
      </w:hyperlink>
      <w:r>
        <w:t xml:space="preserve">[21][22][23][24][28].</w:t>
      </w:r>
    </w:p>
    <w:p>
      <w:pPr>
        <w:pStyle w:val="BodyText"/>
        <w:spacing w:line="480" w:lineRule="auto"/>
        <w:ind w:firstLine="720"/>
      </w:pPr>
      <w:r>
        <w:t xml:space="preserve">The cliometric apparatus the dissertation imports is the apparatus that adjacent infrastructure literatures have used for decades to estimate allocation responses to exogenous shocks. The decision to import that apparatus into the SSA/SDA sensing portfolio is the single methodological choice that defines the work. It is supported on the engineering side by the precision with which the demand shock can be specified</w:t>
      </w:r>
      <w:r>
        <w:t xml:space="preserve"> </w:t>
      </w:r>
      <w:hyperlink w:anchor="ref-9">
        <w:r>
          <w:rPr>
            <w:rStyle w:val="Hyperlink"/>
          </w:rPr>
          <w:t xml:space="preserve">[9]</w:t>
        </w:r>
      </w:hyperlink>
      <w:r>
        <w:t xml:space="preserve">[29][30][31][34][35], on the cost side by the precision with which the supply-side elasticities have been estimated in the supporting papers and anticipated in the comparative-architecture literature</w:t>
      </w:r>
      <w:r>
        <w:t xml:space="preserve"> </w:t>
      </w:r>
      <w:hyperlink w:anchor="ref-13">
        <w:r>
          <w:rPr>
            <w:rStyle w:val="Hyperlink"/>
          </w:rPr>
          <w:t xml:space="preserve">[13]</w:t>
        </w:r>
      </w:hyperlink>
      <w:r>
        <w:t xml:space="preserve">[14][15][18][19], and on the policy side by the explicit framings of sensing capacity as public capital whose unit cost falls as the sensing base expands</w:t>
      </w:r>
      <w:r>
        <w:t xml:space="preserve"> </w:t>
      </w:r>
      <w:hyperlink w:anchor="ref-5">
        <w:r>
          <w:rPr>
            <w:rStyle w:val="Hyperlink"/>
          </w:rPr>
          <w:t xml:space="preserve">[5]</w:t>
        </w:r>
      </w:hyperlink>
      <w:r>
        <w:t xml:space="preserve">[7][8][20].</w:t>
      </w:r>
    </w:p>
    <w:p>
      <w:pPr>
        <w:pStyle w:val="BodyText"/>
        <w:spacing w:line="480" w:lineRule="auto"/>
        <w:ind w:firstLine="720"/>
      </w:pPr>
      <w:r>
        <w:t xml:space="preserve">The result of this positioning is that the dissertation’s single falsifiable contribution, the test of whether observed orbital-population shocks produce a measurable lagged increase in sensor-tasking and cataloging capacity funding, occupies a position in the literature that is at once unoccupied and well prepared. It is unoccupied because no panel estimation of SSA/SDA sensor funding against fragmentation-event shocks has been performed in the corpus reviewed. It is well prepared because the engineering literature has specified the demand series, the architecture literature has specified the supply-side elasticities, the governance literature has specified the institutional channels, and the alliance literature has specified the cross-section. What remains is the estimation. Chapter 3 turns to the data and methods through which that estimation will be conducted.</w:t>
      </w:r>
    </w:p>
    <w:bookmarkEnd w:id="75"/>
    <w:bookmarkEnd w:id="76"/>
    <w:bookmarkStart w:id="84" w:name="Xcfcc00a3ded59aed0c781c16bfc121f2a509603"/>
    <w:p>
      <w:pPr>
        <w:pStyle w:val="Heading1"/>
        <w:spacing w:line="480" w:lineRule="auto"/>
      </w:pPr>
      <w:r>
        <w:t xml:space="preserve">Chapter 3. Theoretical Framework and Hypotheses</w:t>
      </w:r>
    </w:p>
    <w:bookmarkStart w:id="77" w:name="purpose-of-the-chapter"/>
    <w:p>
      <w:pPr>
        <w:pStyle w:val="Heading2"/>
        <w:spacing w:line="480" w:lineRule="auto"/>
      </w:pPr>
      <w:r>
        <w:t xml:space="preserve">3.1 Purpose of the Chapter</w:t>
      </w:r>
    </w:p>
    <w:p>
      <w:pPr>
        <w:pStyle w:val="FirstParagraph"/>
        <w:spacing w:line="480" w:lineRule="auto"/>
      </w:pPr>
      <w:r>
        <w:t xml:space="preserve">The two preceding chapters established the substantive and empirical setting in which this dissertation operates. Chapter 1 framed the sensing layer that underwrites space situational awareness and space domain awareness as a depreciating public capital stock whose recapitalization competes for appropriations against missions with more visible constituencies. Chapter 2 surveyed the engineering, governance, and economics literatures that have, in their respective registers, characterized the sensors, the institutional architecture, and the demand projections, but have not jointly produced an econometric model of how those sensor budgets are actually set over time. The task of this chapter is to convert that observed gap into a theoretical mechanism precise enough to generate a falsifiable test.</w:t>
      </w:r>
    </w:p>
    <w:p>
      <w:pPr>
        <w:pStyle w:val="BodyText"/>
        <w:spacing w:line="480" w:lineRule="auto"/>
        <w:ind w:firstLine="720"/>
      </w:pPr>
      <w:r>
        <w:t xml:space="preserve">The chapter does three things. First, it specifies the theoretical mechanism that links the orbital environment to the appropriations process through a chain of demand, capacity, and institutional response. Second, it articulates the causal logic of that mechanism in a form that makes the direction, magnitude, and timing of the predicted response explicit. Third, it states the null and alternative hypotheses, H0 and H1, that the empirical chapters will test, and it identifies the estimand on which inference will turn. Throughout, the framework is constructed from primitives already documented in the literature pool, so that every theoretical move can be traced back to an engineering, governance, or economic source.</w:t>
      </w:r>
    </w:p>
    <w:bookmarkEnd w:id="77"/>
    <w:bookmarkStart w:id="78" w:name="conceptual-primitives"/>
    <w:p>
      <w:pPr>
        <w:pStyle w:val="Heading2"/>
        <w:spacing w:line="480" w:lineRule="auto"/>
      </w:pPr>
      <w:r>
        <w:t xml:space="preserve">3.2 Conceptual Primitives</w:t>
      </w:r>
    </w:p>
    <w:p>
      <w:pPr>
        <w:pStyle w:val="FirstParagraph"/>
        <w:spacing w:line="480" w:lineRule="auto"/>
      </w:pPr>
      <w:r>
        <w:t xml:space="preserve">Four primitives are needed to construct the mechanism. Each is taken from the literature reviewed in Chapter 2 and is treated as established background rather than as a claim under test.</w:t>
      </w:r>
    </w:p>
    <w:p>
      <w:pPr>
        <w:pStyle w:val="BodyText"/>
        <w:spacing w:line="480" w:lineRule="auto"/>
        <w:ind w:firstLine="720"/>
      </w:pPr>
      <w:r>
        <w:t xml:space="preserve">The first primitive is that the sensing layer is a network of dedicated and contributing sensors whose joint output is a catalog of resident space objects and a conjunction-screening service. The architecture is documented at the engineering level: contributing-sensor arrangements feed the Space Surveillance Network, allied research collaborations such as the Five Eyes program coordinate observation across national assets, and future architectures incorporate hosted payloads on partner platforms whose cost and performance are explicitly traded against ground-based alternatives</w:t>
      </w:r>
      <w:r>
        <w:t xml:space="preserve"> </w:t>
      </w:r>
      <w:hyperlink w:anchor="ref-1">
        <w:r>
          <w:rPr>
            <w:rStyle w:val="Hyperlink"/>
          </w:rPr>
          <w:t xml:space="preserve">[1]</w:t>
        </w:r>
      </w:hyperlink>
      <w:r>
        <w:t xml:space="preserve">[6]. The sensing layer is, in other words, a network whose membership and configuration are themselves objects of policy choice, not a fixed background.</w:t>
      </w:r>
    </w:p>
    <w:p>
      <w:pPr>
        <w:pStyle w:val="BodyText"/>
        <w:spacing w:line="480" w:lineRule="auto"/>
        <w:ind w:firstLine="720"/>
      </w:pPr>
      <w:r>
        <w:t xml:space="preserve">The second primitive is that this network has finite tasking capacity. Capacity is not a vague metaphor for</w:t>
      </w:r>
      <w:r>
        <w:t xml:space="preserve"> </w:t>
      </w:r>
      <w:r>
        <w:t xml:space="preserve">“budget”</w:t>
      </w:r>
      <w:r>
        <w:t xml:space="preserve"> </w:t>
      </w:r>
      <w:r>
        <w:t xml:space="preserve">but a measurable engineering quantity: the number of objects that can be observed at the required revisit rate, the latency between observation and updated state, and the marginal cost of adding a tracked object to the catalog. The mature literature on sensor tasking for geosynchronous catalog maintenance treats capacity precisely in these terms, comparing heuristic and optimization-based strategies on their ability to maintain custody of a fixed catalog under a fixed sensor allocation</w:t>
      </w:r>
      <w:r>
        <w:t xml:space="preserve"> </w:t>
      </w:r>
      <w:hyperlink w:anchor="ref-2">
        <w:r>
          <w:rPr>
            <w:rStyle w:val="Hyperlink"/>
          </w:rPr>
          <w:t xml:space="preserve">[2]</w:t>
        </w:r>
      </w:hyperlink>
      <w:r>
        <w:t xml:space="preserve">[3]. Survey treatments of orbit determination for space situational awareness make the same point at the system level: performance is bounded by the joint envelope of sensor count, geometry, and computational throughput</w:t>
      </w:r>
      <w:r>
        <w:t xml:space="preserve"> </w:t>
      </w:r>
      <w:hyperlink w:anchor="ref-4">
        <w:r>
          <w:rPr>
            <w:rStyle w:val="Hyperlink"/>
          </w:rPr>
          <w:t xml:space="preserve">[4]</w:t>
        </w:r>
      </w:hyperlink>
      <w:r>
        <w:t xml:space="preserve">. Capacity, therefore, is a real constraint that binds whenever the cataloged population grows or the required quality of the catalog tightens.</w:t>
      </w:r>
    </w:p>
    <w:p>
      <w:pPr>
        <w:pStyle w:val="BodyText"/>
        <w:spacing w:line="480" w:lineRule="auto"/>
        <w:ind w:firstLine="720"/>
      </w:pPr>
      <w:r>
        <w:t xml:space="preserve">The third primitive is that the demand placed on this finite capacity is driven by the resident-space-object population and, in particular, by the events that suddenly enlarge or perturb it. Fragmentation events, whether from collisions, anti-satellite tests, or on-orbit battery and propulsion breakups, generate clouds of new tracked objects, each of which then competes for sensor time across the catalog-maintenance, conjunction-screening, and characterization missions. Wide-eye narrow-eye simulation tools that model the surveillance enterprise treat fragmentation precisely as a shock to the workload absorbed by the sensing system</w:t>
      </w:r>
      <w:r>
        <w:t xml:space="preserve"> </w:t>
      </w:r>
      <w:hyperlink w:anchor="ref-9">
        <w:r>
          <w:rPr>
            <w:rStyle w:val="Hyperlink"/>
          </w:rPr>
          <w:t xml:space="preserve">[9]</w:t>
        </w:r>
      </w:hyperlink>
      <w:r>
        <w:t xml:space="preserve">. Architectural studies of space traffic management and collision avoidance reach the same conclusion from the policy side: the demand for screening services rises in step with the size and complexity of the tracked population, and improvements to collision-avoidance protocols themselves presume a sensing layer capable of supporting them</w:t>
      </w:r>
      <w:r>
        <w:t xml:space="preserve"> </w:t>
      </w:r>
      <w:hyperlink w:anchor="ref-35">
        <w:r>
          <w:rPr>
            <w:rStyle w:val="Hyperlink"/>
          </w:rPr>
          <w:t xml:space="preserve">[35]</w:t>
        </w:r>
      </w:hyperlink>
      <w:r>
        <w:t xml:space="preserve">. Recent design work on dedicated optical constellations for low-Earth-orbit coverage is motivated explicitly by the gap between the existing sensing capacity and the population it is asked to track</w:t>
      </w:r>
      <w:r>
        <w:t xml:space="preserve"> </w:t>
      </w:r>
      <w:hyperlink w:anchor="ref-31">
        <w:r>
          <w:rPr>
            <w:rStyle w:val="Hyperlink"/>
          </w:rPr>
          <w:t xml:space="preserve">[31]</w:t>
        </w:r>
      </w:hyperlink>
      <w:r>
        <w:t xml:space="preserve">.</w:t>
      </w:r>
    </w:p>
    <w:p>
      <w:pPr>
        <w:pStyle w:val="BodyText"/>
        <w:spacing w:line="480" w:lineRule="auto"/>
        <w:ind w:firstLine="720"/>
      </w:pPr>
      <w:r>
        <w:t xml:space="preserve">The fourth primitive is that the funding of this sensing layer is itself a budgeted public-capital decision rather than an automatic operating expense. The space-economics literature now treats space domain awareness for cislunar traffic and threat monitoring as infrastructure at identifiable technology-readiness levels requiring sustained public and commercial investment</w:t>
      </w:r>
      <w:r>
        <w:t xml:space="preserve"> </w:t>
      </w:r>
      <w:hyperlink w:anchor="ref-5">
        <w:r>
          <w:rPr>
            <w:rStyle w:val="Hyperlink"/>
          </w:rPr>
          <w:t xml:space="preserve">[5]</w:t>
        </w:r>
      </w:hyperlink>
      <w:r>
        <w:t xml:space="preserve">[8]. Architectural analyses of evolving space-use norms frame the underlying problem as one of supporting investment decisions by public or commercial sources</w:t>
      </w:r>
      <w:r>
        <w:t xml:space="preserve"> </w:t>
      </w:r>
      <w:hyperlink w:anchor="ref-7">
        <w:r>
          <w:rPr>
            <w:rStyle w:val="Hyperlink"/>
          </w:rPr>
          <w:t xml:space="preserve">[7]</w:t>
        </w:r>
      </w:hyperlink>
      <w:r>
        <w:t xml:space="preserve">. The space-sustainability-rating literature operationalizes the same idea by linking observable indicators of the orbital environment to incentive structures intended to channel investment</w:t>
      </w:r>
      <w:r>
        <w:t xml:space="preserve"> </w:t>
      </w:r>
      <w:hyperlink w:anchor="ref-16">
        <w:r>
          <w:rPr>
            <w:rStyle w:val="Hyperlink"/>
          </w:rPr>
          <w:t xml:space="preserve">[16]</w:t>
        </w:r>
      </w:hyperlink>
      <w:r>
        <w:t xml:space="preserve">[33]. Acquisition-focused policy work documents the United States approach to space domain awareness procurement as a sequence of discrete capital decisions with identifiable program lines, and complementary work argues for better leveraging of allied capabilities to defray those decisions</w:t>
      </w:r>
      <w:r>
        <w:t xml:space="preserve"> </w:t>
      </w:r>
      <w:hyperlink w:anchor="ref-21">
        <w:r>
          <w:rPr>
            <w:rStyle w:val="Hyperlink"/>
          </w:rPr>
          <w:t xml:space="preserve">[21]</w:t>
        </w:r>
      </w:hyperlink>
      <w:r>
        <w:t xml:space="preserve">[22]. Closing the loop, European Union Space Surveillance and Tracking has been formalized through a published research and development plan, demonstrating that allied sensor funding is itself an explicit object of multi-year budget planning</w:t>
      </w:r>
      <w:r>
        <w:t xml:space="preserve"> </w:t>
      </w:r>
      <w:hyperlink w:anchor="ref-23">
        <w:r>
          <w:rPr>
            <w:rStyle w:val="Hyperlink"/>
          </w:rPr>
          <w:t xml:space="preserve">[23]</w:t>
        </w:r>
      </w:hyperlink>
      <w:r>
        <w:t xml:space="preserve">. The funding of the sensing layer is therefore not exogenous to the rest of the system; it is a decision variable, set by appropriators against competing claims, whose history can be observed.</w:t>
      </w:r>
    </w:p>
    <w:p>
      <w:pPr>
        <w:pStyle w:val="BodyText"/>
        <w:spacing w:line="480" w:lineRule="auto"/>
        <w:ind w:firstLine="720"/>
      </w:pPr>
      <w:r>
        <w:t xml:space="preserve">These four primitives, taken together, define the field in which the theoretical mechanism operates. The network exists, its capacity is bounded, the environment shocks its workload, and its funding is decided by appropriators who can in principle observe the shocks.</w:t>
      </w:r>
    </w:p>
    <w:bookmarkEnd w:id="78"/>
    <w:bookmarkStart w:id="79" w:name="the-theoretical-mechanism"/>
    <w:p>
      <w:pPr>
        <w:pStyle w:val="Heading2"/>
        <w:spacing w:line="480" w:lineRule="auto"/>
      </w:pPr>
      <w:r>
        <w:t xml:space="preserve">3.3 The Theoretical Mechanism</w:t>
      </w:r>
    </w:p>
    <w:p>
      <w:pPr>
        <w:pStyle w:val="FirstParagraph"/>
        <w:spacing w:line="480" w:lineRule="auto"/>
      </w:pPr>
      <w:r>
        <w:t xml:space="preserve">The mechanism this dissertation tests is a chain that runs from the orbital environment to the appropriations ledger in four sequential steps. Each step is necessary for the next; the chain breaks if any step fails, and the empirical implication of that breakage is what the null hypothesis captures.</w:t>
      </w:r>
    </w:p>
    <w:p>
      <w:pPr>
        <w:pStyle w:val="BodyText"/>
        <w:spacing w:line="480" w:lineRule="auto"/>
        <w:ind w:firstLine="720"/>
      </w:pPr>
      <w:r>
        <w:t xml:space="preserve">Step one is the environmental shock. A fragmentation or major-conjunction event occurs at a date set by physics, intent, or accident, not by the budget calendar. The catalog of tracked objects expands; the conjunction-screening workload rises; the residual lifetime of the affected orbital regime falls. The plausibility of treating the timing of fragmentation as exogenous to the appropriations cycle rests on the physical and operational origins of these events, documented in the fragmentation-history record and reinforced by recent work on space-based debris-trajectory estimation that treats the production of new tracked objects as an engineering problem rather than a budget problem</w:t>
      </w:r>
      <w:r>
        <w:t xml:space="preserve"> </w:t>
      </w:r>
      <w:hyperlink w:anchor="ref-29">
        <w:r>
          <w:rPr>
            <w:rStyle w:val="Hyperlink"/>
          </w:rPr>
          <w:t xml:space="preserve">[29]</w:t>
        </w:r>
      </w:hyperlink>
      <w:r>
        <w:t xml:space="preserve">.</w:t>
      </w:r>
    </w:p>
    <w:p>
      <w:pPr>
        <w:pStyle w:val="BodyText"/>
        <w:spacing w:line="480" w:lineRule="auto"/>
        <w:ind w:firstLine="720"/>
      </w:pPr>
      <w:r>
        <w:t xml:space="preserve">Step two is the propagation of that shock into measurable demand on the sensing layer. The expanded catalog must be observed, characterized, and propagated; the conjunction screen must be re-run against the enlarged population; the latency between observation and updated state must be maintained or recovered. The sensor-tasking literature is explicit that these requirements translate directly into observation-time demand, and that the marginal cost of adding objects to a maintained catalog is measurable rather than nominal</w:t>
      </w:r>
      <w:r>
        <w:t xml:space="preserve"> </w:t>
      </w:r>
      <w:hyperlink w:anchor="ref-2">
        <w:r>
          <w:rPr>
            <w:rStyle w:val="Hyperlink"/>
          </w:rPr>
          <w:t xml:space="preserve">[2]</w:t>
        </w:r>
      </w:hyperlink>
      <w:r>
        <w:t xml:space="preserve">[3][4]. Recent operations-focused work on precise in-orbit collision prediction makes the same point at the mission-operations level: the environment-surveillance workload is bounded by what the sensing system can be commanded to do</w:t>
      </w:r>
      <w:r>
        <w:t xml:space="preserve"> </w:t>
      </w:r>
      <w:hyperlink w:anchor="ref-34">
        <w:r>
          <w:rPr>
            <w:rStyle w:val="Hyperlink"/>
          </w:rPr>
          <w:t xml:space="preserve">[34]</w:t>
        </w:r>
      </w:hyperlink>
      <w:r>
        <w:t xml:space="preserve">. The shock therefore produces a definite, engineering-quantifiable load on the existing capacity.</w:t>
      </w:r>
    </w:p>
    <w:p>
      <w:pPr>
        <w:pStyle w:val="BodyText"/>
        <w:spacing w:line="480" w:lineRule="auto"/>
        <w:ind w:firstLine="720"/>
      </w:pPr>
      <w:r>
        <w:t xml:space="preserve">Step three is the institutional translation of demand pressure into a budget signal. Capacity that is exceeded does not silently degrade; it produces operational evidence in the form of missed conjunctions, late catalog updates, increased uncertainty bounds on state vectors, and the documented inability of existing sensors to track newly relevant regimes. Architectural studies of the Space Surveillance Network treat this evidence as the input to network-design decisions, weighing acquisition, operation, and maintenance costs against coverage objectives</w:t>
      </w:r>
      <w:r>
        <w:t xml:space="preserve"> </w:t>
      </w:r>
      <w:hyperlink w:anchor="ref-18">
        <w:r>
          <w:rPr>
            <w:rStyle w:val="Hyperlink"/>
          </w:rPr>
          <w:t xml:space="preserve">[18]</w:t>
        </w:r>
      </w:hyperlink>
      <w:r>
        <w:t xml:space="preserve">. Studies of contributing optical sensor data fusion document the institutional channels through which capacity gaps surface and are addressed</w:t>
      </w:r>
      <w:r>
        <w:t xml:space="preserve"> </w:t>
      </w:r>
      <w:hyperlink w:anchor="ref-17">
        <w:r>
          <w:rPr>
            <w:rStyle w:val="Hyperlink"/>
          </w:rPr>
          <w:t xml:space="preserve">[17]</w:t>
        </w:r>
      </w:hyperlink>
      <w:r>
        <w:t xml:space="preserve">. Decision-support architectures for the supervision of commercial in-space servicing demonstrate that capacity pressure now propagates into formal decision-support processes rather than remaining inside operations centers</w:t>
      </w:r>
      <w:r>
        <w:t xml:space="preserve"> </w:t>
      </w:r>
      <w:hyperlink w:anchor="ref-32">
        <w:r>
          <w:rPr>
            <w:rStyle w:val="Hyperlink"/>
          </w:rPr>
          <w:t xml:space="preserve">[32]</w:t>
        </w:r>
      </w:hyperlink>
      <w:r>
        <w:t xml:space="preserve">. The signal that reaches appropriators is therefore not a raw stream of physical events; it is a structured set of capacity-gap claims with institutional sponsors.</w:t>
      </w:r>
    </w:p>
    <w:p>
      <w:pPr>
        <w:pStyle w:val="BodyText"/>
        <w:spacing w:line="480" w:lineRule="auto"/>
        <w:ind w:firstLine="720"/>
      </w:pPr>
      <w:r>
        <w:t xml:space="preserve">Step four is the appropriations response. Appropriators face budgetary inertia: most of any given year’s appropriation is determined by the previous year’s appropriation, and only a fraction is genuinely available for reallocation. The Center for Strategic and International Studies analysis of United States space domain awareness acquisition documents the slow, multi-year cadence of this process</w:t>
      </w:r>
      <w:r>
        <w:t xml:space="preserve"> </w:t>
      </w:r>
      <w:hyperlink w:anchor="ref-21">
        <w:r>
          <w:rPr>
            <w:rStyle w:val="Hyperlink"/>
          </w:rPr>
          <w:t xml:space="preserve">[21]</w:t>
        </w:r>
      </w:hyperlink>
      <w:r>
        <w:t xml:space="preserve">; international perspectives on space weapons and the broader strategic framing of the domain show that the appropriations response is filtered through institutional priorities that change only gradually</w:t>
      </w:r>
      <w:r>
        <w:t xml:space="preserve"> </w:t>
      </w:r>
      <w:hyperlink w:anchor="ref-24">
        <w:r>
          <w:rPr>
            <w:rStyle w:val="Hyperlink"/>
          </w:rPr>
          <w:t xml:space="preserve">[24]</w:t>
        </w:r>
      </w:hyperlink>
      <w:r>
        <w:t xml:space="preserve">. Yet the same literature recognizes that exogenous shocks can break inertia, particularly when the shock generates politically salient operational evidence that aligns with existing capacity-gap claims. The expected response, conditional on inertia, is therefore a positive but delayed adjustment to the sensor-funding line, with the lag set by the appropriations calendar and the magnitude bounded by the share of the budget available for reallocation.</w:t>
      </w:r>
    </w:p>
    <w:p>
      <w:pPr>
        <w:pStyle w:val="BodyText"/>
        <w:spacing w:line="480" w:lineRule="auto"/>
        <w:ind w:firstLine="720"/>
      </w:pPr>
      <w:r>
        <w:t xml:space="preserve">The four steps form a single mechanism: environmental shock generates demand, demand exposes capacity gaps, capacity gaps surface as institutional signals, and signals shift appropriations with a characteristic lag. The mechanism is testable because each step leaves observable traces and because the final step produces a time series, the sensor-funding line, that can be regressed on the initiating shock.</w:t>
      </w:r>
    </w:p>
    <w:bookmarkEnd w:id="79"/>
    <w:bookmarkStart w:id="80" w:name="X0d21746da331c32a9c0c2eed44182834cdf5f04"/>
    <w:p>
      <w:pPr>
        <w:pStyle w:val="Heading2"/>
        <w:spacing w:line="480" w:lineRule="auto"/>
      </w:pPr>
      <w:r>
        <w:t xml:space="preserve">3.4 Causal Logic and the Direction of the Predicted Effect</w:t>
      </w:r>
    </w:p>
    <w:p>
      <w:pPr>
        <w:pStyle w:val="FirstParagraph"/>
        <w:spacing w:line="480" w:lineRule="auto"/>
      </w:pPr>
      <w:r>
        <w:t xml:space="preserve">The mechanism above makes three causal claims that the empirical work must take seriously. Each is stated in a form that yields a directional prediction.</w:t>
      </w:r>
    </w:p>
    <w:p>
      <w:pPr>
        <w:pStyle w:val="BodyText"/>
        <w:spacing w:line="480" w:lineRule="auto"/>
        <w:ind w:firstLine="720"/>
      </w:pPr>
      <w:r>
        <w:t xml:space="preserve">The first claim is monotonicity in the shock. Larger fragmentation events, measured by tracked-object counts produced, place greater demand on capacity and therefore generate stronger institutional signals than smaller events. The prediction is that the magnitude of the funding response should rise with the magnitude of the shock, not merely its occurrence. This rules out a purely symbolic response in which any breakup triggers the same response, and it generates a falsifiable feature of the data: the estimated coefficient on a continuous fragmentation-shock measure should exceed the estimated coefficient on a binary occurrence indicator, and the two should be jointly estimable.</w:t>
      </w:r>
    </w:p>
    <w:p>
      <w:pPr>
        <w:pStyle w:val="BodyText"/>
        <w:spacing w:line="480" w:lineRule="auto"/>
        <w:ind w:firstLine="720"/>
      </w:pPr>
      <w:r>
        <w:t xml:space="preserve">The second claim concerns the sign of the response. Under the mechanism, the sign is unambiguously positive. Environmental shocks raise the demand for sensing, expose capacity gaps, and generate institutional pressure to fund additional capacity. A negative response, in which fragmentation events reduce subsequent sensor funding, is theoretically possible only under perverse mechanisms (for example, if appropriators interpret a fragmentation as evidence of futility) and is not supported by the literature. A precisely estimated negative coefficient would therefore not merely fail to confirm H1; it would refute the mechanism itself.</w:t>
      </w:r>
    </w:p>
    <w:p>
      <w:pPr>
        <w:pStyle w:val="BodyText"/>
        <w:spacing w:line="480" w:lineRule="auto"/>
        <w:ind w:firstLine="720"/>
      </w:pPr>
      <w:r>
        <w:t xml:space="preserve">The third claim is the lag profile. Appropriations cycles in the United States and allied contributing states operate on annual or multi-year calendars, with budget requests prepared roughly a year before enactment and execution stretching further still. The expected lag between a fragmentation shock and a measurable funding response is therefore not zero and not very long; it is concentrated in the one-to-three-year window that corresponds to the time required for the institutional signal to be assembled, transmitted, and acted upon. The lag profile is itself a falsifiable feature of the prediction: a response concentrated entirely at lag zero would contradict the appropriations-calendar logic of the mechanism, while a response only at very long lags would suggest that something other than the proposed mechanism is operating.</w:t>
      </w:r>
    </w:p>
    <w:p>
      <w:pPr>
        <w:pStyle w:val="BodyText"/>
        <w:spacing w:line="480" w:lineRule="auto"/>
        <w:ind w:firstLine="720"/>
      </w:pPr>
      <w:r>
        <w:t xml:space="preserve">The causal logic also identifies the conditions under which the mechanism would not produce a measurable response. There are three such conditions, and each defines a way for H1 to fail empirically without the underlying intuition being wrong. First, if the inertia of the appropriations process is sufficiently strong, the share of the budget available for reallocation may be smaller than the typical shock magnitude, and the response will be statistically indistinguishable from zero even though the mechanism is operating in principle. Second, if institutional signals are filtered through priorities sufficiently misaligned with sensor-funding decisions, the chain may break at step three: capacity gaps may be acknowledged but not funded. Third, if appropriators interpret allied sensing capacity as a substitute for domestic capacity, the response in the United States series may be absorbed by reallocations to allied contributing programs that are not captured by the dependent variable as defined.</w:t>
      </w:r>
    </w:p>
    <w:p>
      <w:pPr>
        <w:pStyle w:val="BodyText"/>
        <w:spacing w:line="480" w:lineRule="auto"/>
        <w:ind w:firstLine="720"/>
      </w:pPr>
      <w:r>
        <w:t xml:space="preserve">These failure modes are not threats to validity in the narrow econometric sense; they are theoretical alternatives whose plausibility is bounded by the literature itself. The acquisition literature documents real, though slow, reallocations in response to capacity claims</w:t>
      </w:r>
      <w:r>
        <w:t xml:space="preserve"> </w:t>
      </w:r>
      <w:hyperlink w:anchor="ref-21">
        <w:r>
          <w:rPr>
            <w:rStyle w:val="Hyperlink"/>
          </w:rPr>
          <w:t xml:space="preserve">[21]</w:t>
        </w:r>
      </w:hyperlink>
      <w:r>
        <w:t xml:space="preserve">; the partnering literature documents real, though imperfect, treatment of allied capacity as complementary rather than substitutional</w:t>
      </w:r>
      <w:r>
        <w:t xml:space="preserve"> </w:t>
      </w:r>
      <w:hyperlink w:anchor="ref-22">
        <w:r>
          <w:rPr>
            <w:rStyle w:val="Hyperlink"/>
          </w:rPr>
          <w:t xml:space="preserve">[22]</w:t>
        </w:r>
      </w:hyperlink>
      <w:r>
        <w:t xml:space="preserve">; and the architectural literature documents the institutional channels through which signals propagate</w:t>
      </w:r>
      <w:r>
        <w:t xml:space="preserve"> </w:t>
      </w:r>
      <w:hyperlink w:anchor="ref-17">
        <w:r>
          <w:rPr>
            <w:rStyle w:val="Hyperlink"/>
          </w:rPr>
          <w:t xml:space="preserve">[17]</w:t>
        </w:r>
      </w:hyperlink>
      <w:r>
        <w:t xml:space="preserve">[18][32]. The mechanism is therefore expected to produce a measurable, lagged, positive response, and the empirical work will test whether it does.</w:t>
      </w:r>
    </w:p>
    <w:bookmarkEnd w:id="80"/>
    <w:bookmarkStart w:id="81" w:name="formal-hypotheses"/>
    <w:p>
      <w:pPr>
        <w:pStyle w:val="Heading2"/>
        <w:spacing w:line="480" w:lineRule="auto"/>
      </w:pPr>
      <w:r>
        <w:t xml:space="preserve">3.5 Formal Hypotheses</w:t>
      </w:r>
    </w:p>
    <w:p>
      <w:pPr>
        <w:pStyle w:val="FirstParagraph"/>
        <w:spacing w:line="480" w:lineRule="auto"/>
      </w:pPr>
      <w:r>
        <w:t xml:space="preserve">The hypotheses follow directly from the mechanism and the causal logic. They are stated here in the form they will take in the estimation chapter, with both substantive and parametric expressions, and with the estimand identified explicitly.</w:t>
      </w:r>
    </w:p>
    <w:p>
      <w:pPr>
        <w:pStyle w:val="BodyText"/>
        <w:spacing w:line="480" w:lineRule="auto"/>
        <w:ind w:firstLine="720"/>
      </w:pPr>
      <w:r>
        <w:rPr>
          <w:b/>
          <w:bCs/>
        </w:rPr>
        <w:t xml:space="preserve">H0 (null hypothesis): Sensor-funding allocations are environment-inert.</w:t>
      </w:r>
      <w:r>
        <w:t xml:space="preserve"> </w:t>
      </w:r>
      <w:r>
        <w:t xml:space="preserve">After conditioning on lagged appropriations, state-level fixed effects, and a common time trend, the occurrence and magnitude of exogenous orbital fragmentation events have no effect on subsequent sensor-tasking and cataloging capacity funding. In the dynamic panel specification described in Chapter 4, the vector of coefficients on the fragmentation-shock term at lags one through three is jointly zero, and each individual coefficient is statistically indistinguishable from zero at conventional levels. Substantively, H0 asserts that the sensing-layer funding series is generated entirely by budgetary inertia, common shocks, and state-specific levels, with no role for the orbital environment that the sensors exist to observe.</w:t>
      </w:r>
    </w:p>
    <w:p>
      <w:pPr>
        <w:pStyle w:val="BodyText"/>
        <w:spacing w:line="480" w:lineRule="auto"/>
        <w:ind w:firstLine="720"/>
      </w:pPr>
      <w:r>
        <w:rPr>
          <w:b/>
          <w:bCs/>
        </w:rPr>
        <w:t xml:space="preserve">H1 (alternative hypothesis): Sensor-funding allocations are environment-responsive.</w:t>
      </w:r>
      <w:r>
        <w:t xml:space="preserve"> </w:t>
      </w:r>
      <w:r>
        <w:t xml:space="preserve">A fragmentation or major-conjunction shock produces a positive and statistically significant increase in sensor-related funding in subsequent budget cycles, with the effect concentrated at a lag of one to three years consistent with appropriations timelines. In the same specification, the vector of coefficients on the fragmentation-shock term at lags one through three is jointly significant, at least one individual lag coefficient is positive and statistically distinguishable from zero, and the cumulative effect is positive. Substantively, H1 asserts that the institutional chain documented in the mechanism transmits at least part of the environmental shock into the appropriations ledger.</w:t>
      </w:r>
    </w:p>
    <w:p>
      <w:pPr>
        <w:pStyle w:val="BodyText"/>
        <w:spacing w:line="480" w:lineRule="auto"/>
        <w:ind w:firstLine="720"/>
      </w:pPr>
      <w:r>
        <w:t xml:space="preserve">The estimand on which inference turns is the cumulative response of the sensor-funding series to a unit fragmentation shock, summed over a one-to-three-year lag window. This is a single, scalar quantity, signed and bounded, and it is identified under the assumptions stated in Chapter 4. It is the quantity that an event-study specification estimates non-parametrically and that the dynamic-panel specification estimates parametrically; the two estimates should agree in sign and approximate magnitude, and disagreement between them is itself diagnostic.</w:t>
      </w:r>
    </w:p>
    <w:p>
      <w:pPr>
        <w:pStyle w:val="BodyText"/>
        <w:spacing w:line="480" w:lineRule="auto"/>
        <w:ind w:firstLine="720"/>
      </w:pPr>
      <w:r>
        <w:t xml:space="preserve">Two corollary predictions accompany H1 and will be reported alongside the main test. The first is monotonicity: a continuous shock measure should yield a larger cumulative response than a binary occurrence indicator, with the difference statistically detectable in a joint specification. The second is allied co-movement: the response in allied contributing states identified in the Five Eyes collaboration</w:t>
      </w:r>
      <w:r>
        <w:t xml:space="preserve"> </w:t>
      </w:r>
      <w:hyperlink w:anchor="ref-6">
        <w:r>
          <w:rPr>
            <w:rStyle w:val="Hyperlink"/>
          </w:rPr>
          <w:t xml:space="preserve">[6]</w:t>
        </w:r>
      </w:hyperlink>
      <w:r>
        <w:t xml:space="preserve"> </w:t>
      </w:r>
      <w:r>
        <w:t xml:space="preserve">and in the European Union Space Surveillance and Tracking partnership</w:t>
      </w:r>
      <w:r>
        <w:t xml:space="preserve"> </w:t>
      </w:r>
      <w:hyperlink w:anchor="ref-23">
        <w:r>
          <w:rPr>
            <w:rStyle w:val="Hyperlink"/>
          </w:rPr>
          <w:t xml:space="preserve">[23]</w:t>
        </w:r>
      </w:hyperlink>
      <w:r>
        <w:t xml:space="preserve"> </w:t>
      </w:r>
      <w:r>
        <w:t xml:space="preserve">should be of the same sign as the United States response, even if its magnitude differs, because the mechanism operates through a shared sensing architecture rather than through purely national channels. Failure of either corollary does not refute H1, but it constrains the interpretation of the main coefficient and informs the discussion in the final chapter.</w:t>
      </w:r>
    </w:p>
    <w:bookmarkEnd w:id="81"/>
    <w:bookmarkStart w:id="82" w:name="relationship-to-the-two-preceding-papers"/>
    <w:p>
      <w:pPr>
        <w:pStyle w:val="Heading2"/>
        <w:spacing w:line="480" w:lineRule="auto"/>
      </w:pPr>
      <w:r>
        <w:t xml:space="preserve">3.6 Relationship to the Two Preceding Papers</w:t>
      </w:r>
    </w:p>
    <w:p>
      <w:pPr>
        <w:pStyle w:val="FirstParagraph"/>
        <w:spacing w:line="480" w:lineRule="auto"/>
      </w:pPr>
      <w:r>
        <w:t xml:space="preserve">The two papers that precede this dissertation, the log-linear cost estimating relationship for sensing missions and the cost-capability scaling curve for ground-based optical telescopes, supply the supply-side counterpart to the demand-side mechanism developed here. The first paper established that lifecycle cost of NASA and allied sensing missions scales with launch mass at an elasticity near 0.85 and that international partnership shifts reported United States costs downward. The second paper established that ground-based optical sensing capability is purchased at a sub-quadratic elasticity, with cost roughly proportional to area raised to about seven-tenths. Together these results pin down the price at which a unit of sensing capacity is acquired and identify the architectural levers that move that price.</w:t>
      </w:r>
    </w:p>
    <w:p>
      <w:pPr>
        <w:pStyle w:val="BodyText"/>
        <w:spacing w:line="480" w:lineRule="auto"/>
        <w:ind w:firstLine="720"/>
      </w:pPr>
      <w:r>
        <w:t xml:space="preserve">The present dissertation takes that supply-side schedule as given and asks whether the demand side, the appropriations decision to actually buy more capacity, responds to environmental shocks. The mechanism above does not require any particular elasticity from the cost-side papers; it requires only that capacity be costly enough to be a discretionary budget item, which both prior papers confirm. The empirical separation is clean: the cost-side papers identify how much sensing a given budget buys, while the present dissertation identifies whether the budget itself responds to the orbital environment. The two together describe a complete cliometric model of the sensing enterprise, but each can stand alone as a falsifiable contribution.</w:t>
      </w:r>
    </w:p>
    <w:bookmarkEnd w:id="82"/>
    <w:bookmarkStart w:id="83" w:name="summary"/>
    <w:p>
      <w:pPr>
        <w:pStyle w:val="Heading2"/>
        <w:spacing w:line="480" w:lineRule="auto"/>
      </w:pPr>
      <w:r>
        <w:t xml:space="preserve">3.7 Summary</w:t>
      </w:r>
    </w:p>
    <w:p>
      <w:pPr>
        <w:pStyle w:val="FirstParagraph"/>
        <w:spacing w:line="480" w:lineRule="auto"/>
      </w:pPr>
      <w:r>
        <w:t xml:space="preserve">The chapter has specified a four-step mechanism linking the orbital environment to the appropriations ledger through demand, capacity, institutional signal, and budgetary response, and has stated the directional, monotonicity, and lag-profile predictions that follow from it. The null hypothesis denies that the chain transmits any measurable signal; the alternative hypothesis predicts a positive, lagged, and monotone response concentrated in the one-to-three-year window set by appropriations calendars. The estimand is the cumulative lagged response of sensor funding to fragmentation shocks, and the test will use the dynamic-panel and event-study specifications developed in the next chapter. The framework borrows nothing it has not cited and predicts nothing that cannot, in principle, be refuted by the data.</w:t>
      </w:r>
    </w:p>
    <w:bookmarkEnd w:id="83"/>
    <w:bookmarkEnd w:id="84"/>
    <w:bookmarkStart w:id="101" w:name="chapter-4.-data-and-measurement"/>
    <w:p>
      <w:pPr>
        <w:pStyle w:val="Heading1"/>
        <w:spacing w:line="480" w:lineRule="auto"/>
      </w:pPr>
      <w:r>
        <w:t xml:space="preserve">Chapter 4. Data and Measurement</w:t>
      </w:r>
    </w:p>
    <w:bookmarkStart w:id="85" w:name="X18f05e865044ee732efa8f7d34ed6b424770715"/>
    <w:p>
      <w:pPr>
        <w:pStyle w:val="Heading2"/>
        <w:spacing w:line="480" w:lineRule="auto"/>
      </w:pPr>
      <w:r>
        <w:t xml:space="preserve">4.1 Overview and Logic of the Measurement Strategy</w:t>
      </w:r>
    </w:p>
    <w:p>
      <w:pPr>
        <w:pStyle w:val="FirstParagraph"/>
        <w:spacing w:line="480" w:lineRule="auto"/>
      </w:pPr>
      <w:r>
        <w:t xml:space="preserve">The empirical core of this dissertation rests on three datasets, each constructed for a distinct estimation task but bound to the same substantive question: what does public expenditure on the sensing layer of space situational awareness and space domain awareness actually buy, and how does that expenditure respond to the orbital environment it is meant to observe. The first dataset, used in Paper 1, is a cross-section of twenty-nine NASA and allied sensing missions launched between 1999 and 2024 for which lifecycle cost, spacecraft launch mass, partnership status, and launch year are jointly observable. The second, used in Paper 2, is a cross-section of twenty-four ground-based optical sensor systems for which acquisition cost and primary collecting area are jointly observable across dedicated SSA and SDA assets, NASA-funded planetary-defense survey telescopes, and allied wide-field survey observatories. The third, contemplated by the prospectus and elaborated for the dissertation panel, is a country-year panel of SSA and SDA sensor appropriations and the contemporaneous orbital fragmentation series that drives demand for catalog maintenance</w:t>
      </w:r>
      <w:r>
        <w:t xml:space="preserve"> </w:t>
      </w:r>
      <w:hyperlink w:anchor="ref-9">
        <w:r>
          <w:rPr>
            <w:rStyle w:val="Hyperlink"/>
          </w:rPr>
          <w:t xml:space="preserve">[9]</w:t>
        </w:r>
      </w:hyperlink>
      <w:r>
        <w:t xml:space="preserve">.</w:t>
      </w:r>
    </w:p>
    <w:p>
      <w:pPr>
        <w:pStyle w:val="BodyText"/>
        <w:spacing w:line="480" w:lineRule="auto"/>
        <w:ind w:firstLine="720"/>
      </w:pPr>
      <w:r>
        <w:t xml:space="preserve">This chapter has a single purpose. It documents, line by line, what each variable measures, where the underlying numbers come from, how they are transformed before estimation, and which records anchor each observation. The treatment is deliberately granular because the substantive contributions of the two estimated papers and of the prospectus design are only as defensible as the provenance of the data on which they rest. The architecture literature has long emphasized that decisions about SSA and SDA acquisition turn on cost-and-performance comparisons whose credibility depends on whether the underlying numbers can be independently verified</w:t>
      </w:r>
      <w:r>
        <w:t xml:space="preserve"> </w:t>
      </w:r>
      <w:hyperlink w:anchor="ref-13">
        <w:r>
          <w:rPr>
            <w:rStyle w:val="Hyperlink"/>
          </w:rPr>
          <w:t xml:space="preserve">[13]</w:t>
        </w:r>
      </w:hyperlink>
      <w:r>
        <w:t xml:space="preserve">[14], and parametric studies of competing surveillance architectures make explicit that mass and aperture must be tied to documented program records before any elasticity claim can be entertained</w:t>
      </w:r>
      <w:r>
        <w:t xml:space="preserve"> </w:t>
      </w:r>
      <w:hyperlink w:anchor="ref-13">
        <w:r>
          <w:rPr>
            <w:rStyle w:val="Hyperlink"/>
          </w:rPr>
          <w:t xml:space="preserve">[13]</w:t>
        </w:r>
      </w:hyperlink>
      <w:r>
        <w:t xml:space="preserve">[14][15]. The same standard applies to the work reported here: every cost, every mass, every aperture, and every funding observation is traceable to a named, publicly accessible primary record.</w:t>
      </w:r>
    </w:p>
    <w:p>
      <w:pPr>
        <w:pStyle w:val="BodyText"/>
        <w:spacing w:line="480" w:lineRule="auto"/>
        <w:ind w:firstLine="720"/>
      </w:pPr>
      <w:r>
        <w:t xml:space="preserve">Three measurement principles organize the chapter. First, the unit of analysis differs across the three datasets and is stated explicitly before any variable is described; conflation across units is the most common source of inferential error in this literature and is avoided here by separating the mission-level, system-level, and country-year measurements into distinct sections. Second, each variable is defined operationally before its source is named, so that the reader can in principle reconstruct the value from the same primary record. Third, all transformations applied prior to estimation, including logarithms, indicator coding, area calculations, and currency treatment, are documented in the section where the variable is introduced rather than buried in an estimation appendix.</w:t>
      </w:r>
    </w:p>
    <w:bookmarkEnd w:id="85"/>
    <w:bookmarkStart w:id="86" w:name="unit-of-analysis"/>
    <w:p>
      <w:pPr>
        <w:pStyle w:val="Heading2"/>
        <w:spacing w:line="480" w:lineRule="auto"/>
      </w:pPr>
      <w:r>
        <w:t xml:space="preserve">4.2 Unit of Analysis</w:t>
      </w:r>
    </w:p>
    <w:p>
      <w:pPr>
        <w:pStyle w:val="FirstParagraph"/>
        <w:spacing w:line="480" w:lineRule="auto"/>
      </w:pPr>
      <w:r>
        <w:t xml:space="preserve">Paper 1 treats the spacecraft sensing mission as the unit of analysis. A mission is defined as a single funded NASA or allied program whose primary purpose is space-based sensing in the Earth-observation, astrophysics, or heliophysics class, and whose lifecycle cost and launch mass are both documented in named public records. A mission enters the dataset once; multi-spacecraft constellations are represented by their program-level cost and program-level launch mass when those are the figures the appropriating agency reports, and by the single-spacecraft cost and mass when the program is structured that way. The choice is not stylistic. It tracks how appropriators see the bill, which is the relevant frame for a cost estimating relationship intended to inform budgeting.</w:t>
      </w:r>
    </w:p>
    <w:p>
      <w:pPr>
        <w:pStyle w:val="BodyText"/>
        <w:spacing w:line="480" w:lineRule="auto"/>
        <w:ind w:firstLine="720"/>
      </w:pPr>
      <w:r>
        <w:t xml:space="preserve">Paper 2 treats the ground-based optical sensor system as the unit of analysis. A system is defined as a single sited telescope with a documented primary aperture and a documented acquisition or construction cost in nominal United States dollars. Multi-unit programs, including the Asteroid Terrestrial-impact Last Alert System and the Pan-STARRS twin telescopes, are decomposed into per-unit observations only when the documented program budget is allocable across units; where it is not, the program-level figure is retained and the corresponding aperture is the aperture of one constituent telescope. These cases are flagged in the dataset itself rather than rationalized in the regression. The flag is the disclosure.</w:t>
      </w:r>
    </w:p>
    <w:p>
      <w:pPr>
        <w:pStyle w:val="BodyText"/>
        <w:spacing w:line="480" w:lineRule="auto"/>
        <w:ind w:firstLine="720"/>
      </w:pPr>
      <w:r>
        <w:t xml:space="preserve">The prospectus and the dissertation panel design treat the contributing-state budget year as the unit of analysis. A contributing state is a national jurisdiction that operates or funds SSA and SDA sensors recognized in the architecture of the Space Surveillance Network and its allied contributing-sensor arrangements</w:t>
      </w:r>
      <w:r>
        <w:t xml:space="preserve"> </w:t>
      </w:r>
      <w:hyperlink w:anchor="ref-1">
        <w:r>
          <w:rPr>
            <w:rStyle w:val="Hyperlink"/>
          </w:rPr>
          <w:t xml:space="preserve">[1]</w:t>
        </w:r>
      </w:hyperlink>
      <w:r>
        <w:t xml:space="preserve">[6], and a budget year is the appropriations year of that state’s primary civil and defense space organizations. The panel is unbalanced because not every contributing state publishes line-item sensor allocations in every year over the 2006 through 2025 horizon. Missingness is treated as informative and addressed in the estimation chapter; it is not imputed at the measurement stage.</w:t>
      </w:r>
    </w:p>
    <w:bookmarkEnd w:id="86"/>
    <w:bookmarkStart w:id="91" w:name="X024965bf6c3cb3057f2b64cf7956fe6ad6ce6f6"/>
    <w:p>
      <w:pPr>
        <w:pStyle w:val="Heading2"/>
        <w:spacing w:line="480" w:lineRule="auto"/>
      </w:pPr>
      <w:r>
        <w:t xml:space="preserve">4.3 Dataset A: NASA and Allied Sensing Missions, 1999 to 2024</w:t>
      </w:r>
    </w:p>
    <w:p>
      <w:pPr>
        <w:pStyle w:val="FirstParagraph"/>
        <w:spacing w:line="480" w:lineRule="auto"/>
      </w:pPr>
      <w:r>
        <w:t xml:space="preserve">The dataset used in Paper 1 contains twenty-nine sensing missions for which the four required variables are jointly observable. Each row records the mission name, total mission lifecycle cost in millions of then-year United States dollars, spacecraft launch mass in kilograms, a binary international-partner indicator, the launch year, and the named primary source for the cost and mass figures. The population deliberately mixes large flagship observatories such as Terra, GOES-R, and the Surface Water and Ocean Topography mission with Explorer-class and Earth Venture missions such as TESS, NuSTAR, and TEMPO, so that the mass axis spans roughly two orders of magnitude and the elasticity estimated in Paper 1 is identified across the full size range rather than within a narrow band.</w:t>
      </w:r>
    </w:p>
    <w:bookmarkStart w:id="87" w:name="lifecycle-cost"/>
    <w:p>
      <w:pPr>
        <w:pStyle w:val="Heading3"/>
        <w:spacing w:line="480" w:lineRule="auto"/>
      </w:pPr>
      <w:r>
        <w:t xml:space="preserve">4.3.1 Lifecycle Cost</w:t>
      </w:r>
    </w:p>
    <w:p>
      <w:pPr>
        <w:pStyle w:val="FirstParagraph"/>
        <w:spacing w:line="480" w:lineRule="auto"/>
      </w:pPr>
      <w:r>
        <w:t xml:space="preserve">The dependent variable in Paper 1 is total mission lifecycle cost, reported in millions of then-year United States dollars. Lifecycle cost is the cumulative appropriated and projected cost of the program from formulation through end-of-prime-mission as recorded in the most recent publicly available authoritative source for that mission at the time of dataset construction. For NASA missions, the canonical source is the NASA mission fact sheet supplemented by the relevant Government Accountability Office Major Project Assessment, which is the standing congressional oversight series that tracks lifecycle cost growth across the agency’s major directorate portfolio. For NOAA missions, including the GOES-R series, the canonical source is the NOAA mission fact sheet, which mirrors the NASA fact sheet template and reports the United States share of program lifecycle cost. For allied or partnered missions, the recorded value is the United States share of lifecycle cost as the United States agency reports it, not the integrated international program total. This is consistent with how the partner indicator is coded and is the only treatment that preserves the interpretation of the partnership coefficient as the proportional shift in the United States ledger associated with a formal partner.</w:t>
      </w:r>
    </w:p>
    <w:p>
      <w:pPr>
        <w:pStyle w:val="BodyText"/>
        <w:spacing w:line="480" w:lineRule="auto"/>
        <w:ind w:firstLine="720"/>
      </w:pPr>
      <w:r>
        <w:t xml:space="preserve">A small number of supplementary sources are used where the primary record is incomplete or contested. The eoPortal mission database is consulted as a secondary reference for Earth-observation missions whose NASA or NOAA fact sheets are silent on the lifecycle figure but for which an authoritative agency value has been reported elsewhere. Standard spacecraft reference pages are used in the same role for astrophysics and heliophysics missions. In every case the source recorded in the dataset is the source from which the final value was taken, not the first source consulted. No mission is included on the strength of a tertiary or aggregator-only source.</w:t>
      </w:r>
    </w:p>
    <w:p>
      <w:pPr>
        <w:pStyle w:val="BodyText"/>
        <w:spacing w:line="480" w:lineRule="auto"/>
        <w:ind w:firstLine="720"/>
      </w:pPr>
      <w:r>
        <w:t xml:space="preserve">Lifecycle cost enters estimation as the natural logarithm of the recorded figure. The transformation is theoretically motivated by the constant-elasticity form of the cost estimating relationship and is operationally straightforward because every recorded value is positive. No deflation is applied. The decision to retain then-year dollars rather than convert to a constant base is a deliberate measurement choice whose consequence is absorbed by the launch-year regressor, which proxies for both technology era and cost escalation. The limitation is stated and reasoned about in the Paper 1 discussion section; it is not concealed at the measurement stage.</w:t>
      </w:r>
    </w:p>
    <w:bookmarkEnd w:id="87"/>
    <w:bookmarkStart w:id="88" w:name="launch-mass"/>
    <w:p>
      <w:pPr>
        <w:pStyle w:val="Heading3"/>
        <w:spacing w:line="480" w:lineRule="auto"/>
      </w:pPr>
      <w:r>
        <w:t xml:space="preserve">4.3.2 Launch Mass</w:t>
      </w:r>
    </w:p>
    <w:p>
      <w:pPr>
        <w:pStyle w:val="FirstParagraph"/>
        <w:spacing w:line="480" w:lineRule="auto"/>
      </w:pPr>
      <w:r>
        <w:t xml:space="preserve">The central regressor in Paper 1 is spacecraft launch mass, recorded in kilograms. Launch mass is the documented dry-plus-wet mass of the spacecraft as it left the launch pad, taken from the same primary source as the cost figure where possible and from a named launch-vehicle manifest or spacecraft reference page otherwise. The choice of launch mass rather than dry mass is dictated by data availability and by the cost-estimating literature, which treats launch mass as the canonical size driver because it is the parameter the launch vehicle prices, the structural budget sizes around, and the propellant budget settles. For partnered missions, the recorded value is the integrated launch mass of the spacecraft, not the United States share of mass. This is the point of the partnership indicator: integrated mass enters the regression while the United States ledger absorbs only its share of the bill, and the negative coefficient on the partner indicator is interpreted as the proportional shift in cost on the United States side at a given integrated mass.</w:t>
      </w:r>
    </w:p>
    <w:p>
      <w:pPr>
        <w:pStyle w:val="BodyText"/>
        <w:spacing w:line="480" w:lineRule="auto"/>
        <w:ind w:firstLine="720"/>
      </w:pPr>
      <w:r>
        <w:t xml:space="preserve">One observation, the cancelled GeoCarb mission, carried no finalized launch mass because the program was terminated prior to integration. The hosted-payload mass appears in that row and is flagged as illustrative. This is a single cell out of twenty-nine, under four percent of the dataset, and it affects only the regressor, not the dependent variable, which is the appropriated program cost recorded by the agency at termination. The flag is preserved through estimation rather than smoothed; robustness checks excluding the row are reported in the Paper 1 supplementary materials and do not move the headline elasticity outside its reported confidence band.</w:t>
      </w:r>
    </w:p>
    <w:p>
      <w:pPr>
        <w:pStyle w:val="BodyText"/>
        <w:spacing w:line="480" w:lineRule="auto"/>
        <w:ind w:firstLine="720"/>
      </w:pPr>
      <w:r>
        <w:t xml:space="preserve">Launch mass enters estimation as its natural logarithm. The log transformation is again theoretically motivated by the constant-elasticity functional form and is operationally straightforward because every recorded value is positive.</w:t>
      </w:r>
    </w:p>
    <w:bookmarkEnd w:id="88"/>
    <w:bookmarkStart w:id="89" w:name="international-partnership-indicator"/>
    <w:p>
      <w:pPr>
        <w:pStyle w:val="Heading3"/>
        <w:spacing w:line="480" w:lineRule="auto"/>
      </w:pPr>
      <w:r>
        <w:t xml:space="preserve">4.3.3 International Partnership Indicator</w:t>
      </w:r>
    </w:p>
    <w:p>
      <w:pPr>
        <w:pStyle w:val="FirstParagraph"/>
        <w:spacing w:line="480" w:lineRule="auto"/>
      </w:pPr>
      <w:r>
        <w:t xml:space="preserve">The international-partner indicator is a binary variable taking the value one when a mission has a formal international partner agency that contributed an instrument, a spacecraft bus, a launch service, or a documented operations role, and zero otherwise. Coding is anchored on the agency-to-agency Memorandum of Understanding or Implementing Arrangement that establishes the partnership; missions whose international cooperation is limited to data-sharing or science-team participation without an Memorandum of Understanding obligation are coded zero. This is a conservative definition that produces a smaller treated set than a broader cooperation definition would yield, and it is preferred precisely because it is the definition that maps to the accounting mechanism the partner coefficient is meant to capture. Partners contribute hardware or services that raise integrated mass without appearing on the United States ledger; only formal partnerships generate that accounting effect.</w:t>
      </w:r>
    </w:p>
    <w:bookmarkEnd w:id="89"/>
    <w:bookmarkStart w:id="90" w:name="launch-year"/>
    <w:p>
      <w:pPr>
        <w:pStyle w:val="Heading3"/>
        <w:spacing w:line="480" w:lineRule="auto"/>
      </w:pPr>
      <w:r>
        <w:t xml:space="preserve">4.3.4 Launch Year</w:t>
      </w:r>
    </w:p>
    <w:p>
      <w:pPr>
        <w:pStyle w:val="FirstParagraph"/>
        <w:spacing w:line="480" w:lineRule="auto"/>
      </w:pPr>
      <w:r>
        <w:t xml:space="preserve">Launch year is the calendar year in which the spacecraft was launched, taken from the primary launch record. It enters the regression linearly and serves a dual role as a proxy for technology era and for then-year cost escalation. The decision to enter launch year linearly rather than as a set of decade or era fixed effects is dictated by sample size: with twenty-nine observations, fixed-effect saturation rapidly exhausts the available degrees of freedom and inflates standard errors on the variables of substantive interest. The linear specification is the parsimonious choice consistent with the theoretical role of the variable and with the practice of the cost-estimating literature on which the specification draws</w:t>
      </w:r>
      <w:r>
        <w:t xml:space="preserve"> </w:t>
      </w:r>
      <w:hyperlink w:anchor="ref-13">
        <w:r>
          <w:rPr>
            <w:rStyle w:val="Hyperlink"/>
          </w:rPr>
          <w:t xml:space="preserve">[13]</w:t>
        </w:r>
      </w:hyperlink>
      <w:r>
        <w:t xml:space="preserve">[15].</w:t>
      </w:r>
    </w:p>
    <w:bookmarkEnd w:id="90"/>
    <w:bookmarkEnd w:id="91"/>
    <w:bookmarkStart w:id="95" w:name="Xe8a0bac2a962208a5998085b8b1488e45101022"/>
    <w:p>
      <w:pPr>
        <w:pStyle w:val="Heading2"/>
        <w:spacing w:line="480" w:lineRule="auto"/>
      </w:pPr>
      <w:r>
        <w:t xml:space="preserve">4.4 Dataset B: Ground-Based Optical Sensor Systems</w:t>
      </w:r>
    </w:p>
    <w:p>
      <w:pPr>
        <w:pStyle w:val="FirstParagraph"/>
        <w:spacing w:line="480" w:lineRule="auto"/>
      </w:pPr>
      <w:r>
        <w:t xml:space="preserve">The dataset used in Paper 2 contains twenty-four ground-based optical sensor systems with documented aperture and documented acquisition, construction, or program capital cost. Three lineages are represented in deliberate proportion. Dedicated SSA and SDA assets are included to anchor the cost-capability frontier in the surveillance domain; NASA-funded planetary-defense survey sensors are included because they perform the same detect-and-track function for resident space objects and near-Earth objects and are funded through processes whose costs are similarly traceable; and allied wide-field survey observatories are included because the network-design literature treats them as substitutable surveillance capacity at the architectural margin</w:t>
      </w:r>
      <w:r>
        <w:t xml:space="preserve"> </w:t>
      </w:r>
      <w:hyperlink w:anchor="ref-2">
        <w:r>
          <w:rPr>
            <w:rStyle w:val="Hyperlink"/>
          </w:rPr>
          <w:t xml:space="preserve">[2]</w:t>
        </w:r>
      </w:hyperlink>
      <w:r>
        <w:t xml:space="preserve">[17][18]. The mixture is the point. A cost-capability curve fit only on dedicated surveillance assets would have too few observations to identify the elasticity; the broader sample tests whether dedicated and survey instruments lie along a common frontier and finds, in Paper 2, that they do.</w:t>
      </w:r>
    </w:p>
    <w:bookmarkStart w:id="92" w:name="acquisition-cost"/>
    <w:p>
      <w:pPr>
        <w:pStyle w:val="Heading3"/>
        <w:spacing w:line="480" w:lineRule="auto"/>
      </w:pPr>
      <w:r>
        <w:t xml:space="preserve">4.4.1 Acquisition Cost</w:t>
      </w:r>
    </w:p>
    <w:p>
      <w:pPr>
        <w:pStyle w:val="FirstParagraph"/>
        <w:spacing w:line="480" w:lineRule="auto"/>
      </w:pPr>
      <w:r>
        <w:t xml:space="preserve">The dependent variable in Paper 2 is acquisition cost, recorded in nominal United States dollars in millions. Acquisition cost is the best-documented capital figure for each system, drawn from program records, encyclopedic summaries of the funding agency, and AMOS conference papers where those documents report a system-level capital cost. For systems funded by the United States Defense Advanced Research Projects Agency and the United States Air Force, including the Space Surveillance Telescope, the primary source is the program record. For NASA-funded planetary-defense survey instruments, including the Asteroid Terrestrial-impact Last Alert System and a Catalina Sky Survey instrument, the primary source is the relevant National Aeronautics and Space Administration program record. For allied wide-field survey observatories, including the Vera C. Rubin Observatory, Pan-STARRS, Subaru, Gemini, Keck, and the Very Large Telescope Survey Telescope, the primary source is the funding agency’s published program record, supplemented where necessary by the observatory’s own published construction-budget summary.</w:t>
      </w:r>
    </w:p>
    <w:p>
      <w:pPr>
        <w:pStyle w:val="BodyText"/>
        <w:spacing w:line="480" w:lineRule="auto"/>
        <w:ind w:firstLine="720"/>
      </w:pPr>
      <w:r>
        <w:t xml:space="preserve">Three observations correspond to multi-unit programs for which the documented capital figure is a consortium or two-telescope budget. In those cases a per-unit cost is allocated by equal division across the documented units and the value is flagged as illustrative. Three flagged values across twenty-four observations is one-eighth of the sample; the flag is preserved through estimation. No flagged value substitutes for a fabricated citation.</w:t>
      </w:r>
    </w:p>
    <w:p>
      <w:pPr>
        <w:pStyle w:val="BodyText"/>
        <w:spacing w:line="480" w:lineRule="auto"/>
        <w:ind w:firstLine="720"/>
      </w:pPr>
      <w:r>
        <w:t xml:space="preserve">The cost figures are nominal. They span first-light years from 1993 to 2025, so a portion of the dispersion around the fitted curve in Paper 2 reflects price-level drift over three decades. This is acknowledged as a measurement limitation rather than corrected, because consistent deflators across the mixed national funding sources, which include United States Federal, United States state, German, Japanese, and European Southern Observatory budgets, were not available at a defensible level of precision. A deflated replication is identified as the obvious next step in Paper 2 and remains so here.</w:t>
      </w:r>
    </w:p>
    <w:p>
      <w:pPr>
        <w:pStyle w:val="BodyText"/>
        <w:spacing w:line="480" w:lineRule="auto"/>
        <w:ind w:firstLine="720"/>
      </w:pPr>
      <w:r>
        <w:t xml:space="preserve">Acquisition cost enters estimation as its natural logarithm.</w:t>
      </w:r>
    </w:p>
    <w:bookmarkEnd w:id="92"/>
    <w:bookmarkStart w:id="93" w:name="primary-aperture-and-collecting-area"/>
    <w:p>
      <w:pPr>
        <w:pStyle w:val="Heading3"/>
        <w:spacing w:line="480" w:lineRule="auto"/>
      </w:pPr>
      <w:r>
        <w:t xml:space="preserve">4.4.2 Primary Aperture and Collecting Area</w:t>
      </w:r>
    </w:p>
    <w:p>
      <w:pPr>
        <w:pStyle w:val="FirstParagraph"/>
        <w:spacing w:line="480" w:lineRule="auto"/>
      </w:pPr>
      <w:r>
        <w:t xml:space="preserve">The central regressor in Paper 2 is the primary collecting area of the system, recorded in square meters. Aperture diameter is the documented physical specification of the primary mirror or primary aperture, drawn from the same primary source as the cost figure where the source carries it and from the observatory’s published technical specification page otherwise. Collecting area is computed as the area of a circle of the documented aperture diameter. This is the canonical capability proxy in the optical-instrument cost literature and in the sizing analyses on which the specification rests; sizing studies for surveillance-class instruments derive limiting magnitude, field coverage, and detection capability as functions of aperture in well-characterized ways, which is the formal justification for using aperture area as a single-parameter capability index</w:t>
      </w:r>
      <w:r>
        <w:t xml:space="preserve"> </w:t>
      </w:r>
      <w:hyperlink w:anchor="ref-15">
        <w:r>
          <w:rPr>
            <w:rStyle w:val="Hyperlink"/>
          </w:rPr>
          <w:t xml:space="preserve">[15]</w:t>
        </w:r>
      </w:hyperlink>
      <w:r>
        <w:t xml:space="preserve">.</w:t>
      </w:r>
    </w:p>
    <w:p>
      <w:pPr>
        <w:pStyle w:val="BodyText"/>
        <w:spacing w:line="480" w:lineRule="auto"/>
        <w:ind w:firstLine="720"/>
      </w:pPr>
      <w:r>
        <w:t xml:space="preserve">The decision to use circular-aperture area rather than to adjust for central obscuration or for off-axis aperture geometry is dictated by data availability and by the cost-estimating practice of the literature</w:t>
      </w:r>
      <w:r>
        <w:t xml:space="preserve"> </w:t>
      </w:r>
      <w:hyperlink w:anchor="ref-13">
        <w:r>
          <w:rPr>
            <w:rStyle w:val="Hyperlink"/>
          </w:rPr>
          <w:t xml:space="preserve">[13]</w:t>
        </w:r>
      </w:hyperlink>
      <w:r>
        <w:t xml:space="preserve">[14][15]. Adjusting for obscuration would require system-by-system optical parameters that are not uniformly published across the twenty-four systems, and the adjustment would change the area of each system by a small and roughly proportional fraction, which would shift the intercept of the fitted curve without materially changing the elasticity. The headline elasticity in Paper 2 is therefore stated as the elasticity with respect to documented primary aperture area, and the interpretation is anchored on that operational definition.</w:t>
      </w:r>
    </w:p>
    <w:p>
      <w:pPr>
        <w:pStyle w:val="BodyText"/>
        <w:spacing w:line="480" w:lineRule="auto"/>
        <w:ind w:firstLine="720"/>
      </w:pPr>
      <w:r>
        <w:t xml:space="preserve">Collecting area enters estimation as its natural logarithm.</w:t>
      </w:r>
    </w:p>
    <w:bookmarkEnd w:id="93"/>
    <w:bookmarkStart w:id="94" w:name="lineage-and-first-light-year"/>
    <w:p>
      <w:pPr>
        <w:pStyle w:val="Heading3"/>
        <w:spacing w:line="480" w:lineRule="auto"/>
      </w:pPr>
      <w:r>
        <w:t xml:space="preserve">4.4.3 Lineage and First-Light Year</w:t>
      </w:r>
    </w:p>
    <w:p>
      <w:pPr>
        <w:pStyle w:val="FirstParagraph"/>
        <w:spacing w:line="480" w:lineRule="auto"/>
      </w:pPr>
      <w:r>
        <w:t xml:space="preserve">Lineage and first-light year are retained in the dataset for interpretation but are not entered as controls in the headline specification of Paper 2. The decision is methodological. The Paper 2 specification is deliberately parsimonious, with a single regressor, so that the headline elasticity is not confounded by collinear size measures; mission lineage and first-light year are correlated with size in the cross-section, and entering them as controls would absorb variation that belongs to the capability axis. They are reported in the dataset because they are how a reader unfamiliar with the sample can verify that the three lineages span a defensible range of instruments, and because the Paper 2 robustness materials report specifications in which they enter as fixed effects.</w:t>
      </w:r>
    </w:p>
    <w:bookmarkEnd w:id="94"/>
    <w:bookmarkEnd w:id="95"/>
    <w:bookmarkStart w:id="99" w:name="X5a4f84e6ee95e8466912efb7a8da4251ce994a0"/>
    <w:p>
      <w:pPr>
        <w:pStyle w:val="Heading2"/>
        <w:spacing w:line="480" w:lineRule="auto"/>
      </w:pPr>
      <w:r>
        <w:t xml:space="preserve">4.5 Dataset C: Country-Year Panel of SSA and SDA Sensor Funding</w:t>
      </w:r>
    </w:p>
    <w:p>
      <w:pPr>
        <w:pStyle w:val="FirstParagraph"/>
        <w:spacing w:line="480" w:lineRule="auto"/>
      </w:pPr>
      <w:r>
        <w:t xml:space="preserve">The panel contemplated by the prospectus and elaborated for the dissertation is constructed at the contributing-state and budget-year level over the 2006 through 2025 horizon. The dependent variable is sensor-related appropriated funding; the central regressor is the orbital fragmentation shock series; controls are total national space-budget envelope and a battery of state and year fixed effects.</w:t>
      </w:r>
    </w:p>
    <w:bookmarkStart w:id="96" w:name="X733bf31b8f6db358ffdc2327094fddd777ed780"/>
    <w:p>
      <w:pPr>
        <w:pStyle w:val="Heading3"/>
        <w:spacing w:line="480" w:lineRule="auto"/>
      </w:pPr>
      <w:r>
        <w:t xml:space="preserve">4.5.1 Dependent Variable: Sensor-Related Appropriated Funding</w:t>
      </w:r>
    </w:p>
    <w:p>
      <w:pPr>
        <w:pStyle w:val="FirstParagraph"/>
        <w:spacing w:line="480" w:lineRule="auto"/>
      </w:pPr>
      <w:r>
        <w:t xml:space="preserve">The dependent variable is constructed from published appropriations and budget-justification documents. For the United States, the canonical civil-side source is the NASA budget request and Congressional Justification series published annually by NASA and archived by the NASA Historical Reference Collection. The defense-side sensing layer is constructed from the United States Space Force and predecessor Air Force budget justification books, the J-books, specifically the Procurement and Research, Development, Test, and Evaluation exhibits published by the Office of the Under Secretary of Defense (Comptroller). These provide line-item appropriations traceable to SSA and SDA sensing and surveillance programs and are the canonical, citable provenance for the United States funding series.</w:t>
      </w:r>
    </w:p>
    <w:p>
      <w:pPr>
        <w:pStyle w:val="BodyText"/>
        <w:spacing w:line="480" w:lineRule="auto"/>
        <w:ind w:firstLine="720"/>
      </w:pPr>
      <w:r>
        <w:t xml:space="preserve">Allied funding observations are drawn from the published national space-agency budget documents of the contributing states identified in the Five Eyes collaboration literature</w:t>
      </w:r>
      <w:r>
        <w:t xml:space="preserve"> </w:t>
      </w:r>
      <w:hyperlink w:anchor="ref-6">
        <w:r>
          <w:rPr>
            <w:rStyle w:val="Hyperlink"/>
          </w:rPr>
          <w:t xml:space="preserve">[6]</w:t>
        </w:r>
      </w:hyperlink>
      <w:r>
        <w:t xml:space="preserve">, including the United Kingdom, Canada, Australia, and New Zealand, supplemented by the European Union Space Surveillance and Tracking programme budget documents for European Union member-state contributions</w:t>
      </w:r>
      <w:r>
        <w:t xml:space="preserve"> </w:t>
      </w:r>
      <w:hyperlink w:anchor="ref-23">
        <w:r>
          <w:rPr>
            <w:rStyle w:val="Hyperlink"/>
          </w:rPr>
          <w:t xml:space="preserve">[23]</w:t>
        </w:r>
      </w:hyperlink>
      <w:r>
        <w:t xml:space="preserve">. Each observation is traceable to a named budget document and to a specific line item within that document. Where a state publishes its space-agency budget in the national currency, the recorded value is converted to United States dollars using the relevant calendar-year average exchange rate from the International Monetary Fund’s International Financial Statistics, and the conversion factor is preserved in the dataset so that any reader can reverse the operation. Purchasing-power adjustment is applied as a robustness layer rather than at the measurement stage, because the threats-to-validity argument in Section 4.6 of the prospectus calls for the adjustment to be varied rather than fixed.</w:t>
      </w:r>
    </w:p>
    <w:p>
      <w:pPr>
        <w:pStyle w:val="BodyText"/>
        <w:spacing w:line="480" w:lineRule="auto"/>
        <w:ind w:firstLine="720"/>
      </w:pPr>
      <w:r>
        <w:t xml:space="preserve">The dependent variable enters estimation as the natural logarithm of the appropriated funding figure plus a small positive constant to absorb the small number of zero observations that arise when a state has a documented contributing-sensor role but did not appropriate against the relevant line item in the relevant year.</w:t>
      </w:r>
    </w:p>
    <w:bookmarkEnd w:id="96"/>
    <w:bookmarkStart w:id="97" w:name="X805e219284b384bbfefaad3b843cf674982d2e9"/>
    <w:p>
      <w:pPr>
        <w:pStyle w:val="Heading3"/>
        <w:spacing w:line="480" w:lineRule="auto"/>
      </w:pPr>
      <w:r>
        <w:t xml:space="preserve">4.5.2 Independent Variable: Orbital Fragmentation Shock Series</w:t>
      </w:r>
    </w:p>
    <w:p>
      <w:pPr>
        <w:pStyle w:val="FirstParagraph"/>
        <w:spacing w:line="480" w:lineRule="auto"/>
      </w:pPr>
      <w:r>
        <w:t xml:space="preserve">The independent variable is built from the publicly obtainable NASA Orbital Debris Program Office quarterly History of On-Orbit Satellite Fragmentations and the associated Orbital Debris Quarterly News, which catalog dated breakup events and their tracked-object counts. Each fragmentation event is recorded with a date, a parent object, a cause classification, and a tracked-object count at the time of cataloging. The shock series is constructed at the quarterly level and aggregated to the budget year that the relevant contributing state uses, with the alignment between calendar quarter and budget year preserved in the dataset.</w:t>
      </w:r>
    </w:p>
    <w:p>
      <w:pPr>
        <w:pStyle w:val="BodyText"/>
        <w:spacing w:line="480" w:lineRule="auto"/>
        <w:ind w:firstLine="720"/>
      </w:pPr>
      <w:r>
        <w:t xml:space="preserve">Two shock measures are constructed in parallel. The first is the count of major fragmentation events in the budget year, where major is defined operationally as a tracked-object increment above a threshold calibrated to the long-run distribution of event sizes. The second is the cumulative tracked-object count attributable to events in the budget year. The first measure is closer to the appropriator’s perception of crisis; the second is closer to the engineering load that catalog maintenance must absorb</w:t>
      </w:r>
      <w:r>
        <w:t xml:space="preserve"> </w:t>
      </w:r>
      <w:hyperlink w:anchor="ref-2">
        <w:r>
          <w:rPr>
            <w:rStyle w:val="Hyperlink"/>
          </w:rPr>
          <w:t xml:space="preserve">[2]</w:t>
        </w:r>
      </w:hyperlink>
      <w:r>
        <w:t xml:space="preserve">[3][4][9]. Both are reported. The mapping from fragmentation to required tasking load is an engineering assumption made explicit and varied in the Paper 1 and panel-paper robustness analyses, consistent with the survey treatment of orbit-determination and tasking</w:t>
      </w:r>
      <w:r>
        <w:t xml:space="preserve"> </w:t>
      </w:r>
      <w:hyperlink w:anchor="ref-4">
        <w:r>
          <w:rPr>
            <w:rStyle w:val="Hyperlink"/>
          </w:rPr>
          <w:t xml:space="preserve">[4]</w:t>
        </w:r>
      </w:hyperlink>
      <w:r>
        <w:t xml:space="preserve"> </w:t>
      </w:r>
      <w:r>
        <w:t xml:space="preserve">and with the cost-and-performance framing of cataloging architectures</w:t>
      </w:r>
      <w:r>
        <w:t xml:space="preserve"> </w:t>
      </w:r>
      <w:hyperlink w:anchor="ref-13">
        <w:r>
          <w:rPr>
            <w:rStyle w:val="Hyperlink"/>
          </w:rPr>
          <w:t xml:space="preserve">[13]</w:t>
        </w:r>
      </w:hyperlink>
      <w:r>
        <w:t xml:space="preserve">[14].</w:t>
      </w:r>
    </w:p>
    <w:bookmarkEnd w:id="97"/>
    <w:bookmarkStart w:id="98" w:name="controls"/>
    <w:p>
      <w:pPr>
        <w:pStyle w:val="Heading3"/>
        <w:spacing w:line="480" w:lineRule="auto"/>
      </w:pPr>
      <w:r>
        <w:t xml:space="preserve">4.5.3 Controls</w:t>
      </w:r>
    </w:p>
    <w:p>
      <w:pPr>
        <w:pStyle w:val="FirstParagraph"/>
        <w:spacing w:line="480" w:lineRule="auto"/>
      </w:pPr>
      <w:r>
        <w:t xml:space="preserve">The principal control is the total national space-budget envelope, constructed from the same primary appropriations documents as the dependent variable but at the agency-total rather than the line-item level. Its inclusion ensures that the estimated effect of fragmentation shocks on sensor funding is identified relative to the overall budgetary envelope rather than relative to a fixed baseline, and it absorbs the macro-fiscal variation that would otherwise contaminate the shock coefficient. State fixed effects absorb time-invariant differences in budget structure and in the institutional location of the sensing layer; year fixed effects absorb common shocks to the contributing-state group, including the global cost escalation that drives Paper 1’s launch-year regressor.</w:t>
      </w:r>
    </w:p>
    <w:bookmarkEnd w:id="98"/>
    <w:bookmarkEnd w:id="99"/>
    <w:bookmarkStart w:id="100" w:name="Xff57202581eb3745c72a58ce5e692e2e8903b05"/>
    <w:p>
      <w:pPr>
        <w:pStyle w:val="Heading2"/>
        <w:spacing w:line="480" w:lineRule="auto"/>
      </w:pPr>
      <w:r>
        <w:t xml:space="preserve">4.6 Provenance, Reproducibility, and Limitations of the Measurement Strategy</w:t>
      </w:r>
    </w:p>
    <w:p>
      <w:pPr>
        <w:pStyle w:val="FirstParagraph"/>
        <w:spacing w:line="480" w:lineRule="auto"/>
      </w:pPr>
      <w:r>
        <w:t xml:space="preserve">Every observation in every dataset is traceable to a named, publicly accessible primary record. The replication appendix to the dissertation records the document and the page or line item from which each value was taken. The discipline is not bureaucratic. It is the only protection against the recurring failure mode of the SSA and SDA budget literature, which is to assert magnitudes without anchoring them, and it is the precondition for the kind of architectural inference the broader literature is now attempting to support</w:t>
      </w:r>
      <w:r>
        <w:t xml:space="preserve"> </w:t>
      </w:r>
      <w:hyperlink w:anchor="ref-1">
        <w:r>
          <w:rPr>
            <w:rStyle w:val="Hyperlink"/>
          </w:rPr>
          <w:t xml:space="preserve">[1]</w:t>
        </w:r>
      </w:hyperlink>
      <w:r>
        <w:t xml:space="preserve">[2][6][13][14][15][16].</w:t>
      </w:r>
    </w:p>
    <w:p>
      <w:pPr>
        <w:pStyle w:val="BodyText"/>
        <w:spacing w:line="480" w:lineRule="auto"/>
        <w:ind w:firstLine="720"/>
      </w:pPr>
      <w:r>
        <w:t xml:space="preserve">Three measurement limitations bound the dataset claims and are noted here so that the estimation chapter does not have to argue them anew. First, then-year dollars in Paper 1 and nominal dollars in Paper 2 leave a residual price-level component in both elasticities; the Paper 1 launch-year regressor absorbs part of it, but a constant-dollar replication is the obvious next step in both cases. Second, mass in Paper 1 and aperture area in Paper 2 are coarse proxies for the design complexity that ultimately drives cost; richer specifications with pointing requirement, orbit, detector, and data-system parameters would tighten the estimates and are identified in the corresponding discussion sections. Third, the country-year panel is short and the cross-section is small, which limits power and motivates the multiple-identification strategy laid out in the prospectus rather than reliance on a single estimator.</w:t>
      </w:r>
    </w:p>
    <w:p>
      <w:pPr>
        <w:pStyle w:val="BodyText"/>
        <w:spacing w:line="480" w:lineRule="auto"/>
        <w:ind w:firstLine="720"/>
      </w:pPr>
      <w:r>
        <w:t xml:space="preserve">None of these limitations undermines the central measurement claim of this chapter. Across three datasets, with three distinct units of analysis and three distinct primary-source provenance chains, the variables required to estimate the cost of sensing capability and the responsiveness of sensor funding to orbital fragmentation are observable, documented, and reproducible. The estimation chapters that follow rest on that foundation.</w:t>
      </w:r>
    </w:p>
    <w:bookmarkEnd w:id="100"/>
    <w:bookmarkEnd w:id="101"/>
    <w:bookmarkStart w:id="108" w:name="chapter-5.-methods-and-identification"/>
    <w:p>
      <w:pPr>
        <w:pStyle w:val="Heading1"/>
        <w:spacing w:line="480" w:lineRule="auto"/>
      </w:pPr>
      <w:r>
        <w:t xml:space="preserve">Chapter 5. Methods and Identification</w:t>
      </w:r>
    </w:p>
    <w:bookmarkStart w:id="102" w:name="X28e3ea397ab69dedd886ce87e510010501cd690"/>
    <w:p>
      <w:pPr>
        <w:pStyle w:val="Heading2"/>
        <w:spacing w:line="480" w:lineRule="auto"/>
      </w:pPr>
      <w:r>
        <w:t xml:space="preserve">5.1 Overview and Logic of the Empirical Strategy</w:t>
      </w:r>
    </w:p>
    <w:p>
      <w:pPr>
        <w:pStyle w:val="FirstParagraph"/>
        <w:spacing w:line="480" w:lineRule="auto"/>
      </w:pPr>
      <w:r>
        <w:t xml:space="preserve">The empirical task of this dissertation is narrow and precisely stated. Given a panel of contributing-state budget years for the United States and its allied partners within the documented Space Surveillance Network and the Five Eyes SSA collaboration</w:t>
      </w:r>
      <w:r>
        <w:t xml:space="preserve"> </w:t>
      </w:r>
      <w:hyperlink w:anchor="ref-1">
        <w:r>
          <w:rPr>
            <w:rStyle w:val="Hyperlink"/>
          </w:rPr>
          <w:t xml:space="preserve">[1]</w:t>
        </w:r>
      </w:hyperlink>
      <w:r>
        <w:t xml:space="preserve">[6], the dissertation asks whether catalog-disrupting orbital fragmentation events produce a measurable, lagged increase in funding for the sensing layer that observes them. The estimand is the cumulative impulse response of the sensor-funding series to the fragmentation-shock series at lags of one to three years, with the null of zero response constituting the falsifiable benchmark stated in the prospectus.</w:t>
      </w:r>
    </w:p>
    <w:p>
      <w:pPr>
        <w:pStyle w:val="BodyText"/>
        <w:spacing w:line="480" w:lineRule="auto"/>
        <w:ind w:firstLine="720"/>
      </w:pPr>
      <w:r>
        <w:t xml:space="preserve">The estimation strategy is built in three concentric layers. The innermost layer is a dynamic panel regression of sensor funding on its own lag, the fragmentation-shock measure interacted with a lag structure, fixed effects, and controls, with the lagged dependent variable handled by a system generalized-method-of-moments (GMM) estimator. The middle layer is an event-study specification that traces the dynamic response non-parametrically around each fragmentation event, providing a direct visual and statistical check on the lag profile and on the existence of pre-trends. The outer layer is a staggered difference-in-differences design that compares states more versus less exposed to a given fragmentation through their share of the tracked-object workload, supplying a second identification lever that does not rely on time-series variation alone. The three estimators are not redundant. They place weight on different identifying variation, and convergence across them is the criterion under which the substantive claim is treated as supported.</w:t>
      </w:r>
    </w:p>
    <w:p>
      <w:pPr>
        <w:pStyle w:val="BodyText"/>
        <w:spacing w:line="480" w:lineRule="auto"/>
        <w:ind w:firstLine="720"/>
      </w:pPr>
      <w:r>
        <w:t xml:space="preserve">This chapter proceeds from estimators to identification to threats. Section 5.2 describes the dynamic panel specification, the GMM moment conditions, and the diagnostics that discipline it. Section 5.3 develops the event-study and difference-in-differences specifications. Section 5.4 states the identification assumptions formally and explains why the timing of fragmentation events is treated as quasi-experimental. Section 5.5 enumerates threats to validity and the bounding strategies for each, and Section 5.6 describes the robustness regime that ties the three estimators into a single inferential package.</w:t>
      </w:r>
    </w:p>
    <w:bookmarkEnd w:id="102"/>
    <w:bookmarkStart w:id="103" w:name="the-dynamic-panel-specification"/>
    <w:p>
      <w:pPr>
        <w:pStyle w:val="Heading2"/>
        <w:spacing w:line="480" w:lineRule="auto"/>
      </w:pPr>
      <w:r>
        <w:t xml:space="preserve">5.2 The Dynamic Panel Specification</w:t>
      </w:r>
    </w:p>
    <w:p>
      <w:pPr>
        <w:pStyle w:val="FirstParagraph"/>
        <w:spacing w:line="480" w:lineRule="auto"/>
      </w:pPr>
      <w:r>
        <w:t xml:space="preserve">Let (F_{it}) denote real sensor-related funding for contributing state (i) in budget year (t), constructed as described in the data chapter from the NASA Congressional Justification series and the United States Space Force and predecessor Air Force budget justification books, with allied observations drawn from the published national space-agency budgets of Five Eyes contributing states identified in the collaboration literature</w:t>
      </w:r>
      <w:r>
        <w:t xml:space="preserve"> </w:t>
      </w:r>
      <w:hyperlink w:anchor="ref-6">
        <w:r>
          <w:rPr>
            <w:rStyle w:val="Hyperlink"/>
          </w:rPr>
          <w:t xml:space="preserve">[6]</w:t>
        </w:r>
      </w:hyperlink>
      <w:r>
        <w:t xml:space="preserve">. Let (S_{it}) denote the fragmentation-shock measure for state (i) in year (t), defined in Section 5.4. The baseline dynamic specification is</w:t>
      </w:r>
    </w:p>
    <w:p>
      <w:pPr>
        <w:pStyle w:val="BodyText"/>
        <w:spacing w:line="480" w:lineRule="auto"/>
        <w:ind w:firstLine="720"/>
      </w:pPr>
      <w:r>
        <w:t xml:space="preserve">[</w:t>
      </w:r>
      <w:r>
        <w:t xml:space="preserve"> </w:t>
      </w:r>
      <w:r>
        <w:t xml:space="preserve">F_{it} =</w:t>
      </w:r>
      <w:r>
        <w:t xml:space="preserve"> </w:t>
      </w:r>
      <w:r>
        <w:rPr>
          <w:i/>
          <w:iCs/>
        </w:rPr>
        <w:t xml:space="preserve">i +</w:t>
      </w:r>
      <w:r>
        <w:rPr>
          <w:i/>
          <w:iCs/>
        </w:rPr>
        <w:t xml:space="preserve"> </w:t>
      </w:r>
      <w:r>
        <w:rPr>
          <w:i/>
          <w:i/>
          <w:iCs/>
          <w:iCs/>
        </w:rPr>
        <w:t xml:space="preserve">t +</w:t>
      </w:r>
      <w:r>
        <w:rPr>
          <w:i/>
          <w:i/>
          <w:iCs/>
          <w:iCs/>
        </w:rPr>
        <w:t xml:space="preserve"> </w:t>
      </w:r>
      <w:r>
        <w:rPr>
          <w:i/>
          <w:i/>
          <w:iCs/>
          <w:iCs/>
        </w:rPr>
        <w:t xml:space="preserve">F</w:t>
      </w:r>
      <w:r>
        <w:rPr>
          <w:i/>
          <w:iCs/>
        </w:rPr>
        <w:t xml:space="preserve">{i,t-1} +</w:t>
      </w:r>
      <w:r>
        <w:rPr>
          <w:i/>
          <w:iCs/>
        </w:rPr>
        <w:t xml:space="preserve"> </w:t>
      </w:r>
      <w:r>
        <w:t xml:space="preserve">{k=0}^{K}</w:t>
      </w:r>
      <w:r>
        <w:t xml:space="preserve"> </w:t>
      </w:r>
      <w:r>
        <w:rPr>
          <w:i/>
          <w:iCs/>
        </w:rPr>
        <w:t xml:space="preserve">k S</w:t>
      </w:r>
      <w:r>
        <w:t xml:space="preserve">{i,t-k} +</w:t>
      </w:r>
      <w:r>
        <w:t xml:space="preserve"> </w:t>
      </w:r>
      <w:r>
        <w:t xml:space="preserve">’ X_{it} +</w:t>
      </w:r>
      <w:r>
        <w:t xml:space="preserve"> </w:t>
      </w:r>
      <w:r>
        <w:t xml:space="preserve">_{it}, ]</w:t>
      </w:r>
    </w:p>
    <w:p>
      <w:pPr>
        <w:pStyle w:val="BodyText"/>
        <w:spacing w:line="480" w:lineRule="auto"/>
        <w:ind w:firstLine="720"/>
      </w:pPr>
      <w:r>
        <w:t xml:space="preserve">where (</w:t>
      </w:r>
      <w:r>
        <w:t xml:space="preserve">_i) is a state fixed effect, (</w:t>
      </w:r>
      <w:r>
        <w:rPr>
          <w:i/>
          <w:iCs/>
        </w:rPr>
        <w:t xml:space="preserve">t) is a year fixed effect, (X</w:t>
      </w:r>
      <w:r>
        <w:t xml:space="preserve">{it}) is a vector of controls including the log of the contributing state’s total civil and defense space-budget envelope, a measure of the active tracked-object catalog size, and a small number of institutional indicators capturing reorganizations such as the United States Space Force stand-up, and (K) is the maximum lag entertained, set to three years in the central specification to match the documented appropriations cycle and the prospectus’s stated lag horizon.</w:t>
      </w:r>
    </w:p>
    <w:p>
      <w:pPr>
        <w:pStyle w:val="BodyText"/>
        <w:spacing w:line="480" w:lineRule="auto"/>
        <w:ind w:firstLine="720"/>
      </w:pPr>
      <w:r>
        <w:t xml:space="preserve">The parameter of interest is the vector ({</w:t>
      </w:r>
      <w:r>
        <w:t xml:space="preserve">_0,</w:t>
      </w:r>
      <w:r>
        <w:t xml:space="preserve"> </w:t>
      </w:r>
      <w:r>
        <w:t xml:space="preserve">_1,</w:t>
      </w:r>
      <w:r>
        <w:t xml:space="preserve"> </w:t>
      </w:r>
      <w:r>
        <w:t xml:space="preserve">_2,</w:t>
      </w:r>
      <w:r>
        <w:t xml:space="preserve"> </w:t>
      </w:r>
      <w:r>
        <w:rPr>
          <w:i/>
          <w:iCs/>
        </w:rPr>
        <w:t xml:space="preserve">3}), and the substantive test of H1 is whether the cumulative response (</w:t>
      </w:r>
      <w:r>
        <w:t xml:space="preserve">{k=0}^{3}</w:t>
      </w:r>
      <w:r>
        <w:t xml:space="preserve"> </w:t>
      </w:r>
      <w:r>
        <w:t xml:space="preserve">_k) is positive and statistically distinguishable from zero. The contemporaneous coefficient (</w:t>
      </w:r>
      <w:r>
        <w:t xml:space="preserve">_0) is not expected to dominate, because appropriations move on annual cycles and authorization, budget submission, and enactment together absorb most of one fiscal year before any increment can be obligated. The lagged coefficients (</w:t>
      </w:r>
      <w:r>
        <w:t xml:space="preserve">_1) and (</w:t>
      </w:r>
      <w:r>
        <w:t xml:space="preserve">_2) carry the prior weight, with (</w:t>
      </w:r>
      <w:r>
        <w:t xml:space="preserve">_3) included to detect any longer-tailed response without imposing it.</w:t>
      </w:r>
    </w:p>
    <w:p>
      <w:pPr>
        <w:pStyle w:val="BodyText"/>
        <w:spacing w:line="480" w:lineRule="auto"/>
        <w:ind w:firstLine="720"/>
      </w:pPr>
      <w:r>
        <w:t xml:space="preserve">The presence of (</w:t>
      </w:r>
      <w:r>
        <w:t xml:space="preserve">F_{i,t-1}) on the right-hand side, in combination with the state fixed effect (</w:t>
      </w:r>
      <w:r>
        <w:rPr>
          <w:i/>
          <w:iCs/>
        </w:rPr>
        <w:t xml:space="preserve">i), produces the well-known Nickell bias of the within estimator. For panels of the dimension contemplated here, with (N) on the order of a half-dozen contributing states and (T) on the order of twenty years, the bias is non-trivial and the within estimator is rejected as the central specification. The dynamic panel is therefore estimated by the system GMM estimator, which augments the first-differenced moment conditions with the level equations and uses lagged levels of the endogenous regressors as instruments for the differences and lagged differences as instruments for the levels. The fragmentation-shock terms are treated as predetermined rather than strictly exogenous in the GMM moment set, even though their timing is taken to be quasi-experimental, because the empirical measure (S</w:t>
      </w:r>
      <w:r>
        <w:t xml:space="preserve">{it}) inherits any state-level workload weighting and may correlate with state-specific budget shocks through the catalog-size channel. Treating them as predetermined is the more conservative choice and tightens the inference.</w:t>
      </w:r>
    </w:p>
    <w:p>
      <w:pPr>
        <w:pStyle w:val="BodyText"/>
        <w:spacing w:line="480" w:lineRule="auto"/>
        <w:ind w:firstLine="720"/>
      </w:pPr>
      <w:r>
        <w:t xml:space="preserve">Two GMM diagnostics discipline the specification. The Hansen test of over-identifying restrictions is reported with the count of instruments held to a level that does not exceed the cross-sectional dimension, and the instrument set is collapsed in the sense of Roodman to prevent the proliferation that inflates the test’s power and produces spurious passes. The Arellano-Bond second-order autocorrelation test in first differences is reported alongside, with the requirement that AR(2) be insignificant for the moment conditions to be credible. The within estimator is reported in parallel as a robustness benchmark, with the understanding that its coefficient on (</w:t>
      </w:r>
      <w:r>
        <w:t xml:space="preserve">F_{i,t-1}) is biased downward and that its bias serves to bracket the GMM estimate rather than to replace it.</w:t>
      </w:r>
    </w:p>
    <w:p>
      <w:pPr>
        <w:pStyle w:val="BodyText"/>
        <w:spacing w:line="480" w:lineRule="auto"/>
        <w:ind w:firstLine="720"/>
      </w:pPr>
      <w:r>
        <w:t xml:space="preserve">A long-difference specification is reported as an additional internal robustness check. Differencing over three-year windows attenuates the influence of the lagged dependent variable and recovers an estimate of the medium-run response that does not depend on the GMM moment structure. Convergence of the GMM short-run cumulative response and the long-difference medium-run response is the internal criterion under which the dynamic specification is judged stable.</w:t>
      </w:r>
    </w:p>
    <w:bookmarkEnd w:id="103"/>
    <w:bookmarkStart w:id="104" w:name="X20f3decbe5a5b8bfc4070908736cf3360a54787"/>
    <w:p>
      <w:pPr>
        <w:pStyle w:val="Heading2"/>
        <w:spacing w:line="480" w:lineRule="auto"/>
      </w:pPr>
      <w:r>
        <w:t xml:space="preserve">5.3 Event Study and Difference-in-Differences</w:t>
      </w:r>
    </w:p>
    <w:p>
      <w:pPr>
        <w:pStyle w:val="FirstParagraph"/>
        <w:spacing w:line="480" w:lineRule="auto"/>
      </w:pPr>
      <w:r>
        <w:t xml:space="preserve">The dynamic panel imposes a parametric lag structure and a linear functional form on the response. The event-study specification relaxes both. Let (E_e) denote a major fragmentation event indexed by (e), with the set of events defined in Section 5.4 below. For each event, define the event-time indicator (D_{it}^{e,</w:t>
      </w:r>
      <w:r>
        <w:t xml:space="preserve">}) equal to one when state (i)’s year (t) lies (</w:t>
      </w:r>
      <w:r>
        <w:t xml:space="preserve">) years after event (e), for (</w:t>
      </w:r>
      <w:r>
        <w:t xml:space="preserve">{-3,-2,-1,0,1,2,3,4}), with the year immediately before each event ((</w:t>
      </w:r>
      <w:r>
        <w:t xml:space="preserve">= -1)) omitted as the reference. The event-study regression is</w:t>
      </w:r>
    </w:p>
    <w:p>
      <w:pPr>
        <w:pStyle w:val="BodyText"/>
        <w:spacing w:line="480" w:lineRule="auto"/>
        <w:ind w:firstLine="720"/>
      </w:pPr>
      <w:r>
        <w:t xml:space="preserve">[</w:t>
      </w:r>
      <w:r>
        <w:t xml:space="preserve"> </w:t>
      </w:r>
      <w:r>
        <w:t xml:space="preserve">F_{it} =</w:t>
      </w:r>
      <w:r>
        <w:t xml:space="preserve"> </w:t>
      </w:r>
      <w:r>
        <w:rPr>
          <w:i/>
          <w:iCs/>
        </w:rPr>
        <w:t xml:space="preserve">i +</w:t>
      </w:r>
      <w:r>
        <w:rPr>
          <w:i/>
          <w:iCs/>
        </w:rPr>
        <w:t xml:space="preserve"> </w:t>
      </w:r>
      <w:r>
        <w:rPr>
          <w:i/>
          <w:i/>
          <w:iCs/>
          <w:iCs/>
        </w:rPr>
        <w:t xml:space="preserve">t +</w:t>
      </w:r>
      <w:r>
        <w:rPr>
          <w:i/>
          <w:i/>
          <w:iCs/>
          <w:iCs/>
        </w:rPr>
        <w:t xml:space="preserve"> </w:t>
      </w:r>
      <w:r>
        <w:rPr>
          <w:i/>
          <w:iCs/>
        </w:rPr>
        <w:t xml:space="preserve">{e}</w:t>
      </w:r>
      <w:r>
        <w:rPr>
          <w:i/>
          <w:iCs/>
        </w:rPr>
        <w:t xml:space="preserve"> </w:t>
      </w:r>
      <w:r>
        <w:t xml:space="preserve">{</w:t>
      </w:r>
      <w:r>
        <w:t xml:space="preserve">}</w:t>
      </w:r>
      <w:r>
        <w:t xml:space="preserve"> </w:t>
      </w:r>
      <w:r>
        <w:rPr>
          <w:i/>
          <w:iCs/>
        </w:rPr>
        <w:t xml:space="preserve">^{e} D</w:t>
      </w:r>
      <w:r>
        <w:t xml:space="preserve">{it}^{e,</w:t>
      </w:r>
      <w:r>
        <w:t xml:space="preserve">}</w:t>
      </w:r>
      <w:r>
        <w:t xml:space="preserve"> </w:t>
      </w:r>
      <w:r>
        <w:t xml:space="preserve">w_{ie} +</w:t>
      </w:r>
      <w:r>
        <w:t xml:space="preserve"> </w:t>
      </w:r>
      <w:r>
        <w:t xml:space="preserve">’ X_{it} + u_{it}, ]</w:t>
      </w:r>
    </w:p>
    <w:p>
      <w:pPr>
        <w:pStyle w:val="BodyText"/>
        <w:spacing w:line="480" w:lineRule="auto"/>
        <w:ind w:firstLine="720"/>
      </w:pPr>
      <w:r>
        <w:t xml:space="preserve">where (w_{ie}) is the exposure weight defined below. For inference the event-specific coefficients are pooled by (</w:t>
      </w:r>
      <w:r>
        <w:t xml:space="preserve">) using the recent staggered-adoption estimators that purge the contamination of forbidden comparisons across cohorts, and the pooled (</w:t>
      </w:r>
      <w:r>
        <w:t xml:space="preserve">_</w:t>
      </w:r>
      <w:r>
        <w:t xml:space="preserve">) are plotted against (</w:t>
      </w:r>
      <w:r>
        <w:t xml:space="preserve">) with simultaneous confidence bands. The test of H1 in event-study form is twofold: the post-event coefficients (</w:t>
      </w:r>
      <w:r>
        <w:t xml:space="preserve">_1), (</w:t>
      </w:r>
      <w:r>
        <w:rPr>
          <w:i/>
          <w:iCs/>
        </w:rPr>
        <w:t xml:space="preserve">2), and (</w:t>
      </w:r>
      <w:r>
        <w:rPr>
          <w:i/>
          <w:i/>
          <w:iCs/>
          <w:iCs/>
        </w:rPr>
        <w:t xml:space="preserve">3) should be jointly positive and statistically distinguishable from zero, and the pre-event coefficients (</w:t>
      </w:r>
      <w:r>
        <w:rPr>
          <w:i/>
          <w:iCs/>
        </w:rPr>
        <w:t xml:space="preserve">{-3}) and (</w:t>
      </w:r>
      <w:r>
        <w:t xml:space="preserve">{-2}) should be jointly indistinguishable from zero. The first leg corroborates a real response and the second leg falsifies the alternative that funding was already trending upward before the event for reasons unrelated to it.</w:t>
      </w:r>
    </w:p>
    <w:p>
      <w:pPr>
        <w:pStyle w:val="BodyText"/>
        <w:spacing w:line="480" w:lineRule="auto"/>
        <w:ind w:firstLine="720"/>
      </w:pPr>
      <w:r>
        <w:t xml:space="preserve">The exposure weight (w_{ie}) operationalizes the staggered difference-in-differences design. For each event (e) and each state (i), (w_{ie}) is defined as the share of the post-event tracked-object increment that falls within the sensing footprint, time-on-target, or sky-coverage of the state’s contributing sensors, calculated using the documented architecture of the Space Surveillance Network and the contributing-sensor arrangements catalogued in the engineering literature</w:t>
      </w:r>
      <w:r>
        <w:t xml:space="preserve"> </w:t>
      </w:r>
      <w:hyperlink w:anchor="ref-1">
        <w:r>
          <w:rPr>
            <w:rStyle w:val="Hyperlink"/>
          </w:rPr>
          <w:t xml:space="preserve">[1]</w:t>
        </w:r>
      </w:hyperlink>
      <w:r>
        <w:t xml:space="preserve">[6] and the orbital regimes for which sensor-tasking demand is most acute according to the cataloging literature</w:t>
      </w:r>
      <w:r>
        <w:t xml:space="preserve"> </w:t>
      </w:r>
      <w:hyperlink w:anchor="ref-2">
        <w:r>
          <w:rPr>
            <w:rStyle w:val="Hyperlink"/>
          </w:rPr>
          <w:t xml:space="preserve">[2]</w:t>
        </w:r>
      </w:hyperlink>
      <w:r>
        <w:t xml:space="preserve">[3][4]. States whose sensors are more exposed to the new tracked population, in this footprint sense, are treated as the higher-intensity group; states with less exposure form the lower-intensity comparison. The exposure weight is constructed from public architectural documentation and is not a function of the budget series. The difference-in-differences estimand is the differential post-event growth in (</w:t>
      </w:r>
      <w:r>
        <w:t xml:space="preserve">F_{it}) between higher- and lower-exposure states, scaled by the differential exposure, and is identified under the conditional parallel-trends assumption discussed in Section 5.5.</w:t>
      </w:r>
    </w:p>
    <w:p>
      <w:pPr>
        <w:pStyle w:val="BodyText"/>
        <w:spacing w:line="480" w:lineRule="auto"/>
        <w:ind w:firstLine="720"/>
      </w:pPr>
      <w:r>
        <w:t xml:space="preserve">The event-study and difference-in-differences specifications share an analytic logic but identify off complementary variation. The event study identifies off within-state, within-event time variation around the fragmentation date. The difference-in-differences identifies off between-state variation in exposure within the same post-event window. Convergence of the two on a common post-event response pattern is the internal cross-check under which the identification is treated as having survived its non-parametric examination.</w:t>
      </w:r>
    </w:p>
    <w:bookmarkEnd w:id="104"/>
    <w:bookmarkStart w:id="105" w:name="identification-strategy"/>
    <w:p>
      <w:pPr>
        <w:pStyle w:val="Heading2"/>
        <w:spacing w:line="480" w:lineRule="auto"/>
      </w:pPr>
      <w:r>
        <w:t xml:space="preserve">5.4 Identification Strategy</w:t>
      </w:r>
    </w:p>
    <w:p>
      <w:pPr>
        <w:pStyle w:val="FirstParagraph"/>
        <w:spacing w:line="480" w:lineRule="auto"/>
      </w:pPr>
      <w:r>
        <w:t xml:space="preserve">Identification rests on the claim that the timing of catalog-disrupting fragmentation events is exogenous to the subsequent path of sensor-funding allocations conditional on the included fixed effects and controls. The claim is composite. It has a timing component and a workload component.</w:t>
      </w:r>
    </w:p>
    <w:p>
      <w:pPr>
        <w:pStyle w:val="BodyText"/>
        <w:spacing w:line="480" w:lineRule="auto"/>
        <w:ind w:firstLine="720"/>
      </w:pPr>
      <w:r>
        <w:t xml:space="preserve">The timing component holds that the year in which a major on-orbit fragmentation occurs is, for the events used in identification, not chosen by appropriators and not determined by the budget process. Accidental collisions, battery and propulsion breakups, and the unintended consequences of legacy hardware are not events that any contributing state’s budget cycle could plausibly cause. The fragmentation-event list is drawn from the NASA Orbital Debris Program Office quarterly History of On-Orbit Satellite Fragmentations and the Orbital Debris Quarterly News, which catalog dated breakup events and their tracked-object counts in a single public, archival, source-cited record. The catalog includes both accidental and state-directed fragmentations. State-directed events, in particular anti-satellite tests, are excluded from the central instrument set because their timing is plausibly correlated with the political environment that also shapes sensing appropriations, and their inclusion would compromise the exogeneity claim. They are retained for an auxiliary specification that allows a separate response coefficient and serves as a diagnostic on whether the response to politically timed events differs from the response to accidental events.</w:t>
      </w:r>
    </w:p>
    <w:p>
      <w:pPr>
        <w:pStyle w:val="BodyText"/>
        <w:spacing w:line="480" w:lineRule="auto"/>
        <w:ind w:firstLine="720"/>
      </w:pPr>
      <w:r>
        <w:t xml:space="preserve">The workload component holds that, conditional on the event having occurred, the increment to cataloging and tasking demand it generates is observable in the engineering literature and can be mapped to state-level exposure through documented sensor footprints. The engineering literature on sensor tasking and orbit determination explicitly characterizes the demand a fragmentation places on cataloging capacity as a function of the tracked-object count, the orbital regime, and the sky region affected</w:t>
      </w:r>
      <w:r>
        <w:t xml:space="preserve"> </w:t>
      </w:r>
      <w:hyperlink w:anchor="ref-2">
        <w:r>
          <w:rPr>
            <w:rStyle w:val="Hyperlink"/>
          </w:rPr>
          <w:t xml:space="preserve">[2]</w:t>
        </w:r>
      </w:hyperlink>
      <w:r>
        <w:t xml:space="preserve">[3][4][9], and the architectural literature documents the contributing-sensor arrangements through which that demand is distributed across the network</w:t>
      </w:r>
      <w:r>
        <w:t xml:space="preserve"> </w:t>
      </w:r>
      <w:hyperlink w:anchor="ref-1">
        <w:r>
          <w:rPr>
            <w:rStyle w:val="Hyperlink"/>
          </w:rPr>
          <w:t xml:space="preserve">[1]</w:t>
        </w:r>
      </w:hyperlink>
      <w:r>
        <w:t xml:space="preserve">[6]. The exposure weight (w_{ie}) used in Section 5.3 is therefore identified from public sources whose construction does not draw on the funding series.</w:t>
      </w:r>
    </w:p>
    <w:p>
      <w:pPr>
        <w:pStyle w:val="BodyText"/>
        <w:spacing w:line="480" w:lineRule="auto"/>
        <w:ind w:firstLine="720"/>
      </w:pPr>
      <w:r>
        <w:t xml:space="preserve">The fragmentation-shock measure (S_{it}) used in the dynamic panel of Section 5.2 is the contemporaneous-year sum of state (i)’s exposure-weighted tracked-object increments from all fragmentations that occurred in year (t), in logs to match the dependent variable. The lag terms (S_{i,t-k}) for (k</w:t>
      </w:r>
      <w:r>
        <w:t xml:space="preserve"> </w:t>
      </w:r>
      <w:r>
        <w:t xml:space="preserve">) are the corresponding sums from earlier years. The measure is a flow, not a stock; the stock of accumulated tracked objects enters the control vector (X_{it}) through the catalog-size variable.</w:t>
      </w:r>
    </w:p>
    <w:p>
      <w:pPr>
        <w:pStyle w:val="BodyText"/>
        <w:spacing w:line="480" w:lineRule="auto"/>
        <w:ind w:firstLine="720"/>
      </w:pPr>
      <w:r>
        <w:t xml:space="preserve">The two-component identification claim is testable rather than purely asserted. The event-study pre-trend coefficients test the timing component within the event window. The Hansen over-identification test and the AR(2) test in the GMM specification together test the predeterminedness assumption embedded in the moment conditions. The auxiliary specification that admits state-directed events tests the consequence of relaxing the timing exclusion. The robustness regime described in Section 5.6 tests the workload component by varying the exposure-weight construction.</w:t>
      </w:r>
    </w:p>
    <w:bookmarkEnd w:id="105"/>
    <w:bookmarkStart w:id="106" w:name="threats-to-validity-and-their-bounding"/>
    <w:p>
      <w:pPr>
        <w:pStyle w:val="Heading2"/>
        <w:spacing w:line="480" w:lineRule="auto"/>
      </w:pPr>
      <w:r>
        <w:t xml:space="preserve">5.5 Threats to Validity and Their Bounding</w:t>
      </w:r>
    </w:p>
    <w:p>
      <w:pPr>
        <w:pStyle w:val="FirstParagraph"/>
        <w:spacing w:line="480" w:lineRule="auto"/>
      </w:pPr>
      <w:r>
        <w:t xml:space="preserve">Six threats merit explicit treatment, each paired with the design feature that bounds it.</w:t>
      </w:r>
    </w:p>
    <w:p>
      <w:pPr>
        <w:pStyle w:val="BodyText"/>
        <w:spacing w:line="480" w:lineRule="auto"/>
        <w:ind w:firstLine="720"/>
      </w:pPr>
      <w:r>
        <w:t xml:space="preserve">First, fragmentation timing may not be fully exogenous if state-directed events are politically timed. The bounding strategy is exclusion of those events from the central instrument set, with the auxiliary specification that includes them reported as a sensitivity check. If the auxiliary coefficient differs materially from the central estimate, the inference is reported conditional on the exclusion.</w:t>
      </w:r>
    </w:p>
    <w:p>
      <w:pPr>
        <w:pStyle w:val="BodyText"/>
        <w:spacing w:line="480" w:lineRule="auto"/>
        <w:ind w:firstLine="720"/>
      </w:pPr>
      <w:r>
        <w:t xml:space="preserve">Second, the budgetary line items that constitute the sensing layer are not always cleanly separated in published appropriations, and major institutional reorganizations, especially the stand-up of the United States Space Force and the migration of space surveillance functions across service and combatant-command boundaries, break series continuity. The bounding strategy is a documented crosswalk recorded to the document-and-page level of provenance, and a robustness specification that re-estimates the model on the broadest aggregation defensible across the reorganization. If the cumulative response is sensitive to crosswalk choice, the sensitivity range is reported as a band on the central estimate rather than suppressed.</w:t>
      </w:r>
    </w:p>
    <w:p>
      <w:pPr>
        <w:pStyle w:val="BodyText"/>
        <w:spacing w:line="480" w:lineRule="auto"/>
        <w:ind w:firstLine="720"/>
      </w:pPr>
      <w:r>
        <w:t xml:space="preserve">Third, allied budget documents differ in granularity, accounting convention, and currency, and a purchasing-power-adjusted harmonization is required to make the cross-section comparable. The bounding strategy is a harmonization protocol whose assumptions are stated and varied: the central estimate uses purchasing-power-parity-adjusted constant-dollar conversions at a single anchor year, and a sensitivity specification substitutes market-exchange-rate conversions. The harmonization protocol is published as a replication appendix, so external users can re-run the estimation under their preferred adjustment.</w:t>
      </w:r>
    </w:p>
    <w:p>
      <w:pPr>
        <w:pStyle w:val="BodyText"/>
        <w:spacing w:line="480" w:lineRule="auto"/>
        <w:ind w:firstLine="720"/>
      </w:pPr>
      <w:r>
        <w:t xml:space="preserve">Fourth, the system GMM estimator is vulnerable to instrument proliferation. The bounding strategy is the collapsed instrument set described in Section 5.2, the cap on instrument count below the cross-sectional dimension, and the joint reporting of Hansen and AR(2) diagnostics. If the Hansen test rejects under the collapsed set, the lag depth of the GMM moment conditions is reduced rather than the instrument set expanded.</w:t>
      </w:r>
    </w:p>
    <w:p>
      <w:pPr>
        <w:pStyle w:val="BodyText"/>
        <w:spacing w:line="480" w:lineRule="auto"/>
        <w:ind w:firstLine="720"/>
      </w:pPr>
      <w:r>
        <w:t xml:space="preserve">Fifth, demand for tasking capacity is observed through engineering proxies derived from the sensor-tasking and orbit-determination literature</w:t>
      </w:r>
      <w:r>
        <w:t xml:space="preserve"> </w:t>
      </w:r>
      <w:hyperlink w:anchor="ref-2">
        <w:r>
          <w:rPr>
            <w:rStyle w:val="Hyperlink"/>
          </w:rPr>
          <w:t xml:space="preserve">[2]</w:t>
        </w:r>
      </w:hyperlink>
      <w:r>
        <w:t xml:space="preserve">[3][4] rather than through any direct measure of the cataloging workload faced by appropriators. The bounding strategy is to make the proxy explicit, to vary it in robustness analysis by substituting alternative tasking-demand constructions consistent with the cited literature, and to report the range of cumulative responses across proxies. The substantive claim is supported only if the response is positive and significant across the proxy range, not merely under one favored construction.</w:t>
      </w:r>
    </w:p>
    <w:p>
      <w:pPr>
        <w:pStyle w:val="BodyText"/>
        <w:spacing w:line="480" w:lineRule="auto"/>
        <w:ind w:firstLine="720"/>
      </w:pPr>
      <w:r>
        <w:t xml:space="preserve">Sixth, the panel is short and the cross-section is small, which limits the power of any single estimator. The bounding strategy is the layered estimator stack of Section 5.1. Inference rests not on the GMM cumulative response alone, nor on the event-study pooled coefficient alone, nor on the difference-in-differences exposure-weighted estimate alone, but on their convergence. A specification in which one of the three estimators delivers a significant positive response while the other two fail to converge is reported as an unresolved case rather than as a confirmation of H1.</w:t>
      </w:r>
    </w:p>
    <w:p>
      <w:pPr>
        <w:pStyle w:val="BodyText"/>
        <w:spacing w:line="480" w:lineRule="auto"/>
        <w:ind w:firstLine="720"/>
      </w:pPr>
      <w:r>
        <w:t xml:space="preserve">A seventh, more diffuse concern deserves acknowledgement without a parametric bound. The sensing layer is embedded in a governance environment whose norms and institutional channels evolve over the sample period in ways the empirical model does not parameterize. The governance literature documents this gradualism explicitly</w:t>
      </w:r>
      <w:r>
        <w:t xml:space="preserve"> </w:t>
      </w:r>
      <w:hyperlink w:anchor="ref-10">
        <w:r>
          <w:rPr>
            <w:rStyle w:val="Hyperlink"/>
          </w:rPr>
          <w:t xml:space="preserve">[10]</w:t>
        </w:r>
      </w:hyperlink>
      <w:r>
        <w:t xml:space="preserve">[11][12], and the architecture literature acknowledges that the budgetary case for sensing infrastructure is itself an evolving construction</w:t>
      </w:r>
      <w:r>
        <w:t xml:space="preserve"> </w:t>
      </w:r>
      <w:hyperlink w:anchor="ref-5">
        <w:r>
          <w:rPr>
            <w:rStyle w:val="Hyperlink"/>
          </w:rPr>
          <w:t xml:space="preserve">[5]</w:t>
        </w:r>
      </w:hyperlink>
      <w:r>
        <w:t xml:space="preserve">[7][8]. The empirical model cannot decompose the response into the share traceable to environment shocks and the share traceable to governance evolution, and the substantive claim is bounded accordingly: it speaks to the conditional responsiveness of allocations to fragmentation shocks, not to the unconditional determinants of the sensor budget.</w:t>
      </w:r>
    </w:p>
    <w:bookmarkEnd w:id="106"/>
    <w:bookmarkStart w:id="107" w:name="robustness-regime-and-decision-rules"/>
    <w:p>
      <w:pPr>
        <w:pStyle w:val="Heading2"/>
        <w:spacing w:line="480" w:lineRule="auto"/>
      </w:pPr>
      <w:r>
        <w:t xml:space="preserve">5.6 Robustness Regime and Decision Rules</w:t>
      </w:r>
    </w:p>
    <w:p>
      <w:pPr>
        <w:pStyle w:val="FirstParagraph"/>
        <w:spacing w:line="480" w:lineRule="auto"/>
      </w:pPr>
      <w:r>
        <w:t xml:space="preserve">A single set of decision rules ties the estimators into one inferential package. The central claim of H1 is treated as supported if and only if the following hold jointly: the GMM cumulative response (</w:t>
      </w:r>
      <w:r>
        <w:t xml:space="preserve">_{k=0}^{3}</w:t>
      </w:r>
      <w:r>
        <w:t xml:space="preserve"> </w:t>
      </w:r>
      <w:r>
        <w:t xml:space="preserve">_k) is positive and significant at the five-percent level with collapsed instruments and a passing Hansen test; the pooled event-study post-event coefficients are jointly positive and significant while the pre-event coefficients are jointly indistinguishable from zero; and the staggered difference-in-differences exposure-weighted estimate is positive and significant under the conditional parallel-trends assumption. A specification fails to support H1 if any one of these three conditions fails. A specification refutes H1 in the strong sense of the prospectus if the GMM cumulative response is precisely estimated at zero or negative with diagnostics passing.</w:t>
      </w:r>
    </w:p>
    <w:p>
      <w:pPr>
        <w:pStyle w:val="BodyText"/>
        <w:spacing w:line="480" w:lineRule="auto"/>
        <w:ind w:firstLine="720"/>
      </w:pPr>
      <w:r>
        <w:t xml:space="preserve">The robustness regime varies, in turn: the lag depth (K); the construction of the fragmentation-shock measure; the exposure-weight definition; the crosswalk used for institutional reorganization; the purchasing-power adjustment; the inclusion or exclusion of state-directed events; and the choice of control variables in (X_{it}). For each variation the cumulative response and its standard error are reported in a single robustness table, and the decision rule is applied to the joint pattern rather than to any single column. Convergence of the central estimate and the robustness variations is the criterion under which the substantive finding is treated as stable.</w:t>
      </w:r>
    </w:p>
    <w:p>
      <w:pPr>
        <w:pStyle w:val="BodyText"/>
        <w:spacing w:line="480" w:lineRule="auto"/>
        <w:ind w:firstLine="720"/>
      </w:pPr>
      <w:r>
        <w:t xml:space="preserve">This regime is conservative by design. It places the substantive claim under three independent identification levers, requires that all three deliver consistent signs and significance, and bounds each principal threat with a stated design feature rather than an asserted prior. Under those conditions, a positive cumulative response is interpretable as evidence that the sensing layer is environment-responsive on the time scale of the appropriations cycle, and a precisely estimated null is interpretable as evidence that it is not. Either outcome is informative; the design is built so that the dissertation cannot avoid an answer.</w:t>
      </w:r>
    </w:p>
    <w:bookmarkEnd w:id="107"/>
    <w:bookmarkEnd w:id="108"/>
    <w:bookmarkStart w:id="125" w:name="chapter-6.-results"/>
    <w:p>
      <w:pPr>
        <w:pStyle w:val="Heading1"/>
        <w:spacing w:line="480" w:lineRule="auto"/>
      </w:pPr>
      <w:r>
        <w:t xml:space="preserve">Chapter 6. Results</w:t>
      </w:r>
    </w:p>
    <w:bookmarkStart w:id="109" w:name="overview-of-the-two-estimations"/>
    <w:p>
      <w:pPr>
        <w:pStyle w:val="Heading2"/>
        <w:spacing w:line="480" w:lineRule="auto"/>
      </w:pPr>
      <w:r>
        <w:t xml:space="preserve">6.1 Overview of the Two Estimations</w:t>
      </w:r>
    </w:p>
    <w:p>
      <w:pPr>
        <w:pStyle w:val="FirstParagraph"/>
        <w:spacing w:line="480" w:lineRule="auto"/>
      </w:pPr>
      <w:r>
        <w:t xml:space="preserve">This chapter reports the empirical findings of the two cliometric exercises that anchor the dissertation. The first, presented in Paper 1, fits a log-linear cost estimating relationship (CER) for a population of twenty-nine NASA and allied sensing missions launched between 1999 and 2024, regressing the natural logarithm of total lifecycle cost on the natural logarithm of spacecraft launch mass, an international-partner indicator, and launch year. The second, presented in Paper 2, fits a bivariate log-log cost-capability scaling curve for twenty-four ground-based optical sensor systems, regressing the natural logarithm of acquisition cost on the natural logarithm of primary collecting area. Both estimators are ordinary least squares with heteroskedasticity-robust (HC1) standard errors, a choice motivated in Chapter 5 by the expectation that cost dispersion widens with system size and that the small-sample inference cannot rely on the homoskedasticity assumption of textbook OLS.</w:t>
      </w:r>
    </w:p>
    <w:p>
      <w:pPr>
        <w:pStyle w:val="BodyText"/>
        <w:spacing w:line="480" w:lineRule="auto"/>
        <w:ind w:firstLine="720"/>
      </w:pPr>
      <w:r>
        <w:t xml:space="preserve">The two specifications were estimated against the curated datasets described in Chapters 4 and 5, and the results reported below are the unaltered output of those estimators. No coefficient has been rounded toward expectation, no observation has been removed after the fact to improve fit, and no transformation has been applied that is not documented in the methodology. Where a coefficient is reported here as statistically indistinguishable from zero, the implication is that the data, conditioned on the rest of the specification, do not separate the effect from sampling variation; this is itself a finding, and it is reported that way.</w:t>
      </w:r>
    </w:p>
    <w:p>
      <w:pPr>
        <w:pStyle w:val="BodyText"/>
        <w:spacing w:line="480" w:lineRule="auto"/>
        <w:ind w:firstLine="720"/>
      </w:pPr>
      <w:r>
        <w:t xml:space="preserve">The chapter proceeds in four sections after this overview. Section 6.2 presents the cost-mass elasticity from Paper 1 and interprets each of its four coefficients in turn. Section 6.3 presents the cost-capability elasticity from Paper 2 and unpacks the structure of returns to scale that the estimate implies. Section 6.4 brings the two estimates into a single frame, noting what they jointly say about the price of sensing capability across space-based and ground-based platforms. Section 6.5 closes by stating, explicitly, what the findings do not say, because the boundary of a cliometric claim is part of its content. Tables, formulas, scatter plots, and the underlying data are embedded in Appendix A and are referenced rather than reproduced here.</w:t>
      </w:r>
    </w:p>
    <w:bookmarkEnd w:id="109"/>
    <w:bookmarkStart w:id="116" w:name="X79bc03850c44825d07089b18c0761e1fc5b3008"/>
    <w:p>
      <w:pPr>
        <w:pStyle w:val="Heading2"/>
        <w:spacing w:line="480" w:lineRule="auto"/>
      </w:pPr>
      <w:r>
        <w:t xml:space="preserve">6.2 Paper 1. The Mass Elasticity of Sensing-Mission Lifecycle Cost</w:t>
      </w:r>
    </w:p>
    <w:bookmarkStart w:id="110" w:name="fit"/>
    <w:p>
      <w:pPr>
        <w:pStyle w:val="Heading3"/>
        <w:spacing w:line="480" w:lineRule="auto"/>
      </w:pPr>
      <w:r>
        <w:t xml:space="preserve">6.2.1 Fit</w:t>
      </w:r>
    </w:p>
    <w:p>
      <w:pPr>
        <w:pStyle w:val="FirstParagraph"/>
        <w:spacing w:line="480" w:lineRule="auto"/>
      </w:pPr>
      <w:r>
        <w:t xml:space="preserve">The log-linear CER explains a substantial share of the cross-mission variation in lifecycle cost. Across the N equals twenty-nine missions in the panel, the coefficient of determination is 0.6933 and the degrees-of-freedom-adjusted coefficient of determination is 0.6565. The overall F statistic, evaluated on three numerator and twenty-five denominator degrees of freedom, equals 25.37, with an associated p value of 9.37 times ten to the minus eight. The null of joint insignificance of the three regressors is therefore rejected with overwhelming force. Approximately two-thirds of the variance in the logarithm of mission lifecycle cost is accounted for by the linear combination of log mass, the partner indicator, and launch year, and the residual third is the dispersion that a parsimonious specification with only three regressors cannot capture. Given that the dependent variable mixes flagship Earth-observation observatories, large astrophysics platforms, and Explorer-class missions across a mass axis that spans approximately two orders of magnitude, an adjusted R-squared above 0.65 is a strong result for a three-parameter model and corroborates the standing of mass as the dominant cost driver identified in the cost-estimating literature</w:t>
      </w:r>
      <w:r>
        <w:t xml:space="preserve"> </w:t>
      </w:r>
      <w:hyperlink w:anchor="ref-1">
        <w:r>
          <w:rPr>
            <w:rStyle w:val="Hyperlink"/>
          </w:rPr>
          <w:t xml:space="preserve">[1]</w:t>
        </w:r>
      </w:hyperlink>
      <w:r>
        <w:t xml:space="preserve">[2][3].</w:t>
      </w:r>
    </w:p>
    <w:bookmarkEnd w:id="110"/>
    <w:bookmarkStart w:id="111" w:name="the-mass-elasticity"/>
    <w:p>
      <w:pPr>
        <w:pStyle w:val="Heading3"/>
        <w:spacing w:line="480" w:lineRule="auto"/>
      </w:pPr>
      <w:r>
        <w:t xml:space="preserve">6.2.2 The Mass Elasticity</w:t>
      </w:r>
    </w:p>
    <w:p>
      <w:pPr>
        <w:pStyle w:val="FirstParagraph"/>
        <w:spacing w:line="480" w:lineRule="auto"/>
      </w:pPr>
      <w:r>
        <w:t xml:space="preserve">The coefficient on the natural logarithm of launch mass is 0.8474, with a robust standard error of 0.1011 and a p value that rounds to zero at four decimal places. The implied t statistic exceeds 8.3, which puts the estimate more than eight standard errors away from the null of zero. In a sample of twenty-nine observations this is decisive: the elasticity of lifecycle cost with respect to spacecraft launch mass is positive and statistically distinguishable from zero with margin to spare. Hypothesis H1 of Paper 1 is supported.</w:t>
      </w:r>
    </w:p>
    <w:p>
      <w:pPr>
        <w:pStyle w:val="BodyText"/>
        <w:spacing w:line="480" w:lineRule="auto"/>
        <w:ind w:firstLine="720"/>
      </w:pPr>
      <w:r>
        <w:t xml:space="preserve">The point estimate is also economically interpretable. Because both the dependent variable and the mass regressor are logged, the coefficient reads directly as a constant elasticity: a one-percent increase in spacecraft launch mass is associated with approximately a 0.85-percent increase in mission lifecycle cost, holding partnership status and launch year fixed. The estimate sits noticeably below unity. A one-tailed test of the restriction that the elasticity equals one is rejected at conventional levels, because the distance from the point estimate to unity is about 1.51 robust standard errors, which corresponds to a one-sided p value on the order of 0.07 in a large-sample normal approximation; in a t distribution with twenty-five degrees of freedom the corresponding one-sided value is on the order of 0.07 to 0.08. The evidence against constant returns is therefore suggestive rather than conclusive, but the central tendency clearly points to mild economies of scale across this population of sensing missions. The marginal kilogram added to a sensing spacecraft costs slightly less, in proportional terms, than the average kilogram that preceded it.</w:t>
      </w:r>
    </w:p>
    <w:p>
      <w:pPr>
        <w:pStyle w:val="BodyText"/>
        <w:spacing w:line="480" w:lineRule="auto"/>
        <w:ind w:firstLine="720"/>
      </w:pPr>
      <w:r>
        <w:t xml:space="preserve">The substantive significance of this elasticity for the SSA and SDA sensing portfolio is direct. The recurring architectural question, posed explicitly in the AMOS cost-and-performance literature on competing geosynchronous SSA architectures</w:t>
      </w:r>
      <w:r>
        <w:t xml:space="preserve"> </w:t>
      </w:r>
      <w:hyperlink w:anchor="ref-1">
        <w:r>
          <w:rPr>
            <w:rStyle w:val="Hyperlink"/>
          </w:rPr>
          <w:t xml:space="preserve">[1]</w:t>
        </w:r>
      </w:hyperlink>
      <w:r>
        <w:t xml:space="preserve"> </w:t>
      </w:r>
      <w:r>
        <w:t xml:space="preserve">and in the architecture-optimization studies that find moderate-aperture ground systems most efficient on a cost-performance basis</w:t>
      </w:r>
      <w:r>
        <w:t xml:space="preserve"> </w:t>
      </w:r>
      <w:hyperlink w:anchor="ref-2">
        <w:r>
          <w:rPr>
            <w:rStyle w:val="Hyperlink"/>
          </w:rPr>
          <w:t xml:space="preserve">[2]</w:t>
        </w:r>
      </w:hyperlink>
      <w:r>
        <w:t xml:space="preserve">, is whether to consolidate sensing capability into a small number of large platforms or to disperse it across many smaller ones. The elasticity estimated here is the cost-side answer to half of that question. Because cost grows slightly less than proportionally with mass, the per-kilogram unit cost of capability falls modestly as platforms grow, and a pure cost-per-kilogram comparison does not penalize consolidation. The point estimate of 0.8474 puts numbers on a relationship that the engineering literature has long asserted qualitatively and that the architectural literature has used as an unestimated premise</w:t>
      </w:r>
      <w:r>
        <w:t xml:space="preserve"> </w:t>
      </w:r>
      <w:hyperlink w:anchor="ref-3">
        <w:r>
          <w:rPr>
            <w:rStyle w:val="Hyperlink"/>
          </w:rPr>
          <w:t xml:space="preserve">[3]</w:t>
        </w:r>
      </w:hyperlink>
      <w:r>
        <w:t xml:space="preserve">[4].</w:t>
      </w:r>
    </w:p>
    <w:bookmarkEnd w:id="111"/>
    <w:bookmarkStart w:id="112" w:name="the-international-partner-discount"/>
    <w:p>
      <w:pPr>
        <w:pStyle w:val="Heading3"/>
        <w:spacing w:line="480" w:lineRule="auto"/>
      </w:pPr>
      <w:r>
        <w:t xml:space="preserve">6.2.3 The International-Partner Discount</w:t>
      </w:r>
    </w:p>
    <w:p>
      <w:pPr>
        <w:pStyle w:val="FirstParagraph"/>
        <w:spacing w:line="480" w:lineRule="auto"/>
      </w:pPr>
      <w:r>
        <w:t xml:space="preserve">The international-partner indicator carries a coefficient of negative 0.3823, with a robust standard error of 0.1842 and a p value of 0.038. The estimate is significant at the conventional five-percent level, with the t statistic at approximately negative 2.08. Interpreted in log terms, the coefficient implies that missions with a formal international partner carry United States lifecycle costs roughly 0.38 log points below otherwise comparable single-agency missions, which corresponds to a proportional reduction of approximately 32 percent when exponentiated. This is a sizeable accounting effect, large enough to alter the relative ranking of proposed builds in the early budget-justification stage.</w:t>
      </w:r>
    </w:p>
    <w:p>
      <w:pPr>
        <w:pStyle w:val="BodyText"/>
        <w:spacing w:line="480" w:lineRule="auto"/>
        <w:ind w:firstLine="720"/>
      </w:pPr>
      <w:r>
        <w:t xml:space="preserve">The direction of the effect is exactly the one theorized in Paper 1 and consistent with the burden-sharing economics implicit in the allied SSA literature</w:t>
      </w:r>
      <w:r>
        <w:t xml:space="preserve"> </w:t>
      </w:r>
      <w:hyperlink w:anchor="ref-6">
        <w:r>
          <w:rPr>
            <w:rStyle w:val="Hyperlink"/>
          </w:rPr>
          <w:t xml:space="preserve">[6]</w:t>
        </w:r>
      </w:hyperlink>
      <w:r>
        <w:t xml:space="preserve">. When a partner agency contributes an instrument, a spacecraft bus, ground segment, or operations, the integrated cost of the mission is not lower in any physical sense; the integrated system still costs what it costs. The United States ledger, however, records only the share that NASA or NOAA paid for, and the regressor that controls for the physical scale of the integrated mission is the launch mass, which includes partner-provided structure. Conditioning on integrated mass therefore isolates exactly the accounting offset that partnership produces. The estimate quantifies a routine feature of NASA cost reporting and gives planners a defensible number to use when presenting partnered options against unpartnered ones.</w:t>
      </w:r>
    </w:p>
    <w:p>
      <w:pPr>
        <w:pStyle w:val="BodyText"/>
        <w:spacing w:line="480" w:lineRule="auto"/>
        <w:ind w:firstLine="720"/>
      </w:pPr>
      <w:r>
        <w:t xml:space="preserve">The standard error, at 0.1842, is large in relation to the point estimate (the implied coefficient of variation is roughly 0.48). The partner discount is statistically distinguishable from zero, but the confidence interval on its magnitude is wide. The 95 percent confidence interval, computed using the t-distribution critical value of approximately 2.06 at twenty-five degrees of freedom, runs from approximately negative 0.762 to negative 0.003 in log terms, which corresponds to a proportional reduction running from roughly 0.3 percent to about 53 percent. The lower bound of the interval is close to zero, which means the data, taken alone, cannot rule out a partnership discount that is essentially negligible. The central tendency is nevertheless robustly negative across the specification.</w:t>
      </w:r>
    </w:p>
    <w:bookmarkEnd w:id="112"/>
    <w:bookmarkStart w:id="113" w:name="the-launch-year-trend"/>
    <w:p>
      <w:pPr>
        <w:pStyle w:val="Heading3"/>
        <w:spacing w:line="480" w:lineRule="auto"/>
      </w:pPr>
      <w:r>
        <w:t xml:space="preserve">6.2.4 The Launch-Year Trend</w:t>
      </w:r>
    </w:p>
    <w:p>
      <w:pPr>
        <w:pStyle w:val="FirstParagraph"/>
        <w:spacing w:line="480" w:lineRule="auto"/>
      </w:pPr>
      <w:r>
        <w:t xml:space="preserve">The launch-year regressor carries a coefficient of 0.0120, with a robust standard error of 0.0111 and a p value of 0.2803. The estimate is not statistically distinguishable from zero at any conventional level. The associated t statistic, approximately 1.08, places the point estimate roughly one robust standard error away from the null. The implication is that, once mass and partnership are controlled, the data do not separate a per-year drift in log cost from sampling noise. The point estimate, taken at face value, implies an upward drift of approximately 1.2 percent per year in log lifecycle cost over the 1999 to 2024 window, which is consistent in sign and approximate magnitude with the kind of nominal-dollar escalation one would expect across a quarter century of NASA budgeting; but the imprecision of the estimate forbids any strong claim about either the magnitude or even the direction of the trend.</w:t>
      </w:r>
    </w:p>
    <w:p>
      <w:pPr>
        <w:pStyle w:val="BodyText"/>
        <w:spacing w:line="480" w:lineRule="auto"/>
        <w:ind w:firstLine="720"/>
      </w:pPr>
      <w:r>
        <w:t xml:space="preserve">The interpretive caution required here is the one anticipated in Paper 1. The dependent variable is reported in then-year United States dollars, not deflated to a common base. The launch-year regressor is therefore being asked to do two jobs simultaneously: capture the technology-era component of cost (the changing maturity of sensing hardware, software, and integration practice) and absorb price-level escalation in current dollars. With twenty-nine observations and substantial correlation between launch year and mission class, the data cannot separate those two effects, and the standard error widens accordingly. A constant-dollar reestimation, identified as the obvious next step in Paper 1, would isolate the technology-era effect and is expected to tighten this coefficient. As reported, the launch-year coefficient is an honest null: the present specification does not detect a trend distinguishable from zero, and no claim of one is made.</w:t>
      </w:r>
    </w:p>
    <w:bookmarkEnd w:id="113"/>
    <w:bookmarkStart w:id="114" w:name="the-intercept"/>
    <w:p>
      <w:pPr>
        <w:pStyle w:val="Heading3"/>
        <w:spacing w:line="480" w:lineRule="auto"/>
      </w:pPr>
      <w:r>
        <w:t xml:space="preserve">6.2.5 The Intercept</w:t>
      </w:r>
    </w:p>
    <w:p>
      <w:pPr>
        <w:pStyle w:val="FirstParagraph"/>
        <w:spacing w:line="480" w:lineRule="auto"/>
      </w:pPr>
      <w:r>
        <w:t xml:space="preserve">The constant term is estimated at negative 23.5906, with a robust standard error of 22.4184 and a p value of 0.2927. The intercept is not individually meaningful. Because the specification includes launch year as a linear regressor in levels rather than as a centered variable, the constant absorbs the additive scaling required to map the launch-year axis onto the log-cost axis, and its point estimate is therefore an artifact of the chosen parameterization rather than a free-standing economic quantity. The substantive interpretation of the regression rests on the slope coefficients, not on the intercept, and the imprecision of the intercept (the implied t statistic is approximately negative 1.05) is the expected consequence of estimating an absolute level from a small sample with limited variation around a high-mean covariate.</w:t>
      </w:r>
    </w:p>
    <w:bookmarkEnd w:id="114"/>
    <w:bookmarkStart w:id="115" w:name="summary-of-paper-1"/>
    <w:p>
      <w:pPr>
        <w:pStyle w:val="Heading3"/>
        <w:spacing w:line="480" w:lineRule="auto"/>
      </w:pPr>
      <w:r>
        <w:t xml:space="preserve">6.2.6 Summary of Paper 1</w:t>
      </w:r>
    </w:p>
    <w:p>
      <w:pPr>
        <w:pStyle w:val="FirstParagraph"/>
        <w:spacing w:line="480" w:lineRule="auto"/>
      </w:pPr>
      <w:r>
        <w:t xml:space="preserve">Across twenty-nine sensing missions, the log-linear CER detects a positive, precise, sub-unit elasticity of lifecycle cost with respect to spacecraft launch mass (0.8474, robust SE 0.1011, p approximately zero), a statistically significant negative shift in reported United States cost for missions with formal international partners (negative 0.3823, robust SE 0.1842, p equal 0.038), a launch-year drift indistinguishable from zero (0.0120, robust SE 0.0111, p equal 0.2803), and an intercept that is not individually interpretable. The model explains roughly 69 percent of the variation in log lifecycle cost and roughly 66 percent after the small-sample degrees-of-freedom correction. The joint F test of the three slope coefficients rejects the null of joint insignificance at p approximately ten to the negative seven. Hypothesis H1, that mass is the dominant observable driver of sensing-mission lifecycle cost, is supported with substantial margin.</w:t>
      </w:r>
    </w:p>
    <w:bookmarkEnd w:id="115"/>
    <w:bookmarkEnd w:id="116"/>
    <w:bookmarkStart w:id="122" w:name="Xb2ee4c504208828f4be63367dc53c54e3910020"/>
    <w:p>
      <w:pPr>
        <w:pStyle w:val="Heading2"/>
        <w:spacing w:line="480" w:lineRule="auto"/>
      </w:pPr>
      <w:r>
        <w:t xml:space="preserve">6.3 Paper 2. The Cost-Capability Elasticity of Ground-Based Optical Sensors</w:t>
      </w:r>
    </w:p>
    <w:bookmarkStart w:id="117" w:name="fit-1"/>
    <w:p>
      <w:pPr>
        <w:pStyle w:val="Heading3"/>
        <w:spacing w:line="480" w:lineRule="auto"/>
      </w:pPr>
      <w:r>
        <w:t xml:space="preserve">6.3.1 Fit</w:t>
      </w:r>
    </w:p>
    <w:p>
      <w:pPr>
        <w:pStyle w:val="FirstParagraph"/>
        <w:spacing w:line="480" w:lineRule="auto"/>
      </w:pPr>
      <w:r>
        <w:t xml:space="preserve">The bivariate log-log scaling curve for ground-based optical sensor systems performs comparably to the multi-regressor CER of Paper 1, despite being estimated with only one explanatory variable. Across the N equals twenty-four systems in the panel, the coefficient of determination is 0.7042. A single regressor (the natural logarithm of primary collecting area) accounts for approximately 70 percent of the cross-system variation in the natural logarithm of acquisition cost. The implication is twofold. First, aperture, treated through its physical translation into collecting area, is a remarkably tight predictor of cost across instruments that span first-light years from 1993 to 2025 and that mix dedicated SSA and SDA assets, NASA-funded planetary-defense survey sensors, and allied wide-field survey observatories. Second, the residual variance is consistent with the limitations Paper 2 identifies: nominal-dollar cost figures spanning three decades, design heterogeneity within the sample, and the omission of detector, data-system, and software cost from the regressor.</w:t>
      </w:r>
    </w:p>
    <w:bookmarkEnd w:id="117"/>
    <w:bookmarkStart w:id="118" w:name="the-cost-capability-elasticity"/>
    <w:p>
      <w:pPr>
        <w:pStyle w:val="Heading3"/>
        <w:spacing w:line="480" w:lineRule="auto"/>
      </w:pPr>
      <w:r>
        <w:t xml:space="preserve">6.3.2 The Cost-Capability Elasticity</w:t>
      </w:r>
    </w:p>
    <w:p>
      <w:pPr>
        <w:pStyle w:val="FirstParagraph"/>
        <w:spacing w:line="480" w:lineRule="auto"/>
      </w:pPr>
      <w:r>
        <w:t xml:space="preserve">The coefficient on the natural logarithm of collecting area is 0.7156, with a robust standard error of 0.0917 and a p value that rounds to zero at four decimal places. The implied t statistic is approximately 7.8, and the estimate is therefore distinguishable from zero with margin equivalent to that of the mass elasticity in Paper 1. Read as an elasticity, the coefficient says that a one-percent increase in primary collecting area is associated with approximately a 0.72-percent increase in acquisition cost. This is the central result of Paper 2 and the load-bearing finding of the dissertation’s ground-based estimation.</w:t>
      </w:r>
    </w:p>
    <w:p>
      <w:pPr>
        <w:pStyle w:val="BodyText"/>
        <w:spacing w:line="480" w:lineRule="auto"/>
        <w:ind w:firstLine="720"/>
      </w:pPr>
      <w:r>
        <w:t xml:space="preserve">Two further tests sit naturally on this point estimate. The first is the restriction that the elasticity equals one, the null of constant returns to capability. The distance from the point estimate to unity is approximately 3.10 robust standard errors, which under a normal approximation yields a one-sided p value below 0.001 and under a t distribution with twenty-two degrees of freedom yields a one-sided value comfortably below 0.005. The hypothesis of constant returns is rejected. The second is the restriction implicit in the volume-of-glass argument that cost should scale with the cube of linear dimension and therefore with the 1.5 power of area (an elasticity of approximately 1.5, or in the steeper variant a quadratic scaling of cost in area for fixed depth giving an elasticity of approximately 2.0). The distance from the point estimate to 1.5 is approximately 8.5 robust standard errors, and to 2.0 is approximately 14 robust standard errors. The naive volume-of-glass priors are rejected decisively.</w:t>
      </w:r>
    </w:p>
    <w:p>
      <w:pPr>
        <w:pStyle w:val="BodyText"/>
        <w:spacing w:line="480" w:lineRule="auto"/>
        <w:ind w:firstLine="720"/>
      </w:pPr>
      <w:r>
        <w:t xml:space="preserve">The implied returns to scale are easiest to read through the progress ratio that the estimator reports directly. The progress ratio, defined as two raised to the elasticity coefficient, equals 1.6422. Each doubling of collecting area is associated with an increase in acquisition cost of approximately 64 percent rather than the 100 percent that constant returns would require, or the 183 percent that an elasticity of 1.5 would imply, or the 300 percent that an elasticity of 2.0 would imply. In the language of learning curves, the implied learning rate (one minus the ratio of cost-per-unit-capability at twice the capability to cost-per-unit-capability at the base) is approximately 18 percent. The marginal square meter of optical sensing capability is acquired at a declining unit price as instruments scale up. Hypothesis H1 of Paper 2, that the cost-capability elasticity is positive but significantly below two and indicative of sub-quadratic scaling, is supported. The stronger claim, that the elasticity is below one and indicative of sub-proportional scaling, is also supported with statistical margin.</w:t>
      </w:r>
    </w:p>
    <w:bookmarkEnd w:id="118"/>
    <w:bookmarkStart w:id="119" w:name="the-intercept-1"/>
    <w:p>
      <w:pPr>
        <w:pStyle w:val="Heading3"/>
        <w:spacing w:line="480" w:lineRule="auto"/>
      </w:pPr>
      <w:r>
        <w:t xml:space="preserve">6.3.3 The Intercept</w:t>
      </w:r>
    </w:p>
    <w:p>
      <w:pPr>
        <w:pStyle w:val="FirstParagraph"/>
        <w:spacing w:line="480" w:lineRule="auto"/>
      </w:pPr>
      <w:r>
        <w:t xml:space="preserve">The constant in the log-log specification is estimated at 1.9088, with a robust standard error of 0.2419 and a p value that rounds to zero. The implied t statistic, approximately 7.89, indicates that the intercept is precisely estimated. Because the regressor is the natural logarithm of collecting area in square meters, the intercept corresponds to the predicted natural logarithm of acquisition cost when the collecting area is exactly one square meter, that is, an aperture diameter near 1.13 meters. Exponentiating gives a predicted acquisition cost on the order of e to the 1.91, which is approximately 6.7 in the units of the dependent variable (nominal USD millions, by Paper 2’s coding). The intercept therefore admits direct economic interpretation: at the one-square-meter capability benchmark, a typical instrument in this population is predicted to cost on the order of several million nominal dollars. The 95 percent confidence interval on the intercept, computed at the t critical value of approximately 2.07 for twenty-two degrees of freedom, runs from approximately 1.41 to 2.41, which after exponentiation places the central predicted unit cost at the one-square-meter benchmark in a band of roughly four million to eleven million nominal dollars. The precision of the intercept matters because it anchors the fitted curve at the bottom of the capability range, where small instruments such as the Raven-class systems documented in</w:t>
      </w:r>
      <w:r>
        <w:t xml:space="preserve"> </w:t>
      </w:r>
      <w:hyperlink w:anchor="ref-15">
        <w:r>
          <w:rPr>
            <w:rStyle w:val="Hyperlink"/>
          </w:rPr>
          <w:t xml:space="preserve">[15]</w:t>
        </w:r>
      </w:hyperlink>
      <w:r>
        <w:t xml:space="preserve"> </w:t>
      </w:r>
      <w:r>
        <w:t xml:space="preserve">sit.</w:t>
      </w:r>
    </w:p>
    <w:bookmarkEnd w:id="119"/>
    <w:bookmarkStart w:id="120" w:name="X1f575f14e9f5cb8bd63e419f3b2a32c974270c2"/>
    <w:p>
      <w:pPr>
        <w:pStyle w:val="Heading3"/>
        <w:spacing w:line="480" w:lineRule="auto"/>
      </w:pPr>
      <w:r>
        <w:t xml:space="preserve">6.3.4 What the Fit Implies for Architectural Choice</w:t>
      </w:r>
    </w:p>
    <w:p>
      <w:pPr>
        <w:pStyle w:val="FirstParagraph"/>
        <w:spacing w:line="480" w:lineRule="auto"/>
      </w:pPr>
      <w:r>
        <w:t xml:space="preserve">The combination of high R-squared, tightly estimated sub-unit elasticity, and precisely estimated intercept defines a usable cost-capability frontier for ground-based optical sensing. Three architectural consequences follow directly from the estimated coefficients.</w:t>
      </w:r>
    </w:p>
    <w:p>
      <w:pPr>
        <w:pStyle w:val="BodyText"/>
        <w:spacing w:line="480" w:lineRule="auto"/>
        <w:ind w:firstLine="720"/>
      </w:pPr>
      <w:r>
        <w:t xml:space="preserve">First, because the elasticity is below one with substantial margin, capability is acquired more cheaply per square meter at larger apertures. A program that requires a fixed increment of optical sensing capability achieves it at lower total acquisition cost through a smaller number of larger instruments than through a larger number of smaller ones, holding coverage geometry and revisit considerations aside. The point estimate quantifies this preference: each doubling of capability adds 64 percent rather than 100 percent to the bill. Over multiple doublings the compounding effect is large. A four-fold expansion of capability costs roughly 1.64 squared (approximately 2.70) times the baseline rather than four times; an eight-fold expansion costs approximately 4.43 times rather than eight times.</w:t>
      </w:r>
    </w:p>
    <w:p>
      <w:pPr>
        <w:pStyle w:val="BodyText"/>
        <w:spacing w:line="480" w:lineRule="auto"/>
        <w:ind w:firstLine="720"/>
      </w:pPr>
      <w:r>
        <w:t xml:space="preserve">Second, the fact that dedicated SSA and SDA assets, NASA-funded planetary-defense survey sensors, and allied wide-field survey instruments lie along the same fitted curve, with no estimated lineage-specific intercepts retained in the parsimonious specification, supports the substitutability premise that allied survey capacity can be folded into the United States surveillance picture without paying a separate cost regime for surveillance-class instruments. The empirical basis for treating Five-Eyes contributing sensors</w:t>
      </w:r>
      <w:r>
        <w:t xml:space="preserve"> </w:t>
      </w:r>
      <w:hyperlink w:anchor="ref-6">
        <w:r>
          <w:rPr>
            <w:rStyle w:val="Hyperlink"/>
          </w:rPr>
          <w:t xml:space="preserve">[6]</w:t>
        </w:r>
      </w:hyperlink>
      <w:r>
        <w:t xml:space="preserve"> </w:t>
      </w:r>
      <w:r>
        <w:t xml:space="preserve">and allied survey observatories as part of a common cost-capability frontier is the strength of fit reported here.</w:t>
      </w:r>
    </w:p>
    <w:p>
      <w:pPr>
        <w:pStyle w:val="BodyText"/>
        <w:spacing w:line="480" w:lineRule="auto"/>
        <w:ind w:firstLine="720"/>
      </w:pPr>
      <w:r>
        <w:t xml:space="preserve">Third, the precision of the intercept matters for the small-instrument tier of the architecture. Because the central prediction at one square meter sits in the band of approximately four to eleven million nominal dollars, an explicit benchmark exists for evaluating proposed Raven-class and similar small-aperture builds against the frontier. Proposals far above the predicted band invite scrutiny, and proposals far below it invite questions about whether the capital accounting is complete.</w:t>
      </w:r>
    </w:p>
    <w:bookmarkEnd w:id="120"/>
    <w:bookmarkStart w:id="121" w:name="summary-of-paper-2"/>
    <w:p>
      <w:pPr>
        <w:pStyle w:val="Heading3"/>
        <w:spacing w:line="480" w:lineRule="auto"/>
      </w:pPr>
      <w:r>
        <w:t xml:space="preserve">6.3.5 Summary of Paper 2</w:t>
      </w:r>
    </w:p>
    <w:p>
      <w:pPr>
        <w:pStyle w:val="FirstParagraph"/>
        <w:spacing w:line="480" w:lineRule="auto"/>
      </w:pPr>
      <w:r>
        <w:t xml:space="preserve">Across twenty-four ground-based optical sensor systems, the bivariate log-log scaling curve detects a positive, precise, sub-unit, sub-quadratic elasticity of acquisition cost with respect to primary collecting area (0.7156, robust SE 0.0917, p approximately zero), and a precisely estimated intercept (1.9088, robust SE 0.2419, p approximately zero) corresponding to a one-square-meter benchmark cost on the order of several million nominal dollars. The model explains approximately 70 percent of the cross-system variation in the logarithm of acquisition cost. The progress ratio of 1.6422 implies that each doubling of capability raises cost by roughly 64 percent rather than 100 percent. Both forms of Hypothesis H1, that the elasticity is below two and that it is below one, are supported with statistical margin.</w:t>
      </w:r>
    </w:p>
    <w:bookmarkEnd w:id="121"/>
    <w:bookmarkEnd w:id="122"/>
    <w:bookmarkStart w:id="123" w:name="what-the-two-estimates-say-jointly"/>
    <w:p>
      <w:pPr>
        <w:pStyle w:val="Heading2"/>
        <w:spacing w:line="480" w:lineRule="auto"/>
      </w:pPr>
      <w:r>
        <w:t xml:space="preserve">6.4 What the Two Estimates Say Jointly</w:t>
      </w:r>
    </w:p>
    <w:p>
      <w:pPr>
        <w:pStyle w:val="FirstParagraph"/>
        <w:spacing w:line="480" w:lineRule="auto"/>
      </w:pPr>
      <w:r>
        <w:t xml:space="preserve">Read together, the two CER estimates draw a consistent picture of how the sensing layer prices capability. The space-based platform population in Paper 1 produces a mass elasticity of 0.8474 against a sub-unit benchmark of constant returns. The ground-based optical population in Paper 2 produces a collecting-area elasticity of 0.7156 against the same benchmark. Both estimates lie in the sub-unit interior of the (0,1) interval, both are precisely identified, and both reject the constant-returns null at conventional levels (the rejection is decisive for the ground-based estimate and suggestive for the space-based one). The two cost regimes that anchor the SSA and SDA sensing portfolio (the space-side platforms whose cost scales with launch mass and the ground-side instruments whose cost scales with collecting area) therefore display the same qualitative property: mild economies of scale at the relevant capability axis.</w:t>
      </w:r>
    </w:p>
    <w:p>
      <w:pPr>
        <w:pStyle w:val="BodyText"/>
        <w:spacing w:line="480" w:lineRule="auto"/>
        <w:ind w:firstLine="720"/>
      </w:pPr>
      <w:r>
        <w:t xml:space="preserve">The two elasticities are not directly comparable in magnitude because they price different physical quantities, and any attempt to translate between them would require a mapping from spacecraft mass to delivered observational capability that the dissertation does not estimate. What the joint reading supports is a structural claim: the cost of sensing capability rises with capability but does so sub-proportionally on both platform types, so that an architecture that consolidates capability into larger units is not penalized on a unit-cost basis on either side of the ground-space boundary. This is consistent with the architectural literature’s finding that moderate-aperture ground systems outperform networks of small instruments on cost-performance criteria</w:t>
      </w:r>
      <w:r>
        <w:t xml:space="preserve"> </w:t>
      </w:r>
      <w:hyperlink w:anchor="ref-2">
        <w:r>
          <w:rPr>
            <w:rStyle w:val="Hyperlink"/>
          </w:rPr>
          <w:t xml:space="preserve">[2]</w:t>
        </w:r>
      </w:hyperlink>
      <w:r>
        <w:t xml:space="preserve"> </w:t>
      </w:r>
      <w:r>
        <w:t xml:space="preserve">and with the parametric economic modeling literature’s expectation of sub-proportional scaling once design heritage and reuse are accounted for</w:t>
      </w:r>
      <w:r>
        <w:t xml:space="preserve"> </w:t>
      </w:r>
      <w:hyperlink w:anchor="ref-19">
        <w:r>
          <w:rPr>
            <w:rStyle w:val="Hyperlink"/>
          </w:rPr>
          <w:t xml:space="preserve">[19]</w:t>
        </w:r>
      </w:hyperlink>
      <w:r>
        <w:t xml:space="preserve">.</w:t>
      </w:r>
    </w:p>
    <w:p>
      <w:pPr>
        <w:pStyle w:val="BodyText"/>
        <w:spacing w:line="480" w:lineRule="auto"/>
        <w:ind w:firstLine="720"/>
      </w:pPr>
      <w:r>
        <w:t xml:space="preserve">The partnership result in Paper 1 adds a second joint reading. The roughly 32-percent proportional reduction in reported United States cost for partnered missions, taken together with the sub-unit elasticities on both platform types, supports the architectural lesson that allied burden-sharing arrangements convert physical capability into United States ledger cost at a discounted rate without distorting the underlying cost-capability relationship. The Five-Eyes collaboration literature</w:t>
      </w:r>
      <w:r>
        <w:t xml:space="preserve"> </w:t>
      </w:r>
      <w:hyperlink w:anchor="ref-6">
        <w:r>
          <w:rPr>
            <w:rStyle w:val="Hyperlink"/>
          </w:rPr>
          <w:t xml:space="preserve">[6]</w:t>
        </w:r>
      </w:hyperlink>
      <w:r>
        <w:t xml:space="preserve"> </w:t>
      </w:r>
      <w:r>
        <w:t xml:space="preserve">has long described the institutional channels; the estimate quantifies the budgetary effect.</w:t>
      </w:r>
    </w:p>
    <w:bookmarkEnd w:id="123"/>
    <w:bookmarkStart w:id="124" w:name="what-the-results-do-not-say"/>
    <w:p>
      <w:pPr>
        <w:pStyle w:val="Heading2"/>
        <w:spacing w:line="480" w:lineRule="auto"/>
      </w:pPr>
      <w:r>
        <w:t xml:space="preserve">6.5 What the Results Do Not Say</w:t>
      </w:r>
    </w:p>
    <w:p>
      <w:pPr>
        <w:pStyle w:val="FirstParagraph"/>
        <w:spacing w:line="480" w:lineRule="auto"/>
      </w:pPr>
      <w:r>
        <w:t xml:space="preserve">The findings of this chapter are bounded in three concrete ways that are part of their content and should not be elided in any downstream use.</w:t>
      </w:r>
    </w:p>
    <w:p>
      <w:pPr>
        <w:pStyle w:val="BodyText"/>
        <w:spacing w:line="480" w:lineRule="auto"/>
        <w:ind w:firstLine="720"/>
      </w:pPr>
      <w:r>
        <w:t xml:space="preserve">First, neither estimate prices capability directly. Paper 1 prices the physical scale of the spacecraft, not the observational capability that scale produces; Paper 2 prices the collecting area of the primary aperture, not the end-to-end detection performance of the sensor system, which depends on detectors, data systems, and software whose costs are not in the regressor. The architectural advice that follows from these estimates is therefore conditional on holding capability requirements fixed and choosing among ways to meet them. As Paper 2 acknowledges, the omission of digital-system cost may bend the frontier upward at the largest apertures, and the omission of capability variables from Paper 1 means the sub-unit mass elasticity is silent on whether larger platforms deliver proportionally more sensing output.</w:t>
      </w:r>
    </w:p>
    <w:p>
      <w:pPr>
        <w:pStyle w:val="BodyText"/>
        <w:spacing w:line="480" w:lineRule="auto"/>
        <w:ind w:firstLine="720"/>
      </w:pPr>
      <w:r>
        <w:t xml:space="preserve">Second, the launch-year coefficient in Paper 1 is an honest null. The data, in nominal dollars and with twenty-nine observations, cannot distinguish a per-year drift in log cost from sampling noise (coefficient 0.0120, robust SE 0.0111, p equal 0.2803). No claim of a technology-era effect is supported, and no claim of an inflation effect is supported. A constant-dollar reestimation, anticipated in Paper 1’s discussion of limitations, is required before any such claim can be made.</w:t>
      </w:r>
    </w:p>
    <w:p>
      <w:pPr>
        <w:pStyle w:val="BodyText"/>
        <w:spacing w:line="480" w:lineRule="auto"/>
        <w:ind w:firstLine="720"/>
      </w:pPr>
      <w:r>
        <w:t xml:space="preserve">Third, the cliometric design of the dissertation as set out in the prospectus turns on a planned panel analysis of fragmentation-shock responsiveness in sensor funding across the United States and Five-Eyes contributing states between 2006 and 2025</w:t>
      </w:r>
      <w:r>
        <w:t xml:space="preserve"> </w:t>
      </w:r>
      <w:hyperlink w:anchor="ref-1">
        <w:r>
          <w:rPr>
            <w:rStyle w:val="Hyperlink"/>
          </w:rPr>
          <w:t xml:space="preserve">[1]</w:t>
        </w:r>
      </w:hyperlink>
      <w:r>
        <w:t xml:space="preserve">[6][9]. The two CER estimates reported here are the cost-side foundation on which that panel analysis sits; they price the sensors, but they do not test the appropriations-responsiveness hypothesis (H0 against H1) that the prospectus identifies as the single falsifiable contribution. That test belongs to Chapter 7 and to the dynamic-panel and event-study work that the data and provenance specification of the prospectus enables. The findings reported here are therefore necessary inputs to the cliometric analysis the dissertation undertakes, but they are not its conclusion. They establish that the price of sensing capability is well behaved, precisely estimable, and sub-proportional in capability; whether the appropriations process responds to the orbital-environment shocks that drive demand for that capability is the question Chapter 7 takes up.</w:t>
      </w:r>
    </w:p>
    <w:bookmarkEnd w:id="124"/>
    <w:bookmarkEnd w:id="125"/>
    <w:bookmarkStart w:id="133" w:name="X21322cb5e29cbf4eb576afddcad42f86ace4e0d"/>
    <w:p>
      <w:pPr>
        <w:pStyle w:val="Heading1"/>
        <w:spacing w:line="480" w:lineRule="auto"/>
      </w:pPr>
      <w:r>
        <w:t xml:space="preserve">Chapter 7. Discussion and Governance Implications</w:t>
      </w:r>
    </w:p>
    <w:bookmarkStart w:id="126" w:name="reading-the-estimates-together"/>
    <w:p>
      <w:pPr>
        <w:pStyle w:val="Heading2"/>
        <w:spacing w:line="480" w:lineRule="auto"/>
      </w:pPr>
      <w:r>
        <w:t xml:space="preserve">7.1 Reading the Estimates Together</w:t>
      </w:r>
    </w:p>
    <w:p>
      <w:pPr>
        <w:pStyle w:val="FirstParagraph"/>
        <w:spacing w:line="480" w:lineRule="auto"/>
      </w:pPr>
      <w:r>
        <w:t xml:space="preserve">The empirical chapters of this dissertation rest on three numbers. Paper 1 reports a mass elasticity of lifecycle cost of 0.847 across twenty-nine NASA and allied sensing missions, with an international-partner discount of roughly 0.382 on the United States ledger. Paper 2 reports a cost-capability elasticity of 0.716 across twenty-four ground-based optical sensing systems, with a corresponding doubling cost of about 64 percent rather than 100 percent. The panel exercise that motivated this work, framed in the prospectus as a test of whether sensor funding responds to orbital-environment shocks, supplies the third register: a lag profile against which the inertial null in the appropriations series can be evaluated. Read individually, each estimate answers a narrow engineering-budget question. Read together, they describe a coherent economic geometry of the sensing layer that NASA program management and the Jet Propulsion Laboratory must navigate when they propose, defend, and execute SSA and SDA infrastructure.</w:t>
      </w:r>
    </w:p>
    <w:p>
      <w:pPr>
        <w:pStyle w:val="BodyText"/>
        <w:spacing w:line="480" w:lineRule="auto"/>
        <w:ind w:firstLine="720"/>
      </w:pPr>
      <w:r>
        <w:t xml:space="preserve">The geometry is essentially that of a public capital stock whose unit price falls with scale on the supply side and whose demand side is shocked discontinuously by orbital-population events. The cost-capability elasticity below one means that, holding architecture-independent factors fixed, every doubling of aperture in the optical sensing layer is purchased at a marginal premium of roughly 64 percent rather than at the proportional 100 percent that constant-returns budgeting would assume</w:t>
      </w:r>
      <w:r>
        <w:t xml:space="preserve"> </w:t>
      </w:r>
      <w:hyperlink w:anchor="ref-13">
        <w:r>
          <w:rPr>
            <w:rStyle w:val="Hyperlink"/>
          </w:rPr>
          <w:t xml:space="preserve">[13]</w:t>
        </w:r>
      </w:hyperlink>
      <w:r>
        <w:t xml:space="preserve">[14][15]. The mass elasticity of 0.847 in the broader sensing-mission population delivers the same structural verdict from the spacecraft side: increasing spacecraft scale yields slightly more capability per dollar than a linear extrapolation would predict, at least over the documented mass range. Both findings sit inside the sub-proportional region of the parametric cost-modeling literature</w:t>
      </w:r>
      <w:r>
        <w:t xml:space="preserve"> </w:t>
      </w:r>
      <w:hyperlink w:anchor="ref-19">
        <w:r>
          <w:rPr>
            <w:rStyle w:val="Hyperlink"/>
          </w:rPr>
          <w:t xml:space="preserve">[19]</w:t>
        </w:r>
      </w:hyperlink>
      <w:r>
        <w:t xml:space="preserve">[16] and inside the architectural framing of evolving space-use norms that treats sensing capability as an infrastructure good rather than a discrete program</w:t>
      </w:r>
      <w:r>
        <w:t xml:space="preserve"> </w:t>
      </w:r>
      <w:hyperlink w:anchor="ref-7">
        <w:r>
          <w:rPr>
            <w:rStyle w:val="Hyperlink"/>
          </w:rPr>
          <w:t xml:space="preserve">[7]</w:t>
        </w:r>
      </w:hyperlink>
      <w:r>
        <w:t xml:space="preserve">[8][20].</w:t>
      </w:r>
    </w:p>
    <w:p>
      <w:pPr>
        <w:pStyle w:val="BodyText"/>
        <w:spacing w:line="480" w:lineRule="auto"/>
        <w:ind w:firstLine="720"/>
      </w:pPr>
      <w:r>
        <w:t xml:space="preserve">For NASA program management, the immediate consequence is that the standard practice of pricing a proposed sensing build by interpolating between adjacent missions on a cost-per-kilogram or cost-per-square-meter basis systematically over-prices the larger build and under-prices the smaller one. The empirical curves replace the implicit linear assumption with an estimated, source-cited elasticity, which is the minimum condition for an honest budget exhibit. JPL decision-making encounters the geometry from a different angle. The Laboratory’s portfolio runs from planetary-defense survey telescopes that sit cleanly inside the cost-capability sample of Paper 2 to flagship astrophysics observatories that sit cleanly inside the lifecycle-cost sample of Paper 1. The estimated elasticities therefore apply, with some interpretive care, to a substantial fraction of the work JPL plans, proposes, and executes on behalf of the Agency. Used as a sanity check on internal cost estimates, the curves give the Laboratory’s cost-estimating community a defensible exterior benchmark to set against its own bottom-up build-ups.</w:t>
      </w:r>
    </w:p>
    <w:bookmarkEnd w:id="126"/>
    <w:bookmarkStart w:id="127" w:name="implications-for-nasa-program-management"/>
    <w:p>
      <w:pPr>
        <w:pStyle w:val="Heading2"/>
        <w:spacing w:line="480" w:lineRule="auto"/>
      </w:pPr>
      <w:r>
        <w:t xml:space="preserve">7.2 Implications for NASA Program Management</w:t>
      </w:r>
    </w:p>
    <w:p>
      <w:pPr>
        <w:pStyle w:val="FirstParagraph"/>
        <w:spacing w:line="480" w:lineRule="auto"/>
      </w:pPr>
      <w:r>
        <w:t xml:space="preserve">The first implication for NASA program management concerns the architecture choice that recurs in every SSA and SDA capability gap analysis: a few large sensors, or many small ones. The empirical answer from Paper 2 is unambiguous on the cost axis alone. Within the documented population of ground-based optical instruments, capability is purchased at a declining marginal price as aperture grows, so the consolidated-aperture architecture wins on unit cost. The countervailing case for a proliferated small-sensor architecture must therefore rest on attributes that the cost-capability curve does not price: coverage geometry, revisit cadence, survivability under attack, latency in the catalog update cycle, and the operational value of geographically dispersed contributing sensors inside an allied network</w:t>
      </w:r>
      <w:r>
        <w:t xml:space="preserve"> </w:t>
      </w:r>
      <w:hyperlink w:anchor="ref-6">
        <w:r>
          <w:rPr>
            <w:rStyle w:val="Hyperlink"/>
          </w:rPr>
          <w:t xml:space="preserve">[6]</w:t>
        </w:r>
      </w:hyperlink>
      <w:r>
        <w:t xml:space="preserve">[22]. The literature on contributing-sensor architectures and on Space Surveillance Network design treats these attributes explicitly and treats them as the legitimate countervailing reasons to accept higher unit cost</w:t>
      </w:r>
      <w:r>
        <w:t xml:space="preserve"> </w:t>
      </w:r>
      <w:hyperlink w:anchor="ref-1">
        <w:r>
          <w:rPr>
            <w:rStyle w:val="Hyperlink"/>
          </w:rPr>
          <w:t xml:space="preserve">[1]</w:t>
        </w:r>
      </w:hyperlink>
      <w:r>
        <w:t xml:space="preserve">[17][18].</w:t>
      </w:r>
    </w:p>
    <w:p>
      <w:pPr>
        <w:pStyle w:val="BodyText"/>
        <w:spacing w:line="480" w:lineRule="auto"/>
        <w:ind w:firstLine="720"/>
      </w:pPr>
      <w:r>
        <w:t xml:space="preserve">The honest statement, then, is that the cost-capability estimate in Paper 2 prices one axis and one axis only. Where NASA program management can justify a proliferated architecture on coverage, latency, or survivability grounds, the estimate quantifies the unit-cost penalty being accepted in exchange. Where the justification rests instead on a generic claim that small sensors are cheaper per unit of capability, the estimate rebuts the claim on its face. This is the simplest and most direct use of the result inside an appropriations exhibit.</w:t>
      </w:r>
    </w:p>
    <w:p>
      <w:pPr>
        <w:pStyle w:val="BodyText"/>
        <w:spacing w:line="480" w:lineRule="auto"/>
        <w:ind w:firstLine="720"/>
      </w:pPr>
      <w:r>
        <w:t xml:space="preserve">The second implication concerns the partnership discount. Paper 1 estimates that, holding mass and launch year fixed, missions with a formal international partner carry reported United States lifecycle costs roughly a third lower than otherwise comparable single-agency missions. The substantive interpretation, made plain in the discussion of Paper 1, is that this is an accounting effect rather than a free lunch. The integrated system still costs what it costs; the partner absorbs a share that does not appear on the United States ledger. For SSA and SDA, where contributing-sensor arrangements with allied partners are documented and active</w:t>
      </w:r>
      <w:r>
        <w:t xml:space="preserve"> </w:t>
      </w:r>
      <w:hyperlink w:anchor="ref-1">
        <w:r>
          <w:rPr>
            <w:rStyle w:val="Hyperlink"/>
          </w:rPr>
          <w:t xml:space="preserve">[1]</w:t>
        </w:r>
      </w:hyperlink>
      <w:r>
        <w:t xml:space="preserve">[6][22][23], the partnership discount quantifies a budgeting reality that program managers should state plainly to oversight bodies. The Five Eyes research collaboration into SSA and the European Union Space Surveillance and Tracking R&amp;D plan are both designed to leverage allied capability into the integrated system</w:t>
      </w:r>
      <w:r>
        <w:t xml:space="preserve"> </w:t>
      </w:r>
      <w:hyperlink w:anchor="ref-6">
        <w:r>
          <w:rPr>
            <w:rStyle w:val="Hyperlink"/>
          </w:rPr>
          <w:t xml:space="preserve">[6]</w:t>
        </w:r>
      </w:hyperlink>
      <w:r>
        <w:t xml:space="preserve">[23], and the empirical magnitude of the discount estimated here is consistent with the qualitative claim in the partnership literature that better leveraging of international capabilities is a substantive lever on the United States bill</w:t>
      </w:r>
      <w:r>
        <w:t xml:space="preserve"> </w:t>
      </w:r>
      <w:hyperlink w:anchor="ref-22">
        <w:r>
          <w:rPr>
            <w:rStyle w:val="Hyperlink"/>
          </w:rPr>
          <w:t xml:space="preserve">[22]</w:t>
        </w:r>
      </w:hyperlink>
      <w:r>
        <w:t xml:space="preserve">.</w:t>
      </w:r>
    </w:p>
    <w:p>
      <w:pPr>
        <w:pStyle w:val="BodyText"/>
        <w:spacing w:line="480" w:lineRule="auto"/>
        <w:ind w:firstLine="720"/>
      </w:pPr>
      <w:r>
        <w:t xml:space="preserve">The third implication concerns the lag profile against which the inertial null in the appropriations series is evaluated. The prospectus specified a one-to-three-year lag consistent with appropriations timelines and posited that, conditional on lagged appropriations and a common time trend, the occurrence and magnitude of exogenous orbital fragmentation events should produce a measurable positive effect on subsequent sensor-tasking and cataloging capacity funding. The substantive lesson for NASA program management, regardless of the eventual sign and magnitude of the estimated coefficient, is that the appropriations system has a documented response time that lies on the same horizon as the demand shocks generated by fragmentation and conjunction events</w:t>
      </w:r>
      <w:r>
        <w:t xml:space="preserve"> </w:t>
      </w:r>
      <w:hyperlink w:anchor="ref-9">
        <w:r>
          <w:rPr>
            <w:rStyle w:val="Hyperlink"/>
          </w:rPr>
          <w:t xml:space="preserve">[9]</w:t>
        </w:r>
      </w:hyperlink>
      <w:r>
        <w:t xml:space="preserve">. The sensor-tasking and orbit-determination literatures characterize the immediate engineering response, which is to reweight tasking strategies and reallocate observing time on existing assets</w:t>
      </w:r>
      <w:r>
        <w:t xml:space="preserve"> </w:t>
      </w:r>
      <w:hyperlink w:anchor="ref-2">
        <w:r>
          <w:rPr>
            <w:rStyle w:val="Hyperlink"/>
          </w:rPr>
          <w:t xml:space="preserve">[2]</w:t>
        </w:r>
      </w:hyperlink>
      <w:r>
        <w:t xml:space="preserve">[3][4][30]. The financial response is necessarily slower because it must traverse a budget cycle. The implication for program planning is that the sensing layer cannot rely on appropriations to absorb shocks at the timescale on which shocks occur; the operational buffer must be built into the standing capacity of the network rather than into the budget response.</w:t>
      </w:r>
    </w:p>
    <w:p>
      <w:pPr>
        <w:pStyle w:val="BodyText"/>
        <w:spacing w:line="480" w:lineRule="auto"/>
        <w:ind w:firstLine="720"/>
      </w:pPr>
      <w:r>
        <w:t xml:space="preserve">The fourth implication concerns capital recapitalization. The sensing layer is a depreciating asset, and forecasts of the broader space economy treat SDA infrastructure as requiring sustained investment at identifiable technology-readiness levels</w:t>
      </w:r>
      <w:r>
        <w:t xml:space="preserve"> </w:t>
      </w:r>
      <w:hyperlink w:anchor="ref-5">
        <w:r>
          <w:rPr>
            <w:rStyle w:val="Hyperlink"/>
          </w:rPr>
          <w:t xml:space="preserve">[5]</w:t>
        </w:r>
      </w:hyperlink>
      <w:r>
        <w:t xml:space="preserve">[8]. The Center for Strategic and International Studies analysis of United States SDA acquisition trends documents the historical character of those investments, including their volatility across budget cycles</w:t>
      </w:r>
      <w:r>
        <w:t xml:space="preserve"> </w:t>
      </w:r>
      <w:hyperlink w:anchor="ref-21">
        <w:r>
          <w:rPr>
            <w:rStyle w:val="Hyperlink"/>
          </w:rPr>
          <w:t xml:space="preserve">[21]</w:t>
        </w:r>
      </w:hyperlink>
      <w:r>
        <w:t xml:space="preserve">. Read against the cost-capability estimate in Paper 2, the recapitalization problem has a specific quantitative shape. If aperture-class capability is being added at a declining marginal cost, the rational recapitalization strategy is to schedule consolidated builds at intervals long enough to capture the scale economies the estimate documents, rather than to fund a steady stream of small replacements at higher unit cost. The volatility documented by Johnson and Daniels</w:t>
      </w:r>
      <w:r>
        <w:t xml:space="preserve"> </w:t>
      </w:r>
      <w:hyperlink w:anchor="ref-21">
        <w:r>
          <w:rPr>
            <w:rStyle w:val="Hyperlink"/>
          </w:rPr>
          <w:t xml:space="preserve">[21]</w:t>
        </w:r>
      </w:hyperlink>
      <w:r>
        <w:t xml:space="preserve"> </w:t>
      </w:r>
      <w:r>
        <w:t xml:space="preserve">cuts directly against this rationality: it pushes program management toward small, defensible, year-on-year buys that are politically robust but architecturally expensive. The empirical curves therefore identify an opportunity cost of budgetary volatility that is otherwise invisible inside the appropriations cycle.</w:t>
      </w:r>
    </w:p>
    <w:bookmarkEnd w:id="127"/>
    <w:bookmarkStart w:id="128" w:name="implications-for-jpl-decision-making"/>
    <w:p>
      <w:pPr>
        <w:pStyle w:val="Heading2"/>
        <w:spacing w:line="480" w:lineRule="auto"/>
      </w:pPr>
      <w:r>
        <w:t xml:space="preserve">7.3 Implications for JPL Decision-Making</w:t>
      </w:r>
    </w:p>
    <w:p>
      <w:pPr>
        <w:pStyle w:val="FirstParagraph"/>
        <w:spacing w:line="480" w:lineRule="auto"/>
      </w:pPr>
      <w:r>
        <w:t xml:space="preserve">JPL’s decision-making sits at a different point in the architecture than NASA Headquarters program management. The Laboratory is a Federally Funded Research and Development Center whose portfolio competes inside the same appropriations envelope but whose internal cost estimating, mission concept development, and proposal preparation operate against an institutional set of cost-estimating relationships that the Laboratory has refined over decades. The empirical estimates in this dissertation are not a substitute for those internal models, which incorporate richer information about subsystem complexity, integration risk, and heritage than a parametric bivariate or multivariate regression can carry. They are, however, an exterior benchmark of a kind the Laboratory’s cost-estimating community has historically valued: a publicly documented, source-cited curve fitted to a documented population, against which an internal estimate can be sanity-checked.</w:t>
      </w:r>
    </w:p>
    <w:p>
      <w:pPr>
        <w:pStyle w:val="BodyText"/>
        <w:spacing w:line="480" w:lineRule="auto"/>
        <w:ind w:firstLine="720"/>
      </w:pPr>
      <w:r>
        <w:t xml:space="preserve">The most direct application is in the early concept-development phase, when a mission’s mass and aperture envelope is known but the detailed subsystem build-up is not. At that phase, an internal estimate that diverges substantially from the elasticity-based projection invites a structured conversation about why. A divergence above the curve may reflect genuine subsystem complexity, mission-unique requirements, or integration risk that the Laboratory’s bottom-up estimate is properly capturing. A divergence below the curve may reflect heritage that the parametric estimate cannot see, or it may reflect optimistic costing of items that have historically driven overruns in the same mission class. Either way, the conversation is structured by an exterior benchmark rather than conducted entirely inside the Laboratory’s own cost-estimating universe.</w:t>
      </w:r>
    </w:p>
    <w:p>
      <w:pPr>
        <w:pStyle w:val="BodyText"/>
        <w:spacing w:line="480" w:lineRule="auto"/>
        <w:ind w:firstLine="720"/>
      </w:pPr>
      <w:r>
        <w:t xml:space="preserve">A second application is in the assessment of proposed contributing-sensor builds and small-mission concepts that fall toward the lower end of the documented populations. The cost-capability elasticity of 0.716 implies that the unit price of capability is highest at the small-aperture end, which is where the Laboratory’s Earth Venture and Explorer-class concepts and its planetary-defense survey contributions tend to sit. The implication is not that small builds should be avoided, since they are often the only architecturally viable way to deliver a particular coverage geometry or revisit cadence, but that the small-build cost should be defended in those terms rather than in terms of a generic cheaper-per-kilogram argument that the data do not support.</w:t>
      </w:r>
    </w:p>
    <w:p>
      <w:pPr>
        <w:pStyle w:val="BodyText"/>
        <w:spacing w:line="480" w:lineRule="auto"/>
        <w:ind w:firstLine="720"/>
      </w:pPr>
      <w:r>
        <w:t xml:space="preserve">A third application concerns the partnership discount estimated in Paper 1. JPL has been a participant in international science partnerships throughout the period covered by the dataset, and the Laboratory’s own pricing of partnered concepts should reflect the accounting nature of the discount. The estimated coefficient of −0.382 is a useful magnitude to keep in mind when proposing partnered builds to NASA Headquarters: a roughly one-third reduction in the United States ledger entry, conditional on mass and era, is a defensible expectation, but it should be presented as a ledger effect rather than as a genuine cost saving. The Laboratory’s credibility with oversight bodies is enhanced by stating the accounting plainly.</w:t>
      </w:r>
    </w:p>
    <w:p>
      <w:pPr>
        <w:pStyle w:val="BodyText"/>
        <w:spacing w:line="480" w:lineRule="auto"/>
        <w:ind w:firstLine="720"/>
      </w:pPr>
      <w:r>
        <w:t xml:space="preserve">A fourth application concerns the volatility problem identified above. JPL’s mission cadence is partly a function of its own technical and managerial capacity and partly a function of the appropriations cycle. The empirical evidence that sensor-capability infrastructure exhibits scale economies argues against a strategy in which the Laboratory schedules many small replacements rather than fewer larger builds, and the slow lag profile of the appropriations response argues against a strategy in which the Laboratory expects the system to absorb shocks at the timescale of the shocks themselves. These are general planning premises rather than specific mission decisions, and they are most useful when held alongside the Laboratory’s own institutional knowledge of its capacity utilization and its proposal pipeline.</w:t>
      </w:r>
    </w:p>
    <w:bookmarkEnd w:id="128"/>
    <w:bookmarkStart w:id="129" w:name="implications-for-allied-governance"/>
    <w:p>
      <w:pPr>
        <w:pStyle w:val="Heading2"/>
        <w:spacing w:line="480" w:lineRule="auto"/>
      </w:pPr>
      <w:r>
        <w:t xml:space="preserve">7.4 Implications for Allied Governance</w:t>
      </w:r>
    </w:p>
    <w:p>
      <w:pPr>
        <w:pStyle w:val="FirstParagraph"/>
        <w:spacing w:line="480" w:lineRule="auto"/>
      </w:pPr>
      <w:r>
        <w:t xml:space="preserve">The architectural framing of the sensing layer as a public capital stock with sub-proportional cost scaling and shock-driven demand has implications that run past NASA and JPL into the allied governance arena. The Space Surveillance Network is documented as relying on contributing sensors from allied partners</w:t>
      </w:r>
      <w:r>
        <w:t xml:space="preserve"> </w:t>
      </w:r>
      <w:hyperlink w:anchor="ref-1">
        <w:r>
          <w:rPr>
            <w:rStyle w:val="Hyperlink"/>
          </w:rPr>
          <w:t xml:space="preserve">[1]</w:t>
        </w:r>
      </w:hyperlink>
      <w:r>
        <w:t xml:space="preserve">[6][22], and the European Union Space Surveillance and Tracking R&amp;D plan documents a parallel effort to consolidate European contributing capability</w:t>
      </w:r>
      <w:r>
        <w:t xml:space="preserve"> </w:t>
      </w:r>
      <w:hyperlink w:anchor="ref-23">
        <w:r>
          <w:rPr>
            <w:rStyle w:val="Hyperlink"/>
          </w:rPr>
          <w:t xml:space="preserve">[23]</w:t>
        </w:r>
      </w:hyperlink>
      <w:r>
        <w:t xml:space="preserve">. The Five Eyes research collaboration and the PHANTOM ECHOES experiment provide concrete evidence that allied governance of SSA capability already operates as a working network rather than as an aspirational concept</w:t>
      </w:r>
      <w:r>
        <w:t xml:space="preserve"> </w:t>
      </w:r>
      <w:hyperlink w:anchor="ref-6">
        <w:r>
          <w:rPr>
            <w:rStyle w:val="Hyperlink"/>
          </w:rPr>
          <w:t xml:space="preserve">[6]</w:t>
        </w:r>
      </w:hyperlink>
      <w:r>
        <w:t xml:space="preserve">[28]. The governance literature on space traffic management explicitly frames the broader problem as one of gradual institutional development and incentive-based mechanisms rather than as a single rule-making event</w:t>
      </w:r>
      <w:r>
        <w:t xml:space="preserve"> </w:t>
      </w:r>
      <w:hyperlink w:anchor="ref-10">
        <w:r>
          <w:rPr>
            <w:rStyle w:val="Hyperlink"/>
          </w:rPr>
          <w:t xml:space="preserve">[10]</w:t>
        </w:r>
      </w:hyperlink>
      <w:r>
        <w:t xml:space="preserve">[11], and the cislunar and cismartian extension of that framework treats the regime as still under construction</w:t>
      </w:r>
      <w:r>
        <w:t xml:space="preserve"> </w:t>
      </w:r>
      <w:hyperlink w:anchor="ref-12">
        <w:r>
          <w:rPr>
            <w:rStyle w:val="Hyperlink"/>
          </w:rPr>
          <w:t xml:space="preserve">[12]</w:t>
        </w:r>
      </w:hyperlink>
      <w:r>
        <w:t xml:space="preserve">.</w:t>
      </w:r>
    </w:p>
    <w:p>
      <w:pPr>
        <w:pStyle w:val="BodyText"/>
        <w:spacing w:line="480" w:lineRule="auto"/>
        <w:ind w:firstLine="720"/>
      </w:pPr>
      <w:r>
        <w:t xml:space="preserve">Inside that frame, the empirical estimates in this dissertation suggest three governance propositions. The first is that allied SSA and SDA architectures should be evaluated not only on coverage and latency but on the unit cost of capability they deliver, because the cost-capability frontier estimated in Paper 2 documents a substantial scale economy that proliferated-architecture designs do not capture. The second is that partnership accounting should be presented transparently inside the alliance, because the magnitude of the partnership discount estimated in Paper 1 is large enough that it could distort allied burden-sharing discussions if it is read as a genuine cost saving rather than as a ledger transfer. The third is that the slow lag profile of the appropriations response, against the fast clock of orbital-population events</w:t>
      </w:r>
      <w:r>
        <w:t xml:space="preserve"> </w:t>
      </w:r>
      <w:hyperlink w:anchor="ref-9">
        <w:r>
          <w:rPr>
            <w:rStyle w:val="Hyperlink"/>
          </w:rPr>
          <w:t xml:space="preserve">[9]</w:t>
        </w:r>
      </w:hyperlink>
      <w:r>
        <w:t xml:space="preserve">[29][35], argues for an operational buffer that is held inside the standing capacity of the network rather than inside the budget process. This last proposition aligns with the architectural argument in the wide-eye and narrow-eye sensing concepts that anticipate sudden demand spikes and reserve capacity to absorb them</w:t>
      </w:r>
      <w:r>
        <w:t xml:space="preserve"> </w:t>
      </w:r>
      <w:hyperlink w:anchor="ref-9">
        <w:r>
          <w:rPr>
            <w:rStyle w:val="Hyperlink"/>
          </w:rPr>
          <w:t xml:space="preserve">[9]</w:t>
        </w:r>
      </w:hyperlink>
      <w:r>
        <w:t xml:space="preserve">, and it aligns with the broader case for treating SSA capacity as a public good whose unit cost falls as the sensing base expands</w:t>
      </w:r>
      <w:r>
        <w:t xml:space="preserve"> </w:t>
      </w:r>
      <w:hyperlink w:anchor="ref-5">
        <w:r>
          <w:rPr>
            <w:rStyle w:val="Hyperlink"/>
          </w:rPr>
          <w:t xml:space="preserve">[5]</w:t>
        </w:r>
      </w:hyperlink>
      <w:r>
        <w:t xml:space="preserve">[20].</w:t>
      </w:r>
    </w:p>
    <w:p>
      <w:pPr>
        <w:pStyle w:val="BodyText"/>
        <w:spacing w:line="480" w:lineRule="auto"/>
        <w:ind w:firstLine="720"/>
      </w:pPr>
      <w:r>
        <w:t xml:space="preserve">The incentive-based mechanism literature offers a complementary frame</w:t>
      </w:r>
      <w:r>
        <w:t xml:space="preserve"> </w:t>
      </w:r>
      <w:hyperlink w:anchor="ref-11">
        <w:r>
          <w:rPr>
            <w:rStyle w:val="Hyperlink"/>
          </w:rPr>
          <w:t xml:space="preserve">[11]</w:t>
        </w:r>
      </w:hyperlink>
      <w:r>
        <w:t xml:space="preserve">. If the sensing layer is a depreciating public capital stock whose unit cost falls with scale, then the optimal incentive structure inside the alliance rewards consolidated contributions rather than distributed token contributions, and rewards capacity that can absorb shocks rather than capacity that merely participates in routine cataloging. The space sustainability rating framework</w:t>
      </w:r>
      <w:r>
        <w:t xml:space="preserve"> </w:t>
      </w:r>
      <w:hyperlink w:anchor="ref-16">
        <w:r>
          <w:rPr>
            <w:rStyle w:val="Hyperlink"/>
          </w:rPr>
          <w:t xml:space="preserve">[16]</w:t>
        </w:r>
      </w:hyperlink>
      <w:r>
        <w:t xml:space="preserve">[33] and the architectural decision-support work on commercial in-space servicing</w:t>
      </w:r>
      <w:r>
        <w:t xml:space="preserve"> </w:t>
      </w:r>
      <w:hyperlink w:anchor="ref-32">
        <w:r>
          <w:rPr>
            <w:rStyle w:val="Hyperlink"/>
          </w:rPr>
          <w:t xml:space="preserve">[32]</w:t>
        </w:r>
      </w:hyperlink>
      <w:r>
        <w:t xml:space="preserve"> </w:t>
      </w:r>
      <w:r>
        <w:t xml:space="preserve">both point toward composite indicators that price multiple attributes together; the empirical curves in this dissertation suggest that the cost-of-capability axis is one of the attributes that any such indicator should incorporate.</w:t>
      </w:r>
    </w:p>
    <w:bookmarkEnd w:id="129"/>
    <w:bookmarkStart w:id="130" w:name="limitations"/>
    <w:p>
      <w:pPr>
        <w:pStyle w:val="Heading2"/>
        <w:spacing w:line="480" w:lineRule="auto"/>
      </w:pPr>
      <w:r>
        <w:t xml:space="preserve">7.5 Limitations</w:t>
      </w:r>
    </w:p>
    <w:p>
      <w:pPr>
        <w:pStyle w:val="FirstParagraph"/>
        <w:spacing w:line="480" w:lineRule="auto"/>
      </w:pPr>
      <w:r>
        <w:t xml:space="preserve">The limitations of the empirical exercise are substantial and must be stated plainly, because the use of the results in NASA program management, JPL decision-making, and allied governance depends on a clear understanding of what they can and cannot bear.</w:t>
      </w:r>
    </w:p>
    <w:p>
      <w:pPr>
        <w:pStyle w:val="BodyText"/>
        <w:spacing w:line="480" w:lineRule="auto"/>
        <w:ind w:firstLine="720"/>
      </w:pPr>
      <w:r>
        <w:t xml:space="preserve">The first limitation is the population. Paper 1 fits a documented population of civil NASA, NOAA, and allied science missions, and Paper 2 fits a documented population of ground-based optical sensors drawn from dedicated surveillance, planetary-defense, and survey lineages. Classified surveillance assets are absent from both populations. The cost structure of classified builds may differ in ways the documented sample cannot detect, and the estimates should not be extrapolated to that regime without explicit caveat. The contributing-sensor lineage from commercial small-aperture builds is similarly under-represented because public documentation of unit cost is thin</w:t>
      </w:r>
      <w:r>
        <w:t xml:space="preserve"> </w:t>
      </w:r>
      <w:hyperlink w:anchor="ref-25">
        <w:r>
          <w:rPr>
            <w:rStyle w:val="Hyperlink"/>
          </w:rPr>
          <w:t xml:space="preserve">[25]</w:t>
        </w:r>
      </w:hyperlink>
      <w:r>
        <w:t xml:space="preserve">[26], and the rapid growth of that tier means the population may become substantially more heterogeneous than the present sample reflects</w:t>
      </w:r>
      <w:r>
        <w:t xml:space="preserve"> </w:t>
      </w:r>
      <w:hyperlink w:anchor="ref-31">
        <w:r>
          <w:rPr>
            <w:rStyle w:val="Hyperlink"/>
          </w:rPr>
          <w:t xml:space="preserve">[31]</w:t>
        </w:r>
      </w:hyperlink>
      <w:r>
        <w:t xml:space="preserve">.</w:t>
      </w:r>
    </w:p>
    <w:p>
      <w:pPr>
        <w:pStyle w:val="BodyText"/>
        <w:spacing w:line="480" w:lineRule="auto"/>
        <w:ind w:firstLine="720"/>
      </w:pPr>
      <w:r>
        <w:t xml:space="preserve">The second limitation is the dollar basis. Both papers use nominal-dollar cost figures across multi-decade horizons. Paper 1’s launch-year coefficient is positive but not significant, and the discussion of Paper 2 notes explicitly that part of the residual dispersion around the fitted curve reflects price-level drift. A constant-dollar reestimation is the obvious next step in both cases, and the existing estimates should be read as somewhat noisier than a deflated replication would deliver. The qualitative direction of the elasticities is robust to deflation, because deflation rescales the dependent variable monotonically without changing the rank order, but the precise magnitudes will move modestly under any defensible deflator choice.</w:t>
      </w:r>
    </w:p>
    <w:p>
      <w:pPr>
        <w:pStyle w:val="BodyText"/>
        <w:spacing w:line="480" w:lineRule="auto"/>
        <w:ind w:firstLine="720"/>
      </w:pPr>
      <w:r>
        <w:t xml:space="preserve">The third limitation is the capability proxy. Paper 1 uses spacecraft launch mass as the capability proxy, and Paper 2 uses primary collecting area. Both are coarse. Modern survey budgets are increasingly dominated by detector cost, data-system cost, and software cost that do not scale with optical area in any tight way</w:t>
      </w:r>
      <w:r>
        <w:t xml:space="preserve"> </w:t>
      </w:r>
      <w:hyperlink w:anchor="ref-27">
        <w:r>
          <w:rPr>
            <w:rStyle w:val="Hyperlink"/>
          </w:rPr>
          <w:t xml:space="preserve">[27]</w:t>
        </w:r>
      </w:hyperlink>
      <w:r>
        <w:t xml:space="preserve">[32], and modern spacecraft cost is increasingly dominated by integration complexity that does not scale tightly with mass</w:t>
      </w:r>
      <w:r>
        <w:t xml:space="preserve"> </w:t>
      </w:r>
      <w:hyperlink w:anchor="ref-4">
        <w:r>
          <w:rPr>
            <w:rStyle w:val="Hyperlink"/>
          </w:rPr>
          <w:t xml:space="preserve">[4]</w:t>
        </w:r>
      </w:hyperlink>
      <w:r>
        <w:t xml:space="preserve">. A richer specification that decomposes capability into optical and digital components would tighten the estimates and would also better serve the architectural question of whether the cost-capability frontier is bending upward at the largest apertures. The present specification is parsimonious by design, to keep the headline elasticity uncontaminated by collinear size measures, but parsimony is a deliberate trade against richness.</w:t>
      </w:r>
    </w:p>
    <w:p>
      <w:pPr>
        <w:pStyle w:val="BodyText"/>
        <w:spacing w:line="480" w:lineRule="auto"/>
        <w:ind w:firstLine="720"/>
      </w:pPr>
      <w:r>
        <w:t xml:space="preserve">The fourth limitation concerns the identification strategy of the panel exercise. The prospectus specified a quasi-experimental identification based on the staggered timing of fragmentation events, and the threats-to-validity discussion noted that anti-satellite tests may not be fully exogenous to the budget process. The event-study pre-trend check and the exclusion of state-directed destructive events from the instrument set address this threat, but they do not eliminate it. The dynamic-panel estimator is vulnerable to instrument proliferation, and the GMM specification will need to be reported with collapsed instruments and Hansen over-identification tests in any final publication of the panel results. The cross-section is small and the panel is short, so the power of the estimates against modest effect sizes is limited, and the event-study and difference-in-differences designs should be reported alongside the GMM estimates so that no single identification assumption carries the inference.</w:t>
      </w:r>
    </w:p>
    <w:p>
      <w:pPr>
        <w:pStyle w:val="BodyText"/>
        <w:spacing w:line="480" w:lineRule="auto"/>
        <w:ind w:firstLine="720"/>
      </w:pPr>
      <w:r>
        <w:t xml:space="preserve">The fifth limitation concerns the mapping from fragmentation to demand. The sensor-tasking and orbit-determination literatures characterize the engineering demand for tracking capacity as a function of catalog size and conjunction load</w:t>
      </w:r>
      <w:r>
        <w:t xml:space="preserve"> </w:t>
      </w:r>
      <w:hyperlink w:anchor="ref-2">
        <w:r>
          <w:rPr>
            <w:rStyle w:val="Hyperlink"/>
          </w:rPr>
          <w:t xml:space="preserve">[2]</w:t>
        </w:r>
      </w:hyperlink>
      <w:r>
        <w:t xml:space="preserve">[3][4][30][34][35], but the precise mapping from a given fragmentation event to a given increment of required appropriations is not a measured quantity. It is an inferred quantity that depends on assumptions about catalog completeness, tasking efficiency, and the relative cost of marginal capacity versus marginal accuracy. Those assumptions should be stated explicitly and varied in robustness analysis, and the demand side of the panel exercise should be understood as a working approximation rather than as a direct measurement.</w:t>
      </w:r>
    </w:p>
    <w:p>
      <w:pPr>
        <w:pStyle w:val="BodyText"/>
        <w:spacing w:line="480" w:lineRule="auto"/>
        <w:ind w:firstLine="720"/>
      </w:pPr>
      <w:r>
        <w:t xml:space="preserve">The sixth limitation concerns the interaction between the cost-capability frontier and the rapid growth of the resident space object population. The estimates in this dissertation are static snapshots fitted to historical data. The orbital environment that the sensing layer must observe is not static; it is growing rapidly in the number, density, and behavioral complexity of objects</w:t>
      </w:r>
      <w:r>
        <w:t xml:space="preserve"> </w:t>
      </w:r>
      <w:hyperlink w:anchor="ref-9">
        <w:r>
          <w:rPr>
            <w:rStyle w:val="Hyperlink"/>
          </w:rPr>
          <w:t xml:space="preserve">[9]</w:t>
        </w:r>
      </w:hyperlink>
      <w:r>
        <w:t xml:space="preserve">[29][31][35]. A frontier that was valid over the documented historical period may not extrapolate cleanly into a future in which detection thresholds, custody requirements, and conjunction screening cadence shift discontinuously. The estimates should be re-fitted on a rolling basis as new builds enter the documented population, and the elasticity should be tracked as a time-varying quantity rather than treated as a fixed parameter.</w:t>
      </w:r>
    </w:p>
    <w:bookmarkEnd w:id="130"/>
    <w:bookmarkStart w:id="131" w:name="future-research"/>
    <w:p>
      <w:pPr>
        <w:pStyle w:val="Heading2"/>
        <w:spacing w:line="480" w:lineRule="auto"/>
      </w:pPr>
      <w:r>
        <w:t xml:space="preserve">7.6 Future Research</w:t>
      </w:r>
    </w:p>
    <w:p>
      <w:pPr>
        <w:pStyle w:val="FirstParagraph"/>
        <w:spacing w:line="480" w:lineRule="auto"/>
      </w:pPr>
      <w:r>
        <w:t xml:space="preserve">The natural extensions of this work fall into four families. The first family extends the cost-capability frontier into the digital domain. A decomposition of sensor cost into optical, electromechanical, and digital components, fitted to a population that includes the contributing-sensor and commercial small-aperture tiers, would test whether the frontier bends upward at the largest apertures and whether the digital share of cost is changing the architecture of the trade. The commercial federated battle-management literature</w:t>
      </w:r>
      <w:r>
        <w:t xml:space="preserve"> </w:t>
      </w:r>
      <w:hyperlink w:anchor="ref-26">
        <w:r>
          <w:rPr>
            <w:rStyle w:val="Hyperlink"/>
          </w:rPr>
          <w:t xml:space="preserve">[26]</w:t>
        </w:r>
      </w:hyperlink>
      <w:r>
        <w:t xml:space="preserve"> </w:t>
      </w:r>
      <w:r>
        <w:t xml:space="preserve">and the architectural decision-support literature on commercial in-space servicing</w:t>
      </w:r>
      <w:r>
        <w:t xml:space="preserve"> </w:t>
      </w:r>
      <w:hyperlink w:anchor="ref-32">
        <w:r>
          <w:rPr>
            <w:rStyle w:val="Hyperlink"/>
          </w:rPr>
          <w:t xml:space="preserve">[32]</w:t>
        </w:r>
      </w:hyperlink>
      <w:r>
        <w:t xml:space="preserve"> </w:t>
      </w:r>
      <w:r>
        <w:t xml:space="preserve">both point toward integrated optical-and-digital cost structures that the present specification does not capture.</w:t>
      </w:r>
    </w:p>
    <w:p>
      <w:pPr>
        <w:pStyle w:val="BodyText"/>
        <w:spacing w:line="480" w:lineRule="auto"/>
        <w:ind w:firstLine="720"/>
      </w:pPr>
      <w:r>
        <w:t xml:space="preserve">The second family extends the panel exercise into a tighter identification design. A staggered difference-in-differences analysis that compares funding trajectories across states with different exposure to a given fragmentation’s tracked population, combined with an event-study specification that tests for pre-trends and reports the lag profile non-parametrically, would discipline the dynamic-panel estimates and would provide a second identification lever. A synthetic control design that constructs a counterfactual funding trajectory for a treated state from a weighted combination of untreated states would provide a third lever. The objective is not to settle on a single estimator but to triangulate the response of the sensor-funding series to the fragmentation-shock series across multiple defensible designs.</w:t>
      </w:r>
    </w:p>
    <w:p>
      <w:pPr>
        <w:pStyle w:val="BodyText"/>
        <w:spacing w:line="480" w:lineRule="auto"/>
        <w:ind w:firstLine="720"/>
      </w:pPr>
      <w:r>
        <w:t xml:space="preserve">The third family extends the analysis into the governance domain. The space sustainability rating framework</w:t>
      </w:r>
      <w:r>
        <w:t xml:space="preserve"> </w:t>
      </w:r>
      <w:hyperlink w:anchor="ref-16">
        <w:r>
          <w:rPr>
            <w:rStyle w:val="Hyperlink"/>
          </w:rPr>
          <w:t xml:space="preserve">[16]</w:t>
        </w:r>
      </w:hyperlink>
      <w:r>
        <w:t xml:space="preserve">[33] supplies a documented composite-indicator methodology that could be extended to include the cost-of-capability axis estimated in Paper 2. The incentive-based mechanism literature</w:t>
      </w:r>
      <w:r>
        <w:t xml:space="preserve"> </w:t>
      </w:r>
      <w:hyperlink w:anchor="ref-11">
        <w:r>
          <w:rPr>
            <w:rStyle w:val="Hyperlink"/>
          </w:rPr>
          <w:t xml:space="preserve">[11]</w:t>
        </w:r>
      </w:hyperlink>
      <w:r>
        <w:t xml:space="preserve"> </w:t>
      </w:r>
      <w:r>
        <w:t xml:space="preserve">supplies a documented theoretical apparatus for designing burden-sharing arrangements inside an alliance. A combined exercise that uses the empirical elasticities to inform an incentive-based mechanism for allied SSA and SDA contributions would translate the cliometric findings into actionable governance design. The cislunar and cismartian extension of the space traffic management framework</w:t>
      </w:r>
      <w:r>
        <w:t xml:space="preserve"> </w:t>
      </w:r>
      <w:hyperlink w:anchor="ref-12">
        <w:r>
          <w:rPr>
            <w:rStyle w:val="Hyperlink"/>
          </w:rPr>
          <w:t xml:space="preserve">[12]</w:t>
        </w:r>
      </w:hyperlink>
      <w:r>
        <w:t xml:space="preserve">[36] provides a future-tense analogue that this dissertation can inform but cannot complete.</w:t>
      </w:r>
    </w:p>
    <w:p>
      <w:pPr>
        <w:pStyle w:val="BodyText"/>
        <w:spacing w:line="480" w:lineRule="auto"/>
        <w:ind w:firstLine="720"/>
      </w:pPr>
      <w:r>
        <w:t xml:space="preserve">The fourth family extends the methodology into adjacent classes of space infrastructure. The sub-proportional cost scaling and the partnership discount estimated here are properties of sensing infrastructure, but they may also hold for adjacent classes such as ground-segment communications infrastructure, launch infrastructure, and on-orbit servicing infrastructure. A program of comparative cost-capability estimation across these classes would test whether the empirical regularities documented in this dissertation are properties of public space infrastructure more generally or are specific to the sensing layer. The architectural framing of evolving space-use norms</w:t>
      </w:r>
      <w:r>
        <w:t xml:space="preserve"> </w:t>
      </w:r>
      <w:hyperlink w:anchor="ref-7">
        <w:r>
          <w:rPr>
            <w:rStyle w:val="Hyperlink"/>
          </w:rPr>
          <w:t xml:space="preserve">[7]</w:t>
        </w:r>
      </w:hyperlink>
      <w:r>
        <w:t xml:space="preserve">[8][20] suggests that they may generalize; the empirical work to test the conjecture remains to be done.</w:t>
      </w:r>
    </w:p>
    <w:bookmarkEnd w:id="131"/>
    <w:bookmarkStart w:id="132" w:name="synthesis"/>
    <w:p>
      <w:pPr>
        <w:pStyle w:val="Heading2"/>
        <w:spacing w:line="480" w:lineRule="auto"/>
      </w:pPr>
      <w:r>
        <w:t xml:space="preserve">7.7 Synthesis</w:t>
      </w:r>
    </w:p>
    <w:p>
      <w:pPr>
        <w:pStyle w:val="FirstParagraph"/>
        <w:spacing w:line="480" w:lineRule="auto"/>
      </w:pPr>
      <w:r>
        <w:t xml:space="preserve">The findings of this dissertation can be summarized in a single sentence with two clauses. The sensing layer that underwrites SSA and SDA exhibits sub-proportional cost scaling in capability, so consolidated builds are cheaper per unit of capability than proliferated ones on the cost axis alone; and the appropriations system that funds the sensing layer has a documented response lag that is longer than the operational clock on which orbital-population shocks occur, so the operational buffer must be held inside standing capacity rather than inside the budget cycle. NASA program management can use the first clause to discipline architecture choices and the second to discipline planning assumptions. JPL decision-making can use both clauses to discipline its internal cost estimating and its proposal preparation. Allied governance can use both clauses to discipline burden-sharing arrangements and incentive design. The empirical estimates that underwrite the two clauses are limited in the ways stated above, and the program of future research that would tighten them is concrete and tractable. The dissertation does not claim to have settled the question of how the sensors should be funded. It claims to have replaced an assumed economic geometry with an estimated one, and to have done so on a documented, source-cited basis that any reviewer can reproduce. That is the contribution, and it is on that basis that the findings should be read into the program-management, JPL, and governance arenas in which the funding of the sensors is actually decided.</w:t>
      </w:r>
    </w:p>
    <w:bookmarkEnd w:id="132"/>
    <w:bookmarkEnd w:id="133"/>
    <w:bookmarkStart w:id="191" w:name="chapter-8.-conclusion"/>
    <w:p>
      <w:pPr>
        <w:pStyle w:val="Heading1"/>
        <w:spacing w:line="480" w:lineRule="auto"/>
      </w:pPr>
      <w:r>
        <w:t xml:space="preserve">Chapter 8. Conclusion</w:t>
      </w:r>
    </w:p>
    <w:bookmarkStart w:id="134" w:name="the-argument-in-brief"/>
    <w:p>
      <w:pPr>
        <w:pStyle w:val="Heading2"/>
        <w:spacing w:line="480" w:lineRule="auto"/>
      </w:pPr>
      <w:r>
        <w:t xml:space="preserve">8.1 The Argument in Brief</w:t>
      </w:r>
    </w:p>
    <w:p>
      <w:pPr>
        <w:pStyle w:val="FirstParagraph"/>
        <w:spacing w:line="480" w:lineRule="auto"/>
      </w:pPr>
      <w:r>
        <w:t xml:space="preserve">This dissertation began with a question that the engineering and policy literatures on space situational awareness and space domain awareness have systematically declined to estimate. The sensing layer that underwrites cataloging, conjunction screening, and custody of resident space objects is a depreciating public capital stock whose continued operation requires appropriations to be made, year after year, against the gravitational pull of more visible mission lines. The architecture of that sensing layer has been described in fine engineering detail</w:t>
      </w:r>
      <w:r>
        <w:t xml:space="preserve"> </w:t>
      </w:r>
      <w:hyperlink w:anchor="ref-1">
        <w:r>
          <w:rPr>
            <w:rStyle w:val="Hyperlink"/>
          </w:rPr>
          <w:t xml:space="preserve">[1]</w:t>
        </w:r>
      </w:hyperlink>
      <w:r>
        <w:t xml:space="preserve">[6][9], and the optimization of its tasking has matured from heuristic scheduling into a recognizable subfield with its own benchmarks</w:t>
      </w:r>
      <w:r>
        <w:t xml:space="preserve"> </w:t>
      </w:r>
      <w:hyperlink w:anchor="ref-2">
        <w:r>
          <w:rPr>
            <w:rStyle w:val="Hyperlink"/>
          </w:rPr>
          <w:t xml:space="preserve">[2]</w:t>
        </w:r>
      </w:hyperlink>
      <w:r>
        <w:t xml:space="preserve">[3][4][30]. The governance of the orbital environment in which those sensors operate has been mapped as an exercise in gradualist norm-construction and incentive design</w:t>
      </w:r>
      <w:r>
        <w:t xml:space="preserve"> </w:t>
      </w:r>
      <w:hyperlink w:anchor="ref-10">
        <w:r>
          <w:rPr>
            <w:rStyle w:val="Hyperlink"/>
          </w:rPr>
          <w:t xml:space="preserve">[10]</w:t>
        </w:r>
      </w:hyperlink>
      <w:r>
        <w:t xml:space="preserve">[11][12][33][35][36]. The economics of the broader space enterprise has been forecast at the sector level and framed in whole-of-nation terms</w:t>
      </w:r>
      <w:r>
        <w:t xml:space="preserve"> </w:t>
      </w:r>
      <w:hyperlink w:anchor="ref-5">
        <w:r>
          <w:rPr>
            <w:rStyle w:val="Hyperlink"/>
          </w:rPr>
          <w:t xml:space="preserve">[5]</w:t>
        </w:r>
      </w:hyperlink>
      <w:r>
        <w:t xml:space="preserve">[7][8][20]. Yet none of these literatures has treated the budgetary history of the sensors themselves as a cliometric object. The work assembled here has tried to begin that treatment.</w:t>
      </w:r>
    </w:p>
    <w:p>
      <w:pPr>
        <w:pStyle w:val="BodyText"/>
        <w:spacing w:line="480" w:lineRule="auto"/>
        <w:ind w:firstLine="720"/>
      </w:pPr>
      <w:r>
        <w:t xml:space="preserve">The argument proceeded in three estimated movements. The prospectus framed the central falsifiable claim that sensor-funding allocations are environment-responsive rather than purely inertial, identifying the lagged effect of exogenous fragmentation shocks on subsequent appropriations as the estimand of interest. The first research paper estimated a log-linear cost-estimating relationship for a population of twenty-nine NASA and allied sensing missions launched between 1999 and 2024, recovering a mass elasticity of cost of 0.847 with a standard error of 0.101 and a partnership discount of -0.382 on the United States ledger. The second research paper estimated a log-log cost-capability scaling curve for twenty-four ground-based optical sensor systems, recovering an elasticity of acquisition cost with respect to collecting area of 0.716 with a robust standard error of 0.092, well below both the constant-returns benchmark of unity and the volume-of-glass benchmark of two. Each estimate is internally disciplined, source-cited at the observation level, and reproducible from public documents. Taken together they begin to price the sensing layer in a way the prior literature had not.</w:t>
      </w:r>
    </w:p>
    <w:bookmarkEnd w:id="134"/>
    <w:bookmarkStart w:id="135" w:name="what-the-estimates-mean-together"/>
    <w:p>
      <w:pPr>
        <w:pStyle w:val="Heading2"/>
        <w:spacing w:line="480" w:lineRule="auto"/>
      </w:pPr>
      <w:r>
        <w:t xml:space="preserve">8.2 What the Estimates Mean Together</w:t>
      </w:r>
    </w:p>
    <w:p>
      <w:pPr>
        <w:pStyle w:val="FirstParagraph"/>
        <w:spacing w:line="480" w:lineRule="auto"/>
      </w:pPr>
      <w:r>
        <w:t xml:space="preserve">The two estimated relationships are complementary rather than redundant. The mission-level CER prices the relationship between spacecraft mass and lifecycle cost across a heterogeneous population of space-based sensing platforms; the ground-based scaling curve prices the relationship between collecting area and acquisition cost across a heterogeneous population of optical telescopes. Both recover sub-unit elasticities, and the convergence is substantively informative. Sensing capability, whether measured by the launch mass of an orbital platform or by the aperture area of a ground instrument, is purchased at a marginal price that falls as the scale of the build rises. The implication for the architectural debates that recur in the SSA and SDA literature is that the unit-cost arithmetic does not, on its own, favor disaggregated proliferation over consolidation; the case for many small sensors must rest on coverage geometry, revisit cadence, survivability, or coalition burden-sharing, not on a presumed cost advantage that the data do not display</w:t>
      </w:r>
      <w:r>
        <w:t xml:space="preserve"> </w:t>
      </w:r>
      <w:hyperlink w:anchor="ref-13">
        <w:r>
          <w:rPr>
            <w:rStyle w:val="Hyperlink"/>
          </w:rPr>
          <w:t xml:space="preserve">[13]</w:t>
        </w:r>
      </w:hyperlink>
      <w:r>
        <w:t xml:space="preserve">[14][15].</w:t>
      </w:r>
    </w:p>
    <w:p>
      <w:pPr>
        <w:pStyle w:val="BodyText"/>
        <w:spacing w:line="480" w:lineRule="auto"/>
        <w:ind w:firstLine="720"/>
      </w:pPr>
      <w:r>
        <w:t xml:space="preserve">The partnership discount estimated in the mission-level CER carries its own analytic weight. A reduction of roughly a third in the reported United States lifecycle cost of formally partnered missions, holding mass and launch era fixed, is large enough to influence acquisition strategy, but the dissertation has been careful to characterize it as an accounting effect rather than as genuine cost avoidance. The integrated system still costs what it costs; the saving accrues to one national ledger because partners absorb a share of the bill. For an allied SSA and SDA enterprise that already coordinates observation across national assets</w:t>
      </w:r>
      <w:r>
        <w:t xml:space="preserve"> </w:t>
      </w:r>
      <w:hyperlink w:anchor="ref-6">
        <w:r>
          <w:rPr>
            <w:rStyle w:val="Hyperlink"/>
          </w:rPr>
          <w:t xml:space="preserve">[6]</w:t>
        </w:r>
      </w:hyperlink>
      <w:r>
        <w:t xml:space="preserve">[22][28] and that operates within multilateral arrangements such as the European Union Space Surveillance and Tracking programme</w:t>
      </w:r>
      <w:r>
        <w:t xml:space="preserve"> </w:t>
      </w:r>
      <w:hyperlink w:anchor="ref-23">
        <w:r>
          <w:rPr>
            <w:rStyle w:val="Hyperlink"/>
          </w:rPr>
          <w:t xml:space="preserve">[23]</w:t>
        </w:r>
      </w:hyperlink>
      <w:r>
        <w:t xml:space="preserve">, the empirical magnitude of the partnership effect quantifies a budgetary reality that planners have tended to treat impressionistically. It does not, in itself, settle the strategic question of whether burden-sharing is desirable; it converts that question into one whose terms can be stated in dollars.</w:t>
      </w:r>
    </w:p>
    <w:p>
      <w:pPr>
        <w:pStyle w:val="BodyText"/>
        <w:spacing w:line="480" w:lineRule="auto"/>
        <w:ind w:firstLine="720"/>
      </w:pPr>
      <w:r>
        <w:t xml:space="preserve">The prospectus’ identification strategy supplies the connective tissue. If the two estimated cost relationships describe what a marginal increment of sensing capacity costs, the prospectus’ panel design asks what causes that increment to be funded in the first place. The dynamic-panel and event-study specifications proposed there treat catalog-disrupting fragmentation events as quasi-experimental shocks to the demand for tracking and cataloging capacity</w:t>
      </w:r>
      <w:r>
        <w:t xml:space="preserve"> </w:t>
      </w:r>
      <w:hyperlink w:anchor="ref-9">
        <w:r>
          <w:rPr>
            <w:rStyle w:val="Hyperlink"/>
          </w:rPr>
          <w:t xml:space="preserve">[9]</w:t>
        </w:r>
      </w:hyperlink>
      <w:r>
        <w:t xml:space="preserve">[29][34][35], and they ask whether sensor-related appropriations respond to those shocks at a lag consistent with the cadence of the budget process. The cost estimates establish the price; the panel estimates, when executed against the full funding series, will establish the demand response. Neither half is sufficient on its own. A precise price without an estimated demand response leaves the political economy of the sensing layer undescribed; an estimated demand response without a transparent price leaves the architectural implications unactionable.</w:t>
      </w:r>
    </w:p>
    <w:bookmarkEnd w:id="135"/>
    <w:bookmarkStart w:id="136" w:name="contribution-to-knowledge"/>
    <w:p>
      <w:pPr>
        <w:pStyle w:val="Heading2"/>
        <w:spacing w:line="480" w:lineRule="auto"/>
      </w:pPr>
      <w:r>
        <w:t xml:space="preserve">8.3 Contribution to Knowledge</w:t>
      </w:r>
    </w:p>
    <w:p>
      <w:pPr>
        <w:pStyle w:val="FirstParagraph"/>
        <w:spacing w:line="480" w:lineRule="auto"/>
      </w:pPr>
      <w:r>
        <w:t xml:space="preserve">The contribution of the dissertation can be stated economically. It imports the apparatus of allocation econometrics into a domain that has so far been characterized in engineering and policy registers but not estimated, and it does so under a discipline of source-cited provenance that allows every observation to be traced to a public document. The contribution is therefore methodological, empirical, and infrastructural at once.</w:t>
      </w:r>
    </w:p>
    <w:p>
      <w:pPr>
        <w:pStyle w:val="BodyText"/>
        <w:spacing w:line="480" w:lineRule="auto"/>
        <w:ind w:firstLine="720"/>
      </w:pPr>
      <w:r>
        <w:t xml:space="preserve">Methodologically, the dissertation demonstrates that the sensing layer of the SSA and SDA enterprise can be treated as a cliometric object. The cost-estimating relationship of Chapter 5 and the cost-capability scaling curve of Chapter 6 are not novel in functional form, but their application to a documented population of sensing missions and optical telescopes is, to the best of the candidate’s knowledge, the first such application reported in the open literature with full source citation at the observation level. The dynamic-panel design proposed in the prospectus, with system-GMM estimation, an event-study check on pre-trends, and a staggered difference-in-differences design as a second identification lever, exports a standard apparatus from public economics into a substantive area that has not previously hosted it.</w:t>
      </w:r>
    </w:p>
    <w:p>
      <w:pPr>
        <w:pStyle w:val="BodyText"/>
        <w:spacing w:line="480" w:lineRule="auto"/>
        <w:ind w:firstLine="720"/>
      </w:pPr>
      <w:r>
        <w:t xml:space="preserve">Empirically, the dissertation reports three quantitative findings that the prior literature did not contain. The mass elasticity of lifecycle cost for the sensing-mission population is 0.847, with a standard error tight enough to support early-phase budgeting. The cost-capability elasticity for ground-based optical sensors is 0.716, with a robust standard error that places sub-proportional scaling roughly three standard errors below the constant-returns benchmark. The partnership discount on the United States ledger is -0.382, statistically distinguishable from zero at conventional levels. These point estimates are anchored in source-cited data, replicable from public documents, and recoverable in constant-dollar terms by any subsequent analyst who chooses to deflate the series.</w:t>
      </w:r>
    </w:p>
    <w:p>
      <w:pPr>
        <w:pStyle w:val="BodyText"/>
        <w:spacing w:line="480" w:lineRule="auto"/>
        <w:ind w:firstLine="720"/>
      </w:pPr>
      <w:r>
        <w:t xml:space="preserve">Infrastructurally, the dissertation lays out a data provenance protocol that subsequent work can adopt. The funding series is built from the NASA Congressional Justification record and the Office of the Under Secretary of Defense (Comptroller) budget-justification books for the defense side of the sensing layer; the fragmentation-shock series is built from the NASA Orbital Debris Program Office quarterly History of On-Orbit Satellite Fragmentations and the associated Orbital Debris Quarterly News. Allied funding observations are drawn from published national space-agency budget documents of contributing states identified in the multilateral SSA literature</w:t>
      </w:r>
      <w:r>
        <w:t xml:space="preserve"> </w:t>
      </w:r>
      <w:hyperlink w:anchor="ref-6">
        <w:r>
          <w:rPr>
            <w:rStyle w:val="Hyperlink"/>
          </w:rPr>
          <w:t xml:space="preserve">[6]</w:t>
        </w:r>
      </w:hyperlink>
      <w:r>
        <w:t xml:space="preserve">[22][23][24]. All series are public, archival, and reproducible. The replication appendix records every observation to the document and page level. This is not a glamorous contribution, but the absence of such an apparatus has been one of the structural reasons the budgetary history of the sensing layer has remained unstudied.</w:t>
      </w:r>
    </w:p>
    <w:p>
      <w:pPr>
        <w:pStyle w:val="BodyText"/>
        <w:spacing w:line="480" w:lineRule="auto"/>
        <w:ind w:firstLine="720"/>
      </w:pPr>
      <w:r>
        <w:t xml:space="preserve">The dissertation also clarifies what its contribution is not. It does not deliver a normative theory of how much should be spent on the sensing layer. It does not adjudicate between competing architectural concepts that vary along axes the data here cannot resolve, including detector and software cost at the largest apertures, classified surveillance assets absent from the civil population, and the proliferated small-sensor commercial tier whose cost structure is observed only in fragments</w:t>
      </w:r>
      <w:r>
        <w:t xml:space="preserve"> </w:t>
      </w:r>
      <w:hyperlink w:anchor="ref-17">
        <w:r>
          <w:rPr>
            <w:rStyle w:val="Hyperlink"/>
          </w:rPr>
          <w:t xml:space="preserve">[17]</w:t>
        </w:r>
      </w:hyperlink>
      <w:r>
        <w:t xml:space="preserve">[25][26][27][31]. It does not, in the form presented here, deflate cost figures to a common base; the constant-dollar reestimation is acknowledged as the obvious next step and is reserved for follow-on work. These boundaries are stated plainly so that the contribution is not asked to carry more weight than the evidence will bear.</w:t>
      </w:r>
    </w:p>
    <w:bookmarkEnd w:id="136"/>
    <w:bookmarkStart w:id="137" w:name="limits-and-the-research-that-follows"/>
    <w:p>
      <w:pPr>
        <w:pStyle w:val="Heading2"/>
        <w:spacing w:line="480" w:lineRule="auto"/>
      </w:pPr>
      <w:r>
        <w:t xml:space="preserve">8.4 Limits and the Research That Follows</w:t>
      </w:r>
    </w:p>
    <w:p>
      <w:pPr>
        <w:pStyle w:val="FirstParagraph"/>
        <w:spacing w:line="480" w:lineRule="auto"/>
      </w:pPr>
      <w:r>
        <w:t xml:space="preserve">The limits identified across the chapters describe a coherent forward research programme rather than a list of regrets. Three limits recur with enough force to organize what follows.</w:t>
      </w:r>
    </w:p>
    <w:p>
      <w:pPr>
        <w:pStyle w:val="BodyText"/>
        <w:spacing w:line="480" w:lineRule="auto"/>
        <w:ind w:firstLine="720"/>
      </w:pPr>
      <w:r>
        <w:t xml:space="preserve">The first is measurement. Budget line items do not always isolate the sensing layer cleanly, and reorganizations, including the stand-up of the United States Space Force, break series continuity. The crosswalk used in this work is documented but coarse, and a finer-grained crosswalk that resolves sensing appropriations within each successor organization is the most immediate empirical extension. The second is the cost proxy. Mass and aperture are the parameters available early in design and observable in public documents, but they are coarse summaries of the design complexity that ultimately drives cost. Detector arrays, data systems, and software now dominate the marginal cost of modern survey instruments and are likely to bend the cost-capability frontier upward at the largest apertures in ways the bivariate specification cannot resolve. A richer specification with aperture, pointing requirement, orbit class, and software-share covariates is the natural next functional form. The third is scope. The civil and allied science population analyzed here excludes classified surveillance assets and the rapidly expanding commercial contributing-sensor tier. The architectural implications drawn from the estimated elasticities should therefore be understood as the implications of the documented public sector and its declared allied partners, not of the full sensing enterprise.</w:t>
      </w:r>
    </w:p>
    <w:p>
      <w:pPr>
        <w:pStyle w:val="BodyText"/>
        <w:spacing w:line="480" w:lineRule="auto"/>
        <w:ind w:firstLine="720"/>
      </w:pPr>
      <w:r>
        <w:t xml:space="preserve">Each of these limits points to a concrete extension. The constant-dollar reestimation, the richer-covariate specification, and the widened-sample replication can be carried out without revisiting the identification strategy of the prospectus, and they are the obvious next three papers. Beyond them lies a more ambitious agenda. The estimated cost relationships can be embedded in an architecture-trade framework that prices both unit cost and detection performance simultaneously, allowing the marginal sensing dollar to be allocated across mission classes rather than within them. The fragmentation-shock identification can be extended to a richer demand-side specification that includes commercial conjunction-screening volume as an additional demand driver, capturing the increasingly relevant contribution of commercial operators to the load that public sensors must absorb</w:t>
      </w:r>
      <w:r>
        <w:t xml:space="preserve"> </w:t>
      </w:r>
      <w:hyperlink w:anchor="ref-32">
        <w:r>
          <w:rPr>
            <w:rStyle w:val="Hyperlink"/>
          </w:rPr>
          <w:t xml:space="preserve">[32]</w:t>
        </w:r>
      </w:hyperlink>
      <w:r>
        <w:t xml:space="preserve">[33]. The governance literature’s incentive-based mechanisms for sustainability</w:t>
      </w:r>
      <w:r>
        <w:t xml:space="preserve"> </w:t>
      </w:r>
      <w:hyperlink w:anchor="ref-11">
        <w:r>
          <w:rPr>
            <w:rStyle w:val="Hyperlink"/>
          </w:rPr>
          <w:t xml:space="preserve">[11]</w:t>
        </w:r>
      </w:hyperlink>
      <w:r>
        <w:t xml:space="preserve">[33] can be connected to the funding series so that the allocation response to fragmentation can be decomposed into the share that operates through direct appropriations and the share that operates through sustainability-rating instruments. Each of these extensions inherits the provenance discipline of the present work and is feasible from public documents.</w:t>
      </w:r>
    </w:p>
    <w:bookmarkEnd w:id="137"/>
    <w:bookmarkStart w:id="138" w:name="closing-statement"/>
    <w:p>
      <w:pPr>
        <w:pStyle w:val="Heading2"/>
        <w:spacing w:line="480" w:lineRule="auto"/>
      </w:pPr>
      <w:r>
        <w:t xml:space="preserve">8.5 Closing Statement</w:t>
      </w:r>
    </w:p>
    <w:p>
      <w:pPr>
        <w:pStyle w:val="FirstParagraph"/>
        <w:spacing w:line="480" w:lineRule="auto"/>
      </w:pPr>
      <w:r>
        <w:t xml:space="preserve">The argument of the dissertation can be summarized in a sentence. The sensing layer of the SSA and SDA enterprise has a price that can be estimated, a demand structure that can be identified, and a budgetary history that can be modeled cliometrically rather than narrated impressionistically. The estimates reported in Chapters 5 and 6, and the identification strategy laid out in the prospectus and developed through the body of the work, are an initial pass at that programme rather than its completion. They are sufficient to support three specific claims. Sensing capability is purchased at a marginal price that falls as the scale of the build rises, on both the orbital and the ground-based axis. The accounting effect of formal international partnership on the United States ledger is large enough to matter to acquisition strategy and small enough to be misread as cost avoidance if it is not stated plainly. The hypothesis that sensor appropriations respond to the orbital-environment shocks the sensors exist to observe is now a testable proposition rather than an unestimated assertion, and the apparatus required to test it has been laid out in the form of a panel design, a documented funding series, and a documented fragmentation-shock series.</w:t>
      </w:r>
    </w:p>
    <w:p>
      <w:pPr>
        <w:pStyle w:val="BodyText"/>
        <w:spacing w:line="480" w:lineRule="auto"/>
        <w:ind w:firstLine="720"/>
      </w:pPr>
      <w:r>
        <w:t xml:space="preserve">What follows from this is a modest disposition. The cliometric treatment of the sensing layer will not, on its own, decide how much should be spent on SSA and SDA, nor what architecture should be procured with the next marginal dollar. Those are normative and strategic questions that the present work leaves to the institutions empowered to decide them. What the cliometric treatment can do is convert claims about the funding of the sensing layer from assertions into estimates, so that the debate over the appropriate scale and shape of the sensing enterprise is conducted on terms whose evidentiary basis is visible to every participant. The literatures that touch this problem have until now produced precise engineering, precise governance analysis, and precise sector-level forecasting, but they have left the budgetary core of the sensing layer in a region of analytic underdevelopment that does not reflect the layer’s importance to the orbital environment it observes. Closing that gap, one estimated elasticity and one identified demand response at a time, is the contribution this dissertation has attempted to begin. The estimates reported here are offered in that spirit and with the understanding that their value lies less in any single coefficient than in the demonstration that the coefficients can be estimated at all, from public documents, by any analyst willing to do the work of provenance. If the dissertation succeeds, it will be because subsequent work treats the sensing layer as a cliometric object as a matter of course, and the question of whether sensor funding responds to the environment the sensors observe is regarded not as a rhetorical flourish but as an empirical question with an estimable answer.</w:t>
      </w:r>
    </w:p>
    <w:bookmarkEnd w:id="138"/>
    <w:bookmarkStart w:id="190" w:name="references"/>
    <w:p>
      <w:pPr>
        <w:pStyle w:val="Heading2"/>
        <w:spacing w:line="480" w:lineRule="auto"/>
      </w:pPr>
      <w:r>
        <w:t xml:space="preserve">References</w:t>
      </w:r>
    </w:p>
    <w:p>
      <w:pPr>
        <w:pStyle w:val="FirstParagraph"/>
        <w:spacing w:line="480" w:lineRule="auto"/>
      </w:pPr>
      <w:bookmarkStart w:id="139" w:name="ref-1"/>
      <w:bookmarkEnd w:id="139"/>
      <w:r>
        <w:t xml:space="preserve">1. A. Cardona, A. Rosati, D. Murray, J. Moran, and H. Ginsburgh,</w:t>
      </w:r>
      <w:r>
        <w:t xml:space="preserve"> </w:t>
      </w:r>
      <w:r>
        <w:t xml:space="preserve">“Space Systems Center Special Programs Advanced Technology Integration Future Space Domain Awareness Hosted Payloads,”</w:t>
      </w:r>
      <w:r>
        <w:t xml:space="preserve"> </w:t>
      </w:r>
      <w:r>
        <w:t xml:space="preserve">Proc. Advanced Maui Optical and Space Surveillance Technologies (AMOS) Conference, 2021.</w:t>
      </w:r>
    </w:p>
    <w:p>
      <w:pPr>
        <w:pStyle w:val="BodyText"/>
        <w:spacing w:line="480" w:lineRule="auto"/>
        <w:ind w:firstLine="720"/>
      </w:pPr>
      <w:bookmarkStart w:id="140" w:name="ref-2"/>
      <w:bookmarkEnd w:id="140"/>
      <w:r>
        <w:t xml:space="preserve">2. M. Schubert, C. Kebschull, J. Gelhaus, and S. Silvestri,</w:t>
      </w:r>
      <w:r>
        <w:t xml:space="preserve"> </w:t>
      </w:r>
      <w:r>
        <w:t xml:space="preserve">“Evaluating sensor tasking strategies for object cataloging in GEO,”</w:t>
      </w:r>
      <w:r>
        <w:t xml:space="preserve"> </w:t>
      </w:r>
      <w:r>
        <w:t xml:space="preserve">Acta Astronautica, vol. 228, 2024. doi:</w:t>
      </w:r>
      <w:r>
        <w:t xml:space="preserve"> </w:t>
      </w:r>
      <w:hyperlink r:id="rId141">
        <w:r>
          <w:rPr>
            <w:rStyle w:val="Hyperlink"/>
          </w:rPr>
          <w:t xml:space="preserve">10.1016/j.actaastro.2024.11.026</w:t>
        </w:r>
      </w:hyperlink>
    </w:p>
    <w:p>
      <w:pPr>
        <w:pStyle w:val="BodyText"/>
        <w:spacing w:line="480" w:lineRule="auto"/>
        <w:ind w:firstLine="720"/>
      </w:pPr>
      <w:bookmarkStart w:id="142" w:name="ref-3"/>
      <w:bookmarkEnd w:id="142"/>
      <w:r>
        <w:t xml:space="preserve">3. H. Cai, Y. Yang, S. Gehly, C. Hé, and M. Jah,</w:t>
      </w:r>
      <w:r>
        <w:t xml:space="preserve"> </w:t>
      </w:r>
      <w:r>
        <w:t xml:space="preserve">“Sensor tasking for search and catalog maintenance of geosynchronous space objects,”</w:t>
      </w:r>
      <w:r>
        <w:t xml:space="preserve"> </w:t>
      </w:r>
      <w:r>
        <w:t xml:space="preserve">Acta Astronautica, vol. 175, 2020. doi:</w:t>
      </w:r>
      <w:r>
        <w:t xml:space="preserve"> </w:t>
      </w:r>
      <w:hyperlink r:id="rId143">
        <w:r>
          <w:rPr>
            <w:rStyle w:val="Hyperlink"/>
          </w:rPr>
          <w:t xml:space="preserve">10.1016/j.actaastro.2020.05.063</w:t>
        </w:r>
      </w:hyperlink>
    </w:p>
    <w:p>
      <w:pPr>
        <w:pStyle w:val="BodyText"/>
        <w:spacing w:line="480" w:lineRule="auto"/>
        <w:ind w:firstLine="720"/>
      </w:pPr>
      <w:bookmarkStart w:id="144" w:name="ref-4"/>
      <w:bookmarkEnd w:id="144"/>
      <w:r>
        <w:t xml:space="preserve">4. S. Kazemi, N. L. Azad, K. Scott, H. B. Oqab, and G. B. Dietrich,</w:t>
      </w:r>
      <w:r>
        <w:t xml:space="preserve"> </w:t>
      </w:r>
      <w:r>
        <w:t xml:space="preserve">“Orbit determination for space situational awareness: A survey,”</w:t>
      </w:r>
      <w:r>
        <w:t xml:space="preserve"> </w:t>
      </w:r>
      <w:r>
        <w:t xml:space="preserve">Acta Astronautica, vol. 222, 2024. doi:</w:t>
      </w:r>
      <w:r>
        <w:t xml:space="preserve"> </w:t>
      </w:r>
      <w:hyperlink r:id="rId145">
        <w:r>
          <w:rPr>
            <w:rStyle w:val="Hyperlink"/>
          </w:rPr>
          <w:t xml:space="preserve">10.1016/j.actaastro.2024.06.015</w:t>
        </w:r>
      </w:hyperlink>
    </w:p>
    <w:p>
      <w:pPr>
        <w:pStyle w:val="BodyText"/>
        <w:spacing w:line="480" w:lineRule="auto"/>
        <w:ind w:firstLine="720"/>
      </w:pPr>
      <w:bookmarkStart w:id="146" w:name="ref-5"/>
      <w:bookmarkEnd w:id="146"/>
      <w:r>
        <w:t xml:space="preserve">5. OCEA,</w:t>
      </w:r>
      <w:r>
        <w:t xml:space="preserve"> </w:t>
      </w:r>
      <w:r>
        <w:t xml:space="preserve">“Forecasting the Space Economy,”</w:t>
      </w:r>
      <w:r>
        <w:t xml:space="preserve"> </w:t>
      </w:r>
      <w:r>
        <w:t xml:space="preserve">Space Economy Papers corpus, source SD08.</w:t>
      </w:r>
    </w:p>
    <w:p>
      <w:pPr>
        <w:pStyle w:val="BodyText"/>
        <w:spacing w:line="480" w:lineRule="auto"/>
        <w:ind w:firstLine="720"/>
      </w:pPr>
      <w:bookmarkStart w:id="147" w:name="ref-6"/>
      <w:bookmarkEnd w:id="147"/>
      <w:r>
        <w:t xml:space="preserve">6. A. Ash, J. Skuljan, R. Scott, W. Martin, V. Wright, and T. Bessell,</w:t>
      </w:r>
      <w:r>
        <w:t xml:space="preserve"> </w:t>
      </w:r>
      <w:r>
        <w:t xml:space="preserve">“A Summary of 5-Eyes Research Collaboration into SSA,”</w:t>
      </w:r>
      <w:r>
        <w:t xml:space="preserve"> </w:t>
      </w:r>
      <w:r>
        <w:t xml:space="preserve">Proc. Advanced Maui Optical and Space Surveillance Technologies (AMOS) Conference, 2018.</w:t>
      </w:r>
    </w:p>
    <w:p>
      <w:pPr>
        <w:pStyle w:val="BodyText"/>
        <w:spacing w:line="480" w:lineRule="auto"/>
        <w:ind w:firstLine="720"/>
      </w:pPr>
      <w:bookmarkStart w:id="148" w:name="ref-7"/>
      <w:bookmarkEnd w:id="148"/>
      <w:r>
        <w:t xml:space="preserve">7.</w:t>
      </w:r>
      <w:r>
        <w:t xml:space="preserve"> </w:t>
      </w:r>
      <w:r>
        <w:t xml:space="preserve">“Architectural Socio-Technological Transformative Change of Space-Use Norms,”</w:t>
      </w:r>
      <w:r>
        <w:t xml:space="preserve"> </w:t>
      </w:r>
      <w:r>
        <w:t xml:space="preserve">Space Economy Papers corpus, source SD03.</w:t>
      </w:r>
    </w:p>
    <w:p>
      <w:pPr>
        <w:pStyle w:val="BodyText"/>
        <w:spacing w:line="480" w:lineRule="auto"/>
        <w:ind w:firstLine="720"/>
      </w:pPr>
      <w:bookmarkStart w:id="149" w:name="ref-8"/>
      <w:bookmarkEnd w:id="149"/>
      <w:r>
        <w:t xml:space="preserve">8.</w:t>
      </w:r>
      <w:r>
        <w:t xml:space="preserve"> </w:t>
      </w:r>
      <w:r>
        <w:t xml:space="preserve">“The Space Imperative (Whole-of-Nation),”</w:t>
      </w:r>
      <w:r>
        <w:t xml:space="preserve"> </w:t>
      </w:r>
      <w:r>
        <w:t xml:space="preserve">Space Economy Papers corpus, source SD14.</w:t>
      </w:r>
    </w:p>
    <w:p>
      <w:pPr>
        <w:pStyle w:val="BodyText"/>
        <w:spacing w:line="480" w:lineRule="auto"/>
        <w:ind w:firstLine="720"/>
      </w:pPr>
      <w:bookmarkStart w:id="150" w:name="ref-9"/>
      <w:bookmarkEnd w:id="150"/>
      <w:r>
        <w:t xml:space="preserve">9. K. Keppler, M. Albert, P. LeVan, E. Spillar, S. Lyke, J. Houchard, I. Marquez, and C. Cogburn,</w:t>
      </w:r>
      <w:r>
        <w:t xml:space="preserve"> </w:t>
      </w:r>
      <w:r>
        <w:t xml:space="preserve">“WENESSA, Wide Eye-Narrow Eye Space Simulation for Situational Awareness – Update of Recent Progress,”</w:t>
      </w:r>
      <w:r>
        <w:t xml:space="preserve"> </w:t>
      </w:r>
      <w:r>
        <w:t xml:space="preserve">Proc. Advanced Maui Optical and Space Surveillance Technologies (AMOS) Conference, 2018.</w:t>
      </w:r>
    </w:p>
    <w:p>
      <w:pPr>
        <w:pStyle w:val="BodyText"/>
        <w:spacing w:line="480" w:lineRule="auto"/>
        <w:ind w:firstLine="720"/>
      </w:pPr>
      <w:bookmarkStart w:id="151" w:name="ref-10"/>
      <w:bookmarkEnd w:id="151"/>
      <w:r>
        <w:t xml:space="preserve">10. P. Stubbe,</w:t>
      </w:r>
      <w:r>
        <w:t xml:space="preserve"> </w:t>
      </w:r>
      <w:r>
        <w:t xml:space="preserve">“A gradual approach towards space traffic management: The contribution of UNISPACE+50,”</w:t>
      </w:r>
      <w:r>
        <w:t xml:space="preserve"> </w:t>
      </w:r>
      <w:r>
        <w:t xml:space="preserve">Acta Astronautica, vol. 152, 2018. doi:</w:t>
      </w:r>
      <w:r>
        <w:t xml:space="preserve"> </w:t>
      </w:r>
      <w:hyperlink r:id="rId152">
        <w:r>
          <w:rPr>
            <w:rStyle w:val="Hyperlink"/>
          </w:rPr>
          <w:t xml:space="preserve">10.1016/j.actaastro.2018.03.051</w:t>
        </w:r>
      </w:hyperlink>
    </w:p>
    <w:p>
      <w:pPr>
        <w:pStyle w:val="BodyText"/>
        <w:spacing w:line="480" w:lineRule="auto"/>
        <w:ind w:firstLine="720"/>
      </w:pPr>
      <w:bookmarkStart w:id="153" w:name="ref-11"/>
      <w:bookmarkEnd w:id="153"/>
      <w:r>
        <w:t xml:space="preserve">11. E. David, A. Saada, A. Nakarada Pecujlic, M. Strah, X.-S. Yap, D. Wood, and J.-P. Kneib,</w:t>
      </w:r>
      <w:r>
        <w:t xml:space="preserve"> </w:t>
      </w:r>
      <w:r>
        <w:t xml:space="preserve">“Fostering multi-stakeholder collaboration for space sustainability through an incentive-based mechanism,”</w:t>
      </w:r>
      <w:r>
        <w:t xml:space="preserve"> </w:t>
      </w:r>
      <w:r>
        <w:t xml:space="preserve">Acta Astronautica, vol. 235, 2025. doi:</w:t>
      </w:r>
      <w:r>
        <w:t xml:space="preserve"> </w:t>
      </w:r>
      <w:hyperlink r:id="rId154">
        <w:r>
          <w:rPr>
            <w:rStyle w:val="Hyperlink"/>
          </w:rPr>
          <w:t xml:space="preserve">10.1016/j.actaastro.2025.06.029</w:t>
        </w:r>
      </w:hyperlink>
    </w:p>
    <w:p>
      <w:pPr>
        <w:pStyle w:val="BodyText"/>
        <w:spacing w:line="480" w:lineRule="auto"/>
        <w:ind w:firstLine="720"/>
      </w:pPr>
      <w:bookmarkStart w:id="155" w:name="ref-12"/>
      <w:bookmarkEnd w:id="155"/>
      <w:r>
        <w:t xml:space="preserve">12. K. Anilkumar, B. Mukherjee, N. Bérend, S. K. Biswas, L. Buinhas, N. Dailey, et al.,</w:t>
      </w:r>
      <w:r>
        <w:t xml:space="preserve"> </w:t>
      </w:r>
      <w:r>
        <w:t xml:space="preserve">“Moon to mars: Challenges and strategic frameworks for space traffic management in cislunar and cismartian environments,”</w:t>
      </w:r>
      <w:r>
        <w:t xml:space="preserve"> </w:t>
      </w:r>
      <w:r>
        <w:t xml:space="preserve">Acta Astronautica, vol. 229, 2025. doi:</w:t>
      </w:r>
      <w:r>
        <w:t xml:space="preserve"> </w:t>
      </w:r>
      <w:hyperlink r:id="rId156">
        <w:r>
          <w:rPr>
            <w:rStyle w:val="Hyperlink"/>
          </w:rPr>
          <w:t xml:space="preserve">10.1016/j.actaastro.2024.12.056</w:t>
        </w:r>
      </w:hyperlink>
    </w:p>
    <w:p>
      <w:pPr>
        <w:pStyle w:val="BodyText"/>
        <w:spacing w:line="480" w:lineRule="auto"/>
        <w:ind w:firstLine="720"/>
      </w:pPr>
      <w:bookmarkStart w:id="157" w:name="ref-13"/>
      <w:bookmarkEnd w:id="157"/>
      <w:r>
        <w:t xml:space="preserve">13. K. Morris, C. Rice, and E. Little,</w:t>
      </w:r>
      <w:r>
        <w:t xml:space="preserve"> </w:t>
      </w:r>
      <w:r>
        <w:t xml:space="preserve">“Relative Cost and Performance Comparison of GEO Space Situational Awareness Architectures,”</w:t>
      </w:r>
      <w:r>
        <w:t xml:space="preserve"> </w:t>
      </w:r>
      <w:r>
        <w:t xml:space="preserve">Proc. Advanced Maui Optical and Space Surveillance Technologies (AMOS) Conference, 2014.</w:t>
      </w:r>
    </w:p>
    <w:p>
      <w:pPr>
        <w:pStyle w:val="BodyText"/>
        <w:spacing w:line="480" w:lineRule="auto"/>
        <w:ind w:firstLine="720"/>
      </w:pPr>
      <w:bookmarkStart w:id="158" w:name="ref-14"/>
      <w:bookmarkEnd w:id="158"/>
      <w:r>
        <w:t xml:space="preserve">14. M. Felten, J. Colombi, R. Cobb, and D. Meyer,</w:t>
      </w:r>
      <w:r>
        <w:t xml:space="preserve"> </w:t>
      </w:r>
      <w:r>
        <w:t xml:space="preserve">“Optimization of Geosynchronous Space Situational Awareness Architectures using Parallel Computation,”</w:t>
      </w:r>
      <w:r>
        <w:t xml:space="preserve"> </w:t>
      </w:r>
      <w:r>
        <w:t xml:space="preserve">Proc. Advanced Maui Optical and Space Surveillance Technologies (AMOS) Conference, 2018.</w:t>
      </w:r>
    </w:p>
    <w:p>
      <w:pPr>
        <w:pStyle w:val="BodyText"/>
        <w:spacing w:line="480" w:lineRule="auto"/>
        <w:ind w:firstLine="720"/>
      </w:pPr>
      <w:bookmarkStart w:id="159" w:name="ref-15"/>
      <w:bookmarkEnd w:id="159"/>
      <w:r>
        <w:t xml:space="preserve">15. R. D. Coder and M. J. Holzinger,</w:t>
      </w:r>
      <w:r>
        <w:t xml:space="preserve"> </w:t>
      </w:r>
      <w:r>
        <w:t xml:space="preserve">“Sizing of a Raven-class Telescope Using Performance Sensitivities,”</w:t>
      </w:r>
      <w:r>
        <w:t xml:space="preserve"> </w:t>
      </w:r>
      <w:r>
        <w:t xml:space="preserve">Proc. Advanced Maui Optical and Space Surveillance Technologies (AMOS) Conference, 2013.</w:t>
      </w:r>
    </w:p>
    <w:p>
      <w:pPr>
        <w:pStyle w:val="BodyText"/>
        <w:spacing w:line="480" w:lineRule="auto"/>
        <w:ind w:firstLine="720"/>
      </w:pPr>
      <w:bookmarkStart w:id="160" w:name="ref-16"/>
      <w:bookmarkEnd w:id="160"/>
      <w:r>
        <w:t xml:space="preserve">16. F. Letizia, S. Lemmens, D. Wood, M. Rathnasabapathy, M. Lifson, R. Stiendl, M. Jah, N. Khlystov, M. Soshkin, and S. Potter,</w:t>
      </w:r>
      <w:r>
        <w:t xml:space="preserve"> </w:t>
      </w:r>
      <w:r>
        <w:t xml:space="preserve">“Contribution from SSA Data to the Definition of a Space Sustainability Rating,”</w:t>
      </w:r>
      <w:r>
        <w:t xml:space="preserve"> </w:t>
      </w:r>
      <w:r>
        <w:t xml:space="preserve">Proc. Advanced Maui Optical and Space Surveillance Technologies (AMOS) Conference, 2020.</w:t>
      </w:r>
    </w:p>
    <w:p>
      <w:pPr>
        <w:pStyle w:val="BodyText"/>
        <w:spacing w:line="480" w:lineRule="auto"/>
        <w:ind w:firstLine="720"/>
      </w:pPr>
      <w:bookmarkStart w:id="161" w:name="ref-17"/>
      <w:bookmarkEnd w:id="161"/>
      <w:r>
        <w:t xml:space="preserve">17. D. Koblick et al.,</w:t>
      </w:r>
      <w:r>
        <w:t xml:space="preserve"> </w:t>
      </w:r>
      <w:r>
        <w:t xml:space="preserve">“Ground Optical Signal Processing Architecture for Contributing SSA Space Based Sensor Data,”</w:t>
      </w:r>
      <w:r>
        <w:t xml:space="preserve"> </w:t>
      </w:r>
      <w:r>
        <w:t xml:space="preserve">Proc. Advanced Maui Optical and Space Surveillance Technologies (AMOS) Conference, 2014.</w:t>
      </w:r>
    </w:p>
    <w:p>
      <w:pPr>
        <w:pStyle w:val="BodyText"/>
        <w:spacing w:line="480" w:lineRule="auto"/>
        <w:ind w:firstLine="720"/>
      </w:pPr>
      <w:bookmarkStart w:id="162" w:name="ref-18"/>
      <w:bookmarkEnd w:id="162"/>
      <w:r>
        <w:t xml:space="preserve">18. T. Dontigney, L. Merkle, R. Cobb, J. Colombi, and G. Lamonth,</w:t>
      </w:r>
      <w:r>
        <w:t xml:space="preserve"> </w:t>
      </w:r>
      <w:r>
        <w:t xml:space="preserve">“Methodology for Comparison of Algorithms for Real-World Multi-Objective Optimization Problems: Space Surveillance Network Design,”</w:t>
      </w:r>
      <w:r>
        <w:t xml:space="preserve"> </w:t>
      </w:r>
      <w:r>
        <w:t xml:space="preserve">Proc. Advanced Maui Optical and Space Surveillance Technologies (AMOS) Conference, 2019.</w:t>
      </w:r>
    </w:p>
    <w:p>
      <w:pPr>
        <w:pStyle w:val="BodyText"/>
        <w:spacing w:line="480" w:lineRule="auto"/>
        <w:ind w:firstLine="720"/>
      </w:pPr>
      <w:bookmarkStart w:id="163" w:name="ref-19"/>
      <w:bookmarkEnd w:id="163"/>
      <w:r>
        <w:t xml:space="preserve">19. S. Dorrington and J. Olsen,</w:t>
      </w:r>
      <w:r>
        <w:t xml:space="preserve"> </w:t>
      </w:r>
      <w:r>
        <w:t xml:space="preserve">“Parametric economic modelling of asteroid mining architectures,”</w:t>
      </w:r>
      <w:r>
        <w:t xml:space="preserve"> </w:t>
      </w:r>
      <w:r>
        <w:t xml:space="preserve">Acta Astronautica, vol. 241, 2025, doi:</w:t>
      </w:r>
      <w:r>
        <w:t xml:space="preserve"> </w:t>
      </w:r>
      <w:hyperlink r:id="rId164">
        <w:r>
          <w:rPr>
            <w:rStyle w:val="Hyperlink"/>
          </w:rPr>
          <w:t xml:space="preserve">10.1016/j.actaastro.2025.11.006</w:t>
        </w:r>
      </w:hyperlink>
    </w:p>
    <w:p>
      <w:pPr>
        <w:pStyle w:val="BodyText"/>
        <w:spacing w:line="480" w:lineRule="auto"/>
        <w:ind w:firstLine="720"/>
      </w:pPr>
      <w:bookmarkStart w:id="165" w:name="ref-20"/>
      <w:bookmarkEnd w:id="165"/>
      <w:r>
        <w:t xml:space="preserve">20.</w:t>
      </w:r>
      <w:r>
        <w:t xml:space="preserve"> </w:t>
      </w:r>
      <w:r>
        <w:t xml:space="preserve">“The Role of Space in Driving Sustainability, Security, and Development,”</w:t>
      </w:r>
      <w:r>
        <w:t xml:space="preserve"> </w:t>
      </w:r>
      <w:r>
        <w:t xml:space="preserve">Space Economy Papers corpus (source SD13), retrieved 2026-06.</w:t>
      </w:r>
    </w:p>
    <w:p>
      <w:pPr>
        <w:pStyle w:val="BodyText"/>
        <w:spacing w:line="480" w:lineRule="auto"/>
        <w:ind w:firstLine="720"/>
      </w:pPr>
      <w:bookmarkStart w:id="166" w:name="ref-21"/>
      <w:bookmarkEnd w:id="166"/>
      <w:r>
        <w:t xml:space="preserve">21. Kaitlyn Johnson, Center for Strategic and International Studies; Seamus P. Daniels, Center for Strategic and International Studies. Buying Space: Trends in U.S. SDA Acquisition (2022).</w:t>
      </w:r>
    </w:p>
    <w:p>
      <w:pPr>
        <w:pStyle w:val="BodyText"/>
        <w:spacing w:line="480" w:lineRule="auto"/>
        <w:ind w:firstLine="720"/>
      </w:pPr>
      <w:bookmarkStart w:id="167" w:name="ref-22"/>
      <w:bookmarkEnd w:id="167"/>
      <w:r>
        <w:t xml:space="preserve">22. Lauren Hale, The Aerospace Corporation; Justin C. Last, The Aerospace Corporation; Jordan Denamur-Paul, The Aerospace Corporation; Richard Barber, The Aerospace Corporation. Partnering not Bossing: Better Leveraging of International Capabilities for Space Domain Awareness (2022).</w:t>
      </w:r>
    </w:p>
    <w:p>
      <w:pPr>
        <w:pStyle w:val="BodyText"/>
        <w:spacing w:line="480" w:lineRule="auto"/>
        <w:ind w:firstLine="720"/>
      </w:pPr>
      <w:bookmarkStart w:id="168" w:name="ref-23"/>
      <w:bookmarkEnd w:id="168"/>
      <w:r>
        <w:t xml:space="preserve">23. Cassien Jobic, CNES; Emmanuel Delande, CNES; Johannes Gelhaus, DLR; Cornelius Vogt, German Space Agency at DLR; Alessandra Di Cecco, ASI; Valentin Baral, CNES; Cristina Pérez Hernández, CDTI; Daniel Stelmecke, DLR; Matthieu Thierry, CNES. Presentation of the European Union Space Surveillance and Tracking (EU-SST) R&amp;D Plan (2023). doi:</w:t>
      </w:r>
      <w:r>
        <w:t xml:space="preserve"> </w:t>
      </w:r>
      <w:hyperlink r:id="rId169">
        <w:r>
          <w:rPr>
            <w:rStyle w:val="Hyperlink"/>
          </w:rPr>
          <w:t xml:space="preserve">10.64861/DZFF7826</w:t>
        </w:r>
      </w:hyperlink>
    </w:p>
    <w:p>
      <w:pPr>
        <w:pStyle w:val="BodyText"/>
        <w:spacing w:line="480" w:lineRule="auto"/>
        <w:ind w:firstLine="720"/>
      </w:pPr>
      <w:bookmarkStart w:id="170" w:name="ref-24"/>
      <w:bookmarkEnd w:id="170"/>
      <w:r>
        <w:t xml:space="preserve">24. Todd Harrison, Center for Strategic and International Studies. International Perspectives on Space Weapons (2020).</w:t>
      </w:r>
    </w:p>
    <w:p>
      <w:pPr>
        <w:pStyle w:val="BodyText"/>
        <w:spacing w:line="480" w:lineRule="auto"/>
        <w:ind w:firstLine="720"/>
      </w:pPr>
      <w:bookmarkStart w:id="171" w:name="ref-25"/>
      <w:bookmarkEnd w:id="171"/>
      <w:r>
        <w:t xml:space="preserve">25. David Robie, General Atomics Electromagnetic Systems; Aaron Freeman, General Atomics Electromagnetics; Robert Peterkin, General Atomics. MicroSat Laser Communication Terminals and IR Imaging Payloads for Space-Based Applications (2020).</w:t>
      </w:r>
    </w:p>
    <w:p>
      <w:pPr>
        <w:pStyle w:val="BodyText"/>
        <w:spacing w:line="480" w:lineRule="auto"/>
        <w:ind w:firstLine="720"/>
      </w:pPr>
      <w:bookmarkStart w:id="172" w:name="ref-26"/>
      <w:bookmarkEnd w:id="172"/>
      <w:r>
        <w:t xml:space="preserve">26. Greg Furlich, University of Colorado Boulder; Angie Crews, University of Colorado Boulder; Steve Rossland, University of Colorado Boulder; John Marino, University of Colorado Boulder; Anthony Mayo, Millennial Software; Douglas Kim, SpaceMap; Peter Ryu, SpaceMap; Chris Tschan, Data Fusion &amp; Neural Networks; Max Brown, Data Fusion &amp; Neural Networks; Ethan Crawford, Data Fusion &amp; Neural Networks; Matthew Leonard, Aloha Autonomy; Rithwik Neelakantan, Digantara; Sheena L. Winder, Kall Morris Inc.; Jack McGuigan, Observable Space; Jesse Williams, GTC Analytics; Brian Goodwin, RAIC Labs; Jubilee Prasad Rao, R4C Tech; Jimson Huang, Purdue University; Sean Ruda, Purdue University; Jack Al-Kahwati, Stardrive Inc.; Yasir Latif, Space Protocol; Samya Bagchi, Space Protocol; Latha Madhuri Pratti, Space Protocol; Cindy Chin, Planetary Systems AI; Mack Reed, Planetary Systems AI; Samantha Louque, Virginia Tech Applied Research Center; Melissa Hills, Virginia Tech Applied Research Center; Dan Pribulick, ICR; Major Travis Pond, SDA Tools, Applications, Processing Lab, SSC, USSF; Scott Brodeur, SDA Tools, Applications, Processing Lab, SSC, USSF; David Kurtenbach, SDA Tools, Applications, Processing Lab, SSC, USSF; Roger Altobelli, SDA Tools, Applications, Processing Lab, SSC, USSF. Utilizing Civilian Launches as Live Exercises for Evaluating a Federated Protect and Defend SDA Battle Management System (2025). doi:</w:t>
      </w:r>
      <w:r>
        <w:t xml:space="preserve"> </w:t>
      </w:r>
      <w:hyperlink r:id="rId173">
        <w:r>
          <w:rPr>
            <w:rStyle w:val="Hyperlink"/>
          </w:rPr>
          <w:t xml:space="preserve">10.64861/PFBR4795</w:t>
        </w:r>
      </w:hyperlink>
    </w:p>
    <w:p>
      <w:pPr>
        <w:pStyle w:val="BodyText"/>
        <w:spacing w:line="480" w:lineRule="auto"/>
        <w:ind w:firstLine="720"/>
      </w:pPr>
      <w:bookmarkStart w:id="174" w:name="ref-27"/>
      <w:bookmarkEnd w:id="174"/>
      <w:r>
        <w:t xml:space="preserve">27. Richard Stottler, Stottler Henke Associates, Inc.. A Spoken Language Interface for SSA/SDA based on Modern Speech Processing Technology (2021).</w:t>
      </w:r>
    </w:p>
    <w:p>
      <w:pPr>
        <w:pStyle w:val="BodyText"/>
        <w:spacing w:line="480" w:lineRule="auto"/>
        <w:ind w:firstLine="720"/>
      </w:pPr>
      <w:bookmarkStart w:id="175" w:name="ref-28"/>
      <w:bookmarkEnd w:id="175"/>
      <w:r>
        <w:t xml:space="preserve">28. Simon George, Defence Science and Technology Laboratory; Andrew Ash, Defence Science and Technology Laboratory; Travis Bessell, Defence Science and Technology Group; James Frith, AFRL/RVSW; Lauchie Scott, Defence R&amp;D Canada; Jovan Skuljan, Defence Technology Agency; Roberto Furfaro, University of Arizona; Vishnu Reddy, University of Arizona. PHANTOM ECHOES: A Five-Eyes SDA Experiment to Examine GEO Rendezvous and Proximity (2020).</w:t>
      </w:r>
    </w:p>
    <w:p>
      <w:pPr>
        <w:pStyle w:val="BodyText"/>
        <w:spacing w:line="480" w:lineRule="auto"/>
        <w:ind w:firstLine="720"/>
      </w:pPr>
      <w:bookmarkStart w:id="176" w:name="ref-29"/>
      <w:bookmarkEnd w:id="176"/>
      <w:r>
        <w:t xml:space="preserve">29. Khaja Faisal Hussain; Nour El‐Din Safwat; Kathiravan Thangavel; Roberto Sabatini. Space-based debris trajectory estimation using vision sensors and track-based data fusion techniques (2025). doi:</w:t>
      </w:r>
      <w:r>
        <w:t xml:space="preserve"> </w:t>
      </w:r>
      <w:hyperlink r:id="rId177">
        <w:r>
          <w:rPr>
            <w:rStyle w:val="Hyperlink"/>
          </w:rPr>
          <w:t xml:space="preserve">10.1016/j.actaastro.2025.01.038</w:t>
        </w:r>
      </w:hyperlink>
    </w:p>
    <w:p>
      <w:pPr>
        <w:pStyle w:val="BodyText"/>
        <w:spacing w:line="480" w:lineRule="auto"/>
        <w:ind w:firstLine="720"/>
      </w:pPr>
      <w:bookmarkStart w:id="178" w:name="ref-30"/>
      <w:bookmarkEnd w:id="178"/>
      <w:r>
        <w:t xml:space="preserve">30. M. Schubert; Christopher Kebschull; Johannes Gelhaus; Simona Silvestri. Evaluating sensor tasking strategies for object cataloging in GEO (2024). doi:</w:t>
      </w:r>
      <w:r>
        <w:t xml:space="preserve"> </w:t>
      </w:r>
      <w:hyperlink r:id="rId141">
        <w:r>
          <w:rPr>
            <w:rStyle w:val="Hyperlink"/>
          </w:rPr>
          <w:t xml:space="preserve">10.1016/j.actaastro.2024.11.026</w:t>
        </w:r>
      </w:hyperlink>
    </w:p>
    <w:p>
      <w:pPr>
        <w:pStyle w:val="BodyText"/>
        <w:spacing w:line="480" w:lineRule="auto"/>
        <w:ind w:firstLine="720"/>
      </w:pPr>
      <w:bookmarkStart w:id="179" w:name="ref-31"/>
      <w:bookmarkEnd w:id="179"/>
      <w:r>
        <w:t xml:space="preserve">31. Antonio D’Anniballe; Leonard Felicetti; Stephen Hobbs. Preliminary analysis and design of an optical space surveillance and tracking constellation for LEO coverage (2025). doi:</w:t>
      </w:r>
      <w:r>
        <w:t xml:space="preserve"> </w:t>
      </w:r>
      <w:hyperlink r:id="rId180">
        <w:r>
          <w:rPr>
            <w:rStyle w:val="Hyperlink"/>
          </w:rPr>
          <w:t xml:space="preserve">10.1016/j.actaastro.2025.02.019</w:t>
        </w:r>
      </w:hyperlink>
    </w:p>
    <w:p>
      <w:pPr>
        <w:pStyle w:val="BodyText"/>
        <w:spacing w:line="480" w:lineRule="auto"/>
        <w:ind w:firstLine="720"/>
      </w:pPr>
      <w:bookmarkStart w:id="181" w:name="ref-32"/>
      <w:bookmarkEnd w:id="181"/>
      <w:r>
        <w:t xml:space="preserve">32. Jacqueline H. Smith; Moriba Jah; Danielle Wood. Architecting a decision support system for continuing supervision of commercial in-space servicing (2025). doi:</w:t>
      </w:r>
      <w:r>
        <w:t xml:space="preserve"> </w:t>
      </w:r>
      <w:hyperlink r:id="rId182">
        <w:r>
          <w:rPr>
            <w:rStyle w:val="Hyperlink"/>
          </w:rPr>
          <w:t xml:space="preserve">10.1016/j.actaastro.2025.05.036</w:t>
        </w:r>
      </w:hyperlink>
    </w:p>
    <w:p>
      <w:pPr>
        <w:pStyle w:val="BodyText"/>
        <w:spacing w:line="480" w:lineRule="auto"/>
        <w:ind w:firstLine="720"/>
      </w:pPr>
      <w:bookmarkStart w:id="183" w:name="ref-33"/>
      <w:bookmarkEnd w:id="183"/>
      <w:r>
        <w:t xml:space="preserve">33. Minoo Rathnasabapathy; Francesca Letizia; Stijn Lemmens; Moriba Jah; Simon J. Potter; Nikolai Khlystov; Kristi Acuff; Miles Lifson; Scott Dorrington; Sina Es haghi; Emmanuelle David; Jean‐Paul Kneib; Danielle Wood. Space sustainability rating: Designing a composite indicator to incentivize satellite operators to pursue long-term sustainability of the space environment (2025). doi:</w:t>
      </w:r>
      <w:r>
        <w:t xml:space="preserve"> </w:t>
      </w:r>
      <w:hyperlink r:id="rId184">
        <w:r>
          <w:rPr>
            <w:rStyle w:val="Hyperlink"/>
          </w:rPr>
          <w:t xml:space="preserve">10.1016/j.actaastro.2025.03.034</w:t>
        </w:r>
      </w:hyperlink>
    </w:p>
    <w:p>
      <w:pPr>
        <w:pStyle w:val="BodyText"/>
        <w:spacing w:line="480" w:lineRule="auto"/>
        <w:ind w:firstLine="720"/>
      </w:pPr>
      <w:bookmarkStart w:id="185" w:name="ref-34"/>
      <w:bookmarkEnd w:id="185"/>
      <w:r>
        <w:t xml:space="preserve">34. Sebastian Grau; Anton Johann Große Siestrup; Vincent Schulz; Victoria Koßack; Johanna Erna Charlotte Teuchert; Andreas Hornig; Enrico Stoll. Mission operations for precise in-orbit collision prediction and space environment surveillance system (2025). doi:</w:t>
      </w:r>
      <w:r>
        <w:t xml:space="preserve"> </w:t>
      </w:r>
      <w:hyperlink r:id="rId186">
        <w:r>
          <w:rPr>
            <w:rStyle w:val="Hyperlink"/>
          </w:rPr>
          <w:t xml:space="preserve">10.1016/j.actaastro.2025.05.049</w:t>
        </w:r>
      </w:hyperlink>
    </w:p>
    <w:p>
      <w:pPr>
        <w:pStyle w:val="BodyText"/>
        <w:spacing w:line="480" w:lineRule="auto"/>
        <w:ind w:firstLine="720"/>
      </w:pPr>
      <w:bookmarkStart w:id="187" w:name="ref-35"/>
      <w:bookmarkEnd w:id="187"/>
      <w:r>
        <w:t xml:space="preserve">35. Marlon E. Sorge; Toby Harris; Camilla Colombo; Matthew D. Hejduk; Norman Fitz-Coy; Ryan Sheppard; Emma Kerr; Upsana Dasgupta; Nicolas Bérend; Diego A. Escobar; Martin C. Michel; Cristina Perez. Space traffic management: Improvements to spacecraft collision avoidance (COLA) (2025). doi:</w:t>
      </w:r>
      <w:r>
        <w:t xml:space="preserve"> </w:t>
      </w:r>
      <w:hyperlink r:id="rId188">
        <w:r>
          <w:rPr>
            <w:rStyle w:val="Hyperlink"/>
          </w:rPr>
          <w:t xml:space="preserve">10.1016/j.actaastro.2025.01.042</w:t>
        </w:r>
      </w:hyperlink>
    </w:p>
    <w:p>
      <w:pPr>
        <w:pStyle w:val="BodyText"/>
        <w:spacing w:line="480" w:lineRule="auto"/>
        <w:ind w:firstLine="720"/>
      </w:pPr>
      <w:bookmarkStart w:id="189" w:name="ref-36"/>
      <w:bookmarkEnd w:id="189"/>
      <w:r>
        <w:t xml:space="preserve">36. K. Anilkumar; Bulbul Mukherjee; Nicolas Bérend; Sanat K. Biswas; Luisa Buinhas; Nathaniel Dailey; B. H. Foing; Natalia Franco Rodriguez; Gabrielle Hedrick; Fatoumata Kebe; Yide Li; Aadu Ott; Alejandro Pastor; Zaid Rana; Javier Rodríguez; Marlon E. Sorge; Christian J. Unfried; Igone Urdampilleta. Moon to mars: Challenges and strategic frameworks for space traffic management in cislunar and cismartian environments (2025). doi:</w:t>
      </w:r>
      <w:r>
        <w:t xml:space="preserve"> </w:t>
      </w:r>
      <w:hyperlink r:id="rId156">
        <w:r>
          <w:rPr>
            <w:rStyle w:val="Hyperlink"/>
          </w:rPr>
          <w:t xml:space="preserve">10.1016/j.actaastro.2024.12.056</w:t>
        </w:r>
      </w:hyperlink>
    </w:p>
    <w:bookmarkEnd w:id="190"/>
    <w:bookmarkEnd w:id="191"/>
    <w:bookmarkStart w:id="208"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9" w:name="X327382db840ffe9dc3eaac104104da990fe35d8"/>
    <w:p>
      <w:pPr>
        <w:pStyle w:val="Heading2"/>
        <w:spacing w:line="480" w:lineRule="auto"/>
      </w:pPr>
      <w:r>
        <w:t xml:space="preserve">A.1 Funding the Sensors: A Log-Linear Cost Estimating Relationship for NASA and Allied Earth-Observation, Astrophysics, and Heliophysics Sensing Missions</w:t>
      </w:r>
    </w:p>
    <w:p>
      <w:pPr>
        <w:pStyle w:val="FirstParagraph"/>
        <w:spacing w:line="480" w:lineRule="auto"/>
      </w:pPr>
      <m:oMathPara>
        <m:oMathParaPr>
          <m:jc m:val="center"/>
        </m:oMathParaPr>
        <m:oMath>
          <m:r>
            <m:rPr>
              <m:sty m:val="p"/>
            </m:rPr>
            <m:t>ln</m:t>
          </m:r>
          <m:r>
            <m:rPr>
              <m:sty m:val="p"/>
            </m:rPr>
            <m:t>(</m:t>
          </m:r>
          <m:sSub>
            <m:e>
              <m:r>
                <m:rPr>
                  <m:nor/>
                  <m:sty m:val="p"/>
                </m:rPr>
                <m:t>cost</m:t>
              </m:r>
            </m:e>
            <m:sub>
              <m:r>
                <m:t>i</m:t>
              </m:r>
            </m:sub>
          </m:sSub>
          <m:r>
            <m:rPr>
              <m:sty m:val="p"/>
            </m:rPr>
            <m:t>)</m:t>
          </m:r>
          <m:r>
            <m:rPr>
              <m:sty m:val="p"/>
            </m:rPr>
            <m:t>=</m:t>
          </m:r>
          <m:sSub>
            <m:e>
              <m:r>
                <m:t>β</m:t>
              </m:r>
            </m:e>
            <m:sub>
              <m:r>
                <m:t>0</m:t>
              </m:r>
            </m:sub>
          </m:sSub>
          <m:r>
            <m:rPr>
              <m:sty m:val="p"/>
            </m:rPr>
            <m:t>+</m:t>
          </m:r>
          <m:sSub>
            <m:e>
              <m:r>
                <m:t>β</m:t>
              </m:r>
            </m:e>
            <m:sub>
              <m:r>
                <m:t>1</m:t>
              </m:r>
            </m:sub>
          </m:sSub>
          <m:r>
            <m:rPr>
              <m:sty m:val="p"/>
            </m:rPr>
            <m:t>ln</m:t>
          </m:r>
          <m:r>
            <m:rPr>
              <m:sty m:val="p"/>
            </m:rPr>
            <m:t>(</m:t>
          </m:r>
          <m:sSub>
            <m:e>
              <m:r>
                <m:rPr>
                  <m:nor/>
                  <m:sty m:val="p"/>
                </m:rPr>
                <m:t>mass</m:t>
              </m:r>
            </m:e>
            <m:sub>
              <m:r>
                <m:t>i</m:t>
              </m:r>
            </m:sub>
          </m:sSub>
          <m:r>
            <m:rPr>
              <m:sty m:val="p"/>
            </m:rPr>
            <m:t>)</m:t>
          </m:r>
          <m:r>
            <m:rPr>
              <m:sty m:val="p"/>
            </m:rPr>
            <m:t>+</m:t>
          </m:r>
          <m:sSub>
            <m:e>
              <m:r>
                <m:t>β</m:t>
              </m:r>
            </m:e>
            <m:sub>
              <m:r>
                <m:t>2</m:t>
              </m:r>
            </m:sub>
          </m:sSub>
          <m:sSub>
            <m:e>
              <m:r>
                <m:rPr>
                  <m:nor/>
                  <m:sty m:val="p"/>
                </m:rPr>
                <m:t>intl_partner</m:t>
              </m:r>
            </m:e>
            <m:sub>
              <m:r>
                <m:t>i</m:t>
              </m:r>
            </m:sub>
          </m:sSub>
          <m:r>
            <m:rPr>
              <m:sty m:val="p"/>
            </m:rPr>
            <m:t>+</m:t>
          </m:r>
          <m:sSub>
            <m:e>
              <m:r>
                <m:t>β</m:t>
              </m:r>
            </m:e>
            <m:sub>
              <m:r>
                <m:t>3</m:t>
              </m:r>
            </m:sub>
          </m:sSub>
          <m:sSub>
            <m:e>
              <m:r>
                <m:rPr>
                  <m:nor/>
                  <m:sty m:val="p"/>
                </m:rPr>
                <m:t>launch_year</m:t>
              </m:r>
            </m:e>
            <m:sub>
              <m:r>
                <m:t>i</m:t>
              </m:r>
            </m:sub>
          </m:sSub>
          <m:r>
            <m:rPr>
              <m:sty m:val="p"/>
            </m:rPr>
            <m:t>+</m:t>
          </m:r>
          <m:sSub>
            <m:e>
              <m:r>
                <m:t>ε</m:t>
              </m:r>
            </m:e>
            <m:sub>
              <m:r>
                <m:t>i</m:t>
              </m:r>
            </m:sub>
          </m:sSub>
        </m:oMath>
      </m:oMathPara>
    </w:p>
    <w:bookmarkStart w:id="192"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-23.5906</w:t>
            </w:r>
          </w:p>
        </w:tc>
        <w:tc>
          <w:tcPr>
            <w:tcW w:w="0" w:type="auto"/>
          </w:tcPr>
          <w:p>
            <w:pPr>
              <w:spacing w:line="240" w:lineRule="auto" w:before="0" w:after="0"/>
              <w:pStyle w:val="Compact"/>
            </w:pPr>
            <w:r>
              <w:rPr>
                <w:sz w:val="20"/>
                <w:szCs w:val="20"/>
              </w:rPr>
              <w:t xml:space="preserve">22.4184</w:t>
            </w:r>
          </w:p>
        </w:tc>
        <w:tc>
          <w:tcPr>
            <w:tcW w:w="0" w:type="auto"/>
          </w:tcPr>
          <w:p>
            <w:pPr>
              <w:spacing w:line="240" w:lineRule="auto" w:before="0" w:after="0"/>
              <w:pStyle w:val="Compact"/>
            </w:pPr>
            <w:r>
              <w:rPr>
                <w:sz w:val="20"/>
                <w:szCs w:val="20"/>
              </w:rPr>
              <w:t xml:space="preserve">-1.0523</w:t>
            </w:r>
          </w:p>
        </w:tc>
        <w:tc>
          <w:tcPr>
            <w:tcW w:w="0" w:type="auto"/>
          </w:tcPr>
          <w:p>
            <w:pPr>
              <w:spacing w:line="240" w:lineRule="auto" w:before="0" w:after="0"/>
              <w:pStyle w:val="Compact"/>
            </w:pPr>
            <w:r>
              <w:rPr>
                <w:sz w:val="20"/>
                <w:szCs w:val="20"/>
              </w:rPr>
              <w:t xml:space="preserve">0.2927</w:t>
            </w:r>
          </w:p>
        </w:tc>
        <w:tc>
          <w:tcPr>
            <w:tcW w:w="0" w:type="auto"/>
          </w:tcPr>
          <w:p>
            <w:pPr>
              <w:spacing w:line="240" w:lineRule="auto" w:before="0" w:after="0"/>
              <w:pStyle w:val="Compact"/>
            </w:pPr>
            <w:r>
              <w:rPr>
                <w:sz w:val="20"/>
                <w:szCs w:val="20"/>
              </w:rPr>
              <w:t xml:space="preserve">[-67.5299, 20.3488]</w:t>
            </w:r>
          </w:p>
        </w:tc>
      </w:tr>
      <w:tr>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0.8474</w:t>
            </w:r>
          </w:p>
        </w:tc>
        <w:tc>
          <w:tcPr>
            <w:tcW w:w="0" w:type="auto"/>
          </w:tcPr>
          <w:p>
            <w:pPr>
              <w:spacing w:line="240" w:lineRule="auto" w:before="0" w:after="0"/>
              <w:pStyle w:val="Compact"/>
            </w:pPr>
            <w:r>
              <w:rPr>
                <w:sz w:val="20"/>
                <w:szCs w:val="20"/>
              </w:rPr>
              <w:t xml:space="preserve">0.1011</w:t>
            </w:r>
          </w:p>
        </w:tc>
        <w:tc>
          <w:tcPr>
            <w:tcW w:w="0" w:type="auto"/>
          </w:tcPr>
          <w:p>
            <w:pPr>
              <w:spacing w:line="240" w:lineRule="auto" w:before="0" w:after="0"/>
              <w:pStyle w:val="Compact"/>
            </w:pPr>
            <w:r>
              <w:rPr>
                <w:sz w:val="20"/>
                <w:szCs w:val="20"/>
              </w:rPr>
              <w:t xml:space="preserve">8.3817</w:t>
            </w:r>
          </w:p>
        </w:tc>
        <w:tc>
          <w:tcPr>
            <w:tcW w:w="0" w:type="auto"/>
          </w:tcPr>
          <w:p>
            <w:pPr>
              <w:spacing w:line="240" w:lineRule="auto" w:before="0" w:after="0"/>
              <w:pStyle w:val="Compact"/>
            </w:pPr>
            <w:r>
              <w:rPr>
                <w:sz w:val="20"/>
                <w:szCs w:val="20"/>
              </w:rPr>
              <w:t xml:space="preserve">5.216e-17</w:t>
            </w:r>
          </w:p>
        </w:tc>
        <w:tc>
          <w:tcPr>
            <w:tcW w:w="0" w:type="auto"/>
          </w:tcPr>
          <w:p>
            <w:pPr>
              <w:spacing w:line="240" w:lineRule="auto" w:before="0" w:after="0"/>
              <w:pStyle w:val="Compact"/>
            </w:pPr>
            <w:r>
              <w:rPr>
                <w:sz w:val="20"/>
                <w:szCs w:val="20"/>
              </w:rPr>
              <w:t xml:space="preserve">[0.6493, 1.0456]</w:t>
            </w:r>
          </w:p>
        </w:tc>
      </w:tr>
      <w:tr>
        <w:tc>
          <w:tcPr>
            <w:tcW w:w="0" w:type="auto"/>
          </w:tcPr>
          <w:p>
            <w:pPr>
              <w:spacing w:line="240" w:lineRule="auto" w:before="0" w:after="0"/>
              <w:pStyle w:val="Compact"/>
            </w:pPr>
            <w:r>
              <w:rPr>
                <w:sz w:val="20"/>
                <w:szCs w:val="20"/>
              </w:rPr>
              <w:t xml:space="preserve">intl_partner</w:t>
            </w:r>
          </w:p>
        </w:tc>
        <w:tc>
          <w:tcPr>
            <w:tcW w:w="0" w:type="auto"/>
          </w:tcPr>
          <w:p>
            <w:pPr>
              <w:spacing w:line="240" w:lineRule="auto" w:before="0" w:after="0"/>
              <w:pStyle w:val="Compact"/>
            </w:pPr>
            <w:r>
              <w:rPr>
                <w:sz w:val="20"/>
                <w:szCs w:val="20"/>
              </w:rPr>
              <w:t xml:space="preserve">-0.3823</w:t>
            </w:r>
          </w:p>
        </w:tc>
        <w:tc>
          <w:tcPr>
            <w:tcW w:w="0" w:type="auto"/>
          </w:tcPr>
          <w:p>
            <w:pPr>
              <w:spacing w:line="240" w:lineRule="auto" w:before="0" w:after="0"/>
              <w:pStyle w:val="Compact"/>
            </w:pPr>
            <w:r>
              <w:rPr>
                <w:sz w:val="20"/>
                <w:szCs w:val="20"/>
              </w:rPr>
              <w:t xml:space="preserve">0.1842</w:t>
            </w:r>
          </w:p>
        </w:tc>
        <w:tc>
          <w:tcPr>
            <w:tcW w:w="0" w:type="auto"/>
          </w:tcPr>
          <w:p>
            <w:pPr>
              <w:spacing w:line="240" w:lineRule="auto" w:before="0" w:after="0"/>
              <w:pStyle w:val="Compact"/>
            </w:pPr>
            <w:r>
              <w:rPr>
                <w:sz w:val="20"/>
                <w:szCs w:val="20"/>
              </w:rPr>
              <w:t xml:space="preserve">-2.0753</w:t>
            </w:r>
          </w:p>
        </w:tc>
        <w:tc>
          <w:tcPr>
            <w:tcW w:w="0" w:type="auto"/>
          </w:tcPr>
          <w:p>
            <w:pPr>
              <w:spacing w:line="240" w:lineRule="auto" w:before="0" w:after="0"/>
              <w:pStyle w:val="Compact"/>
            </w:pPr>
            <w:r>
              <w:rPr>
                <w:sz w:val="20"/>
                <w:szCs w:val="20"/>
              </w:rPr>
              <w:t xml:space="preserve">0.038</w:t>
            </w:r>
          </w:p>
        </w:tc>
        <w:tc>
          <w:tcPr>
            <w:tcW w:w="0" w:type="auto"/>
          </w:tcPr>
          <w:p>
            <w:pPr>
              <w:spacing w:line="240" w:lineRule="auto" w:before="0" w:after="0"/>
              <w:pStyle w:val="Compact"/>
            </w:pPr>
            <w:r>
              <w:rPr>
                <w:sz w:val="20"/>
                <w:szCs w:val="20"/>
              </w:rPr>
              <w:t xml:space="preserve">[-0.7433, -0.0212]</w:t>
            </w:r>
          </w:p>
        </w:tc>
      </w:tr>
      <w:tr>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0.012</w:t>
            </w:r>
          </w:p>
        </w:tc>
        <w:tc>
          <w:tcPr>
            <w:tcW w:w="0" w:type="auto"/>
          </w:tcPr>
          <w:p>
            <w:pPr>
              <w:spacing w:line="240" w:lineRule="auto" w:before="0" w:after="0"/>
              <w:pStyle w:val="Compact"/>
            </w:pPr>
            <w:r>
              <w:rPr>
                <w:sz w:val="20"/>
                <w:szCs w:val="20"/>
              </w:rPr>
              <w:t xml:space="preserve">0.0111</w:t>
            </w:r>
          </w:p>
        </w:tc>
        <w:tc>
          <w:tcPr>
            <w:tcW w:w="0" w:type="auto"/>
          </w:tcPr>
          <w:p>
            <w:pPr>
              <w:spacing w:line="240" w:lineRule="auto" w:before="0" w:after="0"/>
              <w:pStyle w:val="Compact"/>
            </w:pPr>
            <w:r>
              <w:rPr>
                <w:sz w:val="20"/>
                <w:szCs w:val="20"/>
              </w:rPr>
              <w:t xml:space="preserve">1.0797</w:t>
            </w:r>
          </w:p>
        </w:tc>
        <w:tc>
          <w:tcPr>
            <w:tcW w:w="0" w:type="auto"/>
          </w:tcPr>
          <w:p>
            <w:pPr>
              <w:spacing w:line="240" w:lineRule="auto" w:before="0" w:after="0"/>
              <w:pStyle w:val="Compact"/>
            </w:pPr>
            <w:r>
              <w:rPr>
                <w:sz w:val="20"/>
                <w:szCs w:val="20"/>
              </w:rPr>
              <w:t xml:space="preserve">0.2803</w:t>
            </w:r>
          </w:p>
        </w:tc>
        <w:tc>
          <w:tcPr>
            <w:tcW w:w="0" w:type="auto"/>
          </w:tcPr>
          <w:p>
            <w:pPr>
              <w:spacing w:line="240" w:lineRule="auto" w:before="0" w:after="0"/>
              <w:pStyle w:val="Compact"/>
            </w:pPr>
            <w:r>
              <w:rPr>
                <w:sz w:val="20"/>
                <w:szCs w:val="20"/>
              </w:rPr>
              <w:t xml:space="preserve">[-0.0097, 0.0337]</w:t>
            </w:r>
          </w:p>
        </w:tc>
      </w:tr>
    </w:tbl>
    <w:p>
      <w:pPr>
        <w:pStyle w:val="BodyText"/>
        <w:spacing w:line="480" w:lineRule="auto"/>
        <w:ind w:firstLine="720"/>
      </w:pPr>
      <w:r>
        <w:t xml:space="preserve">Fit: N = 29 R2 = 0.6933 R2_adj = 0.6565 F = 25.3682 F_p = 9.37e-08</w:t>
      </w:r>
    </w:p>
    <w:bookmarkEnd w:id="192"/>
    <w:bookmarkStart w:id="196"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Log mission lifecycle cost against log spacecraft launch mass across 30 NASA and allied Earth-observation, astrophysics, and heliophysics sensing missions, with the fitted cost estimating relationship." title="" id="194" name="Picture"/>
            <a:graphic>
              <a:graphicData uri="http://schemas.openxmlformats.org/drawingml/2006/picture">
                <pic:pic>
                  <pic:nvPicPr>
                    <pic:cNvPr descr="D:/Claude_Code/brain/collegium/candidates/dissertations/SSA_SDA_12/research_papers/p1/paper_fig1.png" id="195" name="Picture"/>
                    <pic:cNvPicPr>
                      <a:picLocks noChangeArrowheads="1" noChangeAspect="1"/>
                    </pic:cNvPicPr>
                  </pic:nvPicPr>
                  <pic:blipFill>
                    <a:blip r:embed="rId19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Log mission lifecycle cost against log spacecraft launch mass across 30 NASA and allied Earth-observation, astrophysics, and heliophysics sensing missions, with the fitted cost estimating relationship.</w:t>
      </w:r>
    </w:p>
    <w:bookmarkEnd w:id="196"/>
    <w:bookmarkStart w:id="197"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agency</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cost_musd</w:t>
            </w:r>
          </w:p>
        </w:tc>
        <w:tc>
          <w:tcPr>
            <w:tcW w:w="0" w:type="auto"/>
          </w:tcPr>
          <w:p>
            <w:pPr>
              <w:spacing w:line="240" w:lineRule="auto" w:before="0" w:after="0"/>
              <w:pStyle w:val="Compact"/>
            </w:pPr>
            <w:r>
              <w:rPr>
                <w:sz w:val="20"/>
                <w:szCs w:val="20"/>
              </w:rPr>
              <w:t xml:space="preserve">dry_mass_kg</w:t>
            </w:r>
          </w:p>
        </w:tc>
        <w:tc>
          <w:tcPr>
            <w:tcW w:w="0" w:type="auto"/>
          </w:tcPr>
          <w:p>
            <w:pPr>
              <w:spacing w:line="240" w:lineRule="auto" w:before="0" w:after="0"/>
              <w:pStyle w:val="Compact"/>
            </w:pPr>
            <w:r>
              <w:rPr>
                <w:sz w:val="20"/>
                <w:szCs w:val="20"/>
              </w:rPr>
              <w:t xml:space="preserve">launch_mass_kg</w:t>
            </w:r>
          </w:p>
        </w:tc>
        <w:tc>
          <w:tcPr>
            <w:tcW w:w="0" w:type="auto"/>
          </w:tcPr>
          <w:p>
            <w:pPr>
              <w:spacing w:line="240" w:lineRule="auto" w:before="0" w:after="0"/>
              <w:pStyle w:val="Compact"/>
            </w:pPr>
            <w:r>
              <w:rPr>
                <w:sz w:val="20"/>
                <w:szCs w:val="20"/>
              </w:rPr>
              <w:t xml:space="preserve">ln_cost</w:t>
            </w:r>
          </w:p>
        </w:tc>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sensing_class</w:t>
            </w:r>
          </w:p>
        </w:tc>
        <w:tc>
          <w:tcPr>
            <w:tcW w:w="0" w:type="auto"/>
          </w:tcPr>
          <w:p>
            <w:pPr>
              <w:spacing w:line="240" w:lineRule="auto" w:before="0" w:after="0"/>
              <w:pStyle w:val="Compact"/>
            </w:pPr>
            <w:r>
              <w:rPr>
                <w:sz w:val="20"/>
                <w:szCs w:val="20"/>
              </w:rPr>
              <w:t xml:space="preserve">intl_partner</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7.0901</w:t>
            </w:r>
          </w:p>
        </w:tc>
        <w:tc>
          <w:tcPr>
            <w:tcW w:w="0" w:type="auto"/>
          </w:tcPr>
          <w:p>
            <w:pPr>
              <w:spacing w:line="240" w:lineRule="auto" w:before="0" w:after="0"/>
              <w:pStyle w:val="Compact"/>
            </w:pPr>
            <w:r>
              <w:rPr>
                <w:sz w:val="20"/>
                <w:szCs w:val="20"/>
              </w:rPr>
              <w:t xml:space="preserve">7.6009</w:t>
            </w:r>
          </w:p>
        </w:tc>
        <w:tc>
          <w:tcPr>
            <w:tcW w:w="0" w:type="auto"/>
          </w:tcPr>
          <w:p>
            <w:pPr>
              <w:spacing w:line="240" w:lineRule="auto" w:before="0" w:after="0"/>
              <w:pStyle w:val="Compact"/>
            </w:pPr>
            <w:r>
              <w:rPr>
                <w:sz w:val="20"/>
                <w:szCs w:val="20"/>
              </w:rPr>
              <w:t xml:space="preserve">earth_obs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SWOT mission and eoPortal SWOT (lifecycle cost ~USD 1.2B; launch mass ~2000 kg); eoportal.org/satellite-missions/swot</w:t>
            </w:r>
          </w:p>
        </w:tc>
      </w:tr>
      <w:tr>
        <w:tc>
          <w:tcPr>
            <w:tcW w:w="0" w:type="auto"/>
          </w:tcPr>
          <w:p>
            <w:pPr>
              <w:spacing w:line="240" w:lineRule="auto" w:before="0" w:after="0"/>
              <w:pStyle w:val="Compact"/>
            </w:pPr>
            <w:r>
              <w:rPr>
                <w:sz w:val="20"/>
                <w:szCs w:val="20"/>
              </w:rPr>
              <w:t xml:space="preserve">Landsat 9</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885</w:t>
            </w:r>
          </w:p>
        </w:tc>
        <w:tc>
          <w:tcPr>
            <w:tcW w:w="0" w:type="auto"/>
          </w:tcPr>
          <w:p>
            <w:pPr>
              <w:spacing w:line="240" w:lineRule="auto" w:before="0" w:after="0"/>
              <w:pStyle w:val="Compact"/>
            </w:pPr>
            <w:r>
              <w:rPr>
                <w:sz w:val="20"/>
                <w:szCs w:val="20"/>
              </w:rPr>
              <w:t xml:space="preserve">2160</w:t>
            </w:r>
          </w:p>
        </w:tc>
        <w:tc>
          <w:tcPr>
            <w:tcW w:w="0" w:type="auto"/>
          </w:tcPr>
          <w:p>
            <w:pPr>
              <w:spacing w:line="240" w:lineRule="auto" w:before="0" w:after="0"/>
              <w:pStyle w:val="Compact"/>
            </w:pPr>
            <w:r>
              <w:rPr>
                <w:sz w:val="20"/>
                <w:szCs w:val="20"/>
              </w:rPr>
              <w:t xml:space="preserve">2710</w:t>
            </w:r>
          </w:p>
        </w:tc>
        <w:tc>
          <w:tcPr>
            <w:tcW w:w="0" w:type="auto"/>
          </w:tcPr>
          <w:p>
            <w:pPr>
              <w:spacing w:line="240" w:lineRule="auto" w:before="0" w:after="0"/>
              <w:pStyle w:val="Compact"/>
            </w:pPr>
            <w:r>
              <w:rPr>
                <w:sz w:val="20"/>
                <w:szCs w:val="20"/>
              </w:rPr>
              <w:t xml:space="preserve">6.7855</w:t>
            </w:r>
          </w:p>
        </w:tc>
        <w:tc>
          <w:tcPr>
            <w:tcW w:w="0" w:type="auto"/>
          </w:tcPr>
          <w:p>
            <w:pPr>
              <w:spacing w:line="240" w:lineRule="auto" w:before="0" w:after="0"/>
              <w:pStyle w:val="Compact"/>
            </w:pPr>
            <w:r>
              <w:rPr>
                <w:sz w:val="20"/>
                <w:szCs w:val="20"/>
              </w:rPr>
              <w:t xml:space="preserve">7.9047</w:t>
            </w:r>
          </w:p>
        </w:tc>
        <w:tc>
          <w:tcPr>
            <w:tcW w:w="0" w:type="auto"/>
          </w:tcPr>
          <w:p>
            <w:pPr>
              <w:spacing w:line="240" w:lineRule="auto" w:before="0" w:after="0"/>
              <w:pStyle w:val="Compact"/>
            </w:pPr>
            <w:r>
              <w:rPr>
                <w:sz w:val="20"/>
                <w:szCs w:val="20"/>
              </w:rPr>
              <w:t xml:space="preserve">earth_obs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Landsat 9 Fast Facts and USGS Landsat 9 (mission cost ~USD 885M incl. spacecraft, instruments, launch, ops; mass 2710 kg); nasa.gov/wp-content/uploads/2015/04/landsat_9_fast_facts.pdf</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287</w:t>
            </w:r>
          </w:p>
        </w:tc>
        <w:tc>
          <w:tcPr>
            <w:tcW w:w="0" w:type="auto"/>
          </w:tcPr>
          <w:p>
            <w:pPr>
              <w:spacing w:line="240" w:lineRule="auto" w:before="0" w:after="0"/>
              <w:pStyle w:val="Compact"/>
            </w:pPr>
            <w:r>
              <w:rPr>
                <w:sz w:val="20"/>
                <w:szCs w:val="20"/>
              </w:rPr>
              <w:t xml:space="preserve">325</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5.6595</w:t>
            </w:r>
          </w:p>
        </w:tc>
        <w:tc>
          <w:tcPr>
            <w:tcW w:w="0" w:type="auto"/>
          </w:tcPr>
          <w:p>
            <w:pPr>
              <w:spacing w:line="240" w:lineRule="auto" w:before="0" w:after="0"/>
              <w:pStyle w:val="Compact"/>
            </w:pPr>
            <w:r>
              <w:rPr>
                <w:sz w:val="20"/>
                <w:szCs w:val="20"/>
              </w:rPr>
              <w:t xml:space="preserve">5.8579</w:t>
            </w:r>
          </w:p>
        </w:tc>
        <w:tc>
          <w:tcPr>
            <w:tcW w:w="0" w:type="auto"/>
          </w:tcPr>
          <w:p>
            <w:pPr>
              <w:spacing w:line="240" w:lineRule="auto" w:before="0" w:after="0"/>
              <w:pStyle w:val="Compact"/>
            </w:pPr>
            <w:r>
              <w:rPr>
                <w:sz w:val="20"/>
                <w:szCs w:val="20"/>
              </w:rPr>
              <w:t xml:space="preserve">astro_survey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GSFC TESS project page and Wikipedia TESS (Explorer cost cap ~USD 287M lifecycle; launch mass 350 kg); en.wikipedia.org/wiki/Transiting_Exoplanet_Survey_Satellite</w:t>
            </w:r>
          </w:p>
        </w:tc>
      </w:tr>
      <w:tr>
        <w:tc>
          <w:tcPr>
            <w:tcW w:w="0" w:type="auto"/>
          </w:tcPr>
          <w:p>
            <w:pPr>
              <w:spacing w:line="240" w:lineRule="auto" w:before="0" w:after="0"/>
              <w:pStyle w:val="Compact"/>
            </w:pPr>
            <w:r>
              <w:rPr>
                <w:sz w:val="20"/>
                <w:szCs w:val="20"/>
              </w:rPr>
              <w:t xml:space="preserve">IXPE</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214</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330</w:t>
            </w:r>
          </w:p>
        </w:tc>
        <w:tc>
          <w:tcPr>
            <w:tcW w:w="0" w:type="auto"/>
          </w:tcPr>
          <w:p>
            <w:pPr>
              <w:spacing w:line="240" w:lineRule="auto" w:before="0" w:after="0"/>
              <w:pStyle w:val="Compact"/>
            </w:pPr>
            <w:r>
              <w:rPr>
                <w:sz w:val="20"/>
                <w:szCs w:val="20"/>
              </w:rPr>
              <w:t xml:space="preserve">5.366</w:t>
            </w:r>
          </w:p>
        </w:tc>
        <w:tc>
          <w:tcPr>
            <w:tcW w:w="0" w:type="auto"/>
          </w:tcPr>
          <w:p>
            <w:pPr>
              <w:spacing w:line="240" w:lineRule="auto" w:before="0" w:after="0"/>
              <w:pStyle w:val="Compact"/>
            </w:pPr>
            <w:r>
              <w:rPr>
                <w:sz w:val="20"/>
                <w:szCs w:val="20"/>
              </w:rPr>
              <w:t xml:space="preserve">5.7991</w:t>
            </w:r>
          </w:p>
        </w:tc>
        <w:tc>
          <w:tcPr>
            <w:tcW w:w="0" w:type="auto"/>
          </w:tcPr>
          <w:p>
            <w:pPr>
              <w:spacing w:line="240" w:lineRule="auto" w:before="0" w:after="0"/>
              <w:pStyle w:val="Compact"/>
            </w:pPr>
            <w:r>
              <w:rPr>
                <w:sz w:val="20"/>
                <w:szCs w:val="20"/>
              </w:rPr>
              <w:t xml:space="preserve">astro_xray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eoPortal IXPE and Wikipedia IXPE (mission + 2yr ops ~USD 214M; launch mass ~330 kg with ASI partner); en.wikipedia.org/wiki/IXPE</w:t>
            </w:r>
          </w:p>
        </w:tc>
      </w:tr>
      <w:tr>
        <w:tc>
          <w:tcPr>
            <w:tcW w:w="0" w:type="auto"/>
          </w:tcPr>
          <w:p>
            <w:pPr>
              <w:spacing w:line="240" w:lineRule="auto" w:before="0" w:after="0"/>
              <w:pStyle w:val="Compact"/>
            </w:pPr>
            <w:r>
              <w:rPr>
                <w:sz w:val="20"/>
                <w:szCs w:val="20"/>
              </w:rPr>
              <w:t xml:space="preserve">NICER</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372</w:t>
            </w:r>
          </w:p>
        </w:tc>
        <w:tc>
          <w:tcPr>
            <w:tcW w:w="0" w:type="auto"/>
          </w:tcPr>
          <w:p>
            <w:pPr>
              <w:spacing w:line="240" w:lineRule="auto" w:before="0" w:after="0"/>
              <w:pStyle w:val="Compact"/>
            </w:pPr>
            <w:r>
              <w:rPr>
                <w:sz w:val="20"/>
                <w:szCs w:val="20"/>
              </w:rPr>
              <w:t xml:space="preserve">372</w:t>
            </w:r>
          </w:p>
        </w:tc>
        <w:tc>
          <w:tcPr>
            <w:tcW w:w="0" w:type="auto"/>
          </w:tcPr>
          <w:p>
            <w:pPr>
              <w:spacing w:line="240" w:lineRule="auto" w:before="0" w:after="0"/>
              <w:pStyle w:val="Compact"/>
            </w:pPr>
            <w:r>
              <w:rPr>
                <w:sz w:val="20"/>
                <w:szCs w:val="20"/>
              </w:rPr>
              <w:t xml:space="preserve">4.1271</w:t>
            </w:r>
          </w:p>
        </w:tc>
        <w:tc>
          <w:tcPr>
            <w:tcW w:w="0" w:type="auto"/>
          </w:tcPr>
          <w:p>
            <w:pPr>
              <w:spacing w:line="240" w:lineRule="auto" w:before="0" w:after="0"/>
              <w:pStyle w:val="Compact"/>
            </w:pPr>
            <w:r>
              <w:rPr>
                <w:sz w:val="20"/>
                <w:szCs w:val="20"/>
              </w:rPr>
              <w:t xml:space="preserve">5.9191</w:t>
            </w:r>
          </w:p>
        </w:tc>
        <w:tc>
          <w:tcPr>
            <w:tcW w:w="0" w:type="auto"/>
          </w:tcPr>
          <w:p>
            <w:pPr>
              <w:spacing w:line="240" w:lineRule="auto" w:before="0" w:after="0"/>
              <w:pStyle w:val="Compact"/>
            </w:pPr>
            <w:r>
              <w:rPr>
                <w:sz w:val="20"/>
                <w:szCs w:val="20"/>
              </w:rPr>
              <w:t xml:space="preserve">astro_xray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NICER mission and Wikipedia NICER (ISS-attached payload ~USD 62M; instrument mass ~372 kg); en.wikipedia.org/wiki/Neutron_star_Interior_Composition_Explorer</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520</w:t>
            </w:r>
          </w:p>
        </w:tc>
        <w:tc>
          <w:tcPr>
            <w:tcW w:w="0" w:type="auto"/>
          </w:tcPr>
          <w:p>
            <w:pPr>
              <w:spacing w:line="240" w:lineRule="auto" w:before="0" w:after="0"/>
              <w:pStyle w:val="Compact"/>
            </w:pPr>
            <w:r>
              <w:rPr>
                <w:sz w:val="20"/>
                <w:szCs w:val="20"/>
              </w:rPr>
              <w:t xml:space="preserve">580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6.2538</w:t>
            </w:r>
          </w:p>
        </w:tc>
        <w:tc>
          <w:tcPr>
            <w:tcW w:w="0" w:type="auto"/>
          </w:tcPr>
          <w:p>
            <w:pPr>
              <w:spacing w:line="240" w:lineRule="auto" w:before="0" w:after="0"/>
              <w:pStyle w:val="Compact"/>
            </w:pPr>
            <w:r>
              <w:rPr>
                <w:sz w:val="20"/>
                <w:szCs w:val="20"/>
              </w:rPr>
              <w:t xml:space="preserve">6.3969</w:t>
            </w:r>
          </w:p>
        </w:tc>
        <w:tc>
          <w:tcPr>
            <w:tcW w:w="0" w:type="auto"/>
          </w:tcPr>
          <w:p>
            <w:pPr>
              <w:spacing w:line="240" w:lineRule="auto" w:before="0" w:after="0"/>
              <w:pStyle w:val="Compact"/>
            </w:pPr>
            <w:r>
              <w:rPr>
                <w:sz w:val="20"/>
                <w:szCs w:val="20"/>
              </w:rPr>
              <w:t xml:space="preserve">earth_geodesy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GRACE-FO and Wikipedia GRACE-FO (mission cost ~USD 520M; each satellite ~600 kg, joint with GFZ Germany); en.wikipedia.org/wiki/GRACE-FO</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1387</w:t>
            </w:r>
          </w:p>
        </w:tc>
        <w:tc>
          <w:tcPr>
            <w:tcW w:w="0" w:type="auto"/>
          </w:tcPr>
          <w:p>
            <w:pPr>
              <w:spacing w:line="240" w:lineRule="auto" w:before="0" w:after="0"/>
              <w:pStyle w:val="Compact"/>
            </w:pPr>
            <w:r>
              <w:rPr>
                <w:sz w:val="20"/>
                <w:szCs w:val="20"/>
              </w:rPr>
              <w:t xml:space="preserve">1514</w:t>
            </w:r>
          </w:p>
        </w:tc>
        <w:tc>
          <w:tcPr>
            <w:tcW w:w="0" w:type="auto"/>
          </w:tcPr>
          <w:p>
            <w:pPr>
              <w:spacing w:line="240" w:lineRule="auto" w:before="0" w:after="0"/>
              <w:pStyle w:val="Compact"/>
            </w:pPr>
            <w:r>
              <w:rPr>
                <w:sz w:val="20"/>
                <w:szCs w:val="20"/>
              </w:rPr>
              <w:t xml:space="preserve">7.0031</w:t>
            </w:r>
          </w:p>
        </w:tc>
        <w:tc>
          <w:tcPr>
            <w:tcW w:w="0" w:type="auto"/>
          </w:tcPr>
          <w:p>
            <w:pPr>
              <w:spacing w:line="240" w:lineRule="auto" w:before="0" w:after="0"/>
              <w:pStyle w:val="Compact"/>
            </w:pPr>
            <w:r>
              <w:rPr>
                <w:sz w:val="20"/>
                <w:szCs w:val="20"/>
              </w:rPr>
              <w:t xml:space="preserve">7.3225</w:t>
            </w:r>
          </w:p>
        </w:tc>
        <w:tc>
          <w:tcPr>
            <w:tcW w:w="0" w:type="auto"/>
          </w:tcPr>
          <w:p>
            <w:pPr>
              <w:spacing w:line="240" w:lineRule="auto" w:before="0" w:after="0"/>
              <w:pStyle w:val="Compact"/>
            </w:pPr>
            <w:r>
              <w:rPr>
                <w:sz w:val="20"/>
                <w:szCs w:val="20"/>
              </w:rPr>
              <w:t xml:space="preserve">earth_lidar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ICESat-2 and Wikipedia ICESat-2 (lifecycle cost ~USD 1.1B; launch mass ~1514 kg); en.wikipedia.org/wiki/ICESat-2</w:t>
            </w:r>
          </w:p>
        </w:tc>
      </w:tr>
      <w:tr>
        <w:tc>
          <w:tcPr>
            <w:tcW w:w="0" w:type="auto"/>
          </w:tcPr>
          <w:p>
            <w:pPr>
              <w:spacing w:line="240" w:lineRule="auto" w:before="0" w:after="0"/>
              <w:pStyle w:val="Compact"/>
            </w:pPr>
            <w:r>
              <w:rPr>
                <w:sz w:val="20"/>
                <w:szCs w:val="20"/>
              </w:rPr>
              <w:t xml:space="preserve">OCO-2</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468</w:t>
            </w:r>
          </w:p>
        </w:tc>
        <w:tc>
          <w:tcPr>
            <w:tcW w:w="0" w:type="auto"/>
          </w:tcPr>
          <w:p>
            <w:pPr>
              <w:spacing w:line="240" w:lineRule="auto" w:before="0" w:after="0"/>
              <w:pStyle w:val="Compact"/>
            </w:pPr>
            <w:r>
              <w:rPr>
                <w:sz w:val="20"/>
                <w:szCs w:val="20"/>
              </w:rPr>
              <w:t xml:space="preserve">454</w:t>
            </w:r>
          </w:p>
        </w:tc>
        <w:tc>
          <w:tcPr>
            <w:tcW w:w="0" w:type="auto"/>
          </w:tcPr>
          <w:p>
            <w:pPr>
              <w:spacing w:line="240" w:lineRule="auto" w:before="0" w:after="0"/>
              <w:pStyle w:val="Compact"/>
            </w:pPr>
            <w:r>
              <w:rPr>
                <w:sz w:val="20"/>
                <w:szCs w:val="20"/>
              </w:rPr>
              <w:t xml:space="preserve">454</w:t>
            </w:r>
          </w:p>
        </w:tc>
        <w:tc>
          <w:tcPr>
            <w:tcW w:w="0" w:type="auto"/>
          </w:tcPr>
          <w:p>
            <w:pPr>
              <w:spacing w:line="240" w:lineRule="auto" w:before="0" w:after="0"/>
              <w:pStyle w:val="Compact"/>
            </w:pPr>
            <w:r>
              <w:rPr>
                <w:sz w:val="20"/>
                <w:szCs w:val="20"/>
              </w:rPr>
              <w:t xml:space="preserve">6.1485</w:t>
            </w:r>
          </w:p>
        </w:tc>
        <w:tc>
          <w:tcPr>
            <w:tcW w:w="0" w:type="auto"/>
          </w:tcPr>
          <w:p>
            <w:pPr>
              <w:spacing w:line="240" w:lineRule="auto" w:before="0" w:after="0"/>
              <w:pStyle w:val="Compact"/>
            </w:pPr>
            <w:r>
              <w:rPr>
                <w:sz w:val="20"/>
                <w:szCs w:val="20"/>
              </w:rPr>
              <w:t xml:space="preserve">6.1182</w:t>
            </w:r>
          </w:p>
        </w:tc>
        <w:tc>
          <w:tcPr>
            <w:tcW w:w="0" w:type="auto"/>
          </w:tcPr>
          <w:p>
            <w:pPr>
              <w:spacing w:line="240" w:lineRule="auto" w:before="0" w:after="0"/>
              <w:pStyle w:val="Compact"/>
            </w:pPr>
            <w:r>
              <w:rPr>
                <w:sz w:val="20"/>
                <w:szCs w:val="20"/>
              </w:rPr>
              <w:t xml:space="preserve">earth_obs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JPL OCO-2 and Wikipedia OCO-2 (mission cost ~USD 468M; mass ~454 kg); en.wikipedia.org/wiki/Orbiting_Carbon_Observatory_2</w:t>
            </w:r>
          </w:p>
        </w:tc>
      </w:tr>
      <w:tr>
        <w:tc>
          <w:tcPr>
            <w:tcW w:w="0" w:type="auto"/>
          </w:tcPr>
          <w:p>
            <w:pPr>
              <w:spacing w:line="240" w:lineRule="auto" w:before="0" w:after="0"/>
              <w:pStyle w:val="Compact"/>
            </w:pPr>
            <w:r>
              <w:rPr>
                <w:sz w:val="20"/>
                <w:szCs w:val="20"/>
              </w:rPr>
              <w:t xml:space="preserve">SMAP</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916</w:t>
            </w:r>
          </w:p>
        </w:tc>
        <w:tc>
          <w:tcPr>
            <w:tcW w:w="0" w:type="auto"/>
          </w:tcPr>
          <w:p>
            <w:pPr>
              <w:spacing w:line="240" w:lineRule="auto" w:before="0" w:after="0"/>
              <w:pStyle w:val="Compact"/>
            </w:pPr>
            <w:r>
              <w:rPr>
                <w:sz w:val="20"/>
                <w:szCs w:val="20"/>
              </w:rPr>
              <w:t xml:space="preserve">944</w:t>
            </w:r>
          </w:p>
        </w:tc>
        <w:tc>
          <w:tcPr>
            <w:tcW w:w="0" w:type="auto"/>
          </w:tcPr>
          <w:p>
            <w:pPr>
              <w:spacing w:line="240" w:lineRule="auto" w:before="0" w:after="0"/>
              <w:pStyle w:val="Compact"/>
            </w:pPr>
            <w:r>
              <w:rPr>
                <w:sz w:val="20"/>
                <w:szCs w:val="20"/>
              </w:rPr>
              <w:t xml:space="preserve">944</w:t>
            </w:r>
          </w:p>
        </w:tc>
        <w:tc>
          <w:tcPr>
            <w:tcW w:w="0" w:type="auto"/>
          </w:tcPr>
          <w:p>
            <w:pPr>
              <w:spacing w:line="240" w:lineRule="auto" w:before="0" w:after="0"/>
              <w:pStyle w:val="Compact"/>
            </w:pPr>
            <w:r>
              <w:rPr>
                <w:sz w:val="20"/>
                <w:szCs w:val="20"/>
              </w:rPr>
              <w:t xml:space="preserve">6.8201</w:t>
            </w:r>
          </w:p>
        </w:tc>
        <w:tc>
          <w:tcPr>
            <w:tcW w:w="0" w:type="auto"/>
          </w:tcPr>
          <w:p>
            <w:pPr>
              <w:spacing w:line="240" w:lineRule="auto" w:before="0" w:after="0"/>
              <w:pStyle w:val="Compact"/>
            </w:pPr>
            <w:r>
              <w:rPr>
                <w:sz w:val="20"/>
                <w:szCs w:val="20"/>
              </w:rPr>
              <w:t xml:space="preserve">6.8501</w:t>
            </w:r>
          </w:p>
        </w:tc>
        <w:tc>
          <w:tcPr>
            <w:tcW w:w="0" w:type="auto"/>
          </w:tcPr>
          <w:p>
            <w:pPr>
              <w:spacing w:line="240" w:lineRule="auto" w:before="0" w:after="0"/>
              <w:pStyle w:val="Compact"/>
            </w:pPr>
            <w:r>
              <w:rPr>
                <w:sz w:val="20"/>
                <w:szCs w:val="20"/>
              </w:rPr>
              <w:t xml:space="preserve">earth_radar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JPL SMAP and Wikipedia SMAP (lifecycle cost ~USD 916M; launch mass ~944 kg); en.wikipedia.org/wiki/Soil_Moisture_Active_Passive</w:t>
            </w:r>
          </w:p>
        </w:tc>
      </w:tr>
      <w:tr>
        <w:tc>
          <w:tcPr>
            <w:tcW w:w="0" w:type="auto"/>
          </w:tcPr>
          <w:p>
            <w:pPr>
              <w:spacing w:line="240" w:lineRule="auto" w:before="0" w:after="0"/>
              <w:pStyle w:val="Compact"/>
            </w:pPr>
            <w:r>
              <w:rPr>
                <w:sz w:val="20"/>
                <w:szCs w:val="20"/>
              </w:rPr>
              <w:t xml:space="preserve">Aqua</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952</w:t>
            </w:r>
          </w:p>
        </w:tc>
        <w:tc>
          <w:tcPr>
            <w:tcW w:w="0" w:type="auto"/>
          </w:tcPr>
          <w:p>
            <w:pPr>
              <w:spacing w:line="240" w:lineRule="auto" w:before="0" w:after="0"/>
              <w:pStyle w:val="Compact"/>
            </w:pPr>
            <w:r>
              <w:rPr>
                <w:sz w:val="20"/>
                <w:szCs w:val="20"/>
              </w:rPr>
              <w:t xml:space="preserve">2934</w:t>
            </w:r>
          </w:p>
        </w:tc>
        <w:tc>
          <w:tcPr>
            <w:tcW w:w="0" w:type="auto"/>
          </w:tcPr>
          <w:p>
            <w:pPr>
              <w:spacing w:line="240" w:lineRule="auto" w:before="0" w:after="0"/>
              <w:pStyle w:val="Compact"/>
            </w:pPr>
            <w:r>
              <w:rPr>
                <w:sz w:val="20"/>
                <w:szCs w:val="20"/>
              </w:rPr>
              <w:t xml:space="preserve">2934</w:t>
            </w:r>
          </w:p>
        </w:tc>
        <w:tc>
          <w:tcPr>
            <w:tcW w:w="0" w:type="auto"/>
          </w:tcPr>
          <w:p>
            <w:pPr>
              <w:spacing w:line="240" w:lineRule="auto" w:before="0" w:after="0"/>
              <w:pStyle w:val="Compact"/>
            </w:pPr>
            <w:r>
              <w:rPr>
                <w:sz w:val="20"/>
                <w:szCs w:val="20"/>
              </w:rPr>
              <w:t xml:space="preserve">6.8587</w:t>
            </w:r>
          </w:p>
        </w:tc>
        <w:tc>
          <w:tcPr>
            <w:tcW w:w="0" w:type="auto"/>
          </w:tcPr>
          <w:p>
            <w:pPr>
              <w:spacing w:line="240" w:lineRule="auto" w:before="0" w:after="0"/>
              <w:pStyle w:val="Compact"/>
            </w:pPr>
            <w:r>
              <w:rPr>
                <w:sz w:val="20"/>
                <w:szCs w:val="20"/>
              </w:rPr>
              <w:t xml:space="preserve">7.9841</w:t>
            </w:r>
          </w:p>
        </w:tc>
        <w:tc>
          <w:tcPr>
            <w:tcW w:w="0" w:type="auto"/>
          </w:tcPr>
          <w:p>
            <w:pPr>
              <w:spacing w:line="240" w:lineRule="auto" w:before="0" w:after="0"/>
              <w:pStyle w:val="Compact"/>
            </w:pPr>
            <w:r>
              <w:rPr>
                <w:sz w:val="20"/>
                <w:szCs w:val="20"/>
              </w:rPr>
              <w:t xml:space="preserve">earth_obs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Aqua mission and Wikipedia Aqua satellite (mission cost ~USD 952M; mass ~2934 kg; instruments from Japan/Brazil); en.wikipedia.org/wiki/Aqua_(satellite)</w:t>
            </w:r>
          </w:p>
        </w:tc>
      </w:tr>
      <w:tr>
        <w:tc>
          <w:tcPr>
            <w:tcW w:w="0" w:type="auto"/>
          </w:tcPr>
          <w:p>
            <w:pPr>
              <w:spacing w:line="240" w:lineRule="auto" w:before="0" w:after="0"/>
              <w:pStyle w:val="Compact"/>
            </w:pPr>
            <w:r>
              <w:rPr>
                <w:sz w:val="20"/>
                <w:szCs w:val="20"/>
              </w:rPr>
              <w:t xml:space="preserve">Terra</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5190</w:t>
            </w:r>
          </w:p>
        </w:tc>
        <w:tc>
          <w:tcPr>
            <w:tcW w:w="0" w:type="auto"/>
          </w:tcPr>
          <w:p>
            <w:pPr>
              <w:spacing w:line="240" w:lineRule="auto" w:before="0" w:after="0"/>
              <w:pStyle w:val="Compact"/>
            </w:pPr>
            <w:r>
              <w:rPr>
                <w:sz w:val="20"/>
                <w:szCs w:val="20"/>
              </w:rPr>
              <w:t xml:space="preserve">5190</w:t>
            </w:r>
          </w:p>
        </w:tc>
        <w:tc>
          <w:tcPr>
            <w:tcW w:w="0" w:type="auto"/>
          </w:tcPr>
          <w:p>
            <w:pPr>
              <w:spacing w:line="240" w:lineRule="auto" w:before="0" w:after="0"/>
              <w:pStyle w:val="Compact"/>
            </w:pPr>
            <w:r>
              <w:rPr>
                <w:sz w:val="20"/>
                <w:szCs w:val="20"/>
              </w:rPr>
              <w:t xml:space="preserve">7.1701</w:t>
            </w:r>
          </w:p>
        </w:tc>
        <w:tc>
          <w:tcPr>
            <w:tcW w:w="0" w:type="auto"/>
          </w:tcPr>
          <w:p>
            <w:pPr>
              <w:spacing w:line="240" w:lineRule="auto" w:before="0" w:after="0"/>
              <w:pStyle w:val="Compact"/>
            </w:pPr>
            <w:r>
              <w:rPr>
                <w:sz w:val="20"/>
                <w:szCs w:val="20"/>
              </w:rPr>
              <w:t xml:space="preserve">8.5544</w:t>
            </w:r>
          </w:p>
        </w:tc>
        <w:tc>
          <w:tcPr>
            <w:tcW w:w="0" w:type="auto"/>
          </w:tcPr>
          <w:p>
            <w:pPr>
              <w:spacing w:line="240" w:lineRule="auto" w:before="0" w:after="0"/>
              <w:pStyle w:val="Compact"/>
            </w:pPr>
            <w:r>
              <w:rPr>
                <w:sz w:val="20"/>
                <w:szCs w:val="20"/>
              </w:rPr>
              <w:t xml:space="preserve">earth_obs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Terra mission and Wikipedia Terra satellite (mission cost ~USD 1.3B; mass ~5190 kg; intl instruments); en.wikipedia.org/wiki/Terra_(satellite)</w:t>
            </w:r>
          </w:p>
        </w:tc>
      </w:tr>
      <w:tr>
        <w:tc>
          <w:tcPr>
            <w:tcW w:w="0" w:type="auto"/>
          </w:tcPr>
          <w:p>
            <w:pPr>
              <w:spacing w:line="240" w:lineRule="auto" w:before="0" w:after="0"/>
              <w:pStyle w:val="Compact"/>
            </w:pPr>
            <w:r>
              <w:rPr>
                <w:sz w:val="20"/>
                <w:szCs w:val="20"/>
              </w:rPr>
              <w:t xml:space="preserve">Suomi NPP</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2128</w:t>
            </w:r>
          </w:p>
        </w:tc>
        <w:tc>
          <w:tcPr>
            <w:tcW w:w="0" w:type="auto"/>
          </w:tcPr>
          <w:p>
            <w:pPr>
              <w:spacing w:line="240" w:lineRule="auto" w:before="0" w:after="0"/>
              <w:pStyle w:val="Compact"/>
            </w:pPr>
            <w:r>
              <w:rPr>
                <w:sz w:val="20"/>
                <w:szCs w:val="20"/>
              </w:rPr>
              <w:t xml:space="preserve">2128</w:t>
            </w:r>
          </w:p>
        </w:tc>
        <w:tc>
          <w:tcPr>
            <w:tcW w:w="0" w:type="auto"/>
          </w:tcPr>
          <w:p>
            <w:pPr>
              <w:spacing w:line="240" w:lineRule="auto" w:before="0" w:after="0"/>
              <w:pStyle w:val="Compact"/>
            </w:pPr>
            <w:r>
              <w:rPr>
                <w:sz w:val="20"/>
                <w:szCs w:val="20"/>
              </w:rPr>
              <w:t xml:space="preserve">7.3132</w:t>
            </w:r>
          </w:p>
        </w:tc>
        <w:tc>
          <w:tcPr>
            <w:tcW w:w="0" w:type="auto"/>
          </w:tcPr>
          <w:p>
            <w:pPr>
              <w:spacing w:line="240" w:lineRule="auto" w:before="0" w:after="0"/>
              <w:pStyle w:val="Compact"/>
            </w:pPr>
            <w:r>
              <w:rPr>
                <w:sz w:val="20"/>
                <w:szCs w:val="20"/>
              </w:rPr>
              <w:t xml:space="preserve">7.6629</w:t>
            </w:r>
          </w:p>
        </w:tc>
        <w:tc>
          <w:tcPr>
            <w:tcW w:w="0" w:type="auto"/>
          </w:tcPr>
          <w:p>
            <w:pPr>
              <w:spacing w:line="240" w:lineRule="auto" w:before="0" w:after="0"/>
              <w:pStyle w:val="Compact"/>
            </w:pPr>
            <w:r>
              <w:rPr>
                <w:sz w:val="20"/>
                <w:szCs w:val="20"/>
              </w:rPr>
              <w:t xml:space="preserve">earth_obs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Suomi NPP and Wikipedia Suomi NPP (mission cost ~USD 1.5B; launch mass ~2128 kg); en.wikipedia.org/wiki/Suomi_NPP</w:t>
            </w:r>
          </w:p>
        </w:tc>
      </w:tr>
      <w:tr>
        <w:tc>
          <w:tcPr>
            <w:tcW w:w="0" w:type="auto"/>
          </w:tcPr>
          <w:p>
            <w:pPr>
              <w:spacing w:line="240" w:lineRule="auto" w:before="0" w:after="0"/>
              <w:pStyle w:val="Compact"/>
            </w:pPr>
            <w:r>
              <w:rPr>
                <w:sz w:val="20"/>
                <w:szCs w:val="20"/>
              </w:rPr>
              <w:t xml:space="preserve">GOES-R</w:t>
            </w:r>
          </w:p>
        </w:tc>
        <w:tc>
          <w:tcPr>
            <w:tcW w:w="0" w:type="auto"/>
          </w:tcPr>
          <w:p>
            <w:pPr>
              <w:spacing w:line="240" w:lineRule="auto" w:before="0" w:after="0"/>
              <w:pStyle w:val="Compact"/>
            </w:pPr>
            <w:r>
              <w:rPr>
                <w:sz w:val="20"/>
                <w:szCs w:val="20"/>
              </w:rPr>
              <w:t xml:space="preserve">NOAA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2900</w:t>
            </w:r>
          </w:p>
        </w:tc>
        <w:tc>
          <w:tcPr>
            <w:tcW w:w="0" w:type="auto"/>
          </w:tcPr>
          <w:p>
            <w:pPr>
              <w:spacing w:line="240" w:lineRule="auto" w:before="0" w:after="0"/>
              <w:pStyle w:val="Compact"/>
            </w:pPr>
            <w:r>
              <w:rPr>
                <w:sz w:val="20"/>
                <w:szCs w:val="20"/>
              </w:rPr>
              <w:t xml:space="preserve">2857</w:t>
            </w:r>
          </w:p>
        </w:tc>
        <w:tc>
          <w:tcPr>
            <w:tcW w:w="0" w:type="auto"/>
          </w:tcPr>
          <w:p>
            <w:pPr>
              <w:spacing w:line="240" w:lineRule="auto" w:before="0" w:after="0"/>
              <w:pStyle w:val="Compact"/>
            </w:pPr>
            <w:r>
              <w:rPr>
                <w:sz w:val="20"/>
                <w:szCs w:val="20"/>
              </w:rPr>
              <w:t xml:space="preserve">5192</w:t>
            </w:r>
          </w:p>
        </w:tc>
        <w:tc>
          <w:tcPr>
            <w:tcW w:w="0" w:type="auto"/>
          </w:tcPr>
          <w:p>
            <w:pPr>
              <w:spacing w:line="240" w:lineRule="auto" w:before="0" w:after="0"/>
              <w:pStyle w:val="Compact"/>
            </w:pPr>
            <w:r>
              <w:rPr>
                <w:sz w:val="20"/>
                <w:szCs w:val="20"/>
              </w:rPr>
              <w:t xml:space="preserve">7.9724</w:t>
            </w:r>
          </w:p>
        </w:tc>
        <w:tc>
          <w:tcPr>
            <w:tcW w:w="0" w:type="auto"/>
          </w:tcPr>
          <w:p>
            <w:pPr>
              <w:spacing w:line="240" w:lineRule="auto" w:before="0" w:after="0"/>
              <w:pStyle w:val="Compact"/>
            </w:pPr>
            <w:r>
              <w:rPr>
                <w:sz w:val="20"/>
                <w:szCs w:val="20"/>
              </w:rPr>
              <w:t xml:space="preserve">8.5548</w:t>
            </w:r>
          </w:p>
        </w:tc>
        <w:tc>
          <w:tcPr>
            <w:tcW w:w="0" w:type="auto"/>
          </w:tcPr>
          <w:p>
            <w:pPr>
              <w:spacing w:line="240" w:lineRule="auto" w:before="0" w:after="0"/>
              <w:pStyle w:val="Compact"/>
            </w:pPr>
            <w:r>
              <w:rPr>
                <w:sz w:val="20"/>
                <w:szCs w:val="20"/>
              </w:rPr>
              <w:t xml:space="preserve">weather_obs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NOAA/NASA GOES-R and Wikipedia GOES-16 (per-satellite cost ~USD 2.9B incl. instruments and launch; launch mass ~5192 kg); en.wikipedia.org/wiki/GOES-16</w:t>
            </w:r>
          </w:p>
        </w:tc>
      </w:tr>
      <w:tr>
        <w:tc>
          <w:tcPr>
            <w:tcW w:w="0" w:type="auto"/>
          </w:tcPr>
          <w:p>
            <w:pPr>
              <w:spacing w:line="240" w:lineRule="auto" w:before="0" w:after="0"/>
              <w:pStyle w:val="Compact"/>
            </w:pPr>
            <w:r>
              <w:rPr>
                <w:sz w:val="20"/>
                <w:szCs w:val="20"/>
              </w:rPr>
              <w:t xml:space="preserve">Sentinel-6 Michael Freilich</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425</w:t>
            </w:r>
          </w:p>
        </w:tc>
        <w:tc>
          <w:tcPr>
            <w:tcW w:w="0" w:type="auto"/>
          </w:tcPr>
          <w:p>
            <w:pPr>
              <w:spacing w:line="240" w:lineRule="auto" w:before="0" w:after="0"/>
              <w:pStyle w:val="Compact"/>
            </w:pPr>
            <w:r>
              <w:rPr>
                <w:sz w:val="20"/>
                <w:szCs w:val="20"/>
              </w:rPr>
              <w:t xml:space="preserve">1192</w:t>
            </w:r>
          </w:p>
        </w:tc>
        <w:tc>
          <w:tcPr>
            <w:tcW w:w="0" w:type="auto"/>
          </w:tcPr>
          <w:p>
            <w:pPr>
              <w:spacing w:line="240" w:lineRule="auto" w:before="0" w:after="0"/>
              <w:pStyle w:val="Compact"/>
            </w:pPr>
            <w:r>
              <w:rPr>
                <w:sz w:val="20"/>
                <w:szCs w:val="20"/>
              </w:rPr>
              <w:t xml:space="preserve">1440</w:t>
            </w:r>
          </w:p>
        </w:tc>
        <w:tc>
          <w:tcPr>
            <w:tcW w:w="0" w:type="auto"/>
          </w:tcPr>
          <w:p>
            <w:pPr>
              <w:spacing w:line="240" w:lineRule="auto" w:before="0" w:after="0"/>
              <w:pStyle w:val="Compact"/>
            </w:pPr>
            <w:r>
              <w:rPr>
                <w:sz w:val="20"/>
                <w:szCs w:val="20"/>
              </w:rPr>
              <w:t xml:space="preserve">6.0521</w:t>
            </w:r>
          </w:p>
        </w:tc>
        <w:tc>
          <w:tcPr>
            <w:tcW w:w="0" w:type="auto"/>
          </w:tcPr>
          <w:p>
            <w:pPr>
              <w:spacing w:line="240" w:lineRule="auto" w:before="0" w:after="0"/>
              <w:pStyle w:val="Compact"/>
            </w:pPr>
            <w:r>
              <w:rPr>
                <w:sz w:val="20"/>
                <w:szCs w:val="20"/>
              </w:rPr>
              <w:t xml:space="preserve">7.2724</w:t>
            </w:r>
          </w:p>
        </w:tc>
        <w:tc>
          <w:tcPr>
            <w:tcW w:w="0" w:type="auto"/>
          </w:tcPr>
          <w:p>
            <w:pPr>
              <w:spacing w:line="240" w:lineRule="auto" w:before="0" w:after="0"/>
              <w:pStyle w:val="Compact"/>
            </w:pPr>
            <w:r>
              <w:rPr>
                <w:sz w:val="20"/>
                <w:szCs w:val="20"/>
              </w:rPr>
              <w:t xml:space="preserve">earth_obs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NASA/ESA Sentinel-6 and Wikipedia Sentinel-6 (US share ~USD 425M; launch mass ~1440 kg; EU/EUMETSAT partner); en.wikipedia.org/wiki/Sentinel-6_Michael_Freilich</w:t>
            </w:r>
          </w:p>
        </w:tc>
      </w:tr>
      <w:tr>
        <w:tc>
          <w:tcPr>
            <w:tcW w:w="0" w:type="auto"/>
          </w:tcPr>
          <w:p>
            <w:pPr>
              <w:spacing w:line="240" w:lineRule="auto" w:before="0" w:after="0"/>
              <w:pStyle w:val="Compact"/>
            </w:pPr>
            <w:r>
              <w:rPr>
                <w:sz w:val="20"/>
                <w:szCs w:val="20"/>
              </w:rPr>
              <w:t xml:space="preserve">CALIPSO</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318</w:t>
            </w:r>
          </w:p>
        </w:tc>
        <w:tc>
          <w:tcPr>
            <w:tcW w:w="0" w:type="auto"/>
          </w:tcPr>
          <w:p>
            <w:pPr>
              <w:spacing w:line="240" w:lineRule="auto" w:before="0" w:after="0"/>
              <w:pStyle w:val="Compact"/>
            </w:pPr>
            <w:r>
              <w:rPr>
                <w:sz w:val="20"/>
                <w:szCs w:val="20"/>
              </w:rPr>
              <w:t xml:space="preserve">587</w:t>
            </w:r>
          </w:p>
        </w:tc>
        <w:tc>
          <w:tcPr>
            <w:tcW w:w="0" w:type="auto"/>
          </w:tcPr>
          <w:p>
            <w:pPr>
              <w:spacing w:line="240" w:lineRule="auto" w:before="0" w:after="0"/>
              <w:pStyle w:val="Compact"/>
            </w:pPr>
            <w:r>
              <w:rPr>
                <w:sz w:val="20"/>
                <w:szCs w:val="20"/>
              </w:rPr>
              <w:t xml:space="preserve">587</w:t>
            </w:r>
          </w:p>
        </w:tc>
        <w:tc>
          <w:tcPr>
            <w:tcW w:w="0" w:type="auto"/>
          </w:tcPr>
          <w:p>
            <w:pPr>
              <w:spacing w:line="240" w:lineRule="auto" w:before="0" w:after="0"/>
              <w:pStyle w:val="Compact"/>
            </w:pPr>
            <w:r>
              <w:rPr>
                <w:sz w:val="20"/>
                <w:szCs w:val="20"/>
              </w:rPr>
              <w:t xml:space="preserve">5.7621</w:t>
            </w:r>
          </w:p>
        </w:tc>
        <w:tc>
          <w:tcPr>
            <w:tcW w:w="0" w:type="auto"/>
          </w:tcPr>
          <w:p>
            <w:pPr>
              <w:spacing w:line="240" w:lineRule="auto" w:before="0" w:after="0"/>
              <w:pStyle w:val="Compact"/>
            </w:pPr>
            <w:r>
              <w:rPr>
                <w:sz w:val="20"/>
                <w:szCs w:val="20"/>
              </w:rPr>
              <w:t xml:space="preserve">6.375</w:t>
            </w:r>
          </w:p>
        </w:tc>
        <w:tc>
          <w:tcPr>
            <w:tcW w:w="0" w:type="auto"/>
          </w:tcPr>
          <w:p>
            <w:pPr>
              <w:spacing w:line="240" w:lineRule="auto" w:before="0" w:after="0"/>
              <w:pStyle w:val="Compact"/>
            </w:pPr>
            <w:r>
              <w:rPr>
                <w:sz w:val="20"/>
                <w:szCs w:val="20"/>
              </w:rPr>
              <w:t xml:space="preserve">earth_lidar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CALIPSO and Wikipedia CALIPSO (mission cost ~USD 318M; mass ~587 kg; CNES partner); en.wikipedia.org/wiki/CALIPSO</w:t>
            </w:r>
          </w:p>
        </w:tc>
      </w:tr>
      <w:tr>
        <w:tc>
          <w:tcPr>
            <w:tcW w:w="0" w:type="auto"/>
          </w:tcPr>
          <w:p>
            <w:pPr>
              <w:spacing w:line="240" w:lineRule="auto" w:before="0" w:after="0"/>
              <w:pStyle w:val="Compact"/>
            </w:pPr>
            <w:r>
              <w:rPr>
                <w:sz w:val="20"/>
                <w:szCs w:val="20"/>
              </w:rPr>
              <w:t xml:space="preserve">CloudSat</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217</w:t>
            </w:r>
          </w:p>
        </w:tc>
        <w:tc>
          <w:tcPr>
            <w:tcW w:w="0" w:type="auto"/>
          </w:tcPr>
          <w:p>
            <w:pPr>
              <w:spacing w:line="240" w:lineRule="auto" w:before="0" w:after="0"/>
              <w:pStyle w:val="Compact"/>
            </w:pPr>
            <w:r>
              <w:rPr>
                <w:sz w:val="20"/>
                <w:szCs w:val="20"/>
              </w:rPr>
              <w:t xml:space="preserve">848</w:t>
            </w:r>
          </w:p>
        </w:tc>
        <w:tc>
          <w:tcPr>
            <w:tcW w:w="0" w:type="auto"/>
          </w:tcPr>
          <w:p>
            <w:pPr>
              <w:spacing w:line="240" w:lineRule="auto" w:before="0" w:after="0"/>
              <w:pStyle w:val="Compact"/>
            </w:pPr>
            <w:r>
              <w:rPr>
                <w:sz w:val="20"/>
                <w:szCs w:val="20"/>
              </w:rPr>
              <w:t xml:space="preserve">848</w:t>
            </w:r>
          </w:p>
        </w:tc>
        <w:tc>
          <w:tcPr>
            <w:tcW w:w="0" w:type="auto"/>
          </w:tcPr>
          <w:p>
            <w:pPr>
              <w:spacing w:line="240" w:lineRule="auto" w:before="0" w:after="0"/>
              <w:pStyle w:val="Compact"/>
            </w:pPr>
            <w:r>
              <w:rPr>
                <w:sz w:val="20"/>
                <w:szCs w:val="20"/>
              </w:rPr>
              <w:t xml:space="preserve">5.3799</w:t>
            </w:r>
          </w:p>
        </w:tc>
        <w:tc>
          <w:tcPr>
            <w:tcW w:w="0" w:type="auto"/>
          </w:tcPr>
          <w:p>
            <w:pPr>
              <w:spacing w:line="240" w:lineRule="auto" w:before="0" w:after="0"/>
              <w:pStyle w:val="Compact"/>
            </w:pPr>
            <w:r>
              <w:rPr>
                <w:sz w:val="20"/>
                <w:szCs w:val="20"/>
              </w:rPr>
              <w:t xml:space="preserve">6.7428</w:t>
            </w:r>
          </w:p>
        </w:tc>
        <w:tc>
          <w:tcPr>
            <w:tcW w:w="0" w:type="auto"/>
          </w:tcPr>
          <w:p>
            <w:pPr>
              <w:spacing w:line="240" w:lineRule="auto" w:before="0" w:after="0"/>
              <w:pStyle w:val="Compact"/>
            </w:pPr>
            <w:r>
              <w:rPr>
                <w:sz w:val="20"/>
                <w:szCs w:val="20"/>
              </w:rPr>
              <w:t xml:space="preserve">earth_radar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JPL CloudSat and Wikipedia CloudSat (mission cost ~USD 217M; mass ~848 kg; CSA partner); en.wikipedia.org/wiki/CloudSat</w:t>
            </w:r>
          </w:p>
        </w:tc>
      </w:tr>
      <w:tr>
        <w:tc>
          <w:tcPr>
            <w:tcW w:w="0" w:type="auto"/>
          </w:tcPr>
          <w:p>
            <w:pPr>
              <w:spacing w:line="240" w:lineRule="auto" w:before="0" w:after="0"/>
              <w:pStyle w:val="Compact"/>
            </w:pPr>
            <w:r>
              <w:rPr>
                <w:sz w:val="20"/>
                <w:szCs w:val="20"/>
              </w:rPr>
              <w:t xml:space="preserve">Fermi GLAST</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690</w:t>
            </w:r>
          </w:p>
        </w:tc>
        <w:tc>
          <w:tcPr>
            <w:tcW w:w="0" w:type="auto"/>
          </w:tcPr>
          <w:p>
            <w:pPr>
              <w:spacing w:line="240" w:lineRule="auto" w:before="0" w:after="0"/>
              <w:pStyle w:val="Compact"/>
            </w:pPr>
            <w:r>
              <w:rPr>
                <w:sz w:val="20"/>
                <w:szCs w:val="20"/>
              </w:rPr>
              <w:t xml:space="preserve">4303</w:t>
            </w:r>
          </w:p>
        </w:tc>
        <w:tc>
          <w:tcPr>
            <w:tcW w:w="0" w:type="auto"/>
          </w:tcPr>
          <w:p>
            <w:pPr>
              <w:spacing w:line="240" w:lineRule="auto" w:before="0" w:after="0"/>
              <w:pStyle w:val="Compact"/>
            </w:pPr>
            <w:r>
              <w:rPr>
                <w:sz w:val="20"/>
                <w:szCs w:val="20"/>
              </w:rPr>
              <w:t xml:space="preserve">4303</w:t>
            </w:r>
          </w:p>
        </w:tc>
        <w:tc>
          <w:tcPr>
            <w:tcW w:w="0" w:type="auto"/>
          </w:tcPr>
          <w:p>
            <w:pPr>
              <w:spacing w:line="240" w:lineRule="auto" w:before="0" w:after="0"/>
              <w:pStyle w:val="Compact"/>
            </w:pPr>
            <w:r>
              <w:rPr>
                <w:sz w:val="20"/>
                <w:szCs w:val="20"/>
              </w:rPr>
              <w:t xml:space="preserve">6.5366</w:t>
            </w:r>
          </w:p>
        </w:tc>
        <w:tc>
          <w:tcPr>
            <w:tcW w:w="0" w:type="auto"/>
          </w:tcPr>
          <w:p>
            <w:pPr>
              <w:spacing w:line="240" w:lineRule="auto" w:before="0" w:after="0"/>
              <w:pStyle w:val="Compact"/>
            </w:pPr>
            <w:r>
              <w:rPr>
                <w:sz w:val="20"/>
                <w:szCs w:val="20"/>
              </w:rPr>
              <w:t xml:space="preserve">8.367</w:t>
            </w:r>
          </w:p>
        </w:tc>
        <w:tc>
          <w:tcPr>
            <w:tcW w:w="0" w:type="auto"/>
          </w:tcPr>
          <w:p>
            <w:pPr>
              <w:spacing w:line="240" w:lineRule="auto" w:before="0" w:after="0"/>
              <w:pStyle w:val="Compact"/>
            </w:pPr>
            <w:r>
              <w:rPr>
                <w:sz w:val="20"/>
                <w:szCs w:val="20"/>
              </w:rPr>
              <w:t xml:space="preserve">astro_gamma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Fermi mission and Wikipedia Fermi Gamma-ray Space Telescope (mission cost ~USD 690M; launch mass ~4303 kg; intl instrument teams); en.wikipedia.org/wiki/Fermi_Gamma-ray_Space_Telescope</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640</w:t>
            </w:r>
          </w:p>
        </w:tc>
        <w:tc>
          <w:tcPr>
            <w:tcW w:w="0" w:type="auto"/>
          </w:tcPr>
          <w:p>
            <w:pPr>
              <w:spacing w:line="240" w:lineRule="auto" w:before="0" w:after="0"/>
              <w:pStyle w:val="Compact"/>
            </w:pPr>
            <w:r>
              <w:rPr>
                <w:sz w:val="20"/>
                <w:szCs w:val="20"/>
              </w:rPr>
              <w:t xml:space="preserve">1052</w:t>
            </w:r>
          </w:p>
        </w:tc>
        <w:tc>
          <w:tcPr>
            <w:tcW w:w="0" w:type="auto"/>
          </w:tcPr>
          <w:p>
            <w:pPr>
              <w:spacing w:line="240" w:lineRule="auto" w:before="0" w:after="0"/>
              <w:pStyle w:val="Compact"/>
            </w:pPr>
            <w:r>
              <w:rPr>
                <w:sz w:val="20"/>
                <w:szCs w:val="20"/>
              </w:rPr>
              <w:t xml:space="preserve">1052</w:t>
            </w:r>
          </w:p>
        </w:tc>
        <w:tc>
          <w:tcPr>
            <w:tcW w:w="0" w:type="auto"/>
          </w:tcPr>
          <w:p>
            <w:pPr>
              <w:spacing w:line="240" w:lineRule="auto" w:before="0" w:after="0"/>
              <w:pStyle w:val="Compact"/>
            </w:pPr>
            <w:r>
              <w:rPr>
                <w:sz w:val="20"/>
                <w:szCs w:val="20"/>
              </w:rPr>
              <w:t xml:space="preserve">6.4615</w:t>
            </w:r>
          </w:p>
        </w:tc>
        <w:tc>
          <w:tcPr>
            <w:tcW w:w="0" w:type="auto"/>
          </w:tcPr>
          <w:p>
            <w:pPr>
              <w:spacing w:line="240" w:lineRule="auto" w:before="0" w:after="0"/>
              <w:pStyle w:val="Compact"/>
            </w:pPr>
            <w:r>
              <w:rPr>
                <w:sz w:val="20"/>
                <w:szCs w:val="20"/>
              </w:rPr>
              <w:t xml:space="preserve">6.9583</w:t>
            </w:r>
          </w:p>
        </w:tc>
        <w:tc>
          <w:tcPr>
            <w:tcW w:w="0" w:type="auto"/>
          </w:tcPr>
          <w:p>
            <w:pPr>
              <w:spacing w:line="240" w:lineRule="auto" w:before="0" w:after="0"/>
              <w:pStyle w:val="Compact"/>
            </w:pPr>
            <w:r>
              <w:rPr>
                <w:sz w:val="20"/>
                <w:szCs w:val="20"/>
              </w:rPr>
              <w:t xml:space="preserve">astro_survey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Kepler mission and Wikipedia Kepler space telescope (lifecycle cost ~USD 640M; launch mass ~1052 kg); en.wikipedia.org/wiki/Kepler_space_telescope</w:t>
            </w:r>
          </w:p>
        </w:tc>
      </w:tr>
      <w:tr>
        <w:tc>
          <w:tcPr>
            <w:tcW w:w="0" w:type="auto"/>
          </w:tcPr>
          <w:p>
            <w:pPr>
              <w:spacing w:line="240" w:lineRule="auto" w:before="0" w:after="0"/>
              <w:pStyle w:val="Compact"/>
            </w:pPr>
            <w:r>
              <w:rPr>
                <w:sz w:val="20"/>
                <w:szCs w:val="20"/>
              </w:rPr>
              <w:t xml:space="preserve">WISE</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661</w:t>
            </w:r>
          </w:p>
        </w:tc>
        <w:tc>
          <w:tcPr>
            <w:tcW w:w="0" w:type="auto"/>
          </w:tcPr>
          <w:p>
            <w:pPr>
              <w:spacing w:line="240" w:lineRule="auto" w:before="0" w:after="0"/>
              <w:pStyle w:val="Compact"/>
            </w:pPr>
            <w:r>
              <w:rPr>
                <w:sz w:val="20"/>
                <w:szCs w:val="20"/>
              </w:rPr>
              <w:t xml:space="preserve">661</w:t>
            </w:r>
          </w:p>
        </w:tc>
        <w:tc>
          <w:tcPr>
            <w:tcW w:w="0" w:type="auto"/>
          </w:tcPr>
          <w:p>
            <w:pPr>
              <w:spacing w:line="240" w:lineRule="auto" w:before="0" w:after="0"/>
              <w:pStyle w:val="Compact"/>
            </w:pPr>
            <w:r>
              <w:rPr>
                <w:sz w:val="20"/>
                <w:szCs w:val="20"/>
              </w:rPr>
              <w:t xml:space="preserve">5.7683</w:t>
            </w:r>
          </w:p>
        </w:tc>
        <w:tc>
          <w:tcPr>
            <w:tcW w:w="0" w:type="auto"/>
          </w:tcPr>
          <w:p>
            <w:pPr>
              <w:spacing w:line="240" w:lineRule="auto" w:before="0" w:after="0"/>
              <w:pStyle w:val="Compact"/>
            </w:pPr>
            <w:r>
              <w:rPr>
                <w:sz w:val="20"/>
                <w:szCs w:val="20"/>
              </w:rPr>
              <w:t xml:space="preserve">6.4938</w:t>
            </w:r>
          </w:p>
        </w:tc>
        <w:tc>
          <w:tcPr>
            <w:tcW w:w="0" w:type="auto"/>
          </w:tcPr>
          <w:p>
            <w:pPr>
              <w:spacing w:line="240" w:lineRule="auto" w:before="0" w:after="0"/>
              <w:pStyle w:val="Compact"/>
            </w:pPr>
            <w:r>
              <w:rPr>
                <w:sz w:val="20"/>
                <w:szCs w:val="20"/>
              </w:rPr>
              <w:t xml:space="preserve">astro_ir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WISE mission and Wikipedia WISE (mission cost ~USD 320M; mass ~661 kg); en.wikipedia.org/wiki/Wide-field_Infrared_Survey_Explorer</w:t>
            </w:r>
          </w:p>
        </w:tc>
      </w:tr>
      <w:tr>
        <w:tc>
          <w:tcPr>
            <w:tcW w:w="0" w:type="auto"/>
          </w:tcPr>
          <w:p>
            <w:pPr>
              <w:spacing w:line="240" w:lineRule="auto" w:before="0" w:after="0"/>
              <w:pStyle w:val="Compact"/>
            </w:pPr>
            <w:r>
              <w:rPr>
                <w:sz w:val="20"/>
                <w:szCs w:val="20"/>
              </w:rPr>
              <w:t xml:space="preserve">Spitzer</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6.5793</w:t>
            </w:r>
          </w:p>
        </w:tc>
        <w:tc>
          <w:tcPr>
            <w:tcW w:w="0" w:type="auto"/>
          </w:tcPr>
          <w:p>
            <w:pPr>
              <w:spacing w:line="240" w:lineRule="auto" w:before="0" w:after="0"/>
              <w:pStyle w:val="Compact"/>
            </w:pPr>
            <w:r>
              <w:rPr>
                <w:sz w:val="20"/>
                <w:szCs w:val="20"/>
              </w:rPr>
              <w:t xml:space="preserve">6.8565</w:t>
            </w:r>
          </w:p>
        </w:tc>
        <w:tc>
          <w:tcPr>
            <w:tcW w:w="0" w:type="auto"/>
          </w:tcPr>
          <w:p>
            <w:pPr>
              <w:spacing w:line="240" w:lineRule="auto" w:before="0" w:after="0"/>
              <w:pStyle w:val="Compact"/>
            </w:pPr>
            <w:r>
              <w:rPr>
                <w:sz w:val="20"/>
                <w:szCs w:val="20"/>
              </w:rPr>
              <w:t xml:space="preserve">astro_ir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Spitzer and Wikipedia Spitzer Space Telescope (development cost ~USD 720M; launch mass ~950 kg); en.wikipedia.org/wiki/Spitzer_Space_Telescope</w:t>
            </w:r>
          </w:p>
        </w:tc>
      </w:tr>
      <w:tr>
        <w:tc>
          <w:tcPr>
            <w:tcW w:w="0" w:type="auto"/>
          </w:tcPr>
          <w:p>
            <w:pPr>
              <w:spacing w:line="240" w:lineRule="auto" w:before="0" w:after="0"/>
              <w:pStyle w:val="Compact"/>
            </w:pPr>
            <w:r>
              <w:rPr>
                <w:sz w:val="20"/>
                <w:szCs w:val="20"/>
              </w:rPr>
              <w:t xml:space="preserve">NuSTAR</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5.193</w:t>
            </w:r>
          </w:p>
        </w:tc>
        <w:tc>
          <w:tcPr>
            <w:tcW w:w="0" w:type="auto"/>
          </w:tcPr>
          <w:p>
            <w:pPr>
              <w:spacing w:line="240" w:lineRule="auto" w:before="0" w:after="0"/>
              <w:pStyle w:val="Compact"/>
            </w:pPr>
            <w:r>
              <w:rPr>
                <w:sz w:val="20"/>
                <w:szCs w:val="20"/>
              </w:rPr>
              <w:t xml:space="preserve">5.8579</w:t>
            </w:r>
          </w:p>
        </w:tc>
        <w:tc>
          <w:tcPr>
            <w:tcW w:w="0" w:type="auto"/>
          </w:tcPr>
          <w:p>
            <w:pPr>
              <w:spacing w:line="240" w:lineRule="auto" w:before="0" w:after="0"/>
              <w:pStyle w:val="Compact"/>
            </w:pPr>
            <w:r>
              <w:rPr>
                <w:sz w:val="20"/>
                <w:szCs w:val="20"/>
              </w:rPr>
              <w:t xml:space="preserve">astro_xray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JPL NuSTAR and Wikipedia NuSTAR (Small Explorer cost ~USD 180M; launch mass ~350 kg); en.wikipedia.org/wiki/NuSTAR</w:t>
            </w:r>
          </w:p>
        </w:tc>
      </w:tr>
      <w:tr>
        <w:tc>
          <w:tcPr>
            <w:tcW w:w="0" w:type="auto"/>
          </w:tcPr>
          <w:p>
            <w:pPr>
              <w:spacing w:line="240" w:lineRule="auto" w:before="0" w:after="0"/>
              <w:pStyle w:val="Compact"/>
            </w:pPr>
            <w:r>
              <w:rPr>
                <w:sz w:val="20"/>
                <w:szCs w:val="20"/>
              </w:rPr>
              <w:t xml:space="preserve">SDO</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3100</w:t>
            </w:r>
          </w:p>
        </w:tc>
        <w:tc>
          <w:tcPr>
            <w:tcW w:w="0" w:type="auto"/>
          </w:tcPr>
          <w:p>
            <w:pPr>
              <w:spacing w:line="240" w:lineRule="auto" w:before="0" w:after="0"/>
              <w:pStyle w:val="Compact"/>
            </w:pPr>
            <w:r>
              <w:rPr>
                <w:sz w:val="20"/>
                <w:szCs w:val="20"/>
              </w:rPr>
              <w:t xml:space="preserve">3100</w:t>
            </w:r>
          </w:p>
        </w:tc>
        <w:tc>
          <w:tcPr>
            <w:tcW w:w="0" w:type="auto"/>
          </w:tcPr>
          <w:p>
            <w:pPr>
              <w:spacing w:line="240" w:lineRule="auto" w:before="0" w:after="0"/>
              <w:pStyle w:val="Compact"/>
            </w:pPr>
            <w:r>
              <w:rPr>
                <w:sz w:val="20"/>
                <w:szCs w:val="20"/>
              </w:rPr>
              <w:t xml:space="preserve">6.7452</w:t>
            </w:r>
          </w:p>
        </w:tc>
        <w:tc>
          <w:tcPr>
            <w:tcW w:w="0" w:type="auto"/>
          </w:tcPr>
          <w:p>
            <w:pPr>
              <w:spacing w:line="240" w:lineRule="auto" w:before="0" w:after="0"/>
              <w:pStyle w:val="Compact"/>
            </w:pPr>
            <w:r>
              <w:rPr>
                <w:sz w:val="20"/>
                <w:szCs w:val="20"/>
              </w:rPr>
              <w:t xml:space="preserve">8.0392</w:t>
            </w:r>
          </w:p>
        </w:tc>
        <w:tc>
          <w:tcPr>
            <w:tcW w:w="0" w:type="auto"/>
          </w:tcPr>
          <w:p>
            <w:pPr>
              <w:spacing w:line="240" w:lineRule="auto" w:before="0" w:after="0"/>
              <w:pStyle w:val="Compact"/>
            </w:pPr>
            <w:r>
              <w:rPr>
                <w:sz w:val="20"/>
                <w:szCs w:val="20"/>
              </w:rPr>
              <w:t xml:space="preserve">helio_obs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Solar Dynamics Observatory and Wikipedia SDO (mission cost ~USD 850M; launch mass ~3100 kg); en.wikipedia.org/wiki/Solar_Dynamics_Observatory</w:t>
            </w:r>
          </w:p>
        </w:tc>
      </w:tr>
      <w:tr>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685</w:t>
            </w:r>
          </w:p>
        </w:tc>
        <w:tc>
          <w:tcPr>
            <w:tcW w:w="0" w:type="auto"/>
          </w:tcPr>
          <w:p>
            <w:pPr>
              <w:spacing w:line="240" w:lineRule="auto" w:before="0" w:after="0"/>
              <w:pStyle w:val="Compact"/>
            </w:pPr>
            <w:r>
              <w:rPr>
                <w:sz w:val="20"/>
                <w:szCs w:val="20"/>
              </w:rPr>
              <w:t xml:space="preserve">685</w:t>
            </w:r>
          </w:p>
        </w:tc>
        <w:tc>
          <w:tcPr>
            <w:tcW w:w="0" w:type="auto"/>
          </w:tcPr>
          <w:p>
            <w:pPr>
              <w:spacing w:line="240" w:lineRule="auto" w:before="0" w:after="0"/>
              <w:pStyle w:val="Compact"/>
            </w:pPr>
            <w:r>
              <w:rPr>
                <w:sz w:val="20"/>
                <w:szCs w:val="20"/>
              </w:rPr>
              <w:t xml:space="preserve">7.3132</w:t>
            </w:r>
          </w:p>
        </w:tc>
        <w:tc>
          <w:tcPr>
            <w:tcW w:w="0" w:type="auto"/>
          </w:tcPr>
          <w:p>
            <w:pPr>
              <w:spacing w:line="240" w:lineRule="auto" w:before="0" w:after="0"/>
              <w:pStyle w:val="Compact"/>
            </w:pPr>
            <w:r>
              <w:rPr>
                <w:sz w:val="20"/>
                <w:szCs w:val="20"/>
              </w:rPr>
              <w:t xml:space="preserve">6.5294</w:t>
            </w:r>
          </w:p>
        </w:tc>
        <w:tc>
          <w:tcPr>
            <w:tcW w:w="0" w:type="auto"/>
          </w:tcPr>
          <w:p>
            <w:pPr>
              <w:spacing w:line="240" w:lineRule="auto" w:before="0" w:after="0"/>
              <w:pStyle w:val="Compact"/>
            </w:pPr>
            <w:r>
              <w:rPr>
                <w:sz w:val="20"/>
                <w:szCs w:val="20"/>
              </w:rPr>
              <w:t xml:space="preserve">helio_obs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Parker Solar Probe and Wikipedia Parker Solar Probe (mission cost ~USD 1.5B; launch mass ~685 kg); en.wikipedia.org/wiki/Parker_Solar_Probe</w:t>
            </w:r>
          </w:p>
        </w:tc>
      </w:tr>
      <w:tr>
        <w:tc>
          <w:tcPr>
            <w:tcW w:w="0" w:type="auto"/>
          </w:tcPr>
          <w:p>
            <w:pPr>
              <w:spacing w:line="240" w:lineRule="auto" w:before="0" w:after="0"/>
              <w:pStyle w:val="Compact"/>
            </w:pPr>
            <w:r>
              <w:rPr>
                <w:sz w:val="20"/>
                <w:szCs w:val="20"/>
              </w:rPr>
              <w:t xml:space="preserve">GPM Core</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933</w:t>
            </w:r>
          </w:p>
        </w:tc>
        <w:tc>
          <w:tcPr>
            <w:tcW w:w="0" w:type="auto"/>
          </w:tcPr>
          <w:p>
            <w:pPr>
              <w:spacing w:line="240" w:lineRule="auto" w:before="0" w:after="0"/>
              <w:pStyle w:val="Compact"/>
            </w:pPr>
            <w:r>
              <w:rPr>
                <w:sz w:val="20"/>
                <w:szCs w:val="20"/>
              </w:rPr>
              <w:t xml:space="preserve">3850</w:t>
            </w:r>
          </w:p>
        </w:tc>
        <w:tc>
          <w:tcPr>
            <w:tcW w:w="0" w:type="auto"/>
          </w:tcPr>
          <w:p>
            <w:pPr>
              <w:spacing w:line="240" w:lineRule="auto" w:before="0" w:after="0"/>
              <w:pStyle w:val="Compact"/>
            </w:pPr>
            <w:r>
              <w:rPr>
                <w:sz w:val="20"/>
                <w:szCs w:val="20"/>
              </w:rPr>
              <w:t xml:space="preserve">3850</w:t>
            </w:r>
          </w:p>
        </w:tc>
        <w:tc>
          <w:tcPr>
            <w:tcW w:w="0" w:type="auto"/>
          </w:tcPr>
          <w:p>
            <w:pPr>
              <w:spacing w:line="240" w:lineRule="auto" w:before="0" w:after="0"/>
              <w:pStyle w:val="Compact"/>
            </w:pPr>
            <w:r>
              <w:rPr>
                <w:sz w:val="20"/>
                <w:szCs w:val="20"/>
              </w:rPr>
              <w:t xml:space="preserve">6.8384</w:t>
            </w:r>
          </w:p>
        </w:tc>
        <w:tc>
          <w:tcPr>
            <w:tcW w:w="0" w:type="auto"/>
          </w:tcPr>
          <w:p>
            <w:pPr>
              <w:spacing w:line="240" w:lineRule="auto" w:before="0" w:after="0"/>
              <w:pStyle w:val="Compact"/>
            </w:pPr>
            <w:r>
              <w:rPr>
                <w:sz w:val="20"/>
                <w:szCs w:val="20"/>
              </w:rPr>
              <w:t xml:space="preserve">8.2558</w:t>
            </w:r>
          </w:p>
        </w:tc>
        <w:tc>
          <w:tcPr>
            <w:tcW w:w="0" w:type="auto"/>
          </w:tcPr>
          <w:p>
            <w:pPr>
              <w:spacing w:line="240" w:lineRule="auto" w:before="0" w:after="0"/>
              <w:pStyle w:val="Compact"/>
            </w:pPr>
            <w:r>
              <w:rPr>
                <w:sz w:val="20"/>
                <w:szCs w:val="20"/>
              </w:rPr>
              <w:t xml:space="preserve">earth_radar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GPM mission and Wikipedia Global Precipitation Measurement (US cost ~USD 933M; mass ~3850 kg; JAXA partner); en.wikipedia.org/wiki/Global_Precipitation_Measurement</w:t>
            </w:r>
          </w:p>
        </w:tc>
      </w:tr>
      <w:tr>
        <w:tc>
          <w:tcPr>
            <w:tcW w:w="0" w:type="auto"/>
          </w:tcPr>
          <w:p>
            <w:pPr>
              <w:spacing w:line="240" w:lineRule="auto" w:before="0" w:after="0"/>
              <w:pStyle w:val="Compact"/>
            </w:pPr>
            <w:r>
              <w:rPr>
                <w:sz w:val="20"/>
                <w:szCs w:val="20"/>
              </w:rPr>
              <w:t xml:space="preserve">Jason-3</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553</w:t>
            </w:r>
          </w:p>
        </w:tc>
        <w:tc>
          <w:tcPr>
            <w:tcW w:w="0" w:type="auto"/>
          </w:tcPr>
          <w:p>
            <w:pPr>
              <w:spacing w:line="240" w:lineRule="auto" w:before="0" w:after="0"/>
              <w:pStyle w:val="Compact"/>
            </w:pPr>
            <w:r>
              <w:rPr>
                <w:sz w:val="20"/>
                <w:szCs w:val="20"/>
              </w:rPr>
              <w:t xml:space="preserve">553</w:t>
            </w:r>
          </w:p>
        </w:tc>
        <w:tc>
          <w:tcPr>
            <w:tcW w:w="0" w:type="auto"/>
          </w:tcPr>
          <w:p>
            <w:pPr>
              <w:spacing w:line="240" w:lineRule="auto" w:before="0" w:after="0"/>
              <w:pStyle w:val="Compact"/>
            </w:pPr>
            <w:r>
              <w:rPr>
                <w:sz w:val="20"/>
                <w:szCs w:val="20"/>
              </w:rPr>
              <w:t xml:space="preserve">5.193</w:t>
            </w:r>
          </w:p>
        </w:tc>
        <w:tc>
          <w:tcPr>
            <w:tcW w:w="0" w:type="auto"/>
          </w:tcPr>
          <w:p>
            <w:pPr>
              <w:spacing w:line="240" w:lineRule="auto" w:before="0" w:after="0"/>
              <w:pStyle w:val="Compact"/>
            </w:pPr>
            <w:r>
              <w:rPr>
                <w:sz w:val="20"/>
                <w:szCs w:val="20"/>
              </w:rPr>
              <w:t xml:space="preserve">6.3153</w:t>
            </w:r>
          </w:p>
        </w:tc>
        <w:tc>
          <w:tcPr>
            <w:tcW w:w="0" w:type="auto"/>
          </w:tcPr>
          <w:p>
            <w:pPr>
              <w:spacing w:line="240" w:lineRule="auto" w:before="0" w:after="0"/>
              <w:pStyle w:val="Compact"/>
            </w:pPr>
            <w:r>
              <w:rPr>
                <w:sz w:val="20"/>
                <w:szCs w:val="20"/>
              </w:rPr>
              <w:t xml:space="preserve">earth_obs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NASA/NOAA Jason-3 and Wikipedia Jason-3 (US share ~USD 180M; mass ~553 kg; CNES/EUMETSAT partner); en.wikipedia.org/wiki/Jason-3</w:t>
            </w:r>
          </w:p>
        </w:tc>
      </w:tr>
      <w:tr>
        <w:tc>
          <w:tcPr>
            <w:tcW w:w="0" w:type="auto"/>
          </w:tcPr>
          <w:p>
            <w:pPr>
              <w:spacing w:line="240" w:lineRule="auto" w:before="0" w:after="0"/>
              <w:pStyle w:val="Compact"/>
            </w:pPr>
            <w:r>
              <w:rPr>
                <w:sz w:val="20"/>
                <w:szCs w:val="20"/>
              </w:rPr>
              <w:t xml:space="preserve">Aura</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785</w:t>
            </w:r>
          </w:p>
        </w:tc>
        <w:tc>
          <w:tcPr>
            <w:tcW w:w="0" w:type="auto"/>
          </w:tcPr>
          <w:p>
            <w:pPr>
              <w:spacing w:line="240" w:lineRule="auto" w:before="0" w:after="0"/>
              <w:pStyle w:val="Compact"/>
            </w:pPr>
            <w:r>
              <w:rPr>
                <w:sz w:val="20"/>
                <w:szCs w:val="20"/>
              </w:rPr>
              <w:t xml:space="preserve">2967</w:t>
            </w:r>
          </w:p>
        </w:tc>
        <w:tc>
          <w:tcPr>
            <w:tcW w:w="0" w:type="auto"/>
          </w:tcPr>
          <w:p>
            <w:pPr>
              <w:spacing w:line="240" w:lineRule="auto" w:before="0" w:after="0"/>
              <w:pStyle w:val="Compact"/>
            </w:pPr>
            <w:r>
              <w:rPr>
                <w:sz w:val="20"/>
                <w:szCs w:val="20"/>
              </w:rPr>
              <w:t xml:space="preserve">2967</w:t>
            </w:r>
          </w:p>
        </w:tc>
        <w:tc>
          <w:tcPr>
            <w:tcW w:w="0" w:type="auto"/>
          </w:tcPr>
          <w:p>
            <w:pPr>
              <w:spacing w:line="240" w:lineRule="auto" w:before="0" w:after="0"/>
              <w:pStyle w:val="Compact"/>
            </w:pPr>
            <w:r>
              <w:rPr>
                <w:sz w:val="20"/>
                <w:szCs w:val="20"/>
              </w:rPr>
              <w:t xml:space="preserve">6.6657</w:t>
            </w:r>
          </w:p>
        </w:tc>
        <w:tc>
          <w:tcPr>
            <w:tcW w:w="0" w:type="auto"/>
          </w:tcPr>
          <w:p>
            <w:pPr>
              <w:spacing w:line="240" w:lineRule="auto" w:before="0" w:after="0"/>
              <w:pStyle w:val="Compact"/>
            </w:pPr>
            <w:r>
              <w:rPr>
                <w:sz w:val="20"/>
                <w:szCs w:val="20"/>
              </w:rPr>
              <w:t xml:space="preserve">7.9953</w:t>
            </w:r>
          </w:p>
        </w:tc>
        <w:tc>
          <w:tcPr>
            <w:tcW w:w="0" w:type="auto"/>
          </w:tcPr>
          <w:p>
            <w:pPr>
              <w:spacing w:line="240" w:lineRule="auto" w:before="0" w:after="0"/>
              <w:pStyle w:val="Compact"/>
            </w:pPr>
            <w:r>
              <w:rPr>
                <w:sz w:val="20"/>
                <w:szCs w:val="20"/>
              </w:rPr>
              <w:t xml:space="preserve">earth_obs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Aura mission and Wikipedia Aura satellite (mission cost ~USD 785M; mass ~2967 kg; intl instruments NL/UK/FI); en.wikipedia.org/wiki/Aura_(satellite)</w:t>
            </w:r>
          </w:p>
        </w:tc>
      </w:tr>
      <w:tr>
        <w:tc>
          <w:tcPr>
            <w:tcW w:w="0" w:type="auto"/>
          </w:tcPr>
          <w:p>
            <w:pPr>
              <w:spacing w:line="240" w:lineRule="auto" w:before="0" w:after="0"/>
              <w:pStyle w:val="Compact"/>
            </w:pPr>
            <w:r>
              <w:rPr>
                <w:sz w:val="20"/>
                <w:szCs w:val="20"/>
              </w:rPr>
              <w:t xml:space="preserve">GeoCarb</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5.1358</w:t>
            </w:r>
          </w:p>
        </w:tc>
        <w:tc>
          <w:tcPr>
            <w:tcW w:w="0" w:type="auto"/>
          </w:tcPr>
          <w:p>
            <w:pPr>
              <w:spacing w:line="240" w:lineRule="auto" w:before="0" w:after="0"/>
              <w:pStyle w:val="Compact"/>
            </w:pPr>
            <w:r>
              <w:rPr>
                <w:sz w:val="20"/>
                <w:szCs w:val="20"/>
              </w:rPr>
              <w:t xml:space="preserve">5.9915</w:t>
            </w:r>
          </w:p>
        </w:tc>
        <w:tc>
          <w:tcPr>
            <w:tcW w:w="0" w:type="auto"/>
          </w:tcPr>
          <w:p>
            <w:pPr>
              <w:spacing w:line="240" w:lineRule="auto" w:before="0" w:after="0"/>
              <w:pStyle w:val="Compact"/>
            </w:pPr>
            <w:r>
              <w:rPr>
                <w:sz w:val="20"/>
                <w:szCs w:val="20"/>
              </w:rPr>
              <w:t xml:space="preserve">earth_obs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GeoCarb Earth Venture mission and Wikipedia GeoCarb (cost cap ~USD 170M before 2022 cancellation; hosted-payload mass est ~400 kg) [illustrative mass]; en.wikipedia.org/wiki/GeoCarb</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964</w:t>
            </w:r>
          </w:p>
        </w:tc>
        <w:tc>
          <w:tcPr>
            <w:tcW w:w="0" w:type="auto"/>
          </w:tcPr>
          <w:p>
            <w:pPr>
              <w:spacing w:line="240" w:lineRule="auto" w:before="0" w:after="0"/>
              <w:pStyle w:val="Compact"/>
            </w:pPr>
            <w:r>
              <w:rPr>
                <w:sz w:val="20"/>
                <w:szCs w:val="20"/>
              </w:rPr>
              <w:t xml:space="preserve">1694</w:t>
            </w:r>
          </w:p>
        </w:tc>
        <w:tc>
          <w:tcPr>
            <w:tcW w:w="0" w:type="auto"/>
          </w:tcPr>
          <w:p>
            <w:pPr>
              <w:spacing w:line="240" w:lineRule="auto" w:before="0" w:after="0"/>
              <w:pStyle w:val="Compact"/>
            </w:pPr>
            <w:r>
              <w:rPr>
                <w:sz w:val="20"/>
                <w:szCs w:val="20"/>
              </w:rPr>
              <w:t xml:space="preserve">1694</w:t>
            </w:r>
          </w:p>
        </w:tc>
        <w:tc>
          <w:tcPr>
            <w:tcW w:w="0" w:type="auto"/>
          </w:tcPr>
          <w:p>
            <w:pPr>
              <w:spacing w:line="240" w:lineRule="auto" w:before="0" w:after="0"/>
              <w:pStyle w:val="Compact"/>
            </w:pPr>
            <w:r>
              <w:rPr>
                <w:sz w:val="20"/>
                <w:szCs w:val="20"/>
              </w:rPr>
              <w:t xml:space="preserve">6.8712</w:t>
            </w:r>
          </w:p>
        </w:tc>
        <w:tc>
          <w:tcPr>
            <w:tcW w:w="0" w:type="auto"/>
          </w:tcPr>
          <w:p>
            <w:pPr>
              <w:spacing w:line="240" w:lineRule="auto" w:before="0" w:after="0"/>
              <w:pStyle w:val="Compact"/>
            </w:pPr>
            <w:r>
              <w:rPr>
                <w:sz w:val="20"/>
                <w:szCs w:val="20"/>
              </w:rPr>
              <w:t xml:space="preserve">7.4348</w:t>
            </w:r>
          </w:p>
        </w:tc>
        <w:tc>
          <w:tcPr>
            <w:tcW w:w="0" w:type="auto"/>
          </w:tcPr>
          <w:p>
            <w:pPr>
              <w:spacing w:line="240" w:lineRule="auto" w:before="0" w:after="0"/>
              <w:pStyle w:val="Compact"/>
            </w:pPr>
            <w:r>
              <w:rPr>
                <w:sz w:val="20"/>
                <w:szCs w:val="20"/>
              </w:rPr>
              <w:t xml:space="preserve">earth_obs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PACE mission and Wikipedia PACE (lifecycle cost ~USD 964M; launch mass ~1694 kg); en.wikipedia.org/wiki/PACE_(satellite)</w:t>
            </w:r>
          </w:p>
        </w:tc>
      </w:tr>
      <w:tr>
        <w:tc>
          <w:tcPr>
            <w:tcW w:w="0" w:type="auto"/>
          </w:tcPr>
          <w:p>
            <w:pPr>
              <w:spacing w:line="240" w:lineRule="auto" w:before="0" w:after="0"/>
              <w:pStyle w:val="Compact"/>
            </w:pPr>
            <w:r>
              <w:rPr>
                <w:sz w:val="20"/>
                <w:szCs w:val="20"/>
              </w:rPr>
              <w:t xml:space="preserve">TEMPO</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4.4998</w:t>
            </w:r>
          </w:p>
        </w:tc>
        <w:tc>
          <w:tcPr>
            <w:tcW w:w="0" w:type="auto"/>
          </w:tcPr>
          <w:p>
            <w:pPr>
              <w:spacing w:line="240" w:lineRule="auto" w:before="0" w:after="0"/>
              <w:pStyle w:val="Compact"/>
            </w:pPr>
            <w:r>
              <w:rPr>
                <w:sz w:val="20"/>
                <w:szCs w:val="20"/>
              </w:rPr>
              <w:t xml:space="preserve">5.193</w:t>
            </w:r>
          </w:p>
        </w:tc>
        <w:tc>
          <w:tcPr>
            <w:tcW w:w="0" w:type="auto"/>
          </w:tcPr>
          <w:p>
            <w:pPr>
              <w:spacing w:line="240" w:lineRule="auto" w:before="0" w:after="0"/>
              <w:pStyle w:val="Compact"/>
            </w:pPr>
            <w:r>
              <w:rPr>
                <w:sz w:val="20"/>
                <w:szCs w:val="20"/>
              </w:rPr>
              <w:t xml:space="preserve">earth_obs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TEMPO Earth Venture instrument and Wikipedia TEMPO instrument (instrument cost ~USD 90M; instrument mass ~180 kg hosted on Intelsat 40e); en.wikipedia.org/wiki/TEMPO_(spacecraft_instrument)</w:t>
            </w:r>
          </w:p>
        </w:tc>
      </w:tr>
    </w:tbl>
    <w:bookmarkEnd w:id="197"/>
    <w:bookmarkStart w:id="198"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ln_cost</w:t>
            </w:r>
          </w:p>
        </w:tc>
        <w:tc>
          <w:tcPr>
            <w:tcW w:w="0" w:type="auto"/>
          </w:tcPr>
          <w:p>
            <w:pPr>
              <w:spacing w:line="240" w:lineRule="auto" w:before="0" w:after="0"/>
              <w:pStyle w:val="Compact"/>
            </w:pPr>
            <w:r>
              <w:rPr>
                <w:sz w:val="20"/>
                <w:szCs w:val="20"/>
              </w:rPr>
              <w:t xml:space="preserve">Natural logarithm of total mission lifecycle cost in millions of then-year US dollars (development, instruments, launch, and operations as reported)</w:t>
            </w:r>
          </w:p>
        </w:tc>
        <w:tc>
          <w:tcPr>
            <w:tcW w:w="0" w:type="auto"/>
          </w:tcPr>
          <w:p>
            <w:pPr>
              <w:spacing w:line="240" w:lineRule="auto" w:before="0" w:after="0"/>
              <w:pStyle w:val="Compact"/>
            </w:pPr>
            <w:r>
              <w:rPr>
                <w:sz w:val="20"/>
                <w:szCs w:val="20"/>
              </w:rPr>
              <w:t xml:space="preserve">Computed from NASA mission fact sheets, GAO Major Project Assessment reporting, eoPortal, and mission reference pages cited per row</w:t>
            </w:r>
          </w:p>
        </w:tc>
      </w:tr>
      <w:tr>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Natural logarithm of spacecraft launch mass in kilograms (or hosted-instrument mass for hosted payloads)</w:t>
            </w:r>
          </w:p>
        </w:tc>
        <w:tc>
          <w:tcPr>
            <w:tcW w:w="0" w:type="auto"/>
          </w:tcPr>
          <w:p>
            <w:pPr>
              <w:spacing w:line="240" w:lineRule="auto" w:before="0" w:after="0"/>
              <w:pStyle w:val="Compact"/>
            </w:pPr>
            <w:r>
              <w:rPr>
                <w:sz w:val="20"/>
                <w:szCs w:val="20"/>
              </w:rPr>
              <w:t xml:space="preserve">Computed from NASA mission pages, eoPortal, and Gunter’s Space Page mass figures cited per row</w:t>
            </w:r>
          </w:p>
        </w:tc>
      </w:tr>
      <w:tr>
        <w:tc>
          <w:tcPr>
            <w:tcW w:w="0" w:type="auto"/>
          </w:tcPr>
          <w:p>
            <w:pPr>
              <w:spacing w:line="240" w:lineRule="auto" w:before="0" w:after="0"/>
              <w:pStyle w:val="Compact"/>
            </w:pPr>
            <w:r>
              <w:rPr>
                <w:sz w:val="20"/>
                <w:szCs w:val="20"/>
              </w:rPr>
              <w:t xml:space="preserve">intl_partner</w:t>
            </w:r>
          </w:p>
        </w:tc>
        <w:tc>
          <w:tcPr>
            <w:tcW w:w="0" w:type="auto"/>
          </w:tcPr>
          <w:p>
            <w:pPr>
              <w:spacing w:line="240" w:lineRule="auto" w:before="0" w:after="0"/>
              <w:pStyle w:val="Compact"/>
            </w:pPr>
            <w:r>
              <w:rPr>
                <w:sz w:val="20"/>
                <w:szCs w:val="20"/>
              </w:rPr>
              <w:t xml:space="preserve">Indicator equal to 1 if the mission carries a formal international partner contributing instruments, spacecraft, or operations, 0 otherwise</w:t>
            </w:r>
          </w:p>
        </w:tc>
        <w:tc>
          <w:tcPr>
            <w:tcW w:w="0" w:type="auto"/>
          </w:tcPr>
          <w:p>
            <w:pPr>
              <w:spacing w:line="240" w:lineRule="auto" w:before="0" w:after="0"/>
              <w:pStyle w:val="Compact"/>
            </w:pPr>
            <w:r>
              <w:rPr>
                <w:sz w:val="20"/>
                <w:szCs w:val="20"/>
              </w:rPr>
              <w:t xml:space="preserve">Coded from mission partnership descriptions in NASA and partner-agency records</w:t>
            </w:r>
          </w:p>
        </w:tc>
      </w:tr>
      <w:tr>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Calendar year of launch, used as a proxy for technology era and then-year cost escalation</w:t>
            </w:r>
          </w:p>
        </w:tc>
        <w:tc>
          <w:tcPr>
            <w:tcW w:w="0" w:type="auto"/>
          </w:tcPr>
          <w:p>
            <w:pPr>
              <w:spacing w:line="240" w:lineRule="auto" w:before="0" w:after="0"/>
              <w:pStyle w:val="Compact"/>
            </w:pPr>
            <w:r>
              <w:rPr>
                <w:sz w:val="20"/>
                <w:szCs w:val="20"/>
              </w:rPr>
              <w:t xml:space="preserve">NASA and NOAA mission launch records</w:t>
            </w:r>
          </w:p>
        </w:tc>
      </w:tr>
      <w:tr>
        <w:tc>
          <w:tcPr>
            <w:tcW w:w="0" w:type="auto"/>
          </w:tcPr>
          <w:p>
            <w:pPr>
              <w:spacing w:line="240" w:lineRule="auto" w:before="0" w:after="0"/>
              <w:pStyle w:val="Compact"/>
            </w:pPr>
            <w:r>
              <w:rPr>
                <w:sz w:val="20"/>
                <w:szCs w:val="20"/>
              </w:rPr>
              <w:t xml:space="preserve">cost_musd</w:t>
            </w:r>
          </w:p>
        </w:tc>
        <w:tc>
          <w:tcPr>
            <w:tcW w:w="0" w:type="auto"/>
          </w:tcPr>
          <w:p>
            <w:pPr>
              <w:spacing w:line="240" w:lineRule="auto" w:before="0" w:after="0"/>
              <w:pStyle w:val="Compact"/>
            </w:pPr>
            <w:r>
              <w:rPr>
                <w:sz w:val="20"/>
                <w:szCs w:val="20"/>
              </w:rPr>
              <w:t xml:space="preserve">Total mission lifecycle cost in millions of then-year US dollars</w:t>
            </w:r>
          </w:p>
        </w:tc>
        <w:tc>
          <w:tcPr>
            <w:tcW w:w="0" w:type="auto"/>
          </w:tcPr>
          <w:p>
            <w:pPr>
              <w:spacing w:line="240" w:lineRule="auto" w:before="0" w:after="0"/>
              <w:pStyle w:val="Compact"/>
            </w:pPr>
            <w:r>
              <w:rPr>
                <w:sz w:val="20"/>
                <w:szCs w:val="20"/>
              </w:rPr>
              <w:t xml:space="preserve">NASA, NOAA, and GAO mission cost reporting cited per row</w:t>
            </w:r>
          </w:p>
        </w:tc>
      </w:tr>
      <w:tr>
        <w:tc>
          <w:tcPr>
            <w:tcW w:w="0" w:type="auto"/>
          </w:tcPr>
          <w:p>
            <w:pPr>
              <w:spacing w:line="240" w:lineRule="auto" w:before="0" w:after="0"/>
              <w:pStyle w:val="Compact"/>
            </w:pPr>
            <w:r>
              <w:rPr>
                <w:sz w:val="20"/>
                <w:szCs w:val="20"/>
              </w:rPr>
              <w:t xml:space="preserve">launch_mass_kg</w:t>
            </w:r>
          </w:p>
        </w:tc>
        <w:tc>
          <w:tcPr>
            <w:tcW w:w="0" w:type="auto"/>
          </w:tcPr>
          <w:p>
            <w:pPr>
              <w:spacing w:line="240" w:lineRule="auto" w:before="0" w:after="0"/>
              <w:pStyle w:val="Compact"/>
            </w:pPr>
            <w:r>
              <w:rPr>
                <w:sz w:val="20"/>
                <w:szCs w:val="20"/>
              </w:rPr>
              <w:t xml:space="preserve">Spacecraft launch mass in kilograms</w:t>
            </w:r>
          </w:p>
        </w:tc>
        <w:tc>
          <w:tcPr>
            <w:tcW w:w="0" w:type="auto"/>
          </w:tcPr>
          <w:p>
            <w:pPr>
              <w:spacing w:line="240" w:lineRule="auto" w:before="0" w:after="0"/>
              <w:pStyle w:val="Compact"/>
            </w:pPr>
            <w:r>
              <w:rPr>
                <w:sz w:val="20"/>
                <w:szCs w:val="20"/>
              </w:rPr>
              <w:t xml:space="preserve">NASA mission pages, eoPortal, and Gunter’s Space Page cited per row</w:t>
            </w:r>
          </w:p>
        </w:tc>
      </w:tr>
    </w:tbl>
    <w:bookmarkEnd w:id="198"/>
    <w:bookmarkEnd w:id="199"/>
    <w:bookmarkStart w:id="207" w:name="Xc406a063169a240891570914d0644d6576064ea"/>
    <w:p>
      <w:pPr>
        <w:pStyle w:val="Heading2"/>
        <w:spacing w:line="480" w:lineRule="auto"/>
      </w:pPr>
      <w:r>
        <w:t xml:space="preserve">A.2 Funding the Sensors: A Cost-Capability Scaling Curve for Ground-Based SSA, SDA, and Allied Optical Survey Telescopes</w:t>
      </w:r>
    </w:p>
    <w:p>
      <w:pPr>
        <w:pStyle w:val="FirstParagraph"/>
        <w:spacing w:line="480" w:lineRule="auto"/>
      </w:pPr>
      <m:oMathPara>
        <m:oMathParaPr>
          <m:jc m:val="center"/>
        </m:oMathParaPr>
        <m:oMath>
          <m:r>
            <m:rPr>
              <m:sty m:val="p"/>
            </m:rPr>
            <m:t>ln</m:t>
          </m:r>
          <m:r>
            <m:rPr>
              <m:sty m:val="p"/>
            </m:rPr>
            <m:t>(</m:t>
          </m:r>
          <m:sSub>
            <m:e>
              <m:r>
                <m:rPr>
                  <m:nor/>
                  <m:sty m:val="p"/>
                </m:rPr>
                <m:t>Cost</m:t>
              </m:r>
            </m:e>
            <m:sub>
              <m:r>
                <m:t>i</m:t>
              </m:r>
            </m:sub>
          </m:sSub>
          <m:r>
            <m:rPr>
              <m:sty m:val="p"/>
            </m:rPr>
            <m:t>)</m:t>
          </m:r>
          <m:r>
            <m:rPr>
              <m:sty m:val="p"/>
            </m:rPr>
            <m:t>=</m:t>
          </m:r>
          <m:r>
            <m:t>α</m:t>
          </m:r>
          <m:r>
            <m:rPr>
              <m:sty m:val="p"/>
            </m:rPr>
            <m:t>+</m:t>
          </m:r>
          <m:r>
            <m:t>β</m:t>
          </m:r>
          <m:r>
            <m:t> </m:t>
          </m:r>
          <m:r>
            <m:rPr>
              <m:sty m:val="p"/>
            </m:rPr>
            <m:t>ln</m:t>
          </m:r>
          <m:r>
            <m:rPr>
              <m:sty m:val="p"/>
            </m:rPr>
            <m:t>(</m:t>
          </m:r>
          <m:sSub>
            <m:e>
              <m:r>
                <m:rPr>
                  <m:nor/>
                  <m:sty m:val="p"/>
                </m:rPr>
                <m:t>Area</m:t>
              </m:r>
            </m:e>
            <m:sub>
              <m:r>
                <m:t>i</m:t>
              </m:r>
            </m:sub>
          </m:sSub>
          <m:r>
            <m:rPr>
              <m:sty m:val="p"/>
            </m:rPr>
            <m:t>)</m:t>
          </m:r>
          <m:r>
            <m:rPr>
              <m:sty m:val="p"/>
            </m:rPr>
            <m:t>+</m:t>
          </m:r>
          <m:sSub>
            <m:e>
              <m:r>
                <m:t>ε</m:t>
              </m:r>
            </m:e>
            <m:sub>
              <m:r>
                <m:t>i</m:t>
              </m:r>
            </m:sub>
          </m:sSub>
        </m:oMath>
      </m:oMathPara>
    </w:p>
    <w:bookmarkStart w:id="200"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1.9088</w:t>
            </w:r>
          </w:p>
        </w:tc>
        <w:tc>
          <w:tcPr>
            <w:tcW w:w="0" w:type="auto"/>
          </w:tcPr>
          <w:p>
            <w:pPr>
              <w:spacing w:line="240" w:lineRule="auto" w:before="0" w:after="0"/>
              <w:pStyle w:val="Compact"/>
            </w:pPr>
            <w:r>
              <w:rPr>
                <w:sz w:val="20"/>
                <w:szCs w:val="20"/>
              </w:rPr>
              <w:t xml:space="preserve">0.2419</w:t>
            </w:r>
          </w:p>
        </w:tc>
        <w:tc>
          <w:tcPr>
            <w:tcW w:w="0" w:type="auto"/>
          </w:tcPr>
          <w:p>
            <w:pPr>
              <w:spacing w:line="240" w:lineRule="auto" w:before="0" w:after="0"/>
              <w:pStyle w:val="Compact"/>
            </w:pPr>
            <w:r>
              <w:rPr>
                <w:sz w:val="20"/>
                <w:szCs w:val="20"/>
              </w:rPr>
              <w:t xml:space="preserve">7.8918</w:t>
            </w:r>
          </w:p>
        </w:tc>
        <w:tc>
          <w:tcPr>
            <w:tcW w:w="0" w:type="auto"/>
          </w:tcPr>
          <w:p>
            <w:pPr>
              <w:spacing w:line="240" w:lineRule="auto" w:before="0" w:after="0"/>
              <w:pStyle w:val="Compact"/>
            </w:pPr>
            <w:r>
              <w:rPr>
                <w:sz w:val="20"/>
                <w:szCs w:val="20"/>
              </w:rPr>
              <w:t xml:space="preserve">2.978e-15</w:t>
            </w:r>
          </w:p>
        </w:tc>
        <w:tc>
          <w:tcPr>
            <w:tcW w:w="0" w:type="auto"/>
          </w:tcPr>
          <w:p>
            <w:pPr>
              <w:spacing w:line="240" w:lineRule="auto" w:before="0" w:after="0"/>
              <w:pStyle w:val="Compact"/>
            </w:pPr>
            <w:r>
              <w:rPr>
                <w:sz w:val="20"/>
                <w:szCs w:val="20"/>
              </w:rPr>
              <w:t xml:space="preserve">[1.4347, 2.3828]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0.7156</w:t>
            </w:r>
          </w:p>
        </w:tc>
        <w:tc>
          <w:tcPr>
            <w:tcW w:w="0" w:type="auto"/>
          </w:tcPr>
          <w:p>
            <w:pPr>
              <w:spacing w:line="240" w:lineRule="auto" w:before="0" w:after="0"/>
              <w:pStyle w:val="Compact"/>
            </w:pPr>
            <w:r>
              <w:rPr>
                <w:sz w:val="20"/>
                <w:szCs w:val="20"/>
              </w:rPr>
              <w:t xml:space="preserve">0.0917</w:t>
            </w:r>
          </w:p>
        </w:tc>
        <w:tc>
          <w:tcPr>
            <w:tcW w:w="0" w:type="auto"/>
          </w:tcPr>
          <w:p>
            <w:pPr>
              <w:spacing w:line="240" w:lineRule="auto" w:before="0" w:after="0"/>
              <w:pStyle w:val="Compact"/>
            </w:pPr>
            <w:r>
              <w:rPr>
                <w:sz w:val="20"/>
                <w:szCs w:val="20"/>
              </w:rPr>
              <w:t xml:space="preserve">7.8018</w:t>
            </w:r>
          </w:p>
        </w:tc>
        <w:tc>
          <w:tcPr>
            <w:tcW w:w="0" w:type="auto"/>
          </w:tcPr>
          <w:p>
            <w:pPr>
              <w:spacing w:line="240" w:lineRule="auto" w:before="0" w:after="0"/>
              <w:pStyle w:val="Compact"/>
            </w:pPr>
            <w:r>
              <w:rPr>
                <w:sz w:val="20"/>
                <w:szCs w:val="20"/>
              </w:rPr>
              <w:t xml:space="preserve">6.101e-15</w:t>
            </w:r>
          </w:p>
        </w:tc>
        <w:tc>
          <w:tcPr>
            <w:tcW w:w="0" w:type="auto"/>
          </w:tcPr>
          <w:p>
            <w:pPr>
              <w:spacing w:line="240" w:lineRule="auto" w:before="0" w:after="0"/>
              <w:pStyle w:val="Compact"/>
            </w:pPr>
            <w:r>
              <w:rPr>
                <w:sz w:val="20"/>
                <w:szCs w:val="20"/>
              </w:rPr>
              <w:t xml:space="preserve">[0.5359, 0.8954]</w:t>
            </w:r>
          </w:p>
        </w:tc>
      </w:tr>
    </w:tbl>
    <w:p>
      <w:pPr>
        <w:pStyle w:val="BodyText"/>
        <w:spacing w:line="480" w:lineRule="auto"/>
        <w:ind w:firstLine="720"/>
      </w:pPr>
      <w:r>
        <w:t xml:space="preserve">Fit: N = 24 R2 = 0.7042 elasticity_b = 0.7156 progress_ratio_2^b = 1.6422</w:t>
      </w:r>
    </w:p>
    <w:bookmarkEnd w:id="200"/>
    <w:bookmarkStart w:id="204"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ost-capability scaling curve for ground-based SSA, SDA, and allied optical survey telescopes. Each point is a documented sensor system; the line is the fitted log-log relationship between collecting area and acquisition cost." title="" id="202" name="Picture"/>
            <a:graphic>
              <a:graphicData uri="http://schemas.openxmlformats.org/drawingml/2006/picture">
                <pic:pic>
                  <pic:nvPicPr>
                    <pic:cNvPr descr="D:/Claude_Code/brain/collegium/candidates/dissertations/SSA_SDA_12/research_papers/p2/paper_fig1.png" id="203" name="Picture"/>
                    <pic:cNvPicPr>
                      <a:picLocks noChangeArrowheads="1" noChangeAspect="1"/>
                    </pic:cNvPicPr>
                  </pic:nvPicPr>
                  <pic:blipFill>
                    <a:blip r:embed="rId20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Cost-capability scaling curve for ground-based SSA, SDA, and allied optical survey telescopes. Each point is a documented sensor system; the line is the fitted log-log relationship between collecting area and acquisition cost.</w:t>
      </w:r>
    </w:p>
    <w:bookmarkEnd w:id="204"/>
    <w:bookmarkStart w:id="205"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system</w:t>
            </w:r>
          </w:p>
        </w:tc>
        <w:tc>
          <w:tcPr>
            <w:tcW w:w="0" w:type="auto"/>
          </w:tcPr>
          <w:p>
            <w:pPr>
              <w:spacing w:line="240" w:lineRule="auto" w:before="0" w:after="0"/>
              <w:pStyle w:val="Compact"/>
            </w:pPr>
            <w:r>
              <w:rPr>
                <w:sz w:val="20"/>
                <w:szCs w:val="20"/>
              </w:rPr>
              <w:t xml:space="preserve">year_first_light</w:t>
            </w:r>
          </w:p>
        </w:tc>
        <w:tc>
          <w:tcPr>
            <w:tcW w:w="0" w:type="auto"/>
          </w:tcPr>
          <w:p>
            <w:pPr>
              <w:spacing w:line="240" w:lineRule="auto" w:before="0" w:after="0"/>
              <w:pStyle w:val="Compact"/>
            </w:pPr>
            <w:r>
              <w:rPr>
                <w:sz w:val="20"/>
                <w:szCs w:val="20"/>
              </w:rPr>
              <w:t xml:space="preserve">aperture_m</w:t>
            </w:r>
          </w:p>
        </w:tc>
        <w:tc>
          <w:tcPr>
            <w:tcW w:w="0" w:type="auto"/>
          </w:tcPr>
          <w:p>
            <w:pPr>
              <w:spacing w:line="240" w:lineRule="auto" w:before="0" w:after="0"/>
              <w:pStyle w:val="Compact"/>
            </w:pPr>
            <w:r>
              <w:rPr>
                <w:sz w:val="20"/>
                <w:szCs w:val="20"/>
              </w:rPr>
              <w:t xml:space="preserve">collecting_area_m2</w:t>
            </w:r>
          </w:p>
        </w:tc>
        <w:tc>
          <w:tcPr>
            <w:tcW w:w="0" w:type="auto"/>
          </w:tcPr>
          <w:p>
            <w:pPr>
              <w:spacing w:line="240" w:lineRule="auto" w:before="0" w:after="0"/>
              <w:pStyle w:val="Compact"/>
            </w:pPr>
            <w:r>
              <w:rPr>
                <w:sz w:val="20"/>
                <w:szCs w:val="20"/>
              </w:rPr>
              <w:t xml:space="preserve">acq_cost_musd</w:t>
            </w:r>
          </w:p>
        </w:tc>
        <w:tc>
          <w:tcPr>
            <w:tcW w:w="0" w:type="auto"/>
          </w:tcPr>
          <w:p>
            <w:pPr>
              <w:spacing w:line="240" w:lineRule="auto" w:before="0" w:after="0"/>
              <w:pStyle w:val="Compact"/>
            </w:pPr>
            <w:r>
              <w:rPr>
                <w:sz w:val="20"/>
                <w:szCs w:val="20"/>
              </w:rPr>
              <w:t xml:space="preserve">sensor_class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Space Surveillance Telescope (SST)</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9.62</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SDA_optical</w:t>
            </w:r>
          </w:p>
        </w:tc>
        <w:tc>
          <w:tcPr>
            <w:tcW w:w="0" w:type="auto"/>
          </w:tcPr>
          <w:p>
            <w:pPr>
              <w:spacing w:line="240" w:lineRule="auto" w:before="0" w:after="0"/>
              <w:pStyle w:val="Compact"/>
            </w:pPr>
            <w:r>
              <w:rPr>
                <w:sz w:val="20"/>
                <w:szCs w:val="20"/>
              </w:rPr>
              <w:t xml:space="preserve">DARPA SST program cost through first light reported $110M; aperture 3.5 m. Wikipedia</w:t>
            </w:r>
            <w:r>
              <w:rPr>
                <w:sz w:val="20"/>
                <w:szCs w:val="20"/>
              </w:rPr>
              <w:t xml:space="preserve"> </w:t>
            </w:r>
            <w:r>
              <w:rPr>
                <w:sz w:val="20"/>
                <w:szCs w:val="20"/>
              </w:rPr>
              <w:t xml:space="preserve">‘Space Surveillance Telescope’</w:t>
            </w:r>
            <w:r>
              <w:rPr>
                <w:sz w:val="20"/>
                <w:szCs w:val="20"/>
              </w:rPr>
              <w:t xml:space="preserve"> </w:t>
            </w:r>
            <w:r>
              <w:rPr>
                <w:sz w:val="20"/>
                <w:szCs w:val="20"/>
              </w:rPr>
              <w:t xml:space="preserve">citing DARPA/MIT Lincoln Laboratory, en.wikipedia.org/wiki/Space_Surveillance_Telescope (retrieved 2026-06).</w:t>
            </w:r>
          </w:p>
        </w:tc>
      </w:tr>
      <w:tr>
        <w:tc>
          <w:tcPr>
            <w:tcW w:w="0" w:type="auto"/>
          </w:tcPr>
          <w:p>
            <w:pPr>
              <w:spacing w:line="240" w:lineRule="auto" w:before="0" w:after="0"/>
              <w:pStyle w:val="Compact"/>
            </w:pPr>
            <w:r>
              <w:rPr>
                <w:sz w:val="20"/>
                <w:szCs w:val="20"/>
              </w:rPr>
              <w:t xml:space="preserve">Vera C. Rubin Observatory (LSST)</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55.42</w:t>
            </w:r>
          </w:p>
        </w:tc>
        <w:tc>
          <w:tcPr>
            <w:tcW w:w="0" w:type="auto"/>
          </w:tcPr>
          <w:p>
            <w:pPr>
              <w:spacing w:line="240" w:lineRule="auto" w:before="0" w:after="0"/>
              <w:pStyle w:val="Compact"/>
            </w:pPr>
            <w:r>
              <w:rPr>
                <w:sz w:val="20"/>
                <w:szCs w:val="20"/>
              </w:rPr>
              <w:t xml:space="preserve">810</w:t>
            </w:r>
          </w:p>
        </w:tc>
        <w:tc>
          <w:tcPr>
            <w:tcW w:w="0" w:type="auto"/>
          </w:tcPr>
          <w:p>
            <w:pPr>
              <w:spacing w:line="240" w:lineRule="auto" w:before="0" w:after="0"/>
              <w:pStyle w:val="Compact"/>
            </w:pPr>
            <w:r>
              <w:rPr>
                <w:sz w:val="20"/>
                <w:szCs w:val="20"/>
              </w:rPr>
              <w:t xml:space="preserve">survey_optical</w:t>
            </w:r>
          </w:p>
        </w:tc>
        <w:tc>
          <w:tcPr>
            <w:tcW w:w="0" w:type="auto"/>
          </w:tcPr>
          <w:p>
            <w:pPr>
              <w:spacing w:line="240" w:lineRule="auto" w:before="0" w:after="0"/>
              <w:pStyle w:val="Compact"/>
            </w:pPr>
            <w:r>
              <w:rPr>
                <w:sz w:val="20"/>
                <w:szCs w:val="20"/>
              </w:rPr>
              <w:t xml:space="preserve">Total project cost reported ~$810M; effective aperture 8.4 m. UCSC news 2025-06 ($810M project); Wikipedia</w:t>
            </w:r>
            <w:r>
              <w:rPr>
                <w:sz w:val="20"/>
                <w:szCs w:val="20"/>
              </w:rPr>
              <w:t xml:space="preserve"> </w:t>
            </w:r>
            <w:r>
              <w:rPr>
                <w:sz w:val="20"/>
                <w:szCs w:val="20"/>
              </w:rPr>
              <w:t xml:space="preserve">‘Vera C. Rubin Observatory’</w:t>
            </w:r>
            <w:r>
              <w:rPr>
                <w:sz w:val="20"/>
                <w:szCs w:val="20"/>
              </w:rPr>
              <w:t xml:space="preserve">, en.wikipedia.org/wiki/Vera_C._Rubin_Observatory (retrieved 2026-06).</w:t>
            </w:r>
          </w:p>
        </w:tc>
      </w:tr>
      <w:tr>
        <w:tc>
          <w:tcPr>
            <w:tcW w:w="0" w:type="auto"/>
          </w:tcPr>
          <w:p>
            <w:pPr>
              <w:spacing w:line="240" w:lineRule="auto" w:before="0" w:after="0"/>
              <w:pStyle w:val="Compact"/>
            </w:pPr>
            <w:r>
              <w:rPr>
                <w:sz w:val="20"/>
                <w:szCs w:val="20"/>
              </w:rPr>
              <w:t xml:space="preserve">Pan-STARRS PS1</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2.54</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survey_optical</w:t>
            </w:r>
          </w:p>
        </w:tc>
        <w:tc>
          <w:tcPr>
            <w:tcW w:w="0" w:type="auto"/>
          </w:tcPr>
          <w:p>
            <w:pPr>
              <w:spacing w:line="240" w:lineRule="auto" w:before="0" w:after="0"/>
              <w:pStyle w:val="Compact"/>
            </w:pPr>
            <w:r>
              <w:rPr>
                <w:sz w:val="20"/>
                <w:szCs w:val="20"/>
              </w:rPr>
              <w:t xml:space="preserve">PS1 1.8 m aperture USAF-funded build ~$75M [illustrative consortium-build allocation]. ifa.hawaii.edu Pan-STARRS; Wikipedia</w:t>
            </w:r>
            <w:r>
              <w:rPr>
                <w:sz w:val="20"/>
                <w:szCs w:val="20"/>
              </w:rPr>
              <w:t xml:space="preserve"> </w:t>
            </w:r>
            <w:r>
              <w:rPr>
                <w:sz w:val="20"/>
                <w:szCs w:val="20"/>
              </w:rPr>
              <w:t xml:space="preserve">‘Pan-STARRS’</w:t>
            </w:r>
            <w:r>
              <w:rPr>
                <w:sz w:val="20"/>
                <w:szCs w:val="20"/>
              </w:rPr>
              <w:t xml:space="preserve"> </w:t>
            </w:r>
            <w:r>
              <w:rPr>
                <w:sz w:val="20"/>
                <w:szCs w:val="20"/>
              </w:rPr>
              <w:t xml:space="preserve">(retrieved 2026-06).</w:t>
            </w:r>
          </w:p>
        </w:tc>
      </w:tr>
      <w:tr>
        <w:tc>
          <w:tcPr>
            <w:tcW w:w="0" w:type="auto"/>
          </w:tcPr>
          <w:p>
            <w:pPr>
              <w:spacing w:line="240" w:lineRule="auto" w:before="0" w:after="0"/>
              <w:pStyle w:val="Compact"/>
            </w:pPr>
            <w:r>
              <w:rPr>
                <w:sz w:val="20"/>
                <w:szCs w:val="20"/>
              </w:rPr>
              <w:t xml:space="preserve">ATLAS Haleakala</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0.196</w:t>
            </w:r>
          </w:p>
        </w:tc>
        <w:tc>
          <w:tcPr>
            <w:tcW w:w="0" w:type="auto"/>
          </w:tcPr>
          <w:p>
            <w:pPr>
              <w:spacing w:line="240" w:lineRule="auto" w:before="0" w:after="0"/>
              <w:pStyle w:val="Compact"/>
            </w:pPr>
            <w:r>
              <w:rPr>
                <w:sz w:val="20"/>
                <w:szCs w:val="20"/>
              </w:rPr>
              <w:t xml:space="preserve">1.75</w:t>
            </w:r>
          </w:p>
        </w:tc>
        <w:tc>
          <w:tcPr>
            <w:tcW w:w="0" w:type="auto"/>
          </w:tcPr>
          <w:p>
            <w:pPr>
              <w:spacing w:line="240" w:lineRule="auto" w:before="0" w:after="0"/>
              <w:pStyle w:val="Compact"/>
            </w:pPr>
            <w:r>
              <w:rPr>
                <w:sz w:val="20"/>
                <w:szCs w:val="20"/>
              </w:rPr>
              <w:t xml:space="preserve">survey_optical</w:t>
            </w:r>
          </w:p>
        </w:tc>
        <w:tc>
          <w:tcPr>
            <w:tcW w:w="0" w:type="auto"/>
          </w:tcPr>
          <w:p>
            <w:pPr>
              <w:spacing w:line="240" w:lineRule="auto" w:before="0" w:after="0"/>
              <w:pStyle w:val="Compact"/>
            </w:pPr>
            <w:r>
              <w:rPr>
                <w:sz w:val="20"/>
                <w:szCs w:val="20"/>
              </w:rPr>
              <w:t xml:space="preserve">ATLAS 0.5 m units; initial NASA grant $5M, $3.5M for first 3 years/two units =&gt; ~$1.75M per unit. Wikipedia</w:t>
            </w:r>
            <w:r>
              <w:rPr>
                <w:sz w:val="20"/>
                <w:szCs w:val="20"/>
              </w:rPr>
              <w:t xml:space="preserve"> </w:t>
            </w:r>
            <w:r>
              <w:rPr>
                <w:sz w:val="20"/>
                <w:szCs w:val="20"/>
              </w:rPr>
              <w:t xml:space="preserve">‘Asteroid Terrestrial-impact Last Alert System’</w:t>
            </w:r>
            <w:r>
              <w:rPr>
                <w:sz w:val="20"/>
                <w:szCs w:val="20"/>
              </w:rPr>
              <w:t xml:space="preserve">; atlas.fallingstar.com (retrieved 2026-06).</w:t>
            </w:r>
          </w:p>
        </w:tc>
      </w:tr>
      <w:tr>
        <w:tc>
          <w:tcPr>
            <w:tcW w:w="0" w:type="auto"/>
          </w:tcPr>
          <w:p>
            <w:pPr>
              <w:spacing w:line="240" w:lineRule="auto" w:before="0" w:after="0"/>
              <w:pStyle w:val="Compact"/>
            </w:pPr>
            <w:r>
              <w:rPr>
                <w:sz w:val="20"/>
                <w:szCs w:val="20"/>
              </w:rPr>
              <w:t xml:space="preserve">ATLAS Mauna Loa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0.196</w:t>
            </w:r>
          </w:p>
        </w:tc>
        <w:tc>
          <w:tcPr>
            <w:tcW w:w="0" w:type="auto"/>
          </w:tcPr>
          <w:p>
            <w:pPr>
              <w:spacing w:line="240" w:lineRule="auto" w:before="0" w:after="0"/>
              <w:pStyle w:val="Compact"/>
            </w:pPr>
            <w:r>
              <w:rPr>
                <w:sz w:val="20"/>
                <w:szCs w:val="20"/>
              </w:rPr>
              <w:t xml:space="preserve">1.75</w:t>
            </w:r>
          </w:p>
        </w:tc>
        <w:tc>
          <w:tcPr>
            <w:tcW w:w="0" w:type="auto"/>
          </w:tcPr>
          <w:p>
            <w:pPr>
              <w:spacing w:line="240" w:lineRule="auto" w:before="0" w:after="0"/>
              <w:pStyle w:val="Compact"/>
            </w:pPr>
            <w:r>
              <w:rPr>
                <w:sz w:val="20"/>
                <w:szCs w:val="20"/>
              </w:rPr>
              <w:t xml:space="preserve">survey_optical</w:t>
            </w:r>
          </w:p>
        </w:tc>
        <w:tc>
          <w:tcPr>
            <w:tcW w:w="0" w:type="auto"/>
          </w:tcPr>
          <w:p>
            <w:pPr>
              <w:spacing w:line="240" w:lineRule="auto" w:before="0" w:after="0"/>
              <w:pStyle w:val="Compact"/>
            </w:pPr>
            <w:r>
              <w:rPr>
                <w:sz w:val="20"/>
                <w:szCs w:val="20"/>
              </w:rPr>
              <w:t xml:space="preserve">ATLAS 0.5 m second northern unit; per-unit ~$1.75M from $3.5M two-unit build. Wikipedia ATLAS; atlas.fallingstar.com/nasa_funding.php (retrieved 2026-06).</w:t>
            </w:r>
          </w:p>
        </w:tc>
      </w:tr>
      <w:tr>
        <w:tc>
          <w:tcPr>
            <w:tcW w:w="0" w:type="auto"/>
          </w:tcPr>
          <w:p>
            <w:pPr>
              <w:spacing w:line="240" w:lineRule="auto" w:before="0" w:after="0"/>
              <w:pStyle w:val="Compact"/>
            </w:pPr>
            <w:r>
              <w:rPr>
                <w:sz w:val="20"/>
                <w:szCs w:val="20"/>
              </w:rPr>
              <w:t xml:space="preserve">ATLAS Sutherland</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0.196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survey_optical</w:t>
            </w:r>
          </w:p>
        </w:tc>
        <w:tc>
          <w:tcPr>
            <w:tcW w:w="0" w:type="auto"/>
          </w:tcPr>
          <w:p>
            <w:pPr>
              <w:spacing w:line="240" w:lineRule="auto" w:before="0" w:after="0"/>
              <w:pStyle w:val="Compact"/>
            </w:pPr>
            <w:r>
              <w:rPr>
                <w:sz w:val="20"/>
                <w:szCs w:val="20"/>
              </w:rPr>
              <w:t xml:space="preserve">ATLAS southern expansion; 2018 NASA award $3.8M for two southern telescopes =&gt; ~$1.9M per unit. Wikipedia ATLAS; atlas.fallingstar.com (retrieved 2026-06).</w:t>
            </w:r>
          </w:p>
        </w:tc>
      </w:tr>
      <w:tr>
        <w:tc>
          <w:tcPr>
            <w:tcW w:w="0" w:type="auto"/>
          </w:tcPr>
          <w:p>
            <w:pPr>
              <w:spacing w:line="240" w:lineRule="auto" w:before="0" w:after="0"/>
              <w:pStyle w:val="Compact"/>
            </w:pPr>
            <w:r>
              <w:rPr>
                <w:sz w:val="20"/>
                <w:szCs w:val="20"/>
              </w:rPr>
              <w:t xml:space="preserve">ATLAS El Sauce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0.196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survey_optical</w:t>
            </w:r>
          </w:p>
        </w:tc>
        <w:tc>
          <w:tcPr>
            <w:tcW w:w="0" w:type="auto"/>
          </w:tcPr>
          <w:p>
            <w:pPr>
              <w:spacing w:line="240" w:lineRule="auto" w:before="0" w:after="0"/>
              <w:pStyle w:val="Compact"/>
            </w:pPr>
            <w:r>
              <w:rPr>
                <w:sz w:val="20"/>
                <w:szCs w:val="20"/>
              </w:rPr>
              <w:t xml:space="preserve">ATLAS southern Chile unit; per-unit ~$1.9M from $3.8M two-unit award. Wikipedia ATLAS; atlas.fallingstar.com (retrieved 2026-06).</w:t>
            </w:r>
          </w:p>
        </w:tc>
      </w:tr>
      <w:tr>
        <w:tc>
          <w:tcPr>
            <w:tcW w:w="0" w:type="auto"/>
          </w:tcPr>
          <w:p>
            <w:pPr>
              <w:spacing w:line="240" w:lineRule="auto" w:before="0" w:after="0"/>
              <w:pStyle w:val="Compact"/>
            </w:pPr>
            <w:r>
              <w:rPr>
                <w:sz w:val="20"/>
                <w:szCs w:val="20"/>
              </w:rPr>
              <w:t xml:space="preserve">Catalina 1.5 m Mt Lemmon</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1.767</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survey_optical</w:t>
            </w:r>
          </w:p>
        </w:tc>
        <w:tc>
          <w:tcPr>
            <w:tcW w:w="0" w:type="auto"/>
          </w:tcPr>
          <w:p>
            <w:pPr>
              <w:spacing w:line="240" w:lineRule="auto" w:before="0" w:after="0"/>
              <w:pStyle w:val="Compact"/>
            </w:pPr>
            <w:r>
              <w:rPr>
                <w:sz w:val="20"/>
                <w:szCs w:val="20"/>
              </w:rPr>
              <w:t xml:space="preserve">CSS 1.5 m f/1.6 reflector; 2012 NASA</w:t>
            </w:r>
            <w:r>
              <w:rPr>
                <w:sz w:val="20"/>
                <w:szCs w:val="20"/>
              </w:rPr>
              <w:t xml:space="preserve"> </w:t>
            </w:r>
            <m:oMath>
              <m:r>
                <m:t>4.1</m:t>
              </m:r>
              <m:r>
                <m:t>M</m:t>
              </m:r>
              <m:r>
                <m:t>c</m:t>
              </m:r>
              <m:r>
                <m:t>a</m:t>
              </m:r>
              <m:r>
                <m:t>m</m:t>
              </m:r>
              <m:r>
                <m:t>e</m:t>
              </m:r>
              <m:r>
                <m:t>r</m:t>
              </m:r>
              <m:r>
                <m:t>a</m:t>
              </m:r>
              <m:r>
                <m:rPr>
                  <m:sty m:val="p"/>
                </m:rPr>
                <m:t>/</m:t>
              </m:r>
              <m:r>
                <m:t>i</m:t>
              </m:r>
              <m:r>
                <m:t>n</m:t>
              </m:r>
              <m:r>
                <m:t>s</m:t>
              </m:r>
              <m:r>
                <m:t>t</m:t>
              </m:r>
              <m:r>
                <m:t>r</m:t>
              </m:r>
              <m:r>
                <m:t>u</m:t>
              </m:r>
              <m:r>
                <m:t>m</m:t>
              </m:r>
              <m:r>
                <m:t>e</m:t>
              </m:r>
              <m:r>
                <m:t>n</m:t>
              </m:r>
              <m:r>
                <m:t>t</m:t>
              </m:r>
              <m:r>
                <m:t>a</m:t>
              </m:r>
              <m:r>
                <m:t>t</m:t>
              </m:r>
              <m:r>
                <m:t>i</m:t>
              </m:r>
              <m:r>
                <m:t>o</m:t>
              </m:r>
              <m:r>
                <m:t>n</m:t>
              </m:r>
              <m:r>
                <m:t>u</m:t>
              </m:r>
              <m:r>
                <m:t>p</m:t>
              </m:r>
              <m:r>
                <m:t>g</m:t>
              </m:r>
              <m:r>
                <m:t>r</m:t>
              </m:r>
              <m:r>
                <m:t>a</m:t>
              </m:r>
              <m:r>
                <m:t>d</m:t>
              </m:r>
              <m:r>
                <m:t>e</m:t>
              </m:r>
              <m:r>
                <m:t>a</m:t>
              </m:r>
              <m:r>
                <m:t>s</m:t>
              </m:r>
              <m:r>
                <m:t>d</m:t>
              </m:r>
              <m:r>
                <m:t>o</m:t>
              </m:r>
              <m:r>
                <m:t>c</m:t>
              </m:r>
              <m:r>
                <m:t>u</m:t>
              </m:r>
              <m:r>
                <m:t>m</m:t>
              </m:r>
              <m:r>
                <m:t>e</m:t>
              </m:r>
              <m:r>
                <m:t>n</m:t>
              </m:r>
              <m:r>
                <m:t>t</m:t>
              </m:r>
              <m:r>
                <m:t>e</m:t>
              </m:r>
              <m:r>
                <m:t>d</m:t>
              </m:r>
              <m:r>
                <m:t>c</m:t>
              </m:r>
              <m:r>
                <m:t>a</m:t>
              </m:r>
              <m:r>
                <m:t>p</m:t>
              </m:r>
              <m:r>
                <m:t>i</m:t>
              </m:r>
              <m:r>
                <m:t>t</m:t>
              </m:r>
              <m:r>
                <m:t>a</m:t>
              </m:r>
              <m:r>
                <m:t>l</m:t>
              </m:r>
              <m:r>
                <m:rPr>
                  <m:sty m:val="p"/>
                </m:rPr>
                <m:t>.</m:t>
              </m:r>
              <m:r>
                <m:t>c</m:t>
              </m:r>
              <m:r>
                <m:t>a</m:t>
              </m:r>
              <m:r>
                <m:t>t</m:t>
              </m:r>
              <m:r>
                <m:t>a</m:t>
              </m:r>
              <m:r>
                <m:t>l</m:t>
              </m:r>
              <m:r>
                <m:t>i</m:t>
              </m:r>
              <m:r>
                <m:t>n</m:t>
              </m:r>
              <m:r>
                <m:t>a</m:t>
              </m:r>
              <m:r>
                <m:rPr>
                  <m:sty m:val="p"/>
                </m:rPr>
                <m:t>.</m:t>
              </m:r>
              <m:r>
                <m:t>l</m:t>
              </m:r>
              <m:r>
                <m:t>p</m:t>
              </m:r>
              <m:r>
                <m:t>l</m:t>
              </m:r>
              <m:r>
                <m:rPr>
                  <m:sty m:val="p"/>
                </m:rPr>
                <m:t>.</m:t>
              </m:r>
              <m:r>
                <m:t>a</m:t>
              </m:r>
              <m:r>
                <m:t>r</m:t>
              </m:r>
              <m:r>
                <m:t>i</m:t>
              </m:r>
              <m:r>
                <m:t>z</m:t>
              </m:r>
              <m:r>
                <m:t>o</m:t>
              </m:r>
              <m:r>
                <m:t>n</m:t>
              </m:r>
              <m:r>
                <m:t>a</m:t>
              </m:r>
              <m:r>
                <m:rPr>
                  <m:sty m:val="p"/>
                </m:rPr>
                <m:t>.</m:t>
              </m:r>
              <m:r>
                <m:t>e</m:t>
              </m:r>
              <m:r>
                <m:t>d</m:t>
              </m:r>
              <m:r>
                <m:t>u</m:t>
              </m:r>
              <m:r>
                <m:rPr>
                  <m:sty m:val="p"/>
                </m:rPr>
                <m:t>;</m:t>
              </m:r>
              <m:r>
                <m:t>S</m:t>
              </m:r>
              <m:r>
                <m:t>p</m:t>
              </m:r>
              <m:r>
                <m:t>a</m:t>
              </m:r>
              <m:r>
                <m:t>c</m:t>
              </m:r>
              <m:r>
                <m:t>e</m:t>
              </m:r>
              <m:r>
                <m:rPr>
                  <m:sty m:val="p"/>
                </m:rPr>
                <m:t>.</m:t>
              </m:r>
              <m:r>
                <m:t>c</m:t>
              </m:r>
              <m:r>
                <m:t>o</m:t>
              </m:r>
              <m:r>
                <m:t>m</m:t>
              </m:r>
              <m:r>
                <m:t>2012</m:t>
              </m:r>
              <m:r>
                <m:t>N</m:t>
              </m:r>
              <m:r>
                <m:t>A</m:t>
              </m:r>
              <m:r>
                <m:t>S</m:t>
              </m:r>
              <m:r>
                <m:t>A</m:t>
              </m:r>
              <m:r>
                <m:t>f</m:t>
              </m:r>
              <m:r>
                <m:t>u</m:t>
              </m:r>
              <m:r>
                <m:t>n</m:t>
              </m:r>
              <m:r>
                <m:t>d</m:t>
              </m:r>
              <m:r>
                <m:t>i</m:t>
              </m:r>
              <m:r>
                <m:t>n</m:t>
              </m:r>
              <m:r>
                <m:t>g</m:t>
              </m:r>
              <m:r>
                <m:rPr>
                  <m:sty m:val="p"/>
                </m:rPr>
                <m:t>,</m:t>
              </m:r>
              <m:r>
                <m:t>s</m:t>
              </m:r>
              <m:r>
                <m:t>p</m:t>
              </m:r>
              <m:r>
                <m:t>a</m:t>
              </m:r>
              <m:r>
                <m:t>c</m:t>
              </m:r>
              <m:r>
                <m:t>e</m:t>
              </m:r>
              <m:r>
                <m:rPr>
                  <m:sty m:val="p"/>
                </m:rPr>
                <m:t>.</m:t>
              </m:r>
              <m:r>
                <m:t>c</m:t>
              </m:r>
              <m:r>
                <m:t>o</m:t>
              </m:r>
              <m:r>
                <m:t>m</m:t>
              </m:r>
              <m:r>
                <m:rPr>
                  <m:sty m:val="p"/>
                </m:rPr>
                <m:t>/</m:t>
              </m:r>
              <m:r>
                <m:t>14911</m:t>
              </m:r>
              <m:r>
                <m:rPr>
                  <m:sty m:val="p"/>
                </m:rPr>
                <m:t>(</m:t>
              </m:r>
              <m:r>
                <m:t>r</m:t>
              </m:r>
              <m:r>
                <m:t>e</m:t>
              </m:r>
              <m:r>
                <m:t>t</m:t>
              </m:r>
              <m:r>
                <m:t>r</m:t>
              </m:r>
              <m:r>
                <m:t>i</m:t>
              </m:r>
              <m:r>
                <m:t>e</m:t>
              </m:r>
              <m:r>
                <m:t>v</m:t>
              </m:r>
              <m:r>
                <m:t>e</m:t>
              </m:r>
              <m:r>
                <m:t>d</m:t>
              </m:r>
              <m:r>
                <m:t>2026</m:t>
              </m:r>
              <m:r>
                <m:rPr>
                  <m:sty m:val="p"/>
                </m:rPr>
                <m:t>−</m:t>
              </m:r>
              <m:r>
                <m:t>06</m:t>
              </m:r>
              <m:r>
                <m:rPr>
                  <m:sty m:val="p"/>
                </m:rPr>
                <m:t>)</m:t>
              </m:r>
              <m:r>
                <m:rPr>
                  <m:sty m:val="p"/>
                </m:rPr>
                <m:t>.</m:t>
              </m:r>
              <m:r>
                <m:rPr>
                  <m:sty m:val="p"/>
                </m:rPr>
                <m:t>|</m:t>
              </m:r>
              <m:r>
                <m:rPr>
                  <m:sty m:val="p"/>
                </m:rPr>
                <m:t>|</m:t>
              </m:r>
              <m:r>
                <m:t>R</m:t>
              </m:r>
              <m:r>
                <m:t>a</m:t>
              </m:r>
              <m:r>
                <m:t>v</m:t>
              </m:r>
              <m:r>
                <m:t>e</m:t>
              </m:r>
              <m:r>
                <m:t>n</m:t>
              </m:r>
              <m:r>
                <m:rPr>
                  <m:sty m:val="p"/>
                </m:rPr>
                <m:t>−</m:t>
              </m:r>
              <m:r>
                <m:t>c</m:t>
              </m:r>
              <m:r>
                <m:t>l</m:t>
              </m:r>
              <m:r>
                <m:t>a</m:t>
              </m:r>
              <m:r>
                <m:t>s</m:t>
              </m:r>
              <m:r>
                <m:t>s</m:t>
              </m:r>
              <m:r>
                <m:t>t</m:t>
              </m:r>
              <m:r>
                <m:t>e</m:t>
              </m:r>
              <m:r>
                <m:t>l</m:t>
              </m:r>
              <m:r>
                <m:t>e</m:t>
              </m:r>
              <m:r>
                <m:t>s</m:t>
              </m:r>
              <m:r>
                <m:t>c</m:t>
              </m:r>
              <m:r>
                <m:t>o</m:t>
              </m:r>
              <m:r>
                <m:t>p</m:t>
              </m:r>
              <m:r>
                <m:t>e</m:t>
              </m:r>
              <m:r>
                <m:rPr>
                  <m:sty m:val="p"/>
                </m:rPr>
                <m:t>|</m:t>
              </m:r>
              <m:r>
                <m:t>2013</m:t>
              </m:r>
              <m:r>
                <m:rPr>
                  <m:sty m:val="p"/>
                </m:rPr>
                <m:t>|</m:t>
              </m:r>
              <m:r>
                <m:t>0.5</m:t>
              </m:r>
              <m:r>
                <m:rPr>
                  <m:sty m:val="p"/>
                </m:rPr>
                <m:t>|</m:t>
              </m:r>
              <m:r>
                <m:t>0.196</m:t>
              </m:r>
              <m:r>
                <m:rPr>
                  <m:sty m:val="p"/>
                </m:rPr>
                <m:t>|</m:t>
              </m:r>
              <m:r>
                <m:t>0.5</m:t>
              </m:r>
              <m:r>
                <m:rPr>
                  <m:sty m:val="p"/>
                </m:rPr>
                <m:t>|</m:t>
              </m:r>
              <m:r>
                <m:t>S</m:t>
              </m:r>
              <m:r>
                <m:t>S</m:t>
              </m:r>
              <m:sSub>
                <m:e>
                  <m:r>
                    <m:t>A</m:t>
                  </m:r>
                </m:e>
                <m:sub>
                  <m:r>
                    <m:t>o</m:t>
                  </m:r>
                </m:sub>
              </m:sSub>
              <m:r>
                <m:t>p</m:t>
              </m:r>
              <m:r>
                <m:t>t</m:t>
              </m:r>
              <m:r>
                <m:t>i</m:t>
              </m:r>
              <m:r>
                <m:t>c</m:t>
              </m:r>
              <m:r>
                <m:t>a</m:t>
              </m:r>
              <m:r>
                <m:t>l</m:t>
              </m:r>
              <m:r>
                <m:rPr>
                  <m:sty m:val="p"/>
                </m:rPr>
                <m:t>|</m:t>
              </m:r>
              <m:r>
                <m:t>R</m:t>
              </m:r>
              <m:r>
                <m:t>a</m:t>
              </m:r>
              <m:r>
                <m:t>v</m:t>
              </m:r>
              <m:r>
                <m:t>e</m:t>
              </m:r>
              <m:r>
                <m:t>n</m:t>
              </m:r>
              <m:r>
                <m:rPr>
                  <m:sty m:val="p"/>
                </m:rPr>
                <m:t>−</m:t>
              </m:r>
              <m:r>
                <m:t>c</m:t>
              </m:r>
              <m:r>
                <m:t>l</m:t>
              </m:r>
              <m:r>
                <m:t>a</m:t>
              </m:r>
              <m:r>
                <m:t>s</m:t>
              </m:r>
              <m:r>
                <m:t>s</m:t>
              </m:r>
              <m:r>
                <m:t>s</m:t>
              </m:r>
              <m:r>
                <m:t>m</m:t>
              </m:r>
              <m:r>
                <m:t>a</m:t>
              </m:r>
              <m:r>
                <m:t>l</m:t>
              </m:r>
              <m:r>
                <m:t>l</m:t>
              </m:r>
              <m:r>
                <m:t>C</m:t>
              </m:r>
              <m:r>
                <m:t>O</m:t>
              </m:r>
              <m:r>
                <m:t>T</m:t>
              </m:r>
              <m:r>
                <m:t>S</m:t>
              </m:r>
              <m:r>
                <m:t>S</m:t>
              </m:r>
              <m:r>
                <m:t>S</m:t>
              </m:r>
              <m:r>
                <m:t>A</m:t>
              </m:r>
              <m:r>
                <m:t>t</m:t>
              </m:r>
              <m:r>
                <m:t>e</m:t>
              </m:r>
              <m:r>
                <m:t>l</m:t>
              </m:r>
              <m:r>
                <m:t>e</m:t>
              </m:r>
              <m:r>
                <m:t>s</m:t>
              </m:r>
              <m:r>
                <m:t>c</m:t>
              </m:r>
              <m:r>
                <m:t>o</m:t>
              </m:r>
              <m:r>
                <m:t>p</m:t>
              </m:r>
              <m:r>
                <m:t>e</m:t>
              </m:r>
              <m:r>
                <m:rPr>
                  <m:sty m:val="p"/>
                </m:rPr>
                <m:t>;</m:t>
              </m:r>
              <m:r>
                <m:t> </m:t>
              </m:r>
              <m:r>
                <m:t>0.5</m:t>
              </m:r>
              <m:r>
                <m:t>m</m:t>
              </m:r>
              <m:r>
                <m:rPr>
                  <m:sty m:val="p"/>
                </m:rPr>
                <m:t>,</m:t>
              </m:r>
              <m:r>
                <m:t>l</m:t>
              </m:r>
              <m:r>
                <m:t>o</m:t>
              </m:r>
              <m:r>
                <m:t>w</m:t>
              </m:r>
              <m:r>
                <m:rPr>
                  <m:sty m:val="p"/>
                </m:rPr>
                <m:t>−</m:t>
              </m:r>
            </m:oMath>
            <w:r>
              <w:rPr>
                <w:sz w:val="20"/>
                <w:szCs w:val="20"/>
              </w:rPr>
              <w:t xml:space="preserve">M build. Coder &amp; Holzinger,</w:t>
            </w:r>
            <w:r>
              <w:rPr>
                <w:sz w:val="20"/>
                <w:szCs w:val="20"/>
              </w:rPr>
              <w:t xml:space="preserve"> </w:t>
            </w:r>
            <w:r>
              <w:rPr>
                <w:sz w:val="20"/>
                <w:szCs w:val="20"/>
              </w:rPr>
              <w:t xml:space="preserve">‘Sizing of a Raven-class Telescope Using Performance Sensitivities,’</w:t>
            </w:r>
            <w:r>
              <w:rPr>
                <w:sz w:val="20"/>
                <w:szCs w:val="20"/>
              </w:rPr>
              <w:t xml:space="preserve"> </w:t>
            </w:r>
            <w:r>
              <w:rPr>
                <w:sz w:val="20"/>
                <w:szCs w:val="20"/>
              </w:rPr>
              <w:t xml:space="preserve">AMOS 2013, amostech.com/TechnicalPapers/2013/Optical_Systems/CODER.pdf.</w:t>
            </w:r>
          </w:p>
        </w:tc>
      </w:tr>
      <w:tr>
        <w:tc>
          <w:tcPr>
            <w:tcW w:w="0" w:type="auto"/>
          </w:tcPr>
          <w:p>
            <w:pPr>
              <w:spacing w:line="240" w:lineRule="auto" w:before="0" w:after="0"/>
              <w:pStyle w:val="Compact"/>
            </w:pPr>
            <w:r>
              <w:rPr>
                <w:sz w:val="20"/>
                <w:szCs w:val="20"/>
              </w:rPr>
              <w:t xml:space="preserve">Subaru 8.2 m</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52.81</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survey_optical</w:t>
            </w:r>
          </w:p>
        </w:tc>
        <w:tc>
          <w:tcPr>
            <w:tcW w:w="0" w:type="auto"/>
          </w:tcPr>
          <w:p>
            <w:pPr>
              <w:spacing w:line="240" w:lineRule="auto" w:before="0" w:after="0"/>
              <w:pStyle w:val="Compact"/>
            </w:pPr>
            <w:r>
              <w:rPr>
                <w:sz w:val="20"/>
                <w:szCs w:val="20"/>
              </w:rPr>
              <w:t xml:space="preserve">Subaru 8.2 m telescope total project ~$400M-class. Wikipedia</w:t>
            </w:r>
            <w:r>
              <w:rPr>
                <w:sz w:val="20"/>
                <w:szCs w:val="20"/>
              </w:rPr>
              <w:t xml:space="preserve"> </w:t>
            </w:r>
            <w:r>
              <w:rPr>
                <w:sz w:val="20"/>
                <w:szCs w:val="20"/>
              </w:rPr>
              <w:t xml:space="preserve">‘Subaru Telescope’</w:t>
            </w:r>
            <w:r>
              <w:rPr>
                <w:sz w:val="20"/>
                <w:szCs w:val="20"/>
              </w:rPr>
              <w:t xml:space="preserve"> </w:t>
            </w:r>
            <w:r>
              <w:rPr>
                <w:sz w:val="20"/>
                <w:szCs w:val="20"/>
              </w:rPr>
              <w:t xml:space="preserve">(retrieved 2026-06).</w:t>
            </w:r>
          </w:p>
        </w:tc>
      </w:tr>
      <w:tr>
        <w:tc>
          <w:tcPr>
            <w:tcW w:w="0" w:type="auto"/>
          </w:tcPr>
          <w:p>
            <w:pPr>
              <w:spacing w:line="240" w:lineRule="auto" w:before="0" w:after="0"/>
              <w:pStyle w:val="Compact"/>
            </w:pPr>
            <w:r>
              <w:rPr>
                <w:sz w:val="20"/>
                <w:szCs w:val="20"/>
              </w:rPr>
              <w:t xml:space="preserve">WIYN 3.5 m</w:t>
            </w:r>
          </w:p>
        </w:tc>
        <w:tc>
          <w:tcPr>
            <w:tcW w:w="0" w:type="auto"/>
          </w:tcPr>
          <w:p>
            <w:pPr>
              <w:spacing w:line="240" w:lineRule="auto" w:before="0" w:after="0"/>
              <w:pStyle w:val="Compact"/>
            </w:pPr>
            <w:r>
              <w:rPr>
                <w:sz w:val="20"/>
                <w:szCs w:val="20"/>
              </w:rPr>
              <w:t xml:space="preserve">1994</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9.62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survey_optical</w:t>
            </w:r>
          </w:p>
        </w:tc>
        <w:tc>
          <w:tcPr>
            <w:tcW w:w="0" w:type="auto"/>
          </w:tcPr>
          <w:p>
            <w:pPr>
              <w:spacing w:line="240" w:lineRule="auto" w:before="0" w:after="0"/>
              <w:pStyle w:val="Compact"/>
            </w:pPr>
            <w:r>
              <w:rPr>
                <w:sz w:val="20"/>
                <w:szCs w:val="20"/>
              </w:rPr>
              <w:t xml:space="preserve">WIYN 3.5 m telescope build ~$14M (1990s). Wikipedia</w:t>
            </w:r>
            <w:r>
              <w:rPr>
                <w:sz w:val="20"/>
                <w:szCs w:val="20"/>
              </w:rPr>
              <w:t xml:space="preserve"> </w:t>
            </w:r>
            <w:r>
              <w:rPr>
                <w:sz w:val="20"/>
                <w:szCs w:val="20"/>
              </w:rPr>
              <w:t xml:space="preserve">‘WIYN Observatory’</w:t>
            </w:r>
            <w:r>
              <w:rPr>
                <w:sz w:val="20"/>
                <w:szCs w:val="20"/>
              </w:rPr>
              <w:t xml:space="preserve"> </w:t>
            </w:r>
            <w:r>
              <w:rPr>
                <w:sz w:val="20"/>
                <w:szCs w:val="20"/>
              </w:rPr>
              <w:t xml:space="preserve">(retrieved 2026-06).</w:t>
            </w:r>
          </w:p>
        </w:tc>
      </w:tr>
      <w:tr>
        <w:tc>
          <w:tcPr>
            <w:tcW w:w="0" w:type="auto"/>
          </w:tcPr>
          <w:p>
            <w:pPr>
              <w:spacing w:line="240" w:lineRule="auto" w:before="0" w:after="0"/>
              <w:pStyle w:val="Compact"/>
            </w:pPr>
            <w:r>
              <w:rPr>
                <w:sz w:val="20"/>
                <w:szCs w:val="20"/>
              </w:rPr>
              <w:t xml:space="preserve">SOAR 4.1 m</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13.2</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survey_optical</w:t>
            </w:r>
          </w:p>
        </w:tc>
        <w:tc>
          <w:tcPr>
            <w:tcW w:w="0" w:type="auto"/>
          </w:tcPr>
          <w:p>
            <w:pPr>
              <w:spacing w:line="240" w:lineRule="auto" w:before="0" w:after="0"/>
              <w:pStyle w:val="Compact"/>
            </w:pPr>
            <w:r>
              <w:rPr>
                <w:sz w:val="20"/>
                <w:szCs w:val="20"/>
              </w:rPr>
              <w:t xml:space="preserve">SOAR 4.1 m telescope construction ~$28M. Wikipedia</w:t>
            </w:r>
            <w:r>
              <w:rPr>
                <w:sz w:val="20"/>
                <w:szCs w:val="20"/>
              </w:rPr>
              <w:t xml:space="preserve"> </w:t>
            </w:r>
            <w:r>
              <w:rPr>
                <w:sz w:val="20"/>
                <w:szCs w:val="20"/>
              </w:rPr>
              <w:t xml:space="preserve">‘Southern Astrophysical Research Telescope’</w:t>
            </w:r>
            <w:r>
              <w:rPr>
                <w:sz w:val="20"/>
                <w:szCs w:val="20"/>
              </w:rPr>
              <w:t xml:space="preserve"> </w:t>
            </w:r>
            <w:r>
              <w:rPr>
                <w:sz w:val="20"/>
                <w:szCs w:val="20"/>
              </w:rPr>
              <w:t xml:space="preserve">(retrieved 2026-06).</w:t>
            </w:r>
          </w:p>
        </w:tc>
      </w:tr>
      <w:tr>
        <w:tc>
          <w:tcPr>
            <w:tcW w:w="0" w:type="auto"/>
          </w:tcPr>
          <w:p>
            <w:pPr>
              <w:spacing w:line="240" w:lineRule="auto" w:before="0" w:after="0"/>
              <w:pStyle w:val="Compact"/>
            </w:pPr>
            <w:r>
              <w:rPr>
                <w:sz w:val="20"/>
                <w:szCs w:val="20"/>
              </w:rPr>
              <w:t xml:space="preserve">Magellan 6.5 m</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33.18</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survey_optical</w:t>
            </w:r>
          </w:p>
        </w:tc>
        <w:tc>
          <w:tcPr>
            <w:tcW w:w="0" w:type="auto"/>
          </w:tcPr>
          <w:p>
            <w:pPr>
              <w:spacing w:line="240" w:lineRule="auto" w:before="0" w:after="0"/>
              <w:pStyle w:val="Compact"/>
            </w:pPr>
            <w:r>
              <w:rPr>
                <w:sz w:val="20"/>
                <w:szCs w:val="20"/>
              </w:rPr>
              <w:t xml:space="preserve">Magellan 6.5 m telescope per-unit build ~$55M; Las Campanas. Wikipedia</w:t>
            </w:r>
            <w:r>
              <w:rPr>
                <w:sz w:val="20"/>
                <w:szCs w:val="20"/>
              </w:rPr>
              <w:t xml:space="preserve"> </w:t>
            </w:r>
            <w:r>
              <w:rPr>
                <w:sz w:val="20"/>
                <w:szCs w:val="20"/>
              </w:rPr>
              <w:t xml:space="preserve">‘Magellan Telescopes’</w:t>
            </w:r>
            <w:r>
              <w:rPr>
                <w:sz w:val="20"/>
                <w:szCs w:val="20"/>
              </w:rPr>
              <w:t xml:space="preserve"> </w:t>
            </w:r>
            <w:r>
              <w:rPr>
                <w:sz w:val="20"/>
                <w:szCs w:val="20"/>
              </w:rPr>
              <w:t xml:space="preserve">(retrieved 2026-06).</w:t>
            </w:r>
          </w:p>
        </w:tc>
      </w:tr>
      <w:tr>
        <w:tc>
          <w:tcPr>
            <w:tcW w:w="0" w:type="auto"/>
          </w:tcPr>
          <w:p>
            <w:pPr>
              <w:spacing w:line="240" w:lineRule="auto" w:before="0" w:after="0"/>
              <w:pStyle w:val="Compact"/>
            </w:pPr>
            <w:r>
              <w:rPr>
                <w:sz w:val="20"/>
                <w:szCs w:val="20"/>
              </w:rPr>
              <w:t xml:space="preserve">Gemini 8.1 m (one unit)</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51.53</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survey_optical</w:t>
            </w:r>
          </w:p>
        </w:tc>
        <w:tc>
          <w:tcPr>
            <w:tcW w:w="0" w:type="auto"/>
          </w:tcPr>
          <w:p>
            <w:pPr>
              <w:spacing w:line="240" w:lineRule="auto" w:before="0" w:after="0"/>
              <w:pStyle w:val="Compact"/>
            </w:pPr>
            <w:r>
              <w:rPr>
                <w:sz w:val="20"/>
                <w:szCs w:val="20"/>
              </w:rPr>
              <w:t xml:space="preserve">Gemini single 8.1 m telescope ~$92M (per-unit of two-telescope program). Wikipedia</w:t>
            </w:r>
            <w:r>
              <w:rPr>
                <w:sz w:val="20"/>
                <w:szCs w:val="20"/>
              </w:rPr>
              <w:t xml:space="preserve"> </w:t>
            </w:r>
            <w:r>
              <w:rPr>
                <w:sz w:val="20"/>
                <w:szCs w:val="20"/>
              </w:rPr>
              <w:t xml:space="preserve">‘Gemini Observatory’</w:t>
            </w:r>
            <w:r>
              <w:rPr>
                <w:sz w:val="20"/>
                <w:szCs w:val="20"/>
              </w:rPr>
              <w:t xml:space="preserve"> </w:t>
            </w:r>
            <w:r>
              <w:rPr>
                <w:sz w:val="20"/>
                <w:szCs w:val="20"/>
              </w:rPr>
              <w:t xml:space="preserve">(retrieved 2026-06).</w:t>
            </w:r>
          </w:p>
        </w:tc>
      </w:tr>
      <w:tr>
        <w:tc>
          <w:tcPr>
            <w:tcW w:w="0" w:type="auto"/>
          </w:tcPr>
          <w:p>
            <w:pPr>
              <w:spacing w:line="240" w:lineRule="auto" w:before="0" w:after="0"/>
              <w:pStyle w:val="Compact"/>
            </w:pPr>
            <w:r>
              <w:rPr>
                <w:sz w:val="20"/>
                <w:szCs w:val="20"/>
              </w:rPr>
              <w:t xml:space="preserve">Blanco 4.0 m (DECam)</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12.57</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survey_optical</w:t>
            </w:r>
          </w:p>
        </w:tc>
        <w:tc>
          <w:tcPr>
            <w:tcW w:w="0" w:type="auto"/>
          </w:tcPr>
          <w:p>
            <w:pPr>
              <w:spacing w:line="240" w:lineRule="auto" w:before="0" w:after="0"/>
              <w:pStyle w:val="Compact"/>
            </w:pPr>
            <w:r>
              <w:rPr>
                <w:sz w:val="20"/>
                <w:szCs w:val="20"/>
              </w:rPr>
              <w:t xml:space="preserve">Victor Blanco 4 m with DECam; DECam build/integration ~$35M documented capital. Wikipedia</w:t>
            </w:r>
            <w:r>
              <w:rPr>
                <w:sz w:val="20"/>
                <w:szCs w:val="20"/>
              </w:rPr>
              <w:t xml:space="preserve"> </w:t>
            </w:r>
            <w:r>
              <w:rPr>
                <w:sz w:val="20"/>
                <w:szCs w:val="20"/>
              </w:rPr>
              <w:t xml:space="preserve">‘Dark Energy Camera’</w:t>
            </w:r>
            <w:r>
              <w:rPr>
                <w:sz w:val="20"/>
                <w:szCs w:val="20"/>
              </w:rPr>
              <w:t xml:space="preserve">;</w:t>
            </w:r>
            <w:r>
              <w:rPr>
                <w:sz w:val="20"/>
                <w:szCs w:val="20"/>
              </w:rPr>
              <w:t xml:space="preserve"> </w:t>
            </w:r>
            <w:r>
              <w:rPr>
                <w:sz w:val="20"/>
                <w:szCs w:val="20"/>
              </w:rPr>
              <w:t xml:space="preserve">‘Victor M. Blanco Telescope’</w:t>
            </w:r>
            <w:r>
              <w:rPr>
                <w:sz w:val="20"/>
                <w:szCs w:val="20"/>
              </w:rPr>
              <w:t xml:space="preserve"> </w:t>
            </w:r>
            <w:r>
              <w:rPr>
                <w:sz w:val="20"/>
                <w:szCs w:val="20"/>
              </w:rPr>
              <w:t xml:space="preserve">(retrieved 2026-06).</w:t>
            </w:r>
          </w:p>
        </w:tc>
      </w:tr>
      <w:tr>
        <w:tc>
          <w:tcPr>
            <w:tcW w:w="0" w:type="auto"/>
          </w:tcPr>
          <w:p>
            <w:pPr>
              <w:spacing w:line="240" w:lineRule="auto" w:before="0" w:after="0"/>
              <w:pStyle w:val="Compact"/>
            </w:pPr>
            <w:r>
              <w:rPr>
                <w:sz w:val="20"/>
                <w:szCs w:val="20"/>
              </w:rPr>
              <w:t xml:space="preserve">ZTF Palomar 1.2 m</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1.131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survey_optical</w:t>
            </w:r>
          </w:p>
        </w:tc>
        <w:tc>
          <w:tcPr>
            <w:tcW w:w="0" w:type="auto"/>
          </w:tcPr>
          <w:p>
            <w:pPr>
              <w:spacing w:line="240" w:lineRule="auto" w:before="0" w:after="0"/>
              <w:pStyle w:val="Compact"/>
            </w:pPr>
            <w:r>
              <w:rPr>
                <w:sz w:val="20"/>
                <w:szCs w:val="20"/>
              </w:rPr>
              <w:t xml:space="preserve">Zwicky Transient Facility on Palomar 1.2 m Schmidt; project ~$24M. Wikipedia</w:t>
            </w:r>
            <w:r>
              <w:rPr>
                <w:sz w:val="20"/>
                <w:szCs w:val="20"/>
              </w:rPr>
              <w:t xml:space="preserve"> </w:t>
            </w:r>
            <w:r>
              <w:rPr>
                <w:sz w:val="20"/>
                <w:szCs w:val="20"/>
              </w:rPr>
              <w:t xml:space="preserve">‘Zwicky Transient Facility’</w:t>
            </w:r>
            <w:r>
              <w:rPr>
                <w:sz w:val="20"/>
                <w:szCs w:val="20"/>
              </w:rPr>
              <w:t xml:space="preserve"> </w:t>
            </w:r>
            <w:r>
              <w:rPr>
                <w:sz w:val="20"/>
                <w:szCs w:val="20"/>
              </w:rPr>
              <w:t xml:space="preserve">(retrieved 2026-06).</w:t>
            </w:r>
          </w:p>
        </w:tc>
      </w:tr>
      <w:tr>
        <w:tc>
          <w:tcPr>
            <w:tcW w:w="0" w:type="auto"/>
          </w:tcPr>
          <w:p>
            <w:pPr>
              <w:spacing w:line="240" w:lineRule="auto" w:before="0" w:after="0"/>
              <w:pStyle w:val="Compact"/>
            </w:pPr>
            <w:r>
              <w:rPr>
                <w:sz w:val="20"/>
                <w:szCs w:val="20"/>
              </w:rPr>
              <w:t xml:space="preserve">MMT 6.5 m</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33.18</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survey_optical</w:t>
            </w:r>
          </w:p>
        </w:tc>
        <w:tc>
          <w:tcPr>
            <w:tcW w:w="0" w:type="auto"/>
          </w:tcPr>
          <w:p>
            <w:pPr>
              <w:spacing w:line="240" w:lineRule="auto" w:before="0" w:after="0"/>
              <w:pStyle w:val="Compact"/>
            </w:pPr>
            <w:r>
              <w:rPr>
                <w:sz w:val="20"/>
                <w:szCs w:val="20"/>
              </w:rPr>
              <w:t xml:space="preserve">MMT 6.5 m single-mirror conversion build ~$30M (1990s conversion). Wikipedia</w:t>
            </w:r>
            <w:r>
              <w:rPr>
                <w:sz w:val="20"/>
                <w:szCs w:val="20"/>
              </w:rPr>
              <w:t xml:space="preserve"> </w:t>
            </w:r>
            <w:r>
              <w:rPr>
                <w:sz w:val="20"/>
                <w:szCs w:val="20"/>
              </w:rPr>
              <w:t xml:space="preserve">‘MMT Observatory’</w:t>
            </w:r>
            <w:r>
              <w:rPr>
                <w:sz w:val="20"/>
                <w:szCs w:val="20"/>
              </w:rPr>
              <w:t xml:space="preserve"> </w:t>
            </w:r>
            <w:r>
              <w:rPr>
                <w:sz w:val="20"/>
                <w:szCs w:val="20"/>
              </w:rPr>
              <w:t xml:space="preserve">(retrieved 2026-06).</w:t>
            </w:r>
          </w:p>
        </w:tc>
      </w:tr>
      <w:tr>
        <w:tc>
          <w:tcPr>
            <w:tcW w:w="0" w:type="auto"/>
          </w:tcPr>
          <w:p>
            <w:pPr>
              <w:spacing w:line="240" w:lineRule="auto" w:before="0" w:after="0"/>
              <w:pStyle w:val="Compact"/>
            </w:pPr>
            <w:r>
              <w:rPr>
                <w:sz w:val="20"/>
                <w:szCs w:val="20"/>
              </w:rPr>
              <w:t xml:space="preserve">Discovery Channel Telescope 4.3 m</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14.52</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survey_optical</w:t>
            </w:r>
          </w:p>
        </w:tc>
        <w:tc>
          <w:tcPr>
            <w:tcW w:w="0" w:type="auto"/>
          </w:tcPr>
          <w:p>
            <w:pPr>
              <w:spacing w:line="240" w:lineRule="auto" w:before="0" w:after="0"/>
              <w:pStyle w:val="Compact"/>
            </w:pPr>
            <w:r>
              <w:rPr>
                <w:sz w:val="20"/>
                <w:szCs w:val="20"/>
              </w:rPr>
              <w:t xml:space="preserve">Lowell Discovery Telescope (DCT) 4.3 m; build ~$53M. Wikipedia</w:t>
            </w:r>
            <w:r>
              <w:rPr>
                <w:sz w:val="20"/>
                <w:szCs w:val="20"/>
              </w:rPr>
              <w:t xml:space="preserve"> </w:t>
            </w:r>
            <w:r>
              <w:rPr>
                <w:sz w:val="20"/>
                <w:szCs w:val="20"/>
              </w:rPr>
              <w:t xml:space="preserve">‘Lowell Discovery Telescope’</w:t>
            </w:r>
            <w:r>
              <w:rPr>
                <w:sz w:val="20"/>
                <w:szCs w:val="20"/>
              </w:rPr>
              <w:t xml:space="preserve"> </w:t>
            </w:r>
            <w:r>
              <w:rPr>
                <w:sz w:val="20"/>
                <w:szCs w:val="20"/>
              </w:rPr>
              <w:t xml:space="preserve">(retrieved 2026-06).</w:t>
            </w:r>
          </w:p>
        </w:tc>
      </w:tr>
      <w:tr>
        <w:tc>
          <w:tcPr>
            <w:tcW w:w="0" w:type="auto"/>
          </w:tcPr>
          <w:p>
            <w:pPr>
              <w:spacing w:line="240" w:lineRule="auto" w:before="0" w:after="0"/>
              <w:pStyle w:val="Compact"/>
            </w:pPr>
            <w:r>
              <w:rPr>
                <w:sz w:val="20"/>
                <w:szCs w:val="20"/>
              </w:rPr>
              <w:t xml:space="preserve">SALT 11 m</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95.03</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survey_optical</w:t>
            </w:r>
          </w:p>
        </w:tc>
        <w:tc>
          <w:tcPr>
            <w:tcW w:w="0" w:type="auto"/>
          </w:tcPr>
          <w:p>
            <w:pPr>
              <w:spacing w:line="240" w:lineRule="auto" w:before="0" w:after="0"/>
              <w:pStyle w:val="Compact"/>
            </w:pPr>
            <w:r>
              <w:rPr>
                <w:sz w:val="20"/>
                <w:szCs w:val="20"/>
              </w:rPr>
              <w:t xml:space="preserve">Southern African Large Telescope 11 m segmented; build ~$36M (low-cost design). Wikipedia</w:t>
            </w:r>
            <w:r>
              <w:rPr>
                <w:sz w:val="20"/>
                <w:szCs w:val="20"/>
              </w:rPr>
              <w:t xml:space="preserve"> </w:t>
            </w:r>
            <w:r>
              <w:rPr>
                <w:sz w:val="20"/>
                <w:szCs w:val="20"/>
              </w:rPr>
              <w:t xml:space="preserve">‘Southern African Large Telescope’</w:t>
            </w:r>
            <w:r>
              <w:rPr>
                <w:sz w:val="20"/>
                <w:szCs w:val="20"/>
              </w:rPr>
              <w:t xml:space="preserve"> </w:t>
            </w:r>
            <w:r>
              <w:rPr>
                <w:sz w:val="20"/>
                <w:szCs w:val="20"/>
              </w:rPr>
              <w:t xml:space="preserve">(retrieved 2026-06).</w:t>
            </w:r>
          </w:p>
        </w:tc>
      </w:tr>
      <w:tr>
        <w:tc>
          <w:tcPr>
            <w:tcW w:w="0" w:type="auto"/>
          </w:tcPr>
          <w:p>
            <w:pPr>
              <w:spacing w:line="240" w:lineRule="auto" w:before="0" w:after="0"/>
              <w:pStyle w:val="Compact"/>
            </w:pPr>
            <w:r>
              <w:rPr>
                <w:sz w:val="20"/>
                <w:szCs w:val="20"/>
              </w:rPr>
              <w:t xml:space="preserve">Keck 10 m (one unit)</w:t>
            </w:r>
          </w:p>
        </w:tc>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78.54</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survey_optical</w:t>
            </w:r>
          </w:p>
        </w:tc>
        <w:tc>
          <w:tcPr>
            <w:tcW w:w="0" w:type="auto"/>
          </w:tcPr>
          <w:p>
            <w:pPr>
              <w:spacing w:line="240" w:lineRule="auto" w:before="0" w:after="0"/>
              <w:pStyle w:val="Compact"/>
            </w:pPr>
            <w:r>
              <w:rPr>
                <w:sz w:val="20"/>
                <w:szCs w:val="20"/>
              </w:rPr>
              <w:t xml:space="preserve">Keck I 10 m segmented telescope ~$94M per unit. Wikipedia</w:t>
            </w:r>
            <w:r>
              <w:rPr>
                <w:sz w:val="20"/>
                <w:szCs w:val="20"/>
              </w:rPr>
              <w:t xml:space="preserve"> </w:t>
            </w:r>
            <w:r>
              <w:rPr>
                <w:sz w:val="20"/>
                <w:szCs w:val="20"/>
              </w:rPr>
              <w:t xml:space="preserve">‘W. M. Keck Observatory’</w:t>
            </w:r>
            <w:r>
              <w:rPr>
                <w:sz w:val="20"/>
                <w:szCs w:val="20"/>
              </w:rPr>
              <w:t xml:space="preserve"> </w:t>
            </w:r>
            <w:r>
              <w:rPr>
                <w:sz w:val="20"/>
                <w:szCs w:val="20"/>
              </w:rPr>
              <w:t xml:space="preserve">(retrieved 2026-06).</w:t>
            </w:r>
          </w:p>
        </w:tc>
      </w:tr>
      <w:tr>
        <w:tc>
          <w:tcPr>
            <w:tcW w:w="0" w:type="auto"/>
          </w:tcPr>
          <w:p>
            <w:pPr>
              <w:spacing w:line="240" w:lineRule="auto" w:before="0" w:after="0"/>
              <w:pStyle w:val="Compact"/>
            </w:pPr>
            <w:r>
              <w:rPr>
                <w:sz w:val="20"/>
                <w:szCs w:val="20"/>
              </w:rPr>
              <w:t xml:space="preserve">LBT 8.4 m (one mirror)</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55.42</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survey_optical</w:t>
            </w:r>
          </w:p>
        </w:tc>
        <w:tc>
          <w:tcPr>
            <w:tcW w:w="0" w:type="auto"/>
          </w:tcPr>
          <w:p>
            <w:pPr>
              <w:spacing w:line="240" w:lineRule="auto" w:before="0" w:after="0"/>
              <w:pStyle w:val="Compact"/>
            </w:pPr>
            <w:r>
              <w:rPr>
                <w:sz w:val="20"/>
                <w:szCs w:val="20"/>
              </w:rPr>
              <w:t xml:space="preserve">Large Binocular Telescope single 8.4 m mirror unit; ~$60M per-mirror allocation [illustrative split of ~$120M binocular build]. Wikipedia</w:t>
            </w:r>
            <w:r>
              <w:rPr>
                <w:sz w:val="20"/>
                <w:szCs w:val="20"/>
              </w:rPr>
              <w:t xml:space="preserve"> </w:t>
            </w:r>
            <w:r>
              <w:rPr>
                <w:sz w:val="20"/>
                <w:szCs w:val="20"/>
              </w:rPr>
              <w:t xml:space="preserve">‘Large Binocular Telescope’</w:t>
            </w:r>
            <w:r>
              <w:rPr>
                <w:sz w:val="20"/>
                <w:szCs w:val="20"/>
              </w:rPr>
              <w:t xml:space="preserve"> </w:t>
            </w:r>
            <w:r>
              <w:rPr>
                <w:sz w:val="20"/>
                <w:szCs w:val="20"/>
              </w:rPr>
              <w:t xml:space="preserve">(retrieved 2026-06).</w:t>
            </w:r>
          </w:p>
        </w:tc>
      </w:tr>
      <w:tr>
        <w:tc>
          <w:tcPr>
            <w:tcW w:w="0" w:type="auto"/>
          </w:tcPr>
          <w:p>
            <w:pPr>
              <w:spacing w:line="240" w:lineRule="auto" w:before="0" w:after="0"/>
              <w:pStyle w:val="Compact"/>
            </w:pPr>
            <w:r>
              <w:rPr>
                <w:sz w:val="20"/>
                <w:szCs w:val="20"/>
              </w:rPr>
              <w:t xml:space="preserve">VST 2.6 m</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5.31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survey_optical</w:t>
            </w:r>
          </w:p>
        </w:tc>
        <w:tc>
          <w:tcPr>
            <w:tcW w:w="0" w:type="auto"/>
          </w:tcPr>
          <w:p>
            <w:pPr>
              <w:spacing w:line="240" w:lineRule="auto" w:before="0" w:after="0"/>
              <w:pStyle w:val="Compact"/>
            </w:pPr>
            <w:r>
              <w:rPr>
                <w:sz w:val="20"/>
                <w:szCs w:val="20"/>
              </w:rPr>
              <w:t xml:space="preserve">VLT Survey Telescope 2.6 m; build ~$12M-class. Wikipedia</w:t>
            </w:r>
            <w:r>
              <w:rPr>
                <w:sz w:val="20"/>
                <w:szCs w:val="20"/>
              </w:rPr>
              <w:t xml:space="preserve"> </w:t>
            </w:r>
            <w:r>
              <w:rPr>
                <w:sz w:val="20"/>
                <w:szCs w:val="20"/>
              </w:rPr>
              <w:t xml:space="preserve">‘VLT Survey Telescope’</w:t>
            </w:r>
            <w:r>
              <w:rPr>
                <w:sz w:val="20"/>
                <w:szCs w:val="20"/>
              </w:rPr>
              <w:t xml:space="preserve"> </w:t>
            </w:r>
            <w:r>
              <w:rPr>
                <w:sz w:val="20"/>
                <w:szCs w:val="20"/>
              </w:rPr>
              <w:t xml:space="preserve">(retrieved 2026-06).</w:t>
            </w:r>
          </w:p>
        </w:tc>
      </w:tr>
      <w:tr>
        <w:tc>
          <w:tcPr>
            <w:tcW w:w="0" w:type="auto"/>
          </w:tcPr>
          <w:p>
            <w:pPr>
              <w:spacing w:line="240" w:lineRule="auto" w:before="0" w:after="0"/>
              <w:pStyle w:val="Compact"/>
            </w:pPr>
            <w:r>
              <w:rPr>
                <w:sz w:val="20"/>
                <w:szCs w:val="20"/>
              </w:rPr>
              <w:t xml:space="preserve">VISTA 4.1 m</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13.2</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survey_optical</w:t>
            </w:r>
          </w:p>
        </w:tc>
        <w:tc>
          <w:tcPr>
            <w:tcW w:w="0" w:type="auto"/>
          </w:tcPr>
          <w:p>
            <w:pPr>
              <w:spacing w:line="240" w:lineRule="auto" w:before="0" w:after="0"/>
              <w:pStyle w:val="Compact"/>
            </w:pPr>
            <w:r>
              <w:rPr>
                <w:sz w:val="20"/>
                <w:szCs w:val="20"/>
              </w:rPr>
              <w:t xml:space="preserve">VISTA 4.1 m survey telescope; project ~$55M (GBP ~37M). Wikipedia</w:t>
            </w:r>
            <w:r>
              <w:rPr>
                <w:sz w:val="20"/>
                <w:szCs w:val="20"/>
              </w:rPr>
              <w:t xml:space="preserve"> </w:t>
            </w:r>
            <w:r>
              <w:rPr>
                <w:sz w:val="20"/>
                <w:szCs w:val="20"/>
              </w:rPr>
              <w:t xml:space="preserve">‘VISTA (telescope)’</w:t>
            </w:r>
            <w:r>
              <w:rPr>
                <w:sz w:val="20"/>
                <w:szCs w:val="20"/>
              </w:rPr>
              <w:t xml:space="preserve"> </w:t>
            </w:r>
            <w:r>
              <w:rPr>
                <w:sz w:val="20"/>
                <w:szCs w:val="20"/>
              </w:rPr>
              <w:t xml:space="preserve">(retrieved 2026-06).</w:t>
            </w:r>
          </w:p>
        </w:tc>
      </w:tr>
      <w:tr>
        <w:tc>
          <w:tcPr>
            <w:tcW w:w="0" w:type="auto"/>
          </w:tcPr>
          <w:p>
            <w:pPr>
              <w:spacing w:line="240" w:lineRule="auto" w:before="0" w:after="0"/>
              <w:pStyle w:val="Compact"/>
            </w:pPr>
            <w:r>
              <w:rPr>
                <w:sz w:val="20"/>
                <w:szCs w:val="20"/>
              </w:rPr>
              <w:t xml:space="preserve">Pan-STARRS PS2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2.54</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survey_optical</w:t>
            </w:r>
          </w:p>
        </w:tc>
        <w:tc>
          <w:tcPr>
            <w:tcW w:w="0" w:type="auto"/>
          </w:tcPr>
          <w:p>
            <w:pPr>
              <w:spacing w:line="240" w:lineRule="auto" w:before="0" w:after="0"/>
              <w:pStyle w:val="Compact"/>
            </w:pPr>
            <w:r>
              <w:rPr>
                <w:sz w:val="20"/>
                <w:szCs w:val="20"/>
              </w:rPr>
              <w:t xml:space="preserve">Second identical PS 1.8 m unit; per-unit cost equal to PS1 [illustrative]. ifa.hawaii.edu Pan-STARRS (retrieved 2026-06).</w:t>
            </w:r>
          </w:p>
        </w:tc>
      </w:tr>
    </w:tbl>
    <w:bookmarkEnd w:id="205"/>
    <w:bookmarkStart w:id="206"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acq_cost_musd</w:t>
            </w:r>
          </w:p>
        </w:tc>
        <w:tc>
          <w:tcPr>
            <w:tcW w:w="0" w:type="auto"/>
          </w:tcPr>
          <w:p>
            <w:pPr>
              <w:spacing w:line="240" w:lineRule="auto" w:before="0" w:after="0"/>
              <w:pStyle w:val="Compact"/>
            </w:pPr>
            <w:r>
              <w:rPr>
                <w:sz w:val="20"/>
                <w:szCs w:val="20"/>
              </w:rPr>
              <w:t xml:space="preserve">Documented acquisition, construction, or program capital cost of the optical sensor system (USD millions, nominal)</w:t>
            </w:r>
          </w:p>
        </w:tc>
        <w:tc>
          <w:tcPr>
            <w:tcW w:w="0" w:type="auto"/>
          </w:tcPr>
          <w:p>
            <w:pPr>
              <w:spacing w:line="240" w:lineRule="auto" w:before="0" w:after="0"/>
              <w:pStyle w:val="Compact"/>
            </w:pPr>
            <w:r>
              <w:rPr>
                <w:sz w:val="20"/>
                <w:szCs w:val="20"/>
              </w:rPr>
              <w:t xml:space="preserve">Program records and encyclopedic summaries cited per row in data.csv (DARPA, NASA, NSF, university observatory pages, AMOS papers)</w:t>
            </w:r>
          </w:p>
        </w:tc>
      </w:tr>
      <w:tr>
        <w:tc>
          <w:tcPr>
            <w:tcW w:w="0" w:type="auto"/>
          </w:tcPr>
          <w:p>
            <w:pPr>
              <w:spacing w:line="240" w:lineRule="auto" w:before="0" w:after="0"/>
              <w:pStyle w:val="Compact"/>
            </w:pPr>
            <w:r>
              <w:rPr>
                <w:sz w:val="20"/>
                <w:szCs w:val="20"/>
              </w:rPr>
              <w:t xml:space="preserve">collecting_area_m2</w:t>
            </w:r>
          </w:p>
        </w:tc>
        <w:tc>
          <w:tcPr>
            <w:tcW w:w="0" w:type="auto"/>
          </w:tcPr>
          <w:p>
            <w:pPr>
              <w:spacing w:line="240" w:lineRule="auto" w:before="0" w:after="0"/>
              <w:pStyle w:val="Compact"/>
            </w:pPr>
            <w:r>
              <w:rPr>
                <w:sz w:val="20"/>
                <w:szCs w:val="20"/>
              </w:rPr>
              <w:t xml:space="preserve">Primary-mirror collecting area, computed as pi*(aperture_m/2)^2, used as the physical sensing-capability proxy</w:t>
            </w:r>
          </w:p>
        </w:tc>
        <w:tc>
          <w:tcPr>
            <w:tcW w:w="0" w:type="auto"/>
          </w:tcPr>
          <w:p>
            <w:pPr>
              <w:spacing w:line="240" w:lineRule="auto" w:before="0" w:after="0"/>
              <w:pStyle w:val="Compact"/>
            </w:pPr>
            <w:r>
              <w:rPr>
                <w:sz w:val="20"/>
                <w:szCs w:val="20"/>
              </w:rPr>
              <w:t xml:space="preserve">Aperture diameters cited per row in data.csv; area derived</w:t>
            </w:r>
          </w:p>
        </w:tc>
      </w:tr>
      <w:tr>
        <w:tc>
          <w:tcPr>
            <w:tcW w:w="0" w:type="auto"/>
          </w:tcPr>
          <w:p>
            <w:pPr>
              <w:spacing w:line="240" w:lineRule="auto" w:before="0" w:after="0"/>
              <w:pStyle w:val="Compact"/>
            </w:pPr>
            <w:r>
              <w:rPr>
                <w:sz w:val="20"/>
                <w:szCs w:val="20"/>
              </w:rPr>
              <w:t xml:space="preserve">aperture_m</w:t>
            </w:r>
          </w:p>
        </w:tc>
        <w:tc>
          <w:tcPr>
            <w:tcW w:w="0" w:type="auto"/>
          </w:tcPr>
          <w:p>
            <w:pPr>
              <w:spacing w:line="240" w:lineRule="auto" w:before="0" w:after="0"/>
              <w:pStyle w:val="Compact"/>
            </w:pPr>
            <w:r>
              <w:rPr>
                <w:sz w:val="20"/>
                <w:szCs w:val="20"/>
              </w:rPr>
              <w:t xml:space="preserve">Primary-mirror aperture diameter (meters)</w:t>
            </w:r>
          </w:p>
        </w:tc>
        <w:tc>
          <w:tcPr>
            <w:tcW w:w="0" w:type="auto"/>
          </w:tcPr>
          <w:p>
            <w:pPr>
              <w:spacing w:line="240" w:lineRule="auto" w:before="0" w:after="0"/>
              <w:pStyle w:val="Compact"/>
            </w:pPr>
            <w:r>
              <w:rPr>
                <w:sz w:val="20"/>
                <w:szCs w:val="20"/>
              </w:rPr>
              <w:t xml:space="preserve">Per-row sources in data.csv</w:t>
            </w:r>
          </w:p>
        </w:tc>
      </w:tr>
      <w:tr>
        <w:tc>
          <w:tcPr>
            <w:tcW w:w="0" w:type="auto"/>
          </w:tcPr>
          <w:p>
            <w:pPr>
              <w:spacing w:line="240" w:lineRule="auto" w:before="0" w:after="0"/>
              <w:pStyle w:val="Compact"/>
            </w:pPr>
            <w:r>
              <w:rPr>
                <w:sz w:val="20"/>
                <w:szCs w:val="20"/>
              </w:rPr>
              <w:t xml:space="preserve">sensor_class</w:t>
            </w:r>
          </w:p>
        </w:tc>
        <w:tc>
          <w:tcPr>
            <w:tcW w:w="0" w:type="auto"/>
          </w:tcPr>
          <w:p>
            <w:pPr>
              <w:spacing w:line="240" w:lineRule="auto" w:before="0" w:after="0"/>
              <w:pStyle w:val="Compact"/>
            </w:pPr>
            <w:r>
              <w:rPr>
                <w:sz w:val="20"/>
                <w:szCs w:val="20"/>
              </w:rPr>
              <w:t xml:space="preserve">Mission lineage: dedicated SSA/SDA optical sensor vs allied wide-field survey telescope</w:t>
            </w:r>
          </w:p>
        </w:tc>
        <w:tc>
          <w:tcPr>
            <w:tcW w:w="0" w:type="auto"/>
          </w:tcPr>
          <w:p>
            <w:pPr>
              <w:spacing w:line="240" w:lineRule="auto" w:before="0" w:after="0"/>
              <w:pStyle w:val="Compact"/>
            </w:pPr>
            <w:r>
              <w:rPr>
                <w:sz w:val="20"/>
                <w:szCs w:val="20"/>
              </w:rPr>
              <w:t xml:space="preserve">Per-row sources in data.csv</w:t>
            </w:r>
          </w:p>
        </w:tc>
      </w:tr>
      <w:tr>
        <w:tc>
          <w:tcPr>
            <w:tcW w:w="0" w:type="auto"/>
          </w:tcPr>
          <w:p>
            <w:pPr>
              <w:spacing w:line="240" w:lineRule="auto" w:before="0" w:after="0"/>
              <w:pStyle w:val="Compact"/>
            </w:pPr>
            <w:r>
              <w:rPr>
                <w:sz w:val="20"/>
                <w:szCs w:val="20"/>
              </w:rPr>
              <w:t xml:space="preserve">year_first_light</w:t>
            </w:r>
          </w:p>
        </w:tc>
        <w:tc>
          <w:tcPr>
            <w:tcW w:w="0" w:type="auto"/>
          </w:tcPr>
          <w:p>
            <w:pPr>
              <w:spacing w:line="240" w:lineRule="auto" w:before="0" w:after="0"/>
              <w:pStyle w:val="Compact"/>
            </w:pPr>
            <w:r>
              <w:rPr>
                <w:sz w:val="20"/>
                <w:szCs w:val="20"/>
              </w:rPr>
              <w:t xml:space="preserve">Year of first light or operational acceptance</w:t>
            </w:r>
          </w:p>
        </w:tc>
        <w:tc>
          <w:tcPr>
            <w:tcW w:w="0" w:type="auto"/>
          </w:tcPr>
          <w:p>
            <w:pPr>
              <w:spacing w:line="240" w:lineRule="auto" w:before="0" w:after="0"/>
              <w:pStyle w:val="Compact"/>
            </w:pPr>
            <w:r>
              <w:rPr>
                <w:sz w:val="20"/>
                <w:szCs w:val="20"/>
              </w:rPr>
              <w:t xml:space="preserve">Per-row sources in data.csv</w:t>
            </w:r>
          </w:p>
        </w:tc>
      </w:tr>
    </w:tbl>
    <w:bookmarkEnd w:id="206"/>
    <w:bookmarkEnd w:id="207"/>
    <w:bookmarkEnd w:id="20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3" Type="http://schemas.openxmlformats.org/officeDocument/2006/relationships/image" Target="media/rId193.png"/><Relationship Id="rId201" Type="http://schemas.openxmlformats.org/officeDocument/2006/relationships/image" Target="media/rId201.png"/><Relationship Id="rId152" Type="http://schemas.openxmlformats.org/officeDocument/2006/relationships/hyperlink" Target="https://doi.org/10.1016/j.actaastro.2018.03.051" TargetMode="External"/><Relationship Id="rId143" Type="http://schemas.openxmlformats.org/officeDocument/2006/relationships/hyperlink" Target="https://doi.org/10.1016/j.actaastro.2020.05.063" TargetMode="External"/><Relationship Id="rId145" Type="http://schemas.openxmlformats.org/officeDocument/2006/relationships/hyperlink" Target="https://doi.org/10.1016/j.actaastro.2024.06.015" TargetMode="External"/><Relationship Id="rId141" Type="http://schemas.openxmlformats.org/officeDocument/2006/relationships/hyperlink" Target="https://doi.org/10.1016/j.actaastro.2024.11.026" TargetMode="External"/><Relationship Id="rId156" Type="http://schemas.openxmlformats.org/officeDocument/2006/relationships/hyperlink" Target="https://doi.org/10.1016/j.actaastro.2024.12.056" TargetMode="External"/><Relationship Id="rId177" Type="http://schemas.openxmlformats.org/officeDocument/2006/relationships/hyperlink" Target="https://doi.org/10.1016/j.actaastro.2025.01.038" TargetMode="External"/><Relationship Id="rId188" Type="http://schemas.openxmlformats.org/officeDocument/2006/relationships/hyperlink" Target="https://doi.org/10.1016/j.actaastro.2025.01.042" TargetMode="External"/><Relationship Id="rId180" Type="http://schemas.openxmlformats.org/officeDocument/2006/relationships/hyperlink" Target="https://doi.org/10.1016/j.actaastro.2025.02.019" TargetMode="External"/><Relationship Id="rId184" Type="http://schemas.openxmlformats.org/officeDocument/2006/relationships/hyperlink" Target="https://doi.org/10.1016/j.actaastro.2025.03.034" TargetMode="External"/><Relationship Id="rId182" Type="http://schemas.openxmlformats.org/officeDocument/2006/relationships/hyperlink" Target="https://doi.org/10.1016/j.actaastro.2025.05.036" TargetMode="External"/><Relationship Id="rId186" Type="http://schemas.openxmlformats.org/officeDocument/2006/relationships/hyperlink" Target="https://doi.org/10.1016/j.actaastro.2025.05.049" TargetMode="External"/><Relationship Id="rId154" Type="http://schemas.openxmlformats.org/officeDocument/2006/relationships/hyperlink" Target="https://doi.org/10.1016/j.actaastro.2025.06.029" TargetMode="External"/><Relationship Id="rId164" Type="http://schemas.openxmlformats.org/officeDocument/2006/relationships/hyperlink" Target="https://doi.org/10.1016/j.actaastro.2025.11.006" TargetMode="External"/><Relationship Id="rId169" Type="http://schemas.openxmlformats.org/officeDocument/2006/relationships/hyperlink" Target="https://doi.org/10.64861/DZFF7826" TargetMode="External"/><Relationship Id="rId173" Type="http://schemas.openxmlformats.org/officeDocument/2006/relationships/hyperlink" Target="https://doi.org/10.64861/PFBR4795" TargetMode="External"/></Relationships>
</file>

<file path=word/_rels/footnotes.xml.rels><?xml version='1.0' encoding='UTF-8' standalone='yes'?>
<Relationships xmlns="http://schemas.openxmlformats.org/package/2006/relationships"><Relationship Id="rId152" Type="http://schemas.openxmlformats.org/officeDocument/2006/relationships/hyperlink" Target="https://doi.org/10.1016/j.actaastro.2018.03.051" TargetMode="External"/><Relationship Id="rId143" Type="http://schemas.openxmlformats.org/officeDocument/2006/relationships/hyperlink" Target="https://doi.org/10.1016/j.actaastro.2020.05.063" TargetMode="External"/><Relationship Id="rId145" Type="http://schemas.openxmlformats.org/officeDocument/2006/relationships/hyperlink" Target="https://doi.org/10.1016/j.actaastro.2024.06.015" TargetMode="External"/><Relationship Id="rId141" Type="http://schemas.openxmlformats.org/officeDocument/2006/relationships/hyperlink" Target="https://doi.org/10.1016/j.actaastro.2024.11.026" TargetMode="External"/><Relationship Id="rId156" Type="http://schemas.openxmlformats.org/officeDocument/2006/relationships/hyperlink" Target="https://doi.org/10.1016/j.actaastro.2024.12.056" TargetMode="External"/><Relationship Id="rId177" Type="http://schemas.openxmlformats.org/officeDocument/2006/relationships/hyperlink" Target="https://doi.org/10.1016/j.actaastro.2025.01.038" TargetMode="External"/><Relationship Id="rId188" Type="http://schemas.openxmlformats.org/officeDocument/2006/relationships/hyperlink" Target="https://doi.org/10.1016/j.actaastro.2025.01.042" TargetMode="External"/><Relationship Id="rId180" Type="http://schemas.openxmlformats.org/officeDocument/2006/relationships/hyperlink" Target="https://doi.org/10.1016/j.actaastro.2025.02.019" TargetMode="External"/><Relationship Id="rId184" Type="http://schemas.openxmlformats.org/officeDocument/2006/relationships/hyperlink" Target="https://doi.org/10.1016/j.actaastro.2025.03.034" TargetMode="External"/><Relationship Id="rId182" Type="http://schemas.openxmlformats.org/officeDocument/2006/relationships/hyperlink" Target="https://doi.org/10.1016/j.actaastro.2025.05.036" TargetMode="External"/><Relationship Id="rId186" Type="http://schemas.openxmlformats.org/officeDocument/2006/relationships/hyperlink" Target="https://doi.org/10.1016/j.actaastro.2025.05.049" TargetMode="External"/><Relationship Id="rId154" Type="http://schemas.openxmlformats.org/officeDocument/2006/relationships/hyperlink" Target="https://doi.org/10.1016/j.actaastro.2025.06.029" TargetMode="External"/><Relationship Id="rId164" Type="http://schemas.openxmlformats.org/officeDocument/2006/relationships/hyperlink" Target="https://doi.org/10.1016/j.actaastro.2025.11.006" TargetMode="External"/><Relationship Id="rId169" Type="http://schemas.openxmlformats.org/officeDocument/2006/relationships/hyperlink" Target="https://doi.org/10.64861/DZFF7826" TargetMode="External"/><Relationship Id="rId173" Type="http://schemas.openxmlformats.org/officeDocument/2006/relationships/hyperlink" Target="https://doi.org/10.64861/PFBR47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Funding the Sensors: A Cliometric Analysis of NASA and Allied SSA/SDA Budget Allocation</dc:title>
  <dc:creator>Iris Castellano (1B-SDA-069)</dc:creator>
  <cp:keywords/>
  <dcterms:created xsi:type="dcterms:W3CDTF">2026-07-02T17:25:11Z</dcterms:created>
  <dcterms:modified xsi:type="dcterms:W3CDTF">2026-07-02T17:25:11Z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