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4.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2" w:name="Xec0100ab37783b0e85c2dfe246a57c7c5917c71"/>
    <w:p>
      <w:pPr>
        <w:pStyle w:val="Heading1"/>
      </w:pPr>
      <w:r>
        <w:t xml:space="preserve">Attention Accumulation in Provenance and Custody Chains Measuring How Often SSA Conjunction Decisions Res: A Learning-Curve Analysis of Citation Growth by Article Age</w:t>
      </w:r>
    </w:p>
    <w:bookmarkStart w:id="61" w:name="introduction"/>
    <w:p>
      <w:pPr>
        <w:pStyle w:val="Heading2"/>
      </w:pPr>
      <w:r>
        <w:t xml:space="preserve">1. Introduction</w:t>
      </w:r>
    </w:p>
    <w:p>
      <w:pPr>
        <w:pStyle w:val="FirstParagraph"/>
      </w:pPr>
      <w:r>
        <w:t xml:space="preserve">This empirical paper supports Keiko Halloran (1B-SDA-187) and the dissertation project</w:t>
      </w:r>
      <w:r>
        <w:t xml:space="preserve"> </w:t>
      </w:r>
      <w:r>
        <w:rPr>
          <w:i/>
          <w:iCs/>
        </w:rPr>
        <w:t xml:space="preserve">Provenance and Custody Chains: Measuring How Often SSA Conjunction Decisions Res</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R2=0.005982359547612615, elasticity_b=-0.1589743079214872, progress_ratio_2^b=0.8956616202418646. The exact term summary is: const coef=1.0285975880639717 p=0.06028253989693142; _ln_x coef=-0.1589743079214872 p=0.6780806103183905.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82" w:name="references"/>
    <w:p>
      <w:pPr>
        <w:pStyle w:val="Heading2"/>
      </w:pPr>
      <w:r>
        <w:t xml:space="preserve">References</w:t>
      </w:r>
    </w:p>
    <w:p>
      <w:pPr>
        <w:pStyle w:val="FirstParagraph"/>
      </w:pPr>
      <w:bookmarkStart w:id="67" w:name="ref-1"/>
      <w:bookmarkEnd w:id="67"/>
      <w:r>
        <w:t xml:space="preserve">1. Harvey Reed, MITRE; Nick Tsamis, MITRE; Nathaniel Dailey, MITRE. Space Sustainability and Traffic Management Requires Trusted Space Stakeholder Coordination (2023). doi:</w:t>
      </w:r>
      <w:r>
        <w:t xml:space="preserve"> </w:t>
      </w:r>
      <w:hyperlink r:id="rId68">
        <w:r>
          <w:rPr>
            <w:rStyle w:val="Hyperlink"/>
          </w:rPr>
          <w:t xml:space="preserve">10.64861/MVHC2799</w:t>
        </w:r>
      </w:hyperlink>
      <w:r>
        <w:t xml:space="preserve"> </w:t>
      </w:r>
      <w:bookmarkStart w:id="69" w:name="ref-2"/>
      <w:bookmarkEnd w:id="69"/>
      <w:r>
        <w:t xml:space="preserve">2. Yasir Latif, Space Protocol; Samya Bagchi, Space Protocol; Latha Madhuri Pratti, Space Protocol; Harvey Reed, MITRE; Ruth Stilwell, Aerospace Policy Solutions, LLC; Greg Furlich, University of Colorado Boulder. Towards an AI-enabled Space Battle Management System on Space Protocol’s Quantum Resilient Blockchain (2025). doi:</w:t>
      </w:r>
      <w:r>
        <w:t xml:space="preserve"> </w:t>
      </w:r>
      <w:hyperlink r:id="rId70">
        <w:r>
          <w:rPr>
            <w:rStyle w:val="Hyperlink"/>
          </w:rPr>
          <w:t xml:space="preserve">10.64861/CEPU7718</w:t>
        </w:r>
      </w:hyperlink>
      <w:r>
        <w:t xml:space="preserve"> </w:t>
      </w:r>
      <w:bookmarkStart w:id="71" w:name="ref-3"/>
      <w:bookmarkEnd w:id="71"/>
      <w:r>
        <w:t xml:space="preserve">3. Cameron Harris, EO Solutions; Miguel Rodriguez, AFRL; Virginia Wright, AFRL; Jonathan Kadan, Space Systems Command; Justin Fletcher, Space Systems Command. Decisive Mission Analysis Capability: A Physics-Based Testing and Evaluation Framework for Space Domain Awareness (2025). doi:</w:t>
      </w:r>
      <w:r>
        <w:t xml:space="preserve"> </w:t>
      </w:r>
      <w:hyperlink r:id="rId72">
        <w:r>
          <w:rPr>
            <w:rStyle w:val="Hyperlink"/>
          </w:rPr>
          <w:t xml:space="preserve">10.64861/CKQN3841</w:t>
        </w:r>
      </w:hyperlink>
      <w:r>
        <w:t xml:space="preserve"> </w:t>
      </w:r>
      <w:bookmarkStart w:id="73" w:name="ref-4"/>
      <w:bookmarkEnd w:id="73"/>
      <w:r>
        <w:t xml:space="preserve">4. Robert Carden, MITRE; Dustin Burchett, MITRE; Harvey Reed, MITRE. SNARE (Sensor Network Autonomous Resilient Extensible): Decentralized Sensor Tasking Improves SDA Tactical Relevance (2021). [AMOS]</w:t>
      </w:r>
      <w:r>
        <w:t xml:space="preserve"> </w:t>
      </w:r>
      <w:bookmarkStart w:id="74" w:name="ref-5"/>
      <w:bookmarkEnd w:id="74"/>
      <w:r>
        <w:t xml:space="preserve">5. Kevin Vanslette, Raytheon BBN; Roddy Taing, University of Wisconsin-Madison. Toward Optimal Conjunction-Based Sensor Tasking using Inferential Moments (2023). doi:</w:t>
      </w:r>
      <w:r>
        <w:t xml:space="preserve"> </w:t>
      </w:r>
      <w:hyperlink r:id="rId75">
        <w:r>
          <w:rPr>
            <w:rStyle w:val="Hyperlink"/>
          </w:rPr>
          <w:t xml:space="preserve">10.64861/PEUU1014</w:t>
        </w:r>
      </w:hyperlink>
      <w:r>
        <w:t xml:space="preserve"> </w:t>
      </w:r>
      <w:bookmarkStart w:id="76" w:name="ref-6"/>
      <w:bookmarkEnd w:id="76"/>
      <w:r>
        <w:t xml:space="preserve">6. James Reilly, Booz Allen Hamilton; Matthew Blackford, Booz Allen Hamilton; Jillian Mueller, Booz Allen Hamilton. Challenges in Space Traffic Management (2023). doi:</w:t>
      </w:r>
      <w:r>
        <w:t xml:space="preserve"> </w:t>
      </w:r>
      <w:hyperlink r:id="rId77">
        <w:r>
          <w:rPr>
            <w:rStyle w:val="Hyperlink"/>
          </w:rPr>
          <w:t xml:space="preserve">10.64861/UCTN1793</w:t>
        </w:r>
      </w:hyperlink>
      <w:r>
        <w:t xml:space="preserve"> </w:t>
      </w:r>
      <w:bookmarkStart w:id="78" w:name="ref-7"/>
      <w:bookmarkEnd w:id="78"/>
      <w:r>
        <w:t xml:space="preserve">7. Roger Hunter, NASA Ames Research Center; Elwood Agasid, NASA Ames Research Center; Samson Phan, NASA Ames Research Center; Nathan Benz, NASA Ames Research Center; Scott Miller, NASA Ames Research Center; Caleb Adams, NASA Ames Research Center; Brian Kempa, NASA Ames Research Center; Jeremy Frank, NASA Ames Research Center; Michael Iatauro, NASA Ames Research Center; Justin Kruger, EraDrive Inc.; Simone D’Amico, EraDrive Inc.; Julianna Fishman, Millenium Engineering &amp; Integration Company; Sasha Weston, Millenium Engineering &amp; Integration Company. NASA’s Starling Mission and Space Situational Awareness Implications (2025). doi:</w:t>
      </w:r>
      <w:r>
        <w:t xml:space="preserve"> </w:t>
      </w:r>
      <w:hyperlink r:id="rId79">
        <w:r>
          <w:rPr>
            <w:rStyle w:val="Hyperlink"/>
          </w:rPr>
          <w:t xml:space="preserve">10.64861/XQCN3213</w:t>
        </w:r>
      </w:hyperlink>
      <w:r>
        <w:t xml:space="preserve"> </w:t>
      </w:r>
      <w:bookmarkStart w:id="80" w:name="ref-8"/>
      <w:bookmarkEnd w:id="80"/>
      <w:r>
        <w:t xml:space="preserve">8. Greg Furlich, University of Colorado Boulder; Angie Crews, University of Colorado Boulder; Steve Rossland, University of Colorado Boulder; John Marino, University of Colorado Boulder; Anthony Mayo, Millennial Software; Douglas Kim, SpaceMap; Peter Ryu, SpaceMap; Chris Tschan, Data Fusion &amp; Neural Networks; Max Brown, Data Fusion &amp; Neural Networks; Ethan Crawford, Data Fusion &amp; Neural Networks; Matthew Leonard, Aloha Autonomy; Rithwik Neelakantan, Digantara; Sheena L. Winder, Kall Morris Inc.; Jack McGuigan, Observable Space; Jesse Williams, GTC Analytics; Brian Goodwin, RAIC Labs; Jubilee Prasad Rao, R4C Tech; Jimson Huang, Purdue University; Sean Ruda, Purdue University; Jack Al-Kahwati, Stardrive Inc.; Yasir Latif, Space Protocol; Samya Bagchi, Space Protocol; Latha Madhuri Pratti, Space Protocol; Cindy Chin, Planetary Systems AI; Mack Reed, Planetary Systems AI; Samantha Louque, Virginia Tech Applied Research Center; Melissa Hills, Virginia Tech Applied Research Center; Dan Pribulick, ICR; Major Travis Pond, SDA Tools, Applications, Processing Lab, SSC, USSF; Scott Brodeur, SDA Tools, Applications, Processing Lab, SSC, USSF; David Kurtenbach, SDA Tools, Applications, Processing Lab, SSC, USSF; Roger Altobelli, SDA Tools, Applications, Processing Lab, SSC, USSF. Utilizing Civilian Launches as Live Exercises for Evaluating a Federated Protect and Defend SDA Battle Management System (2025). doi:</w:t>
      </w:r>
      <w:r>
        <w:t xml:space="preserve"> </w:t>
      </w:r>
      <w:hyperlink r:id="rId81">
        <w:r>
          <w:rPr>
            <w:rStyle w:val="Hyperlink"/>
          </w:rPr>
          <w:t xml:space="preserve">10.64861/PFBR4795</w:t>
        </w:r>
      </w:hyperlink>
    </w:p>
    <w:bookmarkEnd w:id="82"/>
    <w:bookmarkStart w:id="83"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3"/>
    <w:bookmarkStart w:id="87"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1.0286</w:t>
            </w:r>
          </w:p>
        </w:tc>
        <w:tc>
          <w:tcPr>
            <w:tcW w:w="0" w:type="auto"/>
          </w:tcPr>
          <w:p>
            <w:pPr>
              <w:spacing w:line="240" w:lineRule="auto" w:before="0" w:after="0"/>
              <w:pStyle w:val="Compact"/>
            </w:pPr>
            <w:r>
              <w:rPr>
                <w:sz w:val="20"/>
                <w:szCs w:val="20"/>
              </w:rPr>
              <w:t xml:space="preserve">0.5475</w:t>
            </w:r>
          </w:p>
        </w:tc>
        <w:tc>
          <w:tcPr>
            <w:tcW w:w="0" w:type="auto"/>
          </w:tcPr>
          <w:p>
            <w:pPr>
              <w:spacing w:line="240" w:lineRule="auto" w:before="0" w:after="0"/>
              <w:pStyle w:val="Compact"/>
            </w:pPr>
            <w:r>
              <w:rPr>
                <w:sz w:val="20"/>
                <w:szCs w:val="20"/>
              </w:rPr>
              <w:t xml:space="preserve">1.8787</w:t>
            </w:r>
          </w:p>
        </w:tc>
        <w:tc>
          <w:tcPr>
            <w:tcW w:w="0" w:type="auto"/>
          </w:tcPr>
          <w:p>
            <w:pPr>
              <w:spacing w:line="240" w:lineRule="auto" w:before="0" w:after="0"/>
              <w:pStyle w:val="Compact"/>
            </w:pPr>
            <w:r>
              <w:rPr>
                <w:sz w:val="20"/>
                <w:szCs w:val="20"/>
              </w:rPr>
              <w:t xml:space="preserve">0.0603</w:t>
            </w:r>
          </w:p>
        </w:tc>
        <w:tc>
          <w:tcPr>
            <w:tcW w:w="0" w:type="auto"/>
          </w:tcPr>
          <w:p>
            <w:pPr>
              <w:spacing w:line="240" w:lineRule="auto" w:before="0" w:after="0"/>
              <w:pStyle w:val="Compact"/>
            </w:pPr>
            <w:r>
              <w:rPr>
                <w:sz w:val="20"/>
                <w:szCs w:val="20"/>
              </w:rPr>
              <w:t xml:space="preserve">[-0.0445, 2.1017]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-0.159</w:t>
            </w:r>
          </w:p>
        </w:tc>
        <w:tc>
          <w:tcPr>
            <w:tcW w:w="0" w:type="auto"/>
          </w:tcPr>
          <w:p>
            <w:pPr>
              <w:spacing w:line="240" w:lineRule="auto" w:before="0" w:after="0"/>
              <w:pStyle w:val="Compact"/>
            </w:pPr>
            <w:r>
              <w:rPr>
                <w:sz w:val="20"/>
                <w:szCs w:val="20"/>
              </w:rPr>
              <w:t xml:space="preserve">0.383</w:t>
            </w:r>
          </w:p>
        </w:tc>
        <w:tc>
          <w:tcPr>
            <w:tcW w:w="0" w:type="auto"/>
          </w:tcPr>
          <w:p>
            <w:pPr>
              <w:spacing w:line="240" w:lineRule="auto" w:before="0" w:after="0"/>
              <w:pStyle w:val="Compact"/>
            </w:pPr>
            <w:r>
              <w:rPr>
                <w:sz w:val="20"/>
                <w:szCs w:val="20"/>
              </w:rPr>
              <w:t xml:space="preserve">-0.4151</w:t>
            </w:r>
          </w:p>
        </w:tc>
        <w:tc>
          <w:tcPr>
            <w:tcW w:w="0" w:type="auto"/>
          </w:tcPr>
          <w:p>
            <w:pPr>
              <w:spacing w:line="240" w:lineRule="auto" w:before="0" w:after="0"/>
              <w:pStyle w:val="Compact"/>
            </w:pPr>
            <w:r>
              <w:rPr>
                <w:sz w:val="20"/>
                <w:szCs w:val="20"/>
              </w:rPr>
              <w:t xml:space="preserve">0.6781</w:t>
            </w:r>
          </w:p>
        </w:tc>
        <w:tc>
          <w:tcPr>
            <w:tcW w:w="0" w:type="auto"/>
          </w:tcPr>
          <w:p>
            <w:pPr>
              <w:spacing w:line="240" w:lineRule="auto" w:before="0" w:after="0"/>
              <w:pStyle w:val="Compact"/>
            </w:pPr>
            <w:r>
              <w:rPr>
                <w:sz w:val="20"/>
                <w:szCs w:val="20"/>
              </w:rPr>
              <w:t xml:space="preserve">[-0.9096, 0.5917]</w:t>
            </w:r>
          </w:p>
        </w:tc>
      </w:tr>
    </w:tbl>
    <w:p>
      <w:pPr>
        <w:pStyle w:val="BodyText"/>
      </w:pPr>
      <w:r>
        <w:t xml:space="preserve">Fit: N = 30 R2 = 0.006 elasticity_b = -0.159 progress_ratio_2^b = 0.8957</w:t>
      </w:r>
    </w:p>
    <w:p>
      <w:pPr>
        <w:pStyle w:val="CaptionedFigure"/>
      </w:pPr>
      <w:r>
        <w:drawing>
          <wp:inline>
            <wp:extent cx="5669280" cy="3657600"/>
            <wp:effectExtent b="0" l="0" r="0" t="0"/>
            <wp:docPr descr="Figure 1. Citation accumulation against article age in the retrieved topic literature." title="" id="85" name="Picture"/>
            <a:graphic>
              <a:graphicData uri="http://schemas.openxmlformats.org/drawingml/2006/picture">
                <pic:pic>
                  <pic:nvPicPr>
                    <pic:cNvPr descr="D:\Claude_Code\brain\collegium\candidates\dissertations\SSA_SDA_11\research_papers\p2\paper_fig1.png" id="86" name="Picture"/>
                    <pic:cNvPicPr>
                      <a:picLocks noChangeArrowheads="1" noChangeAspect="1"/>
                    </pic:cNvPicPr>
                  </pic:nvPicPr>
                  <pic:blipFill>
                    <a:blip r:embed="rId84"/>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7"/>
    <w:bookmarkStart w:id="91"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8"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10.64861/MVHC2799</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10.64861/CKQN3841</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10.64861/CEPU7718</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https://amostech.space/year/2012/satellite-re-entry-modeling-and-uncertainty-quantification/</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https://amostech.space/year/2021/snare-sensor-network-autonomous-resilient-extensible-decentralized-sensor-tasking-improves-sda-tactical-relevance/</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10.64861/PEUU1014</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https://amostech.space/year/2021/swedish-national-interests-in-space-situational-awareness/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10.64861/UCTN1793</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10.64861/XQCN3213</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https://amostech.space/year/2020/telescope-tasking-for-maneuver-detection-and-custody-maintenance-using-evidential-reasoning-and-reachability-theory/</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10.64861/PFBR4795</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10.64861/HZAS5795</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10.1016/j.actaastro.2022.03.035</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10.1016/j.actaastro.2021.04.009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10.1016/j.actaastro.2018.03.017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10.1016/j.actaastro.2025.05.036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10.1016/j.actaastro.2018.12.043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10.1016/j.actaastro.2025.01.003</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10.1016/j.actaastro.2025.03.034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10.1016/j.actaastro.2025.01.038</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10.1016/j.actaastro.2024.06.001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10.1016/j.actaastro.2023.04.032</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10.1016/j.actaastro.2025.01.042</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10.1016/j.actaastro.2022.08.017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Strategic Competition and Economic Innovation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Behavioral Economics in Space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Behavioral Economics in Space: Shaping Normative Behaviors for Stability and Sustainability (white paper, unpublished working paper, N. Dailey or associated author, undated). Proposes applying behavioral economics principles, drawing on Kahneman and Gaddis, to shape normative behavior in space traffic coordination, SSA, and space domain awareness, and further integrates deterrence frameworks and strategic non-kinetic effects (DIME tools) to reinforce responsible conduct and deter adversarial behavior.</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Technical Challenges of Better SSA and STM</w:t>
            </w:r>
          </w:p>
        </w:tc>
      </w:tr>
    </w:tbl>
    <w:bookmarkEnd w:id="88"/>
    <w:bookmarkStart w:id="89"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9"/>
    <w:bookmarkStart w:id="90"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1.0286</w:t>
            </w:r>
          </w:p>
        </w:tc>
        <w:tc>
          <w:tcPr>
            <w:tcW w:w="0" w:type="auto"/>
          </w:tcPr>
          <w:p>
            <w:pPr>
              <w:spacing w:line="240" w:lineRule="auto" w:before="0" w:after="0"/>
              <w:pStyle w:val="Compact"/>
            </w:pPr>
            <w:r>
              <w:rPr>
                <w:sz w:val="20"/>
                <w:szCs w:val="20"/>
              </w:rPr>
              <w:t xml:space="preserve">0.5475</w:t>
            </w:r>
          </w:p>
        </w:tc>
        <w:tc>
          <w:tcPr>
            <w:tcW w:w="0" w:type="auto"/>
          </w:tcPr>
          <w:p>
            <w:pPr>
              <w:spacing w:line="240" w:lineRule="auto" w:before="0" w:after="0"/>
              <w:pStyle w:val="Compact"/>
            </w:pPr>
            <w:r>
              <w:rPr>
                <w:sz w:val="20"/>
                <w:szCs w:val="20"/>
              </w:rPr>
              <w:t xml:space="preserve">1.8787</w:t>
            </w:r>
          </w:p>
        </w:tc>
        <w:tc>
          <w:tcPr>
            <w:tcW w:w="0" w:type="auto"/>
          </w:tcPr>
          <w:p>
            <w:pPr>
              <w:spacing w:line="240" w:lineRule="auto" w:before="0" w:after="0"/>
              <w:pStyle w:val="Compact"/>
            </w:pPr>
            <w:r>
              <w:rPr>
                <w:sz w:val="20"/>
                <w:szCs w:val="20"/>
              </w:rPr>
              <w:t xml:space="preserve">0.0603</w:t>
            </w:r>
          </w:p>
        </w:tc>
        <w:tc>
          <w:tcPr>
            <w:tcW w:w="0" w:type="auto"/>
          </w:tcPr>
          <w:p>
            <w:pPr>
              <w:spacing w:line="240" w:lineRule="auto" w:before="0" w:after="0"/>
              <w:pStyle w:val="Compact"/>
            </w:pPr>
            <w:r>
              <w:rPr>
                <w:sz w:val="20"/>
                <w:szCs w:val="20"/>
              </w:rPr>
              <w:t xml:space="preserve">[-0.0445, 2.1017]</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-0.159</w:t>
            </w:r>
          </w:p>
        </w:tc>
        <w:tc>
          <w:tcPr>
            <w:tcW w:w="0" w:type="auto"/>
          </w:tcPr>
          <w:p>
            <w:pPr>
              <w:spacing w:line="240" w:lineRule="auto" w:before="0" w:after="0"/>
              <w:pStyle w:val="Compact"/>
            </w:pPr>
            <w:r>
              <w:rPr>
                <w:sz w:val="20"/>
                <w:szCs w:val="20"/>
              </w:rPr>
              <w:t xml:space="preserve">0.383</w:t>
            </w:r>
          </w:p>
        </w:tc>
        <w:tc>
          <w:tcPr>
            <w:tcW w:w="0" w:type="auto"/>
          </w:tcPr>
          <w:p>
            <w:pPr>
              <w:spacing w:line="240" w:lineRule="auto" w:before="0" w:after="0"/>
              <w:pStyle w:val="Compact"/>
            </w:pPr>
            <w:r>
              <w:rPr>
                <w:sz w:val="20"/>
                <w:szCs w:val="20"/>
              </w:rPr>
              <w:t xml:space="preserve">-0.4151</w:t>
            </w:r>
          </w:p>
        </w:tc>
        <w:tc>
          <w:tcPr>
            <w:tcW w:w="0" w:type="auto"/>
          </w:tcPr>
          <w:p>
            <w:pPr>
              <w:spacing w:line="240" w:lineRule="auto" w:before="0" w:after="0"/>
              <w:pStyle w:val="Compact"/>
            </w:pPr>
            <w:r>
              <w:rPr>
                <w:sz w:val="20"/>
                <w:szCs w:val="20"/>
              </w:rPr>
              <w:t xml:space="preserve">0.6781</w:t>
            </w:r>
          </w:p>
        </w:tc>
        <w:tc>
          <w:tcPr>
            <w:tcW w:w="0" w:type="auto"/>
          </w:tcPr>
          <w:p>
            <w:pPr>
              <w:spacing w:line="240" w:lineRule="auto" w:before="0" w:after="0"/>
              <w:pStyle w:val="Compact"/>
            </w:pPr>
            <w:r>
              <w:rPr>
                <w:sz w:val="20"/>
                <w:szCs w:val="20"/>
              </w:rPr>
              <w:t xml:space="preserve">[-0.9096, 0.5917]</w:t>
            </w:r>
          </w:p>
        </w:tc>
      </w:tr>
    </w:tbl>
    <w:p>
      <w:pPr>
        <w:pStyle w:val="BodyText"/>
      </w:pPr>
      <w:r>
        <w:t xml:space="preserve">Fit: N = 30 R2 = 0.006 elasticity_b = -0.159 progress_ratio_2^b = 0.8957</w:t>
      </w:r>
    </w:p>
    <w:bookmarkEnd w:id="90"/>
    <w:bookmarkEnd w:id="91"/>
    <w:bookmarkEnd w:id="9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4" Target="media/rId84.png" /><Relationship Type="http://schemas.openxmlformats.org/officeDocument/2006/relationships/hyperlink" Id="rId70" Target="https://doi.org/10.64861/CEPU7718" TargetMode="External" /><Relationship Type="http://schemas.openxmlformats.org/officeDocument/2006/relationships/hyperlink" Id="rId72" Target="https://doi.org/10.64861/CKQN3841" TargetMode="External" /><Relationship Type="http://schemas.openxmlformats.org/officeDocument/2006/relationships/hyperlink" Id="rId68" Target="https://doi.org/10.64861/MVHC2799" TargetMode="External" /><Relationship Type="http://schemas.openxmlformats.org/officeDocument/2006/relationships/hyperlink" Id="rId75" Target="https://doi.org/10.64861/PEUU1014" TargetMode="External" /><Relationship Type="http://schemas.openxmlformats.org/officeDocument/2006/relationships/hyperlink" Id="rId81" Target="https://doi.org/10.64861/PFBR4795" TargetMode="External" /><Relationship Type="http://schemas.openxmlformats.org/officeDocument/2006/relationships/hyperlink" Id="rId77" Target="https://doi.org/10.64861/UCTN1793" TargetMode="External" /><Relationship Type="http://schemas.openxmlformats.org/officeDocument/2006/relationships/hyperlink" Id="rId79" Target="https://doi.org/10.64861/XQCN3213"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64861/CEPU7718" TargetMode="External" /><Relationship Type="http://schemas.openxmlformats.org/officeDocument/2006/relationships/hyperlink" Id="rId72" Target="https://doi.org/10.64861/CKQN3841" TargetMode="External" /><Relationship Type="http://schemas.openxmlformats.org/officeDocument/2006/relationships/hyperlink" Id="rId68" Target="https://doi.org/10.64861/MVHC2799" TargetMode="External" /><Relationship Type="http://schemas.openxmlformats.org/officeDocument/2006/relationships/hyperlink" Id="rId75" Target="https://doi.org/10.64861/PEUU1014" TargetMode="External" /><Relationship Type="http://schemas.openxmlformats.org/officeDocument/2006/relationships/hyperlink" Id="rId81" Target="https://doi.org/10.64861/PFBR4795" TargetMode="External" /><Relationship Type="http://schemas.openxmlformats.org/officeDocument/2006/relationships/hyperlink" Id="rId77" Target="https://doi.org/10.64861/UCTN1793" TargetMode="External" /><Relationship Type="http://schemas.openxmlformats.org/officeDocument/2006/relationships/hyperlink" Id="rId79" Target="https://doi.org/10.64861/XQCN321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2026-06-29T09:35:03Z</dcterms:created>
  <dcterms:modified xsi:type="dcterms:W3CDTF">2026-06-29T09:35:03Z</dcterms:modified>
</cp:coreProperties>
</file>

<file path=docProps/custom.xml><?xml version="1.0" encoding="utf-8"?>
<Properties xmlns="http://schemas.openxmlformats.org/officeDocument/2006/custom-properties" xmlns:vt="http://schemas.openxmlformats.org/officeDocument/2006/docPropsVTypes"/>
</file>