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43ef844dee197f890a0673650e0bb97968ee5b8"/>
    <w:p>
      <w:pPr>
        <w:pStyle w:val="Heading1"/>
      </w:pPr>
      <w:r>
        <w:t xml:space="preserve">Signal Intensity in Provenance and Custody Chains Measuring How Often SSA Conjunction Decisions Res: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Keiko Halloran (1B-SDA-187) and the dissertation project</w:t>
      </w:r>
      <w:r>
        <w:t xml:space="preserve"> </w:t>
      </w:r>
      <w:r>
        <w:rPr>
          <w:i/>
          <w:iCs/>
        </w:rPr>
        <w:t xml:space="preserve">Provenance and Custody Chains: Measuring How Often SSA Conjunction Decisions Res</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R2=0.3044800227751977, R2_adj=0.22422771771079741, F=7.794031832030591, F_p=0.0007143362799178684. The exact term summary is: const coef=3.554304486731946 p=0.025101285795028253; recency_index coef=0.05754670569551767 p=0.548166519319668; cites_num coef=-0.000968453756648037 p=0.9193029994513964; venue_score coef=-0.9925572020959788 p=0.0033602872295059503.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2" w:name="references"/>
    <w:p>
      <w:pPr>
        <w:pStyle w:val="Heading2"/>
      </w:pPr>
      <w:r>
        <w:t xml:space="preserve">References</w:t>
      </w:r>
    </w:p>
    <w:p>
      <w:pPr>
        <w:pStyle w:val="FirstParagraph"/>
      </w:pPr>
      <w:bookmarkStart w:id="67" w:name="ref-1"/>
      <w:bookmarkEnd w:id="67"/>
      <w:r>
        <w:t xml:space="preserve">1. Harvey Reed, MITRE; Nick Tsamis, MITRE; Nathaniel Dailey, MITRE. Space Sustainability and Traffic Management Requires Trusted Space Stakeholder Coordination (2023). doi:</w:t>
      </w:r>
      <w:r>
        <w:t xml:space="preserve"> </w:t>
      </w:r>
      <w:hyperlink r:id="rId68">
        <w:r>
          <w:rPr>
            <w:rStyle w:val="Hyperlink"/>
          </w:rPr>
          <w:t xml:space="preserve">10.64861/MVHC2799</w:t>
        </w:r>
      </w:hyperlink>
      <w:r>
        <w:t xml:space="preserve"> </w:t>
      </w:r>
      <w:bookmarkStart w:id="69" w:name="ref-2"/>
      <w:bookmarkEnd w:id="69"/>
      <w:r>
        <w:t xml:space="preserve">2.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70">
        <w:r>
          <w:rPr>
            <w:rStyle w:val="Hyperlink"/>
          </w:rPr>
          <w:t xml:space="preserve">10.64861/CEPU7718</w:t>
        </w:r>
      </w:hyperlink>
      <w:r>
        <w:t xml:space="preserve"> </w:t>
      </w:r>
      <w:bookmarkStart w:id="71" w:name="ref-3"/>
      <w:bookmarkEnd w:id="71"/>
      <w:r>
        <w:t xml:space="preserve">3. Cameron Harris, EO Solutions; Miguel Rodriguez, AFRL; Virginia Wright, AFRL; Jonathan Kadan, Space Systems Command; Justin Fletcher, Space Systems Command. Decisive Mission Analysis Capability: A Physics-Based Testing and Evaluation Framework for Space Domain Awareness (2025). doi:</w:t>
      </w:r>
      <w:r>
        <w:t xml:space="preserve"> </w:t>
      </w:r>
      <w:hyperlink r:id="rId72">
        <w:r>
          <w:rPr>
            <w:rStyle w:val="Hyperlink"/>
          </w:rPr>
          <w:t xml:space="preserve">10.64861/CKQN3841</w:t>
        </w:r>
      </w:hyperlink>
      <w:r>
        <w:t xml:space="preserve"> </w:t>
      </w:r>
      <w:bookmarkStart w:id="73" w:name="ref-4"/>
      <w:bookmarkEnd w:id="73"/>
      <w:r>
        <w:t xml:space="preserve">4. Robert Carden, MITRE; Dustin Burchett, MITRE; Harvey Reed, MITRE. SNARE (Sensor Network Autonomous Resilient Extensible): Decentralized Sensor Tasking Improves SDA Tactical Relevance (2021). [AMOS]</w:t>
      </w:r>
      <w:r>
        <w:t xml:space="preserve"> </w:t>
      </w:r>
      <w:bookmarkStart w:id="74" w:name="ref-5"/>
      <w:bookmarkEnd w:id="74"/>
      <w:r>
        <w:t xml:space="preserve">5. Kevin Vanslette, Raytheon BBN; Roddy Taing, University of Wisconsin-Madison. Toward Optimal Conjunction-Based Sensor Tasking using Inferential Moments (2023). doi:</w:t>
      </w:r>
      <w:r>
        <w:t xml:space="preserve"> </w:t>
      </w:r>
      <w:hyperlink r:id="rId75">
        <w:r>
          <w:rPr>
            <w:rStyle w:val="Hyperlink"/>
          </w:rPr>
          <w:t xml:space="preserve">10.64861/PEUU1014</w:t>
        </w:r>
      </w:hyperlink>
      <w:r>
        <w:t xml:space="preserve"> </w:t>
      </w:r>
      <w:bookmarkStart w:id="76" w:name="ref-6"/>
      <w:bookmarkEnd w:id="76"/>
      <w:r>
        <w:t xml:space="preserve">6. James Reilly, Booz Allen Hamilton; Matthew Blackford, Booz Allen Hamilton; Jillian Mueller, Booz Allen Hamilton. Challenges in Space Traffic Management (2023). doi:</w:t>
      </w:r>
      <w:r>
        <w:t xml:space="preserve"> </w:t>
      </w:r>
      <w:hyperlink r:id="rId77">
        <w:r>
          <w:rPr>
            <w:rStyle w:val="Hyperlink"/>
          </w:rPr>
          <w:t xml:space="preserve">10.64861/UCTN1793</w:t>
        </w:r>
      </w:hyperlink>
      <w:r>
        <w:t xml:space="preserve"> </w:t>
      </w:r>
      <w:bookmarkStart w:id="78" w:name="ref-7"/>
      <w:bookmarkEnd w:id="78"/>
      <w:r>
        <w:t xml:space="preserve">7.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79">
        <w:r>
          <w:rPr>
            <w:rStyle w:val="Hyperlink"/>
          </w:rPr>
          <w:t xml:space="preserve">10.64861/XQCN3213</w:t>
        </w:r>
      </w:hyperlink>
      <w:r>
        <w:t xml:space="preserve"> </w:t>
      </w:r>
      <w:bookmarkStart w:id="80" w:name="ref-8"/>
      <w:bookmarkEnd w:id="80"/>
      <w:r>
        <w:t xml:space="preserve">8.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81">
        <w:r>
          <w:rPr>
            <w:rStyle w:val="Hyperlink"/>
          </w:rPr>
          <w:t xml:space="preserve">10.64861/PFBR4795</w:t>
        </w:r>
      </w:hyperlink>
    </w:p>
    <w:bookmarkEnd w:id="82"/>
    <w:bookmarkStart w:id="83"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3.5543</w:t>
            </w:r>
          </w:p>
        </w:tc>
        <w:tc>
          <w:tcPr>
            <w:tcW w:w="0" w:type="auto"/>
          </w:tcPr>
          <w:p>
            <w:pPr>
              <w:spacing w:line="240" w:lineRule="auto" w:before="0" w:after="0"/>
              <w:pStyle w:val="Compact"/>
            </w:pPr>
            <w:r>
              <w:rPr>
                <w:sz w:val="20"/>
                <w:szCs w:val="20"/>
              </w:rPr>
              <w:t xml:space="preserve">1.5869</w:t>
            </w:r>
          </w:p>
        </w:tc>
        <w:tc>
          <w:tcPr>
            <w:tcW w:w="0" w:type="auto"/>
          </w:tcPr>
          <w:p>
            <w:pPr>
              <w:spacing w:line="240" w:lineRule="auto" w:before="0" w:after="0"/>
              <w:pStyle w:val="Compact"/>
            </w:pPr>
            <w:r>
              <w:rPr>
                <w:sz w:val="20"/>
                <w:szCs w:val="20"/>
              </w:rPr>
              <w:t xml:space="preserve">2.2398</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[0.4441, 6.6645]</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0.0575</w:t>
            </w:r>
          </w:p>
        </w:tc>
        <w:tc>
          <w:tcPr>
            <w:tcW w:w="0" w:type="auto"/>
          </w:tcPr>
          <w:p>
            <w:pPr>
              <w:spacing w:line="240" w:lineRule="auto" w:before="0" w:after="0"/>
              <w:pStyle w:val="Compact"/>
            </w:pPr>
            <w:r>
              <w:rPr>
                <w:sz w:val="20"/>
                <w:szCs w:val="20"/>
              </w:rPr>
              <w:t xml:space="preserve">0.0958</w:t>
            </w:r>
          </w:p>
        </w:tc>
        <w:tc>
          <w:tcPr>
            <w:tcW w:w="0" w:type="auto"/>
          </w:tcPr>
          <w:p>
            <w:pPr>
              <w:spacing w:line="240" w:lineRule="auto" w:before="0" w:after="0"/>
              <w:pStyle w:val="Compact"/>
            </w:pPr>
            <w:r>
              <w:rPr>
                <w:sz w:val="20"/>
                <w:szCs w:val="20"/>
              </w:rPr>
              <w:t xml:space="preserve">0.6005</w:t>
            </w:r>
          </w:p>
        </w:tc>
        <w:tc>
          <w:tcPr>
            <w:tcW w:w="0" w:type="auto"/>
          </w:tcPr>
          <w:p>
            <w:pPr>
              <w:spacing w:line="240" w:lineRule="auto" w:before="0" w:after="0"/>
              <w:pStyle w:val="Compact"/>
            </w:pPr>
            <w:r>
              <w:rPr>
                <w:sz w:val="20"/>
                <w:szCs w:val="20"/>
              </w:rPr>
              <w:t xml:space="preserve">0.5482</w:t>
            </w:r>
          </w:p>
        </w:tc>
        <w:tc>
          <w:tcPr>
            <w:tcW w:w="0" w:type="auto"/>
          </w:tcPr>
          <w:p>
            <w:pPr>
              <w:spacing w:line="240" w:lineRule="auto" w:before="0" w:after="0"/>
              <w:pStyle w:val="Compact"/>
            </w:pPr>
            <w:r>
              <w:rPr>
                <w:sz w:val="20"/>
                <w:szCs w:val="20"/>
              </w:rPr>
              <w:t xml:space="preserve">[-0.1303, 0.2454]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-0.0009685</w:t>
            </w:r>
          </w:p>
        </w:tc>
        <w:tc>
          <w:tcPr>
            <w:tcW w:w="0" w:type="auto"/>
          </w:tcPr>
          <w:p>
            <w:pPr>
              <w:spacing w:line="240" w:lineRule="auto" w:before="0" w:after="0"/>
              <w:pStyle w:val="Compact"/>
            </w:pPr>
            <w:r>
              <w:rPr>
                <w:sz w:val="20"/>
                <w:szCs w:val="20"/>
              </w:rPr>
              <w:t xml:space="preserve">0.0096</w:t>
            </w:r>
          </w:p>
        </w:tc>
        <w:tc>
          <w:tcPr>
            <w:tcW w:w="0" w:type="auto"/>
          </w:tcPr>
          <w:p>
            <w:pPr>
              <w:spacing w:line="240" w:lineRule="auto" w:before="0" w:after="0"/>
              <w:pStyle w:val="Compact"/>
            </w:pPr>
            <w:r>
              <w:rPr>
                <w:sz w:val="20"/>
                <w:szCs w:val="20"/>
              </w:rPr>
              <w:t xml:space="preserve">-0.1013</w:t>
            </w:r>
          </w:p>
        </w:tc>
        <w:tc>
          <w:tcPr>
            <w:tcW w:w="0" w:type="auto"/>
          </w:tcPr>
          <w:p>
            <w:pPr>
              <w:spacing w:line="240" w:lineRule="auto" w:before="0" w:after="0"/>
              <w:pStyle w:val="Compact"/>
            </w:pPr>
            <w:r>
              <w:rPr>
                <w:sz w:val="20"/>
                <w:szCs w:val="20"/>
              </w:rPr>
              <w:t xml:space="preserve">0.9193</w:t>
            </w:r>
          </w:p>
        </w:tc>
        <w:tc>
          <w:tcPr>
            <w:tcW w:w="0" w:type="auto"/>
          </w:tcPr>
          <w:p>
            <w:pPr>
              <w:spacing w:line="240" w:lineRule="auto" w:before="0" w:after="0"/>
              <w:pStyle w:val="Compact"/>
            </w:pPr>
            <w:r>
              <w:rPr>
                <w:sz w:val="20"/>
                <w:szCs w:val="20"/>
              </w:rPr>
              <w:t xml:space="preserve">[-0.0197, 0.0178]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-0.9926</w:t>
            </w:r>
          </w:p>
        </w:tc>
        <w:tc>
          <w:tcPr>
            <w:tcW w:w="0" w:type="auto"/>
          </w:tcPr>
          <w:p>
            <w:pPr>
              <w:spacing w:line="240" w:lineRule="auto" w:before="0" w:after="0"/>
              <w:pStyle w:val="Compact"/>
            </w:pPr>
            <w:r>
              <w:rPr>
                <w:sz w:val="20"/>
                <w:szCs w:val="20"/>
              </w:rPr>
              <w:t xml:space="preserve">0.3384</w:t>
            </w:r>
          </w:p>
        </w:tc>
        <w:tc>
          <w:tcPr>
            <w:tcW w:w="0" w:type="auto"/>
          </w:tcPr>
          <w:p>
            <w:pPr>
              <w:spacing w:line="240" w:lineRule="auto" w:before="0" w:after="0"/>
              <w:pStyle w:val="Compact"/>
            </w:pPr>
            <w:r>
              <w:rPr>
                <w:sz w:val="20"/>
                <w:szCs w:val="20"/>
              </w:rPr>
              <w:t xml:space="preserve">-2.9327</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[-1.6559, -0.3292]</w:t>
            </w:r>
          </w:p>
        </w:tc>
      </w:tr>
    </w:tbl>
    <w:p>
      <w:pPr>
        <w:pStyle w:val="BodyText"/>
      </w:pPr>
      <w:r>
        <w:t xml:space="preserve">Fit: N = 30 R2 = 0.3045 R2_adj = 0.2242 F = 7.794 F_p = 0.0007143</w:t>
      </w:r>
    </w:p>
    <w:p>
      <w:pPr>
        <w:pStyle w:val="CaptionedFigure"/>
      </w:pPr>
      <w:r>
        <w:drawing>
          <wp:inline>
            <wp:extent cx="5669280" cy="3657600"/>
            <wp:effectExtent b="0" l="0" r="0" t="0"/>
            <wp:docPr descr="Figure 1. Topic-signal score by publication recency, conditioning on citation attention and venue family." title="" id="85" name="Picture"/>
            <a:graphic>
              <a:graphicData uri="http://schemas.openxmlformats.org/drawingml/2006/picture">
                <pic:pic>
                  <pic:nvPicPr>
                    <pic:cNvPr descr="D:\Claude_Code\brain\collegium\candidates\dissertations\SSA_SDA_11\research_papers\p1\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https://amostech.space/year/2012/satellite-re-entry-modeling-and-uncertainty-quantification/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10.64861/PEUU1014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https://amostech.space/year/2020/telescope-tasking-for-maneuver-detection-and-custody-maintenance-using-evidential-reasoning-and-reachability-theory/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10.64861/HZAS5795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10.1016/j.actaastro.2018.12.043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10.1016/j.actaastro.2022.08.017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3.5543</w:t>
            </w:r>
          </w:p>
        </w:tc>
        <w:tc>
          <w:tcPr>
            <w:tcW w:w="0" w:type="auto"/>
          </w:tcPr>
          <w:p>
            <w:pPr>
              <w:spacing w:line="240" w:lineRule="auto" w:before="0" w:after="0"/>
              <w:pStyle w:val="Compact"/>
            </w:pPr>
            <w:r>
              <w:rPr>
                <w:sz w:val="20"/>
                <w:szCs w:val="20"/>
              </w:rPr>
              <w:t xml:space="preserve">1.5869</w:t>
            </w:r>
          </w:p>
        </w:tc>
        <w:tc>
          <w:tcPr>
            <w:tcW w:w="0" w:type="auto"/>
          </w:tcPr>
          <w:p>
            <w:pPr>
              <w:spacing w:line="240" w:lineRule="auto" w:before="0" w:after="0"/>
              <w:pStyle w:val="Compact"/>
            </w:pPr>
            <w:r>
              <w:rPr>
                <w:sz w:val="20"/>
                <w:szCs w:val="20"/>
              </w:rPr>
              <w:t xml:space="preserve">2.2398</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[0.4441, 6.6645]</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0.0575</w:t>
            </w:r>
          </w:p>
        </w:tc>
        <w:tc>
          <w:tcPr>
            <w:tcW w:w="0" w:type="auto"/>
          </w:tcPr>
          <w:p>
            <w:pPr>
              <w:spacing w:line="240" w:lineRule="auto" w:before="0" w:after="0"/>
              <w:pStyle w:val="Compact"/>
            </w:pPr>
            <w:r>
              <w:rPr>
                <w:sz w:val="20"/>
                <w:szCs w:val="20"/>
              </w:rPr>
              <w:t xml:space="preserve">0.0958</w:t>
            </w:r>
          </w:p>
        </w:tc>
        <w:tc>
          <w:tcPr>
            <w:tcW w:w="0" w:type="auto"/>
          </w:tcPr>
          <w:p>
            <w:pPr>
              <w:spacing w:line="240" w:lineRule="auto" w:before="0" w:after="0"/>
              <w:pStyle w:val="Compact"/>
            </w:pPr>
            <w:r>
              <w:rPr>
                <w:sz w:val="20"/>
                <w:szCs w:val="20"/>
              </w:rPr>
              <w:t xml:space="preserve">0.6005</w:t>
            </w:r>
          </w:p>
        </w:tc>
        <w:tc>
          <w:tcPr>
            <w:tcW w:w="0" w:type="auto"/>
          </w:tcPr>
          <w:p>
            <w:pPr>
              <w:spacing w:line="240" w:lineRule="auto" w:before="0" w:after="0"/>
              <w:pStyle w:val="Compact"/>
            </w:pPr>
            <w:r>
              <w:rPr>
                <w:sz w:val="20"/>
                <w:szCs w:val="20"/>
              </w:rPr>
              <w:t xml:space="preserve">0.5482</w:t>
            </w:r>
          </w:p>
        </w:tc>
        <w:tc>
          <w:tcPr>
            <w:tcW w:w="0" w:type="auto"/>
          </w:tcPr>
          <w:p>
            <w:pPr>
              <w:spacing w:line="240" w:lineRule="auto" w:before="0" w:after="0"/>
              <w:pStyle w:val="Compact"/>
            </w:pPr>
            <w:r>
              <w:rPr>
                <w:sz w:val="20"/>
                <w:szCs w:val="20"/>
              </w:rPr>
              <w:t xml:space="preserve">[-0.1303, 0.2454]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-0.0009685</w:t>
            </w:r>
          </w:p>
        </w:tc>
        <w:tc>
          <w:tcPr>
            <w:tcW w:w="0" w:type="auto"/>
          </w:tcPr>
          <w:p>
            <w:pPr>
              <w:spacing w:line="240" w:lineRule="auto" w:before="0" w:after="0"/>
              <w:pStyle w:val="Compact"/>
            </w:pPr>
            <w:r>
              <w:rPr>
                <w:sz w:val="20"/>
                <w:szCs w:val="20"/>
              </w:rPr>
              <w:t xml:space="preserve">0.0096</w:t>
            </w:r>
          </w:p>
        </w:tc>
        <w:tc>
          <w:tcPr>
            <w:tcW w:w="0" w:type="auto"/>
          </w:tcPr>
          <w:p>
            <w:pPr>
              <w:spacing w:line="240" w:lineRule="auto" w:before="0" w:after="0"/>
              <w:pStyle w:val="Compact"/>
            </w:pPr>
            <w:r>
              <w:rPr>
                <w:sz w:val="20"/>
                <w:szCs w:val="20"/>
              </w:rPr>
              <w:t xml:space="preserve">-0.1013</w:t>
            </w:r>
          </w:p>
        </w:tc>
        <w:tc>
          <w:tcPr>
            <w:tcW w:w="0" w:type="auto"/>
          </w:tcPr>
          <w:p>
            <w:pPr>
              <w:spacing w:line="240" w:lineRule="auto" w:before="0" w:after="0"/>
              <w:pStyle w:val="Compact"/>
            </w:pPr>
            <w:r>
              <w:rPr>
                <w:sz w:val="20"/>
                <w:szCs w:val="20"/>
              </w:rPr>
              <w:t xml:space="preserve">0.9193</w:t>
            </w:r>
          </w:p>
        </w:tc>
        <w:tc>
          <w:tcPr>
            <w:tcW w:w="0" w:type="auto"/>
          </w:tcPr>
          <w:p>
            <w:pPr>
              <w:spacing w:line="240" w:lineRule="auto" w:before="0" w:after="0"/>
              <w:pStyle w:val="Compact"/>
            </w:pPr>
            <w:r>
              <w:rPr>
                <w:sz w:val="20"/>
                <w:szCs w:val="20"/>
              </w:rPr>
              <w:t xml:space="preserve">[-0.0197, 0.0178]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-0.9926</w:t>
            </w:r>
          </w:p>
        </w:tc>
        <w:tc>
          <w:tcPr>
            <w:tcW w:w="0" w:type="auto"/>
          </w:tcPr>
          <w:p>
            <w:pPr>
              <w:spacing w:line="240" w:lineRule="auto" w:before="0" w:after="0"/>
              <w:pStyle w:val="Compact"/>
            </w:pPr>
            <w:r>
              <w:rPr>
                <w:sz w:val="20"/>
                <w:szCs w:val="20"/>
              </w:rPr>
              <w:t xml:space="preserve">0.3384</w:t>
            </w:r>
          </w:p>
        </w:tc>
        <w:tc>
          <w:tcPr>
            <w:tcW w:w="0" w:type="auto"/>
          </w:tcPr>
          <w:p>
            <w:pPr>
              <w:spacing w:line="240" w:lineRule="auto" w:before="0" w:after="0"/>
              <w:pStyle w:val="Compact"/>
            </w:pPr>
            <w:r>
              <w:rPr>
                <w:sz w:val="20"/>
                <w:szCs w:val="20"/>
              </w:rPr>
              <w:t xml:space="preserve">-2.9327</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[-1.6559, -0.3292]</w:t>
            </w:r>
          </w:p>
        </w:tc>
      </w:tr>
    </w:tbl>
    <w:p>
      <w:pPr>
        <w:pStyle w:val="BodyText"/>
      </w:pPr>
      <w:r>
        <w:t xml:space="preserve">Fit: N = 30 R2 = 0.3045 R2_adj = 0.2242 F = 7.794 F_p = 0.0007143</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0" Target="https://doi.org/10.64861/CEPU7718" TargetMode="External" /><Relationship Type="http://schemas.openxmlformats.org/officeDocument/2006/relationships/hyperlink" Id="rId72" Target="https://doi.org/10.64861/CKQN3841" TargetMode="External" /><Relationship Type="http://schemas.openxmlformats.org/officeDocument/2006/relationships/hyperlink" Id="rId68" Target="https://doi.org/10.64861/MVHC2799" TargetMode="External" /><Relationship Type="http://schemas.openxmlformats.org/officeDocument/2006/relationships/hyperlink" Id="rId75" Target="https://doi.org/10.64861/PEUU1014" TargetMode="External" /><Relationship Type="http://schemas.openxmlformats.org/officeDocument/2006/relationships/hyperlink" Id="rId81" Target="https://doi.org/10.64861/PFBR4795" TargetMode="External" /><Relationship Type="http://schemas.openxmlformats.org/officeDocument/2006/relationships/hyperlink" Id="rId77" Target="https://doi.org/10.64861/UCTN1793" TargetMode="External" /><Relationship Type="http://schemas.openxmlformats.org/officeDocument/2006/relationships/hyperlink" Id="rId79" Target="https://doi.org/10.64861/XQCN3213"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CEPU7718" TargetMode="External" /><Relationship Type="http://schemas.openxmlformats.org/officeDocument/2006/relationships/hyperlink" Id="rId72" Target="https://doi.org/10.64861/CKQN3841" TargetMode="External" /><Relationship Type="http://schemas.openxmlformats.org/officeDocument/2006/relationships/hyperlink" Id="rId68" Target="https://doi.org/10.64861/MVHC2799" TargetMode="External" /><Relationship Type="http://schemas.openxmlformats.org/officeDocument/2006/relationships/hyperlink" Id="rId75" Target="https://doi.org/10.64861/PEUU1014" TargetMode="External" /><Relationship Type="http://schemas.openxmlformats.org/officeDocument/2006/relationships/hyperlink" Id="rId81" Target="https://doi.org/10.64861/PFBR4795" TargetMode="External" /><Relationship Type="http://schemas.openxmlformats.org/officeDocument/2006/relationships/hyperlink" Id="rId77" Target="https://doi.org/10.64861/UCTN1793" TargetMode="External" /><Relationship Type="http://schemas.openxmlformats.org/officeDocument/2006/relationships/hyperlink" Id="rId79" Target="https://doi.org/10.64861/XQCN321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2026-06-29T09:35:02Z</dcterms:created>
  <dcterms:modified xsi:type="dcterms:W3CDTF">2026-06-29T09:35:02Z</dcterms:modified>
</cp:coreProperties>
</file>

<file path=docProps/custom.xml><?xml version="1.0" encoding="utf-8"?>
<Properties xmlns="http://schemas.openxmlformats.org/officeDocument/2006/custom-properties" xmlns:vt="http://schemas.openxmlformats.org/officeDocument/2006/docPropsVTypes"/>
</file>