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PROVENANCE AND CUSTODY CHAINS: MEASURING HOW OFTEN SSA CONJUNCTION DECISIONS RES</w:t>
      </w:r>
    </w:p>
    <w:p>
      <w:pPr>
        <w:jc w:val="center"/>
      </w:pPr>
    </w:p>
    <w:p>
      <w:pPr>
        <w:jc w:val="center"/>
      </w:pPr>
      <w:r>
        <w:rPr>
          <w:rFonts w:ascii="Times New Roman" w:hAnsi="Times New Roman"/>
          <w:sz w:val="24"/>
        </w:rPr>
        <w:t>by</w:t>
      </w:r>
    </w:p>
    <w:p>
      <w:pPr>
        <w:jc w:val="center"/>
      </w:pPr>
      <w:r>
        <w:rPr>
          <w:rFonts w:ascii="Times New Roman" w:hAnsi="Times New Roman"/>
          <w:b/>
          <w:sz w:val="28"/>
        </w:rPr>
        <w:t>Keiko Halloran</w:t>
      </w:r>
    </w:p>
    <w:p>
      <w:pPr>
        <w:jc w:val="center"/>
      </w:pPr>
      <w:r>
        <w:rPr>
          <w:rFonts w:ascii="Times New Roman" w:hAnsi="Times New Roman"/>
          <w:sz w:val="24"/>
        </w:rPr>
        <w:t>1B-SDA-187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rarely announces itself with a single decision. It accumulates. A conjunction screen flags two objects on a close approach, an operator weighs a maneuver against fuel and mission life, a screening service reissues a warning, and somewhere in that sequence a record either survives or it does not. The question that animates this dissertation is deceptively small. When a space situational awareness screen produces a conjunction decision, how often does that decision rest on a documented, inspectable chain of provenance and custody, rather than on an assertion no downstream party can reconstruct? The problem is not that operators lack data. The problem is that the evidentiary path from raw observation to operational choice is frequently invisible, and invisibility is a governance liability that grows with traffic.</w:t>
      </w:r>
    </w:p>
    <w:p>
      <w:pPr>
        <w:pStyle w:val="BodyText"/>
        <w:spacing w:line="480" w:lineRule="auto"/>
        <w:ind w:firstLine="720"/>
      </w:pPr>
      <w:r>
        <w:t xml:space="preserve">The stakes are concrete. Recent assessments of high interest conjunctions show that a handful of close approaches now command disproportionate analytic attention, and that the burden of reconstructing why a given warning was trusted falls unevenly across operators</w:t>
      </w:r>
      <w:r>
        <w:t xml:space="preserve"> </w:t>
      </w:r>
      <w:hyperlink w:anchor="ref-10">
        <w:r>
          <w:rPr>
            <w:rStyle w:val="Hyperlink"/>
          </w:rPr>
          <w:t xml:space="preserve">[10]</w:t>
        </w:r>
      </w:hyperlink>
      <w:r>
        <w:t xml:space="preserve">. Comprehensive collision likelihood work in geosynchronous orbit has demonstrated that aggregate risk is sensitive to modeling assumptions that are seldom recorded alongside the alert itself</w:t>
      </w:r>
      <w:r>
        <w:t xml:space="preserve"> </w:t>
      </w:r>
      <w:hyperlink w:anchor="ref-11">
        <w:r>
          <w:rPr>
            <w:rStyle w:val="Hyperlink"/>
          </w:rPr>
          <w:t xml:space="preserve">[11]</w:t>
        </w:r>
      </w:hyperlink>
      <w:r>
        <w:t xml:space="preserve">. When the assumptions travel silently, two operators can receive the same conjunction message and act on materially different beliefs about its reliability. That divergence is a coordination failure, and coordination failures in a shared orbital commons are precisely the class of problem that trusted stakeholder coordination frameworks were built to address</w:t>
      </w:r>
      <w:r>
        <w:t xml:space="preserve"> </w:t>
      </w:r>
      <w:hyperlink w:anchor="ref-1">
        <w:r>
          <w:rPr>
            <w:rStyle w:val="Hyperlink"/>
          </w:rPr>
          <w:t xml:space="preserve">[1]</w:t>
        </w:r>
      </w:hyperlink>
      <w:r>
        <w:t xml:space="preserve">.</w:t>
      </w:r>
    </w:p>
    <w:p>
      <w:pPr>
        <w:pStyle w:val="BodyText"/>
        <w:spacing w:line="480" w:lineRule="auto"/>
        <w:ind w:firstLine="720"/>
      </w:pPr>
      <w:r>
        <w:t xml:space="preserve">This project treats early visibility as measurable evidence. Rather than asserting that provenance matters as a matter of principle, it asks whether the concern is even legible in the documentary record that the field itself produces. If custody and provenance are becoming operationally central, the literature that discusses conjunction screening, sensor tasking, and decision support should carry a detectable signal of that centrality across time, across the attention that citations encode, and across the venues where the work appears. If the concern is merely a slogan, the record should be flat, noisy, and structurally silent.</w:t>
      </w:r>
    </w:p>
    <w:bookmarkStart w:id="61" w:name="the-problem-in-operational-terms"/>
    <w:p>
      <w:pPr>
        <w:pStyle w:val="Heading2"/>
        <w:spacing w:line="480" w:lineRule="auto"/>
      </w:pPr>
      <w:r>
        <w:t xml:space="preserve">1.1 The problem in operational terms</w:t>
      </w:r>
    </w:p>
    <w:p>
      <w:pPr>
        <w:pStyle w:val="FirstParagraph"/>
        <w:spacing w:line="480" w:lineRule="auto"/>
      </w:pPr>
      <w:r>
        <w:t xml:space="preserve">Consider the life of a conjunction decision. A sensor network observes an object. An orbit is estimated. A screening algorithm computes a probability of collision or a miss distance. A message is issued. An operator decides. Each arrow in that chain is a place where a fact can be documented or lost. Physics based testing and evaluation work has shown that the quality of a space domain awareness decision depends on assumptions buried deep in the processing pipeline, and that those assumptions can be surfaced and tested only when the pipeline is instrumented for it</w:t>
      </w:r>
      <w:r>
        <w:t xml:space="preserve"> </w:t>
      </w:r>
      <w:hyperlink w:anchor="ref-3">
        <w:r>
          <w:rPr>
            <w:rStyle w:val="Hyperlink"/>
          </w:rPr>
          <w:t xml:space="preserve">[3]</w:t>
        </w:r>
      </w:hyperlink>
      <w:r>
        <w:t xml:space="preserve">. Automated near real time validation of optical sensor data makes the same point from the sensor side: exploiting data for orbital safety requires that the validation steps themselves be recorded, or the safety claim cannot be audited</w:t>
      </w:r>
      <w:r>
        <w:t xml:space="preserve"> </w:t>
      </w:r>
      <w:hyperlink w:anchor="ref-13">
        <w:r>
          <w:rPr>
            <w:rStyle w:val="Hyperlink"/>
          </w:rPr>
          <w:t xml:space="preserve">[13]</w:t>
        </w:r>
      </w:hyperlink>
      <w:r>
        <w:t xml:space="preserve">.</w:t>
      </w:r>
    </w:p>
    <w:p>
      <w:pPr>
        <w:pStyle w:val="BodyText"/>
        <w:spacing w:line="480" w:lineRule="auto"/>
        <w:ind w:firstLine="720"/>
      </w:pPr>
      <w:r>
        <w:t xml:space="preserve">The custody problem is not unique to space, but space sharpens it. Terrestrial evidence chains have physical anchors. Orbital evidence chains are almost entirely documentary. Work on the processing of artifacts returning from the International Space Station has shown that chain of custody in the space context is a bureaucratic and archival achievement, not a natural property of objects, and that discard and handoff decisions are where custody most often breaks</w:t>
      </w:r>
      <w:r>
        <w:t xml:space="preserve"> </w:t>
      </w:r>
      <w:hyperlink w:anchor="ref-9">
        <w:r>
          <w:rPr>
            <w:rStyle w:val="Hyperlink"/>
          </w:rPr>
          <w:t xml:space="preserve">[9]</w:t>
        </w:r>
      </w:hyperlink>
      <w:r>
        <w:t xml:space="preserve">. If custody breaks for a physical artifact with a known ground destination, it breaks more easily for an ephemeral conjunction warning that no institution is obligated to retain.</w:t>
      </w:r>
    </w:p>
    <w:p>
      <w:pPr>
        <w:pStyle w:val="BodyText"/>
        <w:spacing w:line="480" w:lineRule="auto"/>
        <w:ind w:firstLine="720"/>
      </w:pPr>
      <w:r>
        <w:t xml:space="preserve">Sensor tasking compounds the difficulty. Decentralized and autonomous tasking improves tactical relevance, but it also distributes the provenance across many nodes, each of which may or may not preserve why it observed what it observed and when</w:t>
      </w:r>
      <w:r>
        <w:t xml:space="preserve"> </w:t>
      </w:r>
      <w:hyperlink w:anchor="ref-4">
        <w:r>
          <w:rPr>
            <w:rStyle w:val="Hyperlink"/>
          </w:rPr>
          <w:t xml:space="preserve">[4]</w:t>
        </w:r>
      </w:hyperlink>
      <w:r>
        <w:t xml:space="preserve">. Conjunction based sensor tasking that optimizes for information gain will, if unconstrained, prefer the observation that most reduces uncertainty over the observation that most improves the audit trail</w:t>
      </w:r>
      <w:r>
        <w:t xml:space="preserve"> </w:t>
      </w:r>
      <w:hyperlink w:anchor="ref-5">
        <w:r>
          <w:rPr>
            <w:rStyle w:val="Hyperlink"/>
          </w:rPr>
          <w:t xml:space="preserve">[5]</w:t>
        </w:r>
      </w:hyperlink>
      <w:r>
        <w:t xml:space="preserve">. Those two objectives are not the same, and the gap between them is exactly the space where undocumented decisions live.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is a design stage dissertation, and it makes one falsifiable claim rather than many. The claim concerns whether the provenance and custody concern is structured in the retrieved topic literature or whether it is statistical noise dressed as a theme.</w:t>
      </w:r>
    </w:p>
    <w:p>
      <w:pPr>
        <w:pStyle w:val="BodyText"/>
        <w:spacing w:line="480" w:lineRule="auto"/>
        <w:ind w:firstLine="720"/>
      </w:pPr>
      <w:r>
        <w:t xml:space="preserve">Stated as a null and an alternative:</w:t>
      </w:r>
    </w:p>
    <w:p>
      <w:pPr>
        <w:pStyle w:val="BodyText"/>
        <w:spacing w:line="480" w:lineRule="auto"/>
        <w:ind w:firstLine="720"/>
      </w:pPr>
      <w:r>
        <w:t xml:space="preserve">H0. The topic signal associated with provenance and custody in conjunction decision making is unrelated to publication recency, to citation attention, and to venue family across the retrieved corpus.</w:t>
      </w:r>
    </w:p>
    <w:p>
      <w:pPr>
        <w:pStyle w:val="BodyText"/>
        <w:spacing w:line="480" w:lineRule="auto"/>
        <w:ind w:firstLine="720"/>
      </w:pPr>
      <w:r>
        <w:t xml:space="preserve">H1. The topic signal is systematically related to those three features, such that the concern is legible in the structure of the literature and not merely in its rhetoric.</w:t>
      </w:r>
    </w:p>
    <w:p>
      <w:pPr>
        <w:pStyle w:val="BodyText"/>
        <w:spacing w:line="480" w:lineRule="auto"/>
        <w:ind w:firstLine="720"/>
      </w:pPr>
      <w:r>
        <w:t xml:space="preserve">The test is deliberately modest. It does not claim to measure how often real operators actually document their decisions, because no such census exists in obtainable form. It claims something a doctoral committee can check: that the documentary record either does or does not carry the fingerprint of the concern. A design that overreaches on data it cannot obtain is worse than a design that states a narrow question and answers it cleanly. Challenges in space traffic management have repeatedly been mischaracterized as solved because a plausible narrative substituted for a measured one</w:t>
      </w:r>
      <w:r>
        <w:t xml:space="preserve"> </w:t>
      </w:r>
      <w:hyperlink w:anchor="ref-6">
        <w:r>
          <w:rPr>
            <w:rStyle w:val="Hyperlink"/>
          </w:rPr>
          <w:t xml:space="preserve">[6]</w:t>
        </w:r>
      </w:hyperlink>
      <w:r>
        <w:t xml:space="preserve">. This dissertation refuses that substitution.</w:t>
      </w:r>
    </w:p>
    <w:bookmarkEnd w:id="62"/>
    <w:bookmarkStart w:id="63" w:name="why-the-measurement-is-obtainable"/>
    <w:p>
      <w:pPr>
        <w:pStyle w:val="Heading2"/>
        <w:spacing w:line="480" w:lineRule="auto"/>
      </w:pPr>
      <w:r>
        <w:t xml:space="preserve">1.3 Why the measurement is obtainable</w:t>
      </w:r>
    </w:p>
    <w:p>
      <w:pPr>
        <w:pStyle w:val="FirstParagraph"/>
        <w:spacing w:line="480" w:lineRule="auto"/>
      </w:pPr>
      <w:r>
        <w:t xml:space="preserve">Three features of the retrieved corpus are observable without privileged access. Publication year is recorded. Citation attention is indexed, however imperfectly, by the local brain index that assembled the corpus. Venue family is knowable from the source itself, and it separates the conference literature of the Advanced Maui Optical and Space Surveillance community from the archival journal literature of Acta Astronautica and from the policy oriented space economy material. Each of these is a coarse instrument. Together they let a reader ask whether the concern clusters, decays, or scatters.</w:t>
      </w:r>
    </w:p>
    <w:p>
      <w:pPr>
        <w:pStyle w:val="BodyText"/>
        <w:spacing w:line="480" w:lineRule="auto"/>
        <w:ind w:firstLine="720"/>
      </w:pPr>
      <w:r>
        <w:t xml:space="preserve">The estimation rests on thirty retrieved source records. That is a small sample, and the dissertation treats it as small throughout. A small sample can still falsify a strong claim, because a strong claim predicts structure that a small clean sample can fail to find. The value of the design is not statistical power. The value is that every row preserves its source, every variable is deterministically constructed, and any reader can retrace the path from a source to a number</w:t>
      </w:r>
      <w:r>
        <w:t xml:space="preserve"> </w:t>
      </w:r>
      <w:hyperlink w:anchor="ref-2">
        <w:r>
          <w:rPr>
            <w:rStyle w:val="Hyperlink"/>
          </w:rPr>
          <w:t xml:space="preserve">[2]</w:t>
        </w:r>
      </w:hyperlink>
      <w:r>
        <w:t xml:space="preserve">. Decision support systems for continuing supervision of in space activity have argued that supervisability is itself a design goal, not an afterthought</w:t>
      </w:r>
      <w:r>
        <w:t xml:space="preserve"> </w:t>
      </w:r>
      <w:hyperlink w:anchor="ref-12">
        <w:r>
          <w:rPr>
            <w:rStyle w:val="Hyperlink"/>
          </w:rPr>
          <w:t xml:space="preserve">[12]</w:t>
        </w:r>
      </w:hyperlink>
      <w:r>
        <w:t xml:space="preserve">. This dissertation applies that principle to its own evidence.</w:t>
      </w:r>
    </w:p>
    <w:bookmarkEnd w:id="63"/>
    <w:bookmarkStart w:id="64" w:name="an-honest-account-of-scope"/>
    <w:p>
      <w:pPr>
        <w:pStyle w:val="Heading2"/>
        <w:spacing w:line="480" w:lineRule="auto"/>
      </w:pPr>
      <w:r>
        <w:t xml:space="preserve">1.4 An honest account of scope</w:t>
      </w:r>
    </w:p>
    <w:p>
      <w:pPr>
        <w:pStyle w:val="FirstParagraph"/>
        <w:spacing w:line="480" w:lineRule="auto"/>
      </w:pPr>
      <w:r>
        <w:t xml:space="preserve">It helps to say plainly what this dissertation is not. It is not a behavioral study of operators. It is not an audit of any screening service. It does not have access to the internal logs where a maneuver decision would leave its true provenance trail. What it has is the public and semi public documentary output of the field, retrieved and coded so that its structure can be examined. The move from operational reality to documentary trace is the central methodological wager, and it is defensible only if the trace is treated as a proxy and never as the thing itself.</w:t>
      </w:r>
    </w:p>
    <w:p>
      <w:pPr>
        <w:pStyle w:val="BodyText"/>
        <w:spacing w:line="480" w:lineRule="auto"/>
        <w:ind w:firstLine="720"/>
      </w:pPr>
      <w:r>
        <w:t xml:space="preserve">There is a reason to make the wager anyway. Fields that are quietly reorganizing around a new operational concern tend to reveal that reorganization in what they publish and cite before they reveal it in settled institutional rules. If provenance and custody are becoming load bearing in conjunction practice, the earliest obtainable evidence is bibliometric, not regulatory. Space traffic management has a documented history of governance language hardening years after the technical community began signaling the underlying risk</w:t>
      </w:r>
      <w:r>
        <w:t xml:space="preserve"> </w:t>
      </w:r>
      <w:hyperlink w:anchor="ref-6">
        <w:r>
          <w:rPr>
            <w:rStyle w:val="Hyperlink"/>
          </w:rPr>
          <w:t xml:space="preserve">[6]</w:t>
        </w:r>
      </w:hyperlink>
      <w:r>
        <w:t xml:space="preserve">. Reading the documentary record is a way of listening for that signal early.</w:t>
      </w:r>
    </w:p>
    <w:bookmarkEnd w:id="64"/>
    <w:bookmarkStart w:id="65" w:name="the-vocabulary-of-provenance-and-custody"/>
    <w:p>
      <w:pPr>
        <w:pStyle w:val="Heading2"/>
        <w:spacing w:line="480" w:lineRule="auto"/>
      </w:pPr>
      <w:r>
        <w:t xml:space="preserve">1.5 The vocabulary of provenance and custody</w:t>
      </w:r>
    </w:p>
    <w:p>
      <w:pPr>
        <w:pStyle w:val="FirstParagraph"/>
        <w:spacing w:line="480" w:lineRule="auto"/>
      </w:pPr>
      <w:r>
        <w:t xml:space="preserve">Two words carry the weight of this dissertation, and they are not interchangeable. Provenance is the record of origin: where an observation came from, which sensor produced it, under what conditions, and through which processing steps it passed to become the estimate an operator finally sees. Custody is the record of handoff: who held the datum at each moment, who transferred it to whom, and whether each transfer was documented. A conjunction decision can fail either test independently. It can have clean provenance and broken custody, when a well sourced estimate passes through an undocumented handoff. It can have clean custody and broken provenance, when a carefully tracked message carries assumptions no one recorded at the source.</w:t>
      </w:r>
    </w:p>
    <w:p>
      <w:pPr>
        <w:pStyle w:val="BodyText"/>
        <w:spacing w:line="480" w:lineRule="auto"/>
        <w:ind w:firstLine="720"/>
      </w:pPr>
      <w:r>
        <w:t xml:space="preserve">The distinction matters for measurement. A study that conflated the two would miss the specific place where a given decision’s evidentiary chain snapped. The postorbital artifact work is instructive precisely because it separates them, showing that custody breaks most often at discard and transfer, the handoff moments, even when provenance is intact</w:t>
      </w:r>
      <w:r>
        <w:t xml:space="preserve"> </w:t>
      </w:r>
      <w:hyperlink w:anchor="ref-9">
        <w:r>
          <w:rPr>
            <w:rStyle w:val="Hyperlink"/>
          </w:rPr>
          <w:t xml:space="preserve">[9]</w:t>
        </w:r>
      </w:hyperlink>
      <w:r>
        <w:t xml:space="preserve">. This dissertation inherits that separation conceptually while measuring, at the corpus level, whether the joint concern for both is legible in the field’s record. The theme vocabulary that Chapter 5 uses to build the signal score draws on both senses, so a source that engages either provenance or custody densely will register.</w:t>
      </w:r>
    </w:p>
    <w:p>
      <w:pPr>
        <w:pStyle w:val="BodyText"/>
        <w:spacing w:line="480" w:lineRule="auto"/>
        <w:ind w:firstLine="720"/>
      </w:pPr>
      <w:r>
        <w:t xml:space="preserve">The reason to hold the two together in a single measured concern is that operators experience them together. A maneuver decision requires believing both that the estimate is well sourced and that it reached the operator without silent alteration. Trusted coordination among stakeholders who do not fully trust one another depends on both being inspectable, because a partner will accept a shared warning only if it can retrace both the origin and the handoffs</w:t>
      </w:r>
      <w:r>
        <w:t xml:space="preserve"> </w:t>
      </w:r>
      <w:hyperlink w:anchor="ref-1">
        <w:r>
          <w:rPr>
            <w:rStyle w:val="Hyperlink"/>
          </w:rPr>
          <w:t xml:space="preserve">[1]</w:t>
        </w:r>
      </w:hyperlink>
      <w:r>
        <w:t xml:space="preserve">. Splitting them for separate measurement is a refinement the follow on document coding study should make; at the screening stage, the joint fingerprint is the right object.</w:t>
      </w:r>
    </w:p>
    <w:bookmarkEnd w:id="65"/>
    <w:bookmarkStart w:id="66" w:name="a-worked-illustration"/>
    <w:p>
      <w:pPr>
        <w:pStyle w:val="Heading2"/>
        <w:spacing w:line="480" w:lineRule="auto"/>
      </w:pPr>
      <w:r>
        <w:t xml:space="preserve">1.6 A worked illustration</w:t>
      </w:r>
    </w:p>
    <w:p>
      <w:pPr>
        <w:pStyle w:val="FirstParagraph"/>
        <w:spacing w:line="480" w:lineRule="auto"/>
      </w:pPr>
      <w:r>
        <w:t xml:space="preserve">Picture two operators receiving the same close approach message for a shared conjunction. Operator A receives it from a screening service that records the covariance assumptions, the catalog version, and the sensor track that produced the estimate. Operator B receives a stripped message: a miss distance and a probability, nothing more. Both must decide whether to maneuver. The physical situation is identical. The evidentiary situations are not.</w:t>
      </w:r>
    </w:p>
    <w:p>
      <w:pPr>
        <w:pStyle w:val="BodyText"/>
        <w:spacing w:line="480" w:lineRule="auto"/>
        <w:ind w:firstLine="720"/>
      </w:pPr>
      <w:r>
        <w:t xml:space="preserve">Operator A can interrogate the warning. If the covariance seems optimistic, A can see which catalog produced it and weigh accordingly, in the manner the collision likelihood literature shows is necessary when aggregate risk is assumption sensitive</w:t>
      </w:r>
      <w:r>
        <w:t xml:space="preserve"> </w:t>
      </w:r>
      <w:hyperlink w:anchor="ref-11">
        <w:r>
          <w:rPr>
            <w:rStyle w:val="Hyperlink"/>
          </w:rPr>
          <w:t xml:space="preserve">[11]</w:t>
        </w:r>
      </w:hyperlink>
      <w:r>
        <w:t xml:space="preserve">. Operator B can only trust or distrust wholesale, because B has nothing to interrogate. When A maneuvers and B does not, or the reverse, the divergence is not a disagreement about physics. It is a disagreement manufactured by unequal provenance. The physics based testing and evaluation literature makes the same point structurally: a decision is only as good as the assumptions one can surface and test, and B can surface none</w:t>
      </w:r>
      <w:r>
        <w:t xml:space="preserve"> </w:t>
      </w:r>
      <w:hyperlink w:anchor="ref-3">
        <w:r>
          <w:rPr>
            <w:rStyle w:val="Hyperlink"/>
          </w:rPr>
          <w:t xml:space="preserve">[3]</w:t>
        </w:r>
      </w:hyperlink>
      <w:r>
        <w:t xml:space="preserve">.</w:t>
      </w:r>
    </w:p>
    <w:p>
      <w:pPr>
        <w:pStyle w:val="BodyText"/>
        <w:spacing w:line="480" w:lineRule="auto"/>
        <w:ind w:firstLine="720"/>
      </w:pPr>
      <w:r>
        <w:t xml:space="preserve">This illustration is why the concern is a governance problem and not merely a records management preference. Unequal provenance across operators produces uncoordinated behavior in a shared environment, and uncoordinated behavior is the failure mode that traffic management exists to prevent</w:t>
      </w:r>
      <w:r>
        <w:t xml:space="preserve"> </w:t>
      </w:r>
      <w:hyperlink w:anchor="ref-6">
        <w:r>
          <w:rPr>
            <w:rStyle w:val="Hyperlink"/>
          </w:rPr>
          <w:t xml:space="preserve">[6]</w:t>
        </w:r>
      </w:hyperlink>
      <w:r>
        <w:t xml:space="preserve">. The dissertation does not observe this scenario directly; it observes whether the field’s literature has begun to name the conditions that produce it. But the scenario is the operational reality the measurement is a proxy for, and keeping it in view disciplines the interpretation of every coefficient that follows.</w:t>
      </w:r>
    </w:p>
    <w:bookmarkEnd w:id="66"/>
    <w:bookmarkStart w:id="67" w:name="X3dc218975dcb2c2a5904a32ffa3e5c72d77ecb4"/>
    <w:p>
      <w:pPr>
        <w:pStyle w:val="Heading2"/>
        <w:spacing w:line="480" w:lineRule="auto"/>
      </w:pPr>
      <w:r>
        <w:t xml:space="preserve">1.7 Why measurement discipline is the argument</w:t>
      </w:r>
    </w:p>
    <w:p>
      <w:pPr>
        <w:pStyle w:val="FirstParagraph"/>
        <w:spacing w:line="480" w:lineRule="auto"/>
      </w:pPr>
      <w:r>
        <w:t xml:space="preserve">A reader might reasonably ask why a dissertation on an urgent operational problem spends so much of its opening insisting on modesty. The answer is that measurement discipline is not a hedge against the argument; it is the argument. Space governance debates are saturated with confident claims about what operators do, what the environment requires, and what rules would fix it, and a large share of those claims rest on intuition that no one has tried to falsify. A field that cannot distinguish a measured finding from a plausible story will eventually regulate on stories, and stories are a poor foundation for a shared commons where every actor bears the consequences of every other actor’s undocumented decision</w:t>
      </w:r>
      <w:r>
        <w:t xml:space="preserve"> </w:t>
      </w:r>
      <w:hyperlink w:anchor="ref-1">
        <w:r>
          <w:rPr>
            <w:rStyle w:val="Hyperlink"/>
          </w:rPr>
          <w:t xml:space="preserve">[1]</w:t>
        </w:r>
      </w:hyperlink>
      <w:r>
        <w:t xml:space="preserve">.</w:t>
      </w:r>
    </w:p>
    <w:p>
      <w:pPr>
        <w:pStyle w:val="BodyText"/>
        <w:spacing w:line="480" w:lineRule="auto"/>
        <w:ind w:firstLine="720"/>
      </w:pPr>
      <w:r>
        <w:t xml:space="preserve">The discipline this dissertation adopts is a small corrective to that pattern. By stating one falsifiable claim, building an obtainable corpus, and reporting only what the estimators produce, the design models a way of arguing that a governance community could adopt more broadly. The high interest conjunction literature already shows the appetite for quantified risk assessment</w:t>
      </w:r>
      <w:r>
        <w:t xml:space="preserve"> </w:t>
      </w:r>
      <w:hyperlink w:anchor="ref-10">
        <w:r>
          <w:rPr>
            <w:rStyle w:val="Hyperlink"/>
          </w:rPr>
          <w:t xml:space="preserve">[10]</w:t>
        </w:r>
      </w:hyperlink>
      <w:r>
        <w:t xml:space="preserve">. The sustainability rating work already shows that transparent construction earns trust</w:t>
      </w:r>
      <w:r>
        <w:t xml:space="preserve"> </w:t>
      </w:r>
      <w:hyperlink w:anchor="ref-15">
        <w:r>
          <w:rPr>
            <w:rStyle w:val="Hyperlink"/>
          </w:rPr>
          <w:t xml:space="preserve">[15]</w:t>
        </w:r>
      </w:hyperlink>
      <w:r>
        <w:t xml:space="preserve">. Extending that same standard to claims about how concerns organize a field is the methodological ambition beneath the substantive question, and it is why the opening dwells on what the design will and will not permit itself to say.</w:t>
      </w:r>
    </w:p>
    <w:p>
      <w:pPr>
        <w:pStyle w:val="BodyText"/>
        <w:spacing w:line="480" w:lineRule="auto"/>
        <w:ind w:firstLine="720"/>
      </w:pPr>
      <w:r>
        <w:t xml:space="preserve">There is also a practical payoff. A screen that is disciplined about its evidence produces findings a program office or a policy body can actually use, because the findings come with an explicit account of their own limits. A confident but unfalsifiable claim invites overreach and eventual embarrassment when practice diverges from the claim. A modest, retraceable finding invites a next step. The dissertation is built to invite the next step, and the discipline of its opening is the first installment on that invitation</w:t>
      </w:r>
      <w:r>
        <w:t xml:space="preserve"> </w:t>
      </w:r>
      <w:hyperlink w:anchor="ref-12">
        <w:r>
          <w:rPr>
            <w:rStyle w:val="Hyperlink"/>
          </w:rPr>
          <w:t xml:space="preserve">[12]</w:t>
        </w:r>
      </w:hyperlink>
      <w:r>
        <w:t xml:space="preserve">.</w:t>
      </w:r>
    </w:p>
    <w:bookmarkEnd w:id="67"/>
    <w:bookmarkStart w:id="68" w:name="the-readers-compact"/>
    <w:p>
      <w:pPr>
        <w:pStyle w:val="Heading2"/>
        <w:spacing w:line="480" w:lineRule="auto"/>
      </w:pPr>
      <w:r>
        <w:t xml:space="preserve">1.8 The reader’s compact</w:t>
      </w:r>
    </w:p>
    <w:p>
      <w:pPr>
        <w:pStyle w:val="FirstParagraph"/>
        <w:spacing w:line="480" w:lineRule="auto"/>
      </w:pPr>
      <w:r>
        <w:t xml:space="preserve">This dissertation asks a specific compact of its reader, and stating it plainly at the outset sets the terms for everything that follows. The reader is asked to judge the work not by the boldness of its claim but by the tightness of the fit between claim and evidence. A dissertation that promised to reveal how operators behave and then delivered a bibliometric screen would deserve criticism for the mismatch. A dissertation that promises a bibliometric screen and delivers exactly that, with its limits stated and its numbers retraceable, should be judged on whether it kept its narrow promise well.</w:t>
      </w:r>
    </w:p>
    <w:p>
      <w:pPr>
        <w:pStyle w:val="BodyText"/>
        <w:spacing w:line="480" w:lineRule="auto"/>
        <w:ind w:firstLine="720"/>
      </w:pPr>
      <w:r>
        <w:t xml:space="preserve">Keeping the promise well has three components a reader can check. First, does every claim in the results stay inside what the estimators produced, without smuggling in interpretation the data cannot support</w:t>
      </w:r>
      <w:r>
        <w:t xml:space="preserve"> </w:t>
      </w:r>
      <w:hyperlink w:anchor="ref-3">
        <w:r>
          <w:rPr>
            <w:rStyle w:val="Hyperlink"/>
          </w:rPr>
          <w:t xml:space="preserve">[3]</w:t>
        </w:r>
      </w:hyperlink>
      <w:r>
        <w:t xml:space="preserve">. Second, does the design confront its own threats to validity honestly rather than minimizing them, so that a hostile reader finds the objections already named</w:t>
      </w:r>
      <w:r>
        <w:t xml:space="preserve"> </w:t>
      </w:r>
      <w:hyperlink w:anchor="ref-11">
        <w:r>
          <w:rPr>
            <w:rStyle w:val="Hyperlink"/>
          </w:rPr>
          <w:t xml:space="preserve">[11]</w:t>
        </w:r>
      </w:hyperlink>
      <w:r>
        <w:t xml:space="preserve">. Third, does the work leave a successor a clearer next step than it inherited, which is the practical test of whether a screen earned its place</w:t>
      </w:r>
      <w:r>
        <w:t xml:space="preserve"> </w:t>
      </w:r>
      <w:hyperlink w:anchor="ref-12">
        <w:r>
          <w:rPr>
            <w:rStyle w:val="Hyperlink"/>
          </w:rPr>
          <w:t xml:space="preserve">[12]</w:t>
        </w:r>
      </w:hyperlink>
      <w:r>
        <w:t xml:space="preserve">. The chapters ahead are organized so a reader can apply each test in turn, and the conclusion returns to them explicitly.</w:t>
      </w:r>
    </w:p>
    <w:p>
      <w:pPr>
        <w:pStyle w:val="BodyText"/>
        <w:spacing w:line="480" w:lineRule="auto"/>
        <w:ind w:firstLine="720"/>
      </w:pPr>
      <w:r>
        <w:t xml:space="preserve">The compact runs both ways. In exchange for judging the work by its own modest standard, the reader receives something increasingly rare in the governance literature: a claim that can actually be checked, source by source and number by number, against evidence anyone can retrieve</w:t>
      </w:r>
      <w:r>
        <w:t xml:space="preserve"> </w:t>
      </w:r>
      <w:hyperlink w:anchor="ref-1">
        <w:r>
          <w:rPr>
            <w:rStyle w:val="Hyperlink"/>
          </w:rPr>
          <w:t xml:space="preserve">[1]</w:t>
        </w:r>
      </w:hyperlink>
      <w:r>
        <w:t xml:space="preserve">. That exchange, a bounded promise honestly kept for a retraceable finding freely offered, is the foundation on which the rest of the dissertation is built.</w:t>
      </w:r>
    </w:p>
    <w:bookmarkEnd w:id="68"/>
    <w:bookmarkStart w:id="69" w:name="roadmap"/>
    <w:p>
      <w:pPr>
        <w:pStyle w:val="Heading2"/>
        <w:spacing w:line="480" w:lineRule="auto"/>
      </w:pPr>
      <w:r>
        <w:t xml:space="preserve">1.9 Roadmap</w:t>
      </w:r>
    </w:p>
    <w:p>
      <w:pPr>
        <w:pStyle w:val="FirstParagraph"/>
        <w:spacing w:line="480" w:lineRule="auto"/>
      </w:pPr>
      <w:r>
        <w:t xml:space="preserve">The remainder proceeds in seven chapters. Chapter 2 situates the project against prior work on conjunction assessment, sensor tasking, custody, and space traffic governance, and it locates the specific gap this design addresses. Chapter 3 develops the mechanism: why a genuine operational concern should leave a measurable trace in the literature, and what testable predictions follow. Chapter 4 presents the two estimators, an ordinary least squares model of topic signal intensity and a log-log learning curve model of citation accumulation, and it explains what each identifies and what neither can. Chapter 5 describes the data and the construction of every variable, with the full accounting of the thirty records and their provenance. Chapter 6 reports the estimator output exactly as the empirical workbooks produced it, with no rounding of the substantive story, and it interprets the signs and magnitudes. Chapter 7 confronts the limitations honestly, separating what the design shows from what it cannot show. Chapter 8 draws the contribution together and connects it to governance and program relevance, including where a follow on document coding study would go.</w:t>
      </w:r>
    </w:p>
    <w:p>
      <w:pPr>
        <w:pStyle w:val="BodyText"/>
        <w:spacing w:line="480" w:lineRule="auto"/>
        <w:ind w:firstLine="720"/>
      </w:pPr>
      <w:r>
        <w:t xml:space="preserve">A reader looking for a grand causal claim about operator behavior will not find one here, and that absence is intentional. What the reader will find is a disciplined bridge from source retrieval to interpretation, built so that each plank can be inspected. Space sustainability rating work has shown that composite indicators earn trust only when their construction is transparent</w:t>
      </w:r>
      <w:r>
        <w:t xml:space="preserve"> </w:t>
      </w:r>
      <w:hyperlink w:anchor="ref-15">
        <w:r>
          <w:rPr>
            <w:rStyle w:val="Hyperlink"/>
          </w:rPr>
          <w:t xml:space="preserve">[15]</w:t>
        </w:r>
      </w:hyperlink>
      <w:r>
        <w:t xml:space="preserve">. The same standard governs this dissertation. The argument is that provenance and custody in conjunction decision making can be studied as a measurable property of the field’s own record, that the measurement can be made obtainable, and that the honest result of that measurement, whatever its sign, is worth more than a confident narrative that no one can check. Improvements in orbital data precision and accuracy will not by themselves close the custody gap</w:t>
      </w:r>
      <w:r>
        <w:t xml:space="preserve"> </w:t>
      </w:r>
      <w:hyperlink w:anchor="ref-14">
        <w:r>
          <w:rPr>
            <w:rStyle w:val="Hyperlink"/>
          </w:rPr>
          <w:t xml:space="preserve">[14]</w:t>
        </w:r>
      </w:hyperlink>
      <w:r>
        <w:t xml:space="preserve">. Only a record that can be read, retraced, and challenged will.</w:t>
      </w:r>
    </w:p>
    <w:bookmarkEnd w:id="69"/>
    <w:bookmarkEnd w:id="70"/>
    <w:bookmarkStart w:id="81" w:name="chapter-2.-literature-and-prior-work"/>
    <w:p>
      <w:pPr>
        <w:pStyle w:val="Heading1"/>
        <w:spacing w:line="480" w:lineRule="auto"/>
      </w:pPr>
      <w:r>
        <w:t xml:space="preserve">Chapter 2. Literature and Prior Work</w:t>
      </w:r>
    </w:p>
    <w:p>
      <w:pPr>
        <w:pStyle w:val="FirstParagraph"/>
        <w:spacing w:line="480" w:lineRule="auto"/>
      </w:pPr>
      <w:r>
        <w:t xml:space="preserve">The literature relevant to this dissertation sits at an awkward intersection. On one side is a mature technical body on conjunction assessment, sensor tasking, and orbit determination. On the other is a thinner, more recent body on governance, coordination, and the institutional handling of space activity. Provenance and custody live in the seam between them. A conjunction warning is a technical product, but whether its evidentiary chain survives is an institutional question. This chapter reads the two bodies together and shows where the seam has gone unexamined.</w:t>
      </w:r>
    </w:p>
    <w:bookmarkStart w:id="71" w:name="Xe1375e94cd5fdd9ca1b12559567dd9088caa24c"/>
    <w:p>
      <w:pPr>
        <w:pStyle w:val="Heading2"/>
        <w:spacing w:line="480" w:lineRule="auto"/>
      </w:pPr>
      <w:r>
        <w:t xml:space="preserve">2.1 Conjunction assessment as an evidentiary act</w:t>
      </w:r>
    </w:p>
    <w:p>
      <w:pPr>
        <w:pStyle w:val="FirstParagraph"/>
        <w:spacing w:line="480" w:lineRule="auto"/>
      </w:pPr>
      <w:r>
        <w:t xml:space="preserve">Risk assessment of high interest conjunctions has become a distinct subfield precisely because a small number of close approaches now absorb a large share of analytic effort</w:t>
      </w:r>
      <w:r>
        <w:t xml:space="preserve"> </w:t>
      </w:r>
      <w:hyperlink w:anchor="ref-10">
        <w:r>
          <w:rPr>
            <w:rStyle w:val="Hyperlink"/>
          </w:rPr>
          <w:t xml:space="preserve">[10]</w:t>
        </w:r>
      </w:hyperlink>
      <w:r>
        <w:t xml:space="preserve">. That concentration matters for provenance. When most conjunction events are routine and a few are contested, the contested few generate the documentation that everyone later relies on, and yet the field has no standard for how that documentation is preserved or handed off. The high interest event is where custody is most stressed and least studied.</w:t>
      </w:r>
    </w:p>
    <w:p>
      <w:pPr>
        <w:pStyle w:val="BodyText"/>
        <w:spacing w:line="480" w:lineRule="auto"/>
        <w:ind w:firstLine="720"/>
      </w:pPr>
      <w:r>
        <w:t xml:space="preserve">Comprehensive collision likelihood work in geosynchronous orbit sharpens the concern from the modeling side</w:t>
      </w:r>
      <w:r>
        <w:t xml:space="preserve"> </w:t>
      </w:r>
      <w:hyperlink w:anchor="ref-11">
        <w:r>
          <w:rPr>
            <w:rStyle w:val="Hyperlink"/>
          </w:rPr>
          <w:t xml:space="preserve">[11]</w:t>
        </w:r>
      </w:hyperlink>
      <w:r>
        <w:t xml:space="preserve">. Aggregate collision probability depends on assumptions about covariance, catalog completeness, and object characterization that are rarely transmitted with the warning that they produce. Two analysts using different but individually defensible assumptions can reach different aggregate risk figures for the same population. Without a provenance chain that records which assumptions were in force, a downstream operator cannot tell whether a disagreement reflects a real physical uncertainty or a silent methodological divergence. The literature has quantified the sensitivity. It has not asked whether the sensitivity is documented at the point of decision.</w:t>
      </w:r>
    </w:p>
    <w:p>
      <w:pPr>
        <w:pStyle w:val="BodyText"/>
        <w:spacing w:line="480" w:lineRule="auto"/>
        <w:ind w:firstLine="720"/>
      </w:pPr>
      <w:r>
        <w:t xml:space="preserve">Automated near real time validation of optical sensor data addresses the upstream half of the chain</w:t>
      </w:r>
      <w:r>
        <w:t xml:space="preserve"> </w:t>
      </w:r>
      <w:hyperlink w:anchor="ref-13">
        <w:r>
          <w:rPr>
            <w:rStyle w:val="Hyperlink"/>
          </w:rPr>
          <w:t xml:space="preserve">[13]</w:t>
        </w:r>
      </w:hyperlink>
      <w:r>
        <w:t xml:space="preserve">. The contribution there is that sensor data can be validated and exploited quickly enough to matter for orbital safety, and the implicit lesson for this dissertation is that validation is itself a step that either does or does not leave a record. Fast validation without recorded validation is a decision without provenance. Improvement of orbital data precision and accuracy pushes in the same direction, showing that better data is achievable but saying comparatively little about whether the pathway from raw measurement to improved estimate is preserved for audit</w:t>
      </w:r>
      <w:r>
        <w:t xml:space="preserve"> </w:t>
      </w:r>
      <w:hyperlink w:anchor="ref-14">
        <w:r>
          <w:rPr>
            <w:rStyle w:val="Hyperlink"/>
          </w:rPr>
          <w:t xml:space="preserve">[14]</w:t>
        </w:r>
      </w:hyperlink>
      <w:r>
        <w:t xml:space="preserve">. The technical literature keeps improving the product while treating the paper trail as external to its scope.</w:t>
      </w:r>
    </w:p>
    <w:bookmarkEnd w:id="71"/>
    <w:bookmarkStart w:id="72" w:name="Xf69d36d03e4884618e8bbf0c394ff07eb694562"/>
    <w:p>
      <w:pPr>
        <w:pStyle w:val="Heading2"/>
        <w:spacing w:line="480" w:lineRule="auto"/>
      </w:pPr>
      <w:r>
        <w:t xml:space="preserve">2.2 Sensor tasking and the distribution of provenance</w:t>
      </w:r>
    </w:p>
    <w:p>
      <w:pPr>
        <w:pStyle w:val="FirstParagraph"/>
        <w:spacing w:line="480" w:lineRule="auto"/>
      </w:pPr>
      <w:r>
        <w:t xml:space="preserve">Sensor tasking is where provenance gets distributed and, often, diluted. Decentralized autonomous tasking improves tactical relevance by letting a network of sensors self organize toward the observations that matter most</w:t>
      </w:r>
      <w:r>
        <w:t xml:space="preserve"> </w:t>
      </w:r>
      <w:hyperlink w:anchor="ref-4">
        <w:r>
          <w:rPr>
            <w:rStyle w:val="Hyperlink"/>
          </w:rPr>
          <w:t xml:space="preserve">[4]</w:t>
        </w:r>
      </w:hyperlink>
      <w:r>
        <w:t xml:space="preserve">. That is an operational gain and a custody hazard at once, because the reasons a particular node observed a particular object at a particular time are now spread across the network rather than held centrally. The tactical relevance literature optimizes for responsiveness. It does not, as a rule, treat the reconstructability of the tasking decision as a first class objective.</w:t>
      </w:r>
    </w:p>
    <w:p>
      <w:pPr>
        <w:pStyle w:val="BodyText"/>
        <w:spacing w:line="480" w:lineRule="auto"/>
        <w:ind w:firstLine="720"/>
      </w:pPr>
      <w:r>
        <w:t xml:space="preserve">Conjunction based sensor tasking using inferential moments formalizes the tradeoff</w:t>
      </w:r>
      <w:r>
        <w:t xml:space="preserve"> </w:t>
      </w:r>
      <w:hyperlink w:anchor="ref-5">
        <w:r>
          <w:rPr>
            <w:rStyle w:val="Hyperlink"/>
          </w:rPr>
          <w:t xml:space="preserve">[5]</w:t>
        </w:r>
      </w:hyperlink>
      <w:r>
        <w:t xml:space="preserve">. The estimator there chooses observations to maximize information gain about conjunction risk. An information optimal schedule and an audit optimal schedule are not the same schedule, and the difference is the crux for provenance. A tasking policy indifferent to documentation will, over many decisions, accumulate a body of observations whose collective rationale cannot be reconstructed after the fact. This dissertation’s concern is not that such policies are wrong; it is that the field has not measured how visible the resulting documentation gap is in its own record.</w:t>
      </w:r>
    </w:p>
    <w:p>
      <w:pPr>
        <w:pStyle w:val="BodyText"/>
        <w:spacing w:line="480" w:lineRule="auto"/>
        <w:ind w:firstLine="720"/>
      </w:pPr>
      <w:r>
        <w:t xml:space="preserve">The battle management and coordination literature extends the tasking problem to federated, multi party settings. An AI enabled space battle management approach built on a resilient distributed ledger proposes that coordination and, implicitly, provenance can be secured cryptographically across untrusting participants</w:t>
      </w:r>
      <w:r>
        <w:t xml:space="preserve"> </w:t>
      </w:r>
      <w:hyperlink w:anchor="ref-2">
        <w:r>
          <w:rPr>
            <w:rStyle w:val="Hyperlink"/>
          </w:rPr>
          <w:t xml:space="preserve">[2]</w:t>
        </w:r>
      </w:hyperlink>
      <w:r>
        <w:t xml:space="preserve">. Utilizing civilian launches as live exercises for a federated protect and defend architecture demonstrates that multi actor coordination can be rehearsed at operational scale, which raises rather than answers the custody question, because more actors means more handoffs and more opportunities for the chain to break</w:t>
      </w:r>
      <w:r>
        <w:t xml:space="preserve"> </w:t>
      </w:r>
      <w:hyperlink w:anchor="ref-8">
        <w:r>
          <w:rPr>
            <w:rStyle w:val="Hyperlink"/>
          </w:rPr>
          <w:t xml:space="preserve">[8]</w:t>
        </w:r>
      </w:hyperlink>
      <w:r>
        <w:t xml:space="preserve">. NASA’s Starling mission and its space situational awareness implications show autonomous multi spacecraft operation generating its own conjunction relevant data, again multiplying the provenance sources without a settled scheme for preserving them</w:t>
      </w:r>
      <w:r>
        <w:t xml:space="preserve"> </w:t>
      </w:r>
      <w:hyperlink w:anchor="ref-7">
        <w:r>
          <w:rPr>
            <w:rStyle w:val="Hyperlink"/>
          </w:rPr>
          <w:t xml:space="preserve">[7]</w:t>
        </w:r>
      </w:hyperlink>
      <w:r>
        <w:t xml:space="preserve">.</w:t>
      </w:r>
    </w:p>
    <w:bookmarkEnd w:id="72"/>
    <w:bookmarkStart w:id="73" w:name="custody-as-an-institutional-achievement"/>
    <w:p>
      <w:pPr>
        <w:pStyle w:val="Heading2"/>
        <w:spacing w:line="480" w:lineRule="auto"/>
      </w:pPr>
      <w:r>
        <w:t xml:space="preserve">2.3 Custody as an institutional achievement</w:t>
      </w:r>
    </w:p>
    <w:p>
      <w:pPr>
        <w:pStyle w:val="FirstParagraph"/>
        <w:spacing w:line="480" w:lineRule="auto"/>
      </w:pPr>
      <w:r>
        <w:t xml:space="preserve">The custody concept itself has a small but pointed literature outside the conjunction domain. The study of postorbital discard and chain of custody for artifacts returning from the International Space Station is the clearest statement that custody in space is bureaucratic and archival rather than physical</w:t>
      </w:r>
      <w:r>
        <w:t xml:space="preserve"> </w:t>
      </w:r>
      <w:hyperlink w:anchor="ref-9">
        <w:r>
          <w:rPr>
            <w:rStyle w:val="Hyperlink"/>
          </w:rPr>
          <w:t xml:space="preserve">[9]</w:t>
        </w:r>
      </w:hyperlink>
      <w:r>
        <w:t xml:space="preserve">. Objects do not carry their own provenance. Institutions construct and maintain it through documented handoffs, and the study shows that discard and transfer are the moments where the chain most often fails. Transposed to conjunction decisions, the lesson is that a warning does not remember its own derivation; some institution must choose to record it, and no institution is currently obligated to.</w:t>
      </w:r>
    </w:p>
    <w:p>
      <w:pPr>
        <w:pStyle w:val="BodyText"/>
        <w:spacing w:line="480" w:lineRule="auto"/>
        <w:ind w:firstLine="720"/>
      </w:pPr>
      <w:r>
        <w:t xml:space="preserve">Trusted stakeholder coordination frameworks approach custody from the governance side</w:t>
      </w:r>
      <w:r>
        <w:t xml:space="preserve"> </w:t>
      </w:r>
      <w:hyperlink w:anchor="ref-1">
        <w:r>
          <w:rPr>
            <w:rStyle w:val="Hyperlink"/>
          </w:rPr>
          <w:t xml:space="preserve">[1]</w:t>
        </w:r>
      </w:hyperlink>
      <w:r>
        <w:t xml:space="preserve">. The argument is that space sustainability and traffic management require trusted coordination among stakeholders who do not fully trust one another, and trust in that setting is inseparable from the ability to inspect why a shared claim should be believed. Coordination without provenance is coordination on faith. The framework names the need for trust; it does not measure whether the documentary substrate that would support that trust actually exists in the field’s output.</w:t>
      </w:r>
    </w:p>
    <w:bookmarkEnd w:id="73"/>
    <w:bookmarkStart w:id="74" w:name="decision-support-and-supervisability"/>
    <w:p>
      <w:pPr>
        <w:pStyle w:val="Heading2"/>
        <w:spacing w:line="480" w:lineRule="auto"/>
      </w:pPr>
      <w:r>
        <w:t xml:space="preserve">2.4 Decision support and supervisability</w:t>
      </w:r>
    </w:p>
    <w:p>
      <w:pPr>
        <w:pStyle w:val="FirstParagraph"/>
        <w:spacing w:line="480" w:lineRule="auto"/>
      </w:pPr>
      <w:r>
        <w:t xml:space="preserve">The decision support literature comes closest to naming provenance as a design requirement. Work on architecting a decision support system for continuing supervision of commercial in space servicing treats supervisability as an explicit objective, arguing that a supervisory system is only as good as its ability to reconstruct what was known and decided at each step</w:t>
      </w:r>
      <w:r>
        <w:t xml:space="preserve"> </w:t>
      </w:r>
      <w:hyperlink w:anchor="ref-12">
        <w:r>
          <w:rPr>
            <w:rStyle w:val="Hyperlink"/>
          </w:rPr>
          <w:t xml:space="preserve">[12]</w:t>
        </w:r>
      </w:hyperlink>
      <w:r>
        <w:t xml:space="preserve">. That is provenance by another name. The contribution is conceptual and architectural rather than measured, and it leaves open the empirical question this dissertation raises: to what extent does the field’s own literature already reflect that requirement, and to what extent is it aspirational.</w:t>
      </w:r>
    </w:p>
    <w:p>
      <w:pPr>
        <w:pStyle w:val="BodyText"/>
        <w:spacing w:line="480" w:lineRule="auto"/>
        <w:ind w:firstLine="720"/>
      </w:pPr>
      <w:r>
        <w:t xml:space="preserve">Physics based testing and evaluation for space domain awareness provides the methodological complement</w:t>
      </w:r>
      <w:r>
        <w:t xml:space="preserve"> </w:t>
      </w:r>
      <w:hyperlink w:anchor="ref-3">
        <w:r>
          <w:rPr>
            <w:rStyle w:val="Hyperlink"/>
          </w:rPr>
          <w:t xml:space="preserve">[3]</w:t>
        </w:r>
      </w:hyperlink>
      <w:r>
        <w:t xml:space="preserve">. Its framework surfaces the assumptions inside a decision pipeline so they can be tested, which is precisely the instrumentation that provenance would require. A pipeline that can be tested is a pipeline whose steps are recorded. The testing and evaluation literature builds the instrument; it does not survey how widely the instrument is adopted or how visibly the concern registers across venues.</w:t>
      </w:r>
    </w:p>
    <w:bookmarkEnd w:id="74"/>
    <w:bookmarkStart w:id="75" w:name="X817341f3ae4312022e828b237315d74903c42a9"/>
    <w:p>
      <w:pPr>
        <w:pStyle w:val="Heading2"/>
        <w:spacing w:line="480" w:lineRule="auto"/>
      </w:pPr>
      <w:r>
        <w:t xml:space="preserve">2.5 Governance salience and the space economy frame</w:t>
      </w:r>
    </w:p>
    <w:p>
      <w:pPr>
        <w:pStyle w:val="FirstParagraph"/>
        <w:spacing w:line="480" w:lineRule="auto"/>
      </w:pPr>
      <w:r>
        <w:t xml:space="preserve">The broadest frame comes from the governance and space economy material, where challenges in space traffic management are catalogued and the recurring finding is that governance salience lags technical recognition of risk</w:t>
      </w:r>
      <w:r>
        <w:t xml:space="preserve"> </w:t>
      </w:r>
      <w:hyperlink w:anchor="ref-6">
        <w:r>
          <w:rPr>
            <w:rStyle w:val="Hyperlink"/>
          </w:rPr>
          <w:t xml:space="preserve">[6]</w:t>
        </w:r>
      </w:hyperlink>
      <w:r>
        <w:t xml:space="preserve">. Provenance and custody are exactly the kind of concern that is technically obvious to practitioners long before it becomes governable, because they are invisible until a decision is contested. Space sustainability rating work reinforces the point by showing that composite governance indicators earn adoption only when their construction is transparent and auditable, which is provenance applied to the metric rather than to the decision</w:t>
      </w:r>
      <w:r>
        <w:t xml:space="preserve"> </w:t>
      </w:r>
      <w:hyperlink w:anchor="ref-15">
        <w:r>
          <w:rPr>
            <w:rStyle w:val="Hyperlink"/>
          </w:rPr>
          <w:t xml:space="preserve">[15]</w:t>
        </w:r>
      </w:hyperlink>
      <w:r>
        <w:t xml:space="preserve">. Even ethnographic work on the culture of the spaceflight community, such as the study of imagination labor among launch enthusiasts, underscores that the field’s self understanding is uneven and that formal concerns can lag informal ones</w:t>
      </w:r>
      <w:r>
        <w:t xml:space="preserve"> </w:t>
      </w:r>
      <w:hyperlink w:anchor="ref-16">
        <w:r>
          <w:rPr>
            <w:rStyle w:val="Hyperlink"/>
          </w:rPr>
          <w:t xml:space="preserve">[16]</w:t>
        </w:r>
      </w:hyperlink>
      <w:r>
        <w:t xml:space="preserve">.</w:t>
      </w:r>
    </w:p>
    <w:bookmarkEnd w:id="75"/>
    <w:bookmarkStart w:id="76" w:name="Xc9665f5f6d8ca39b620f6f67e4a0b478d2b2711"/>
    <w:p>
      <w:pPr>
        <w:pStyle w:val="Heading2"/>
        <w:spacing w:line="480" w:lineRule="auto"/>
      </w:pPr>
      <w:r>
        <w:t xml:space="preserve">2.6 Bibliometric reading as a method precedent</w:t>
      </w:r>
    </w:p>
    <w:p>
      <w:pPr>
        <w:pStyle w:val="FirstParagraph"/>
        <w:spacing w:line="480" w:lineRule="auto"/>
      </w:pPr>
      <w:r>
        <w:t xml:space="preserve">The move this dissertation makes, reading a field’s documentary record for the structure of an emerging concern, has precedent worth naming. Composite indicator work in the sustainability rating tradition treats the construction of a measure as itself a documentary act that must be transparent to be trusted, which is the same discipline applied to a metric rather than to a literature</w:t>
      </w:r>
      <w:r>
        <w:t xml:space="preserve"> </w:t>
      </w:r>
      <w:hyperlink w:anchor="ref-15">
        <w:r>
          <w:rPr>
            <w:rStyle w:val="Hyperlink"/>
          </w:rPr>
          <w:t xml:space="preserve">[15]</w:t>
        </w:r>
      </w:hyperlink>
      <w:r>
        <w:t xml:space="preserve">. The lesson transfers directly. If a rating earns adoption only when a reader can retrace how it was built, then a bibliometric screen earns credibility only when a reader can retrace how each source became each number. The methodological kinship is exact, and it is why Chapter 5 preserves a source column on every row.</w:t>
      </w:r>
    </w:p>
    <w:p>
      <w:pPr>
        <w:pStyle w:val="BodyText"/>
        <w:spacing w:line="480" w:lineRule="auto"/>
        <w:ind w:firstLine="720"/>
      </w:pPr>
      <w:r>
        <w:t xml:space="preserve">The technical literature also supplies a precedent for treating metadata as a legitimate object of measurement rather than a mere finding aid. Optical sensor validation work exploits metadata about observations to make safety relevant judgments quickly, which establishes that the descriptive layer around a datum carries decision relevant information</w:t>
      </w:r>
      <w:r>
        <w:t xml:space="preserve"> </w:t>
      </w:r>
      <w:hyperlink w:anchor="ref-13">
        <w:r>
          <w:rPr>
            <w:rStyle w:val="Hyperlink"/>
          </w:rPr>
          <w:t xml:space="preserve">[13]</w:t>
        </w:r>
      </w:hyperlink>
      <w:r>
        <w:t xml:space="preserve">. A signal score built from titles, snippets, keywords, and author metadata is a modest instance of the same principle: the descriptive layer is informative about what a source is doing, even before one reads the source in full. The screen does not pretend metadata equals substance. It claims only that metadata density is a measurable proxy worth testing, and the testing and evaluation literature’s insistence on surfacing assumptions supports reading that proxy cautiously</w:t>
      </w:r>
      <w:r>
        <w:t xml:space="preserve"> </w:t>
      </w:r>
      <w:hyperlink w:anchor="ref-3">
        <w:r>
          <w:rPr>
            <w:rStyle w:val="Hyperlink"/>
          </w:rPr>
          <w:t xml:space="preserve">[3]</w:t>
        </w:r>
      </w:hyperlink>
      <w:r>
        <w:t xml:space="preserve">.</w:t>
      </w:r>
    </w:p>
    <w:p>
      <w:pPr>
        <w:pStyle w:val="BodyText"/>
        <w:spacing w:line="480" w:lineRule="auto"/>
        <w:ind w:firstLine="720"/>
      </w:pPr>
      <w:r>
        <w:t xml:space="preserve">There is a counterpoint the chapter must acknowledge. Ethnographic work on the spaceflight community shows that a field’s informal self understanding can diverge from its formal published record, which cautions that a bibliometric screen sees only the formal layer</w:t>
      </w:r>
      <w:r>
        <w:t xml:space="preserve"> </w:t>
      </w:r>
      <w:hyperlink w:anchor="ref-16">
        <w:r>
          <w:rPr>
            <w:rStyle w:val="Hyperlink"/>
          </w:rPr>
          <w:t xml:space="preserve">[16]</w:t>
        </w:r>
      </w:hyperlink>
      <w:r>
        <w:t xml:space="preserve">. A concern alive in practitioner conversation may not yet have surfaced in metadata. This is a real limit, and it bounds the claim to what the published record shows rather than to what the community privately knows. The dissertation accepts that bound explicitly, and it is one reason the design is framed as a screen that justifies a richer follow on study rather than as a final account.</w:t>
      </w:r>
    </w:p>
    <w:bookmarkEnd w:id="76"/>
    <w:bookmarkStart w:id="77" w:name="X5485eade94fff96066ef0964f5544a9513aacd8"/>
    <w:p>
      <w:pPr>
        <w:pStyle w:val="Heading2"/>
        <w:spacing w:line="480" w:lineRule="auto"/>
      </w:pPr>
      <w:r>
        <w:t xml:space="preserve">2.7 How the empirical papers connect to this literature</w:t>
      </w:r>
    </w:p>
    <w:p>
      <w:pPr>
        <w:pStyle w:val="FirstParagraph"/>
        <w:spacing w:line="480" w:lineRule="auto"/>
      </w:pPr>
      <w:r>
        <w:t xml:space="preserve">The two empirical estimators that anchor the dissertation are not free floating. Each answers a question the literature above leaves open. The topic signal regression asks whether the concern that trusted coordination frameworks name</w:t>
      </w:r>
      <w:r>
        <w:t xml:space="preserve"> </w:t>
      </w:r>
      <w:hyperlink w:anchor="ref-1">
        <w:r>
          <w:rPr>
            <w:rStyle w:val="Hyperlink"/>
          </w:rPr>
          <w:t xml:space="preserve">[1]</w:t>
        </w:r>
      </w:hyperlink>
      <w:r>
        <w:t xml:space="preserve">, that supervision architectures require</w:t>
      </w:r>
      <w:r>
        <w:t xml:space="preserve"> </w:t>
      </w:r>
      <w:hyperlink w:anchor="ref-12">
        <w:r>
          <w:rPr>
            <w:rStyle w:val="Hyperlink"/>
          </w:rPr>
          <w:t xml:space="preserve">[12]</w:t>
        </w:r>
      </w:hyperlink>
      <w:r>
        <w:t xml:space="preserve">, and that tasking work distributes</w:t>
      </w:r>
      <w:r>
        <w:t xml:space="preserve"> </w:t>
      </w:r>
      <w:hyperlink w:anchor="ref-4">
        <w:r>
          <w:rPr>
            <w:rStyle w:val="Hyperlink"/>
          </w:rPr>
          <w:t xml:space="preserve">[4]</w:t>
        </w:r>
      </w:hyperlink>
      <w:r>
        <w:t xml:space="preserve"> </w:t>
      </w:r>
      <w:r>
        <w:t xml:space="preserve">is legible in the joint structure of recency, attention, and venue. That is the bibliometric shadow of the governance and systems arguments, tested rather than asserted. The learning curve regression asks whether citation attention, the currency the high interest conjunction literature implicitly trades in when it notes disproportionate analytic focus, behaves conventionally with age in this corpus</w:t>
      </w:r>
      <w:r>
        <w:t xml:space="preserve"> </w:t>
      </w:r>
      <w:hyperlink w:anchor="ref-10">
        <w:r>
          <w:rPr>
            <w:rStyle w:val="Hyperlink"/>
          </w:rPr>
          <w:t xml:space="preserve">[10]</w:t>
        </w:r>
      </w:hyperlink>
      <w:r>
        <w:t xml:space="preserve">. Both estimators translate a qualitative claim from the literature into a falsifiable quantitative prediction, which is the specific contribution the reviewed work does not itself make.</w:t>
      </w:r>
    </w:p>
    <w:p>
      <w:pPr>
        <w:pStyle w:val="BodyText"/>
        <w:spacing w:line="480" w:lineRule="auto"/>
        <w:ind w:firstLine="720"/>
      </w:pPr>
      <w:r>
        <w:t xml:space="preserve">Reading the two estimators against the reviewed literature also sets expectations for their results. Because the concern is documented most concretely in operational tasking sources</w:t>
      </w:r>
      <w:r>
        <w:t xml:space="preserve"> </w:t>
      </w:r>
      <w:hyperlink w:anchor="ref-4">
        <w:r>
          <w:rPr>
            <w:rStyle w:val="Hyperlink"/>
          </w:rPr>
          <w:t xml:space="preserve">[4]</w:t>
        </w:r>
      </w:hyperlink>
      <w:r>
        <w:t xml:space="preserve"> </w:t>
      </w:r>
      <w:hyperlink w:anchor="ref-5">
        <w:r>
          <w:rPr>
            <w:rStyle w:val="Hyperlink"/>
          </w:rPr>
          <w:t xml:space="preserve">[5]</w:t>
        </w:r>
      </w:hyperlink>
      <w:r>
        <w:t xml:space="preserve">, a venue effect concentrating the signal in that community would be coherent with the literature rather than surprising. Because citation attention is sparse and venue bound in the way the collision likelihood and conjunction risk sources suggest</w:t>
      </w:r>
      <w:r>
        <w:t xml:space="preserve"> </w:t>
      </w:r>
      <w:hyperlink w:anchor="ref-11">
        <w:r>
          <w:rPr>
            <w:rStyle w:val="Hyperlink"/>
          </w:rPr>
          <w:t xml:space="preserve">[11]</w:t>
        </w:r>
      </w:hyperlink>
      <w:r>
        <w:t xml:space="preserve"> </w:t>
      </w:r>
      <w:hyperlink w:anchor="ref-10">
        <w:r>
          <w:rPr>
            <w:rStyle w:val="Hyperlink"/>
          </w:rPr>
          <w:t xml:space="preserve">[10]</w:t>
        </w:r>
      </w:hyperlink>
      <w:r>
        <w:t xml:space="preserve">, a weak or null attention channel would also be coherent. The literature, in other words, predicts the shape of the findings well enough that a wildly different result would itself be a signal of measurement error, which is a useful discipline on the interpretation Chapter 6 will offer.</w:t>
      </w:r>
    </w:p>
    <w:bookmarkEnd w:id="77"/>
    <w:bookmarkStart w:id="78" w:name="X5ccc06637808baff8ef70ab9c02c85dce2ac411"/>
    <w:p>
      <w:pPr>
        <w:pStyle w:val="Heading2"/>
        <w:spacing w:line="480" w:lineRule="auto"/>
      </w:pPr>
      <w:r>
        <w:t xml:space="preserve">2.8 Adjacent literatures that inform without anchoring</w:t>
      </w:r>
    </w:p>
    <w:p>
      <w:pPr>
        <w:pStyle w:val="FirstParagraph"/>
        <w:spacing w:line="480" w:lineRule="auto"/>
      </w:pPr>
      <w:r>
        <w:t xml:space="preserve">Several bodies of work inform the design without anchoring its central claim, and naming them clarifies the boundaries of the review. Orbit determination and data precision work establishes the upstream conditions under which provenance would even be recordable, since a datum whose derivation is itself uncertain cannot carry a clean origin record</w:t>
      </w:r>
      <w:r>
        <w:t xml:space="preserve"> </w:t>
      </w:r>
      <w:hyperlink w:anchor="ref-14">
        <w:r>
          <w:rPr>
            <w:rStyle w:val="Hyperlink"/>
          </w:rPr>
          <w:t xml:space="preserve">[14]</w:t>
        </w:r>
      </w:hyperlink>
      <w:r>
        <w:t xml:space="preserve">. This literature is a precondition rather than a subject: better data makes provenance possible without making it practiced. The dissertation treats it as context for why the concern is tractable at all, not as evidence for the concern’s bibliometric structure.</w:t>
      </w:r>
    </w:p>
    <w:p>
      <w:pPr>
        <w:pStyle w:val="BodyText"/>
        <w:spacing w:line="480" w:lineRule="auto"/>
        <w:ind w:firstLine="720"/>
      </w:pPr>
      <w:r>
        <w:t xml:space="preserve">The autonomous mission literature plays a similar contextual role. Multi spacecraft operations that generate their own situational awareness data, as in the Starling mission analysis, multiply the sources whose provenance must be tracked and thereby raise the stakes of the concern</w:t>
      </w:r>
      <w:r>
        <w:t xml:space="preserve"> </w:t>
      </w:r>
      <w:hyperlink w:anchor="ref-7">
        <w:r>
          <w:rPr>
            <w:rStyle w:val="Hyperlink"/>
          </w:rPr>
          <w:t xml:space="preserve">[7]</w:t>
        </w:r>
      </w:hyperlink>
      <w:r>
        <w:t xml:space="preserve">. Federated protect and defend architectures rehearsed through civilian launches extend the same multiplication to the multi actor case</w:t>
      </w:r>
      <w:r>
        <w:t xml:space="preserve"> </w:t>
      </w:r>
      <w:hyperlink w:anchor="ref-8">
        <w:r>
          <w:rPr>
            <w:rStyle w:val="Hyperlink"/>
          </w:rPr>
          <w:t xml:space="preserve">[8]</w:t>
        </w:r>
      </w:hyperlink>
      <w:r>
        <w:t xml:space="preserve">. These works establish that the operational environment is trending toward more sources and more handoffs, which is why the concern should be rising, but they do not themselves measure whether the field’s record reflects that rise. They motivate the question; the empirical papers test it.</w:t>
      </w:r>
    </w:p>
    <w:p>
      <w:pPr>
        <w:pStyle w:val="BodyText"/>
        <w:spacing w:line="480" w:lineRule="auto"/>
        <w:ind w:firstLine="720"/>
      </w:pPr>
      <w:r>
        <w:t xml:space="preserve">Finally, the cryptographic coordination literature offers a possible remedy rather than a measurement. An AI enabled battle management approach built on a resilient distributed ledger proposes that provenance and custody could be secured technically across untrusting participants</w:t>
      </w:r>
      <w:r>
        <w:t xml:space="preserve"> </w:t>
      </w:r>
      <w:hyperlink w:anchor="ref-2">
        <w:r>
          <w:rPr>
            <w:rStyle w:val="Hyperlink"/>
          </w:rPr>
          <w:t xml:space="preserve">[2]</w:t>
        </w:r>
      </w:hyperlink>
      <w:r>
        <w:t xml:space="preserve">. Whether such remedies are adopted is downstream of whether the concern they address is even recognized as central, which is the prior question this dissertation asks. The remedy literature is therefore a destination the field may reach, and reading the record for the concern’s salience is a way of gauging how close the field is to needing it.</w:t>
      </w:r>
    </w:p>
    <w:bookmarkEnd w:id="78"/>
    <w:bookmarkStart w:id="79" w:name="synthesis-of-the-reviewed-positions"/>
    <w:p>
      <w:pPr>
        <w:pStyle w:val="Heading2"/>
        <w:spacing w:line="480" w:lineRule="auto"/>
      </w:pPr>
      <w:r>
        <w:t xml:space="preserve">2.9 Synthesis of the reviewed positions</w:t>
      </w:r>
    </w:p>
    <w:p>
      <w:pPr>
        <w:pStyle w:val="FirstParagraph"/>
        <w:spacing w:line="480" w:lineRule="auto"/>
      </w:pPr>
      <w:r>
        <w:t xml:space="preserve">Before naming the gap, it helps to synthesize where the reviewed literature collectively stands. The technical community treats conjunction assessment as an engineering problem whose accuracy can be improved and whose assumptions can be surfaced, and it has made real progress on both</w:t>
      </w:r>
      <w:r>
        <w:t xml:space="preserve"> </w:t>
      </w:r>
      <w:hyperlink w:anchor="ref-3">
        <w:r>
          <w:rPr>
            <w:rStyle w:val="Hyperlink"/>
          </w:rPr>
          <w:t xml:space="preserve">[3]</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tasking community treats observation as a resource to be allocated efficiently and has optimized that allocation while distributing the resulting provenance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custody and governance community treats the evidentiary chain as an institutional achievement that trust depends on and that fails at handoffs</w:t>
      </w:r>
      <w:r>
        <w:t xml:space="preserve"> </w:t>
      </w:r>
      <w:hyperlink w:anchor="ref-9">
        <w:r>
          <w:rPr>
            <w:rStyle w:val="Hyperlink"/>
          </w:rPr>
          <w:t xml:space="preserve">[9]</w:t>
        </w:r>
      </w:hyperlink>
      <w:r>
        <w:t xml:space="preserve"> </w:t>
      </w:r>
      <w:hyperlink w:anchor="ref-1">
        <w:r>
          <w:rPr>
            <w:rStyle w:val="Hyperlink"/>
          </w:rPr>
          <w:t xml:space="preserve">[1]</w:t>
        </w:r>
      </w:hyperlink>
      <w:r>
        <w:t xml:space="preserve">. The decision support community treats supervisability as a design objective to be architected in</w:t>
      </w:r>
      <w:r>
        <w:t xml:space="preserve"> </w:t>
      </w:r>
      <w:hyperlink w:anchor="ref-12">
        <w:r>
          <w:rPr>
            <w:rStyle w:val="Hyperlink"/>
          </w:rPr>
          <w:t xml:space="preserve">[12]</w:t>
        </w:r>
      </w:hyperlink>
      <w:r>
        <w:t xml:space="preserve">. Each community is internally coherent and each has advanced its own frame.</w:t>
      </w:r>
    </w:p>
    <w:p>
      <w:pPr>
        <w:pStyle w:val="BodyText"/>
        <w:spacing w:line="480" w:lineRule="auto"/>
        <w:ind w:firstLine="720"/>
      </w:pPr>
      <w:r>
        <w:t xml:space="preserve">What no community has done is turn the analytic lens on the field’s own record to ask whether the concern that runs through all of them has yet organized how the field publishes and cites. The frames are parallel rather than joined, and the concern for provenance and custody lives in the space between them, acknowledged by each and measured by none. This is the synthesis that motivates the dissertation: a concern that is technically recognized, operationally distributed, institutionally fragile, and architecturally required, yet bibliometrically unexamined</w:t>
      </w:r>
      <w:r>
        <w:t xml:space="preserve"> </w:t>
      </w:r>
      <w:hyperlink w:anchor="ref-6">
        <w:r>
          <w:rPr>
            <w:rStyle w:val="Hyperlink"/>
          </w:rPr>
          <w:t xml:space="preserve">[6]</w:t>
        </w:r>
      </w:hyperlink>
      <w:r>
        <w:t xml:space="preserve">. The dissertation does not claim the communities are wrong. It claims they have left one question open, and it takes up that question with the bounded tools an obtainable corpus allows.</w:t>
      </w:r>
    </w:p>
    <w:bookmarkEnd w:id="79"/>
    <w:bookmarkStart w:id="80" w:name="the-gap-this-dissertation-addresses"/>
    <w:p>
      <w:pPr>
        <w:pStyle w:val="Heading2"/>
        <w:spacing w:line="480" w:lineRule="auto"/>
      </w:pPr>
      <w:r>
        <w:t xml:space="preserve">2.10 The gap this dissertation addresses</w:t>
      </w:r>
    </w:p>
    <w:p>
      <w:pPr>
        <w:pStyle w:val="FirstParagraph"/>
        <w:spacing w:line="480" w:lineRule="auto"/>
      </w:pPr>
      <w:r>
        <w:t xml:space="preserve">Read together, these bodies of work establish three things and leave one thing open. They establish that conjunction decisions are evidentiary acts sensitive to undocumented assumptions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They establish that sensor tasking distributes provenance in ways that strain custody</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They establish that custody is an institutional achievement that fails at handoffs and that governance salience trails technical risk</w:t>
      </w:r>
      <w:r>
        <w:t xml:space="preserve"> </w:t>
      </w:r>
      <w:hyperlink w:anchor="ref-9">
        <w:r>
          <w:rPr>
            <w:rStyle w:val="Hyperlink"/>
          </w:rPr>
          <w:t xml:space="preserve">[9]</w:t>
        </w:r>
      </w:hyperlink>
      <w:r>
        <w:t xml:space="preserve"> </w:t>
      </w:r>
      <w:hyperlink w:anchor="ref-6">
        <w:r>
          <w:rPr>
            <w:rStyle w:val="Hyperlink"/>
          </w:rPr>
          <w:t xml:space="preserve">[6]</w:t>
        </w:r>
      </w:hyperlink>
      <w:r>
        <w:t xml:space="preserve">. What they leave open is whether any of this is measurable in the field’s own documentary output before a full document coding study is undertaken.</w:t>
      </w:r>
    </w:p>
    <w:p>
      <w:pPr>
        <w:pStyle w:val="BodyText"/>
        <w:spacing w:line="480" w:lineRule="auto"/>
        <w:ind w:firstLine="720"/>
      </w:pPr>
      <w:r>
        <w:t xml:space="preserve">That is the gap. No prior work has asked whether the provenance and custody concern is legible in the structure of the literature itself, treating publication timing, citation attention, and venue family as observable features that either carry the concern’s fingerprint or do not. The technical literature improves the product</w:t>
      </w:r>
      <w:r>
        <w:t xml:space="preserve"> </w:t>
      </w:r>
      <w:hyperlink w:anchor="ref-14">
        <w:r>
          <w:rPr>
            <w:rStyle w:val="Hyperlink"/>
          </w:rPr>
          <w:t xml:space="preserve">[14]</w:t>
        </w:r>
      </w:hyperlink>
      <w:r>
        <w:t xml:space="preserve">. The governance literature names the need</w:t>
      </w:r>
      <w:r>
        <w:t xml:space="preserve"> </w:t>
      </w:r>
      <w:hyperlink w:anchor="ref-1">
        <w:r>
          <w:rPr>
            <w:rStyle w:val="Hyperlink"/>
          </w:rPr>
          <w:t xml:space="preserve">[1]</w:t>
        </w:r>
      </w:hyperlink>
      <w:r>
        <w:t xml:space="preserve">. The decision support literature specifies the requirement</w:t>
      </w:r>
      <w:r>
        <w:t xml:space="preserve"> </w:t>
      </w:r>
      <w:hyperlink w:anchor="ref-12">
        <w:r>
          <w:rPr>
            <w:rStyle w:val="Hyperlink"/>
          </w:rPr>
          <w:t xml:space="preserve">[12]</w:t>
        </w:r>
      </w:hyperlink>
      <w:r>
        <w:t xml:space="preserve">. None of them tests whether the concern has yet organized the field’s record. This dissertation occupies that opening with a deliberately bounded, falsifiable design, and it reports only what the retrieved corpus will honestly support.</w:t>
      </w:r>
    </w:p>
    <w:bookmarkEnd w:id="80"/>
    <w:bookmarkEnd w:id="81"/>
    <w:bookmarkStart w:id="93" w:name="chapter-3.-theory-and-hypotheses"/>
    <w:p>
      <w:pPr>
        <w:pStyle w:val="Heading1"/>
        <w:spacing w:line="480" w:lineRule="auto"/>
      </w:pPr>
      <w:r>
        <w:t xml:space="preserve">Chapter 3. Theory and Hypotheses</w:t>
      </w:r>
    </w:p>
    <w:p>
      <w:pPr>
        <w:pStyle w:val="FirstParagraph"/>
        <w:spacing w:line="480" w:lineRule="auto"/>
      </w:pPr>
      <w:r>
        <w:t xml:space="preserve">A dissertation that measures a documentary trace instead of an operational behavior owes its reader an explicit theory of why the trace should exist. This chapter provides it. The core claim is that a genuine operational concern reorganizes a field’s published record before it reorganizes the field’s rules, and that the reorganization is detectable in three observable features: when work appears, how much attention it draws, and where it is published. From that claim follow testable predictions, and from those predictions follow the two estimators that the later chapters run.</w:t>
      </w:r>
    </w:p>
    <w:bookmarkStart w:id="82" w:name="X89c43f24c341fb6c4434cf1ab290822baa9cf4d"/>
    <w:p>
      <w:pPr>
        <w:pStyle w:val="Heading2"/>
        <w:spacing w:line="480" w:lineRule="auto"/>
      </w:pPr>
      <w:r>
        <w:t xml:space="preserve">3.1 The mechanism: concerns leave documentary fingerprints</w:t>
      </w:r>
    </w:p>
    <w:p>
      <w:pPr>
        <w:pStyle w:val="FirstParagraph"/>
        <w:spacing w:line="480" w:lineRule="auto"/>
      </w:pPr>
      <w:r>
        <w:t xml:space="preserve">Start with a simple behavioral premise about how technical communities work. When practitioners encounter a recurring operational difficulty, they write about it, cite the writing that helps, and cluster that writing in the venues where the relevant audience gathers. A concern that is real and rising should therefore show three co occurring symptoms. Newer work should carry more of the concern than older work, because the concern is rising. Work that engages the concern usefully should attract citation, because attention flows to what helps. And the concern should distribute unevenly across venue families, because different venues serve different problem communities.</w:t>
      </w:r>
    </w:p>
    <w:p>
      <w:pPr>
        <w:pStyle w:val="BodyText"/>
        <w:spacing w:line="480" w:lineRule="auto"/>
        <w:ind w:firstLine="720"/>
      </w:pPr>
      <w:r>
        <w:t xml:space="preserve">Provenance and custody in conjunction decision making are a candidate for exactly this dynamic. The technical recognition is already visible. Modeling sensitivity is documented</w:t>
      </w:r>
      <w:r>
        <w:t xml:space="preserve"> </w:t>
      </w:r>
      <w:hyperlink w:anchor="ref-11">
        <w:r>
          <w:rPr>
            <w:rStyle w:val="Hyperlink"/>
          </w:rPr>
          <w:t xml:space="preserve">[11]</w:t>
        </w:r>
      </w:hyperlink>
      <w:r>
        <w:t xml:space="preserve">. Sensor tasking’s distribution of provenance is documented</w:t>
      </w:r>
      <w:r>
        <w:t xml:space="preserve"> </w:t>
      </w:r>
      <w:hyperlink w:anchor="ref-4">
        <w:r>
          <w:rPr>
            <w:rStyle w:val="Hyperlink"/>
          </w:rPr>
          <w:t xml:space="preserve">[4]</w:t>
        </w:r>
      </w:hyperlink>
      <w:r>
        <w:t xml:space="preserve">. Custody’s institutional fragility is documented in the artifact return context</w:t>
      </w:r>
      <w:r>
        <w:t xml:space="preserve"> </w:t>
      </w:r>
      <w:hyperlink w:anchor="ref-9">
        <w:r>
          <w:rPr>
            <w:rStyle w:val="Hyperlink"/>
          </w:rPr>
          <w:t xml:space="preserve">[9]</w:t>
        </w:r>
      </w:hyperlink>
      <w:r>
        <w:t xml:space="preserve">. If those recognitions are cohering into a genuine field level concern, the co occurrence should be measurable. If they are isolated observations that have not yet cohered, the fingerprint should be faint or absent, and the honest result is a null.</w:t>
      </w:r>
    </w:p>
    <w:p>
      <w:pPr>
        <w:pStyle w:val="BodyText"/>
        <w:spacing w:line="480" w:lineRule="auto"/>
        <w:ind w:firstLine="720"/>
      </w:pPr>
      <w:r>
        <w:t xml:space="preserve">The mechanism is not that citation counts measure importance directly. They do not. The mechanism is weaker and more defensible: that a real, rising concern perturbs the joint distribution of recency, attention, and venue in a detectable way, and that the absence of any such perturbation is evidence against the concern having yet organized the field. This is a claim about corpus structure, not about truth. A structurally silent corpus does not prove the concern is unimportant. It proves the concern has not yet reorganized the record, which is itself a finding about where the field stands.</w:t>
      </w:r>
    </w:p>
    <w:bookmarkEnd w:id="82"/>
    <w:bookmarkStart w:id="83" w:name="X879ddf5b975d06266a21d0bbcbdee1c904ff5b7"/>
    <w:p>
      <w:pPr>
        <w:pStyle w:val="Heading2"/>
        <w:spacing w:line="480" w:lineRule="auto"/>
      </w:pPr>
      <w:r>
        <w:t xml:space="preserve">3.2 Why documentary evidence is the right early instrument</w:t>
      </w:r>
    </w:p>
    <w:p>
      <w:pPr>
        <w:pStyle w:val="FirstParagraph"/>
        <w:spacing w:line="480" w:lineRule="auto"/>
      </w:pPr>
      <w:r>
        <w:t xml:space="preserve">There is a reason to read the record rather than wait for regulation. Governance salience in space traffic management characteristically lags the technical community’s recognition of risk</w:t>
      </w:r>
      <w:r>
        <w:t xml:space="preserve"> </w:t>
      </w:r>
      <w:hyperlink w:anchor="ref-6">
        <w:r>
          <w:rPr>
            <w:rStyle w:val="Hyperlink"/>
          </w:rPr>
          <w:t xml:space="preserve">[6]</w:t>
        </w:r>
      </w:hyperlink>
      <w:r>
        <w:t xml:space="preserve">. Rules arrive after the problem is undeniable. The documentary trace arrives earlier, while practitioners are still working the problem out in papers and citations. For a design stage dissertation asking whether a concern is becoming central, the earliest obtainable signal is bibliometric, and reading it is a way of listening for the concern before it hardens into policy.</w:t>
      </w:r>
    </w:p>
    <w:p>
      <w:pPr>
        <w:pStyle w:val="BodyText"/>
        <w:spacing w:line="480" w:lineRule="auto"/>
        <w:ind w:firstLine="720"/>
      </w:pPr>
      <w:r>
        <w:t xml:space="preserve">Trusted coordination frameworks make the theoretical case that provenance underwrites trust among stakeholders who do not trust one another</w:t>
      </w:r>
      <w:r>
        <w:t xml:space="preserve"> </w:t>
      </w:r>
      <w:hyperlink w:anchor="ref-1">
        <w:r>
          <w:rPr>
            <w:rStyle w:val="Hyperlink"/>
          </w:rPr>
          <w:t xml:space="preserve">[1]</w:t>
        </w:r>
      </w:hyperlink>
      <w:r>
        <w:t xml:space="preserve">. If that case is being absorbed by the field, the absorption should be visible in what the field publishes and cites. Decision support architectures that treat supervisability as a first class objective make the same case from the systems side</w:t>
      </w:r>
      <w:r>
        <w:t xml:space="preserve"> </w:t>
      </w:r>
      <w:hyperlink w:anchor="ref-12">
        <w:r>
          <w:rPr>
            <w:rStyle w:val="Hyperlink"/>
          </w:rPr>
          <w:t xml:space="preserve">[12]</w:t>
        </w:r>
      </w:hyperlink>
      <w:r>
        <w:t xml:space="preserve">. The theory here is that these architectural and governance arguments, if they are taking hold, leave a joint signature across recency, attention, and venue that a bounded model can detect.</w:t>
      </w:r>
    </w:p>
    <w:bookmarkEnd w:id="83"/>
    <w:bookmarkStart w:id="84" w:name="the-three-observable-features"/>
    <w:p>
      <w:pPr>
        <w:pStyle w:val="Heading2"/>
        <w:spacing w:line="480" w:lineRule="auto"/>
      </w:pPr>
      <w:r>
        <w:t xml:space="preserve">3.3 The three observable features</w:t>
      </w:r>
    </w:p>
    <w:p>
      <w:pPr>
        <w:pStyle w:val="FirstParagraph"/>
        <w:spacing w:line="480" w:lineRule="auto"/>
      </w:pPr>
      <w:r>
        <w:t xml:space="preserve">Recency is the first feature. If the concern is rising, its intensity should be higher in more recent work. The prediction is a positive association between publication recency and the topic signal. A flat or negative association would indicate that the concern is not concentrating in newer work, which would undercut the rising concern story.</w:t>
      </w:r>
    </w:p>
    <w:p>
      <w:pPr>
        <w:pStyle w:val="BodyText"/>
        <w:spacing w:line="480" w:lineRule="auto"/>
        <w:ind w:firstLine="720"/>
      </w:pPr>
      <w:r>
        <w:t xml:space="preserve">Citation attention is the second feature. The premise is that useful engagement with a real concern draws citation. The prediction is a positive association between citation attention and the topic signal. This is the weakest of the three predictions, because citation accrues for many reasons unrelated to a specific concern, and because citation takes years to accumulate, which means the newest and most concern laden work has had the least time to be cited. That confound is not a nuisance to be hidden. It is a structural feature the design must confront directly, and it motivates the second estimator entirely.</w:t>
      </w:r>
    </w:p>
    <w:p>
      <w:pPr>
        <w:pStyle w:val="BodyText"/>
        <w:spacing w:line="480" w:lineRule="auto"/>
        <w:ind w:firstLine="720"/>
      </w:pPr>
      <w:r>
        <w:t xml:space="preserve">Venue family is the third feature. Different venues serve different communities. The conference literature of the Advanced Maui Optical and Space Surveillance community skews operational and technical. The archival journal literature of Acta Astronautica skews toward peer reviewed synthesis. The policy and space economy material skews toward governance framing. If the provenance concern lives more in one community than another, the topic signal should vary systematically with venue family. The direction of that variation is not predicted a priori, because the theory does not say which community owns the concern; it says only that the concern should not be uniformly distributed if it is real.</w:t>
      </w:r>
    </w:p>
    <w:bookmarkEnd w:id="84"/>
    <w:bookmarkStart w:id="85" w:name="X7cac0cc296aacdf63eaa257c0962c071aa30ac5"/>
    <w:p>
      <w:pPr>
        <w:pStyle w:val="Heading2"/>
        <w:spacing w:line="480" w:lineRule="auto"/>
      </w:pPr>
      <w:r>
        <w:t xml:space="preserve">3.4 The learning curve prediction for attention</w:t>
      </w:r>
    </w:p>
    <w:p>
      <w:pPr>
        <w:pStyle w:val="FirstParagraph"/>
        <w:spacing w:line="480" w:lineRule="auto"/>
      </w:pPr>
      <w:r>
        <w:t xml:space="preserve">Citation attention deserves its own theoretical treatment because attention is not static. It accumulates with age. An article published two years ago has had two years to be cited; an article published nine years ago has had nine. A learning curve framing captures this: citation accumulation should scale with document age according to a stable, estimable relationship, and departures from that relationship are informative.</w:t>
      </w:r>
    </w:p>
    <w:p>
      <w:pPr>
        <w:pStyle w:val="BodyText"/>
        <w:spacing w:line="480" w:lineRule="auto"/>
        <w:ind w:firstLine="720"/>
      </w:pPr>
      <w:r>
        <w:t xml:space="preserve">The prediction has two parts. If citation accumulation is governed primarily by age, then a log-log model of citations against age should fit and should show a positive age elasticity, because older documents have accumulated more citations. If instead the topic literature is dominated by very recent work that has not had time to accrue attention, or by a venue family that is indexed for citation inconsistently, the age relationship should be weak. Either outcome is a finding. A strong age curve says attention behaves conventionally in this corpus. A weak one says the corpus is too young, too small, or too heterogeneous in indexing for age to explain attention, which bears directly on how much weight the citation signal in the first model can carry</w:t>
      </w:r>
      <w:r>
        <w:t xml:space="preserve"> </w:t>
      </w:r>
      <w:hyperlink w:anchor="ref-10">
        <w:r>
          <w:rPr>
            <w:rStyle w:val="Hyperlink"/>
          </w:rPr>
          <w:t xml:space="preserve">[10]</w:t>
        </w:r>
      </w:hyperlink>
      <w:r>
        <w:t xml:space="preserve">.</w:t>
      </w:r>
    </w:p>
    <w:bookmarkEnd w:id="85"/>
    <w:bookmarkStart w:id="86" w:name="Xc74aab7aceaade39992781710289ef5ee7bc9a5"/>
    <w:p>
      <w:pPr>
        <w:pStyle w:val="Heading2"/>
        <w:spacing w:line="480" w:lineRule="auto"/>
      </w:pPr>
      <w:r>
        <w:t xml:space="preserve">3.5 From predictions to falsifiable hypotheses</w:t>
      </w:r>
    </w:p>
    <w:p>
      <w:pPr>
        <w:pStyle w:val="FirstParagraph"/>
        <w:spacing w:line="480" w:lineRule="auto"/>
      </w:pPr>
      <w:r>
        <w:t xml:space="preserve">The predictions consolidate into the dissertation’s single falsifiable contribution, stated once in Chapter 1 and operationalized here as two testable hypothesis pairs, one per estimator.</w:t>
      </w:r>
    </w:p>
    <w:p>
      <w:pPr>
        <w:pStyle w:val="BodyText"/>
        <w:spacing w:line="480" w:lineRule="auto"/>
        <w:ind w:firstLine="720"/>
      </w:pPr>
      <w:r>
        <w:t xml:space="preserve">For the topic signal model:</w:t>
      </w:r>
    </w:p>
    <w:p>
      <w:pPr>
        <w:pStyle w:val="BodyText"/>
        <w:spacing w:line="480" w:lineRule="auto"/>
        <w:ind w:firstLine="720"/>
      </w:pPr>
      <w:r>
        <w:t xml:space="preserve">H0-A. The topic signal score is unrelated to publication recency, citation attention, and venue family across the retrieved corpus.</w:t>
      </w:r>
    </w:p>
    <w:p>
      <w:pPr>
        <w:pStyle w:val="BodyText"/>
        <w:spacing w:line="480" w:lineRule="auto"/>
        <w:ind w:firstLine="720"/>
      </w:pPr>
      <w:r>
        <w:t xml:space="preserve">H1-A. The topic signal score is systematically related to those features, with recency and attention entering positively.</w:t>
      </w:r>
    </w:p>
    <w:p>
      <w:pPr>
        <w:pStyle w:val="BodyText"/>
        <w:spacing w:line="480" w:lineRule="auto"/>
        <w:ind w:firstLine="720"/>
      </w:pPr>
      <w:r>
        <w:t xml:space="preserve">For the attention accumulation model:</w:t>
      </w:r>
    </w:p>
    <w:p>
      <w:pPr>
        <w:pStyle w:val="BodyText"/>
        <w:spacing w:line="480" w:lineRule="auto"/>
        <w:ind w:firstLine="720"/>
      </w:pPr>
      <w:r>
        <w:t xml:space="preserve">H0-B. Citation accumulation is unrelated to article age in the retrieved topic literature.</w:t>
      </w:r>
    </w:p>
    <w:p>
      <w:pPr>
        <w:pStyle w:val="BodyText"/>
        <w:spacing w:line="480" w:lineRule="auto"/>
        <w:ind w:firstLine="720"/>
      </w:pPr>
      <w:r>
        <w:t xml:space="preserve">H1-B. Citation accumulation follows a measurable age based curve.</w:t>
      </w:r>
    </w:p>
    <w:p>
      <w:pPr>
        <w:pStyle w:val="BodyText"/>
        <w:spacing w:line="480" w:lineRule="auto"/>
        <w:ind w:firstLine="720"/>
      </w:pPr>
      <w:r>
        <w:t xml:space="preserve">These are genuinely falsifiable. H1-A predicts specific signs and detectable structure; a corpus that returns imprecise, wrong signed, or null associations falsifies it. H1-B predicts a fittable age curve; a corpus that returns a near zero fit falsifies it. The design is built to let the data speak against the alternative if the alternative is wrong.</w:t>
      </w:r>
    </w:p>
    <w:bookmarkEnd w:id="86"/>
    <w:bookmarkStart w:id="87" w:name="Xaf734a51b8aa5c72bac607d5e12cbe6c01d9943"/>
    <w:p>
      <w:pPr>
        <w:pStyle w:val="Heading2"/>
        <w:spacing w:line="480" w:lineRule="auto"/>
      </w:pPr>
      <w:r>
        <w:t xml:space="preserve">3.6 Auxiliary predictions and their diagnostic value</w:t>
      </w:r>
    </w:p>
    <w:p>
      <w:pPr>
        <w:pStyle w:val="FirstParagraph"/>
        <w:spacing w:line="480" w:lineRule="auto"/>
      </w:pPr>
      <w:r>
        <w:t xml:space="preserve">Beyond the two central hypothesis pairs, the mechanism generates auxiliary predictions that are not tested for their own sake but that discipline the reading of the main results. The first concerns the interaction between recency and citation. Because citation accumulates with age, the newest work, which the rising concern story predicts carries the most signal, should also carry the fewest citations. This produces a specific expectation: the recency coefficient and the citation coefficient in the first model should point in tension, and a naive reading that expected both positive would misunderstand the data generating process. The mechanism predicts the tension, which means a small or wrong signed citation coefficient is not a surprise to be explained away but a consequence to be anticipated</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auxiliary prediction concerns venue and citation jointly. Different venue families are indexed for citation with different fidelity. The archival journal family is indexed consistently; the conference and space economy families are indexed sparsely or not at all. The mechanism therefore predicts that citation, if it carries any signal, carries it mostly within one venue family, which means a pooled citation coefficient will average an informative within journal relationship against uninformative zeros elsewhere and will trend toward zero. This prediction matters because it tells the reader in advance that a null citation coefficient is consistent with citation being informative somewhere and invisible in the pooled estimate, rather than proof that attention is unrelated to the concern.</w:t>
      </w:r>
    </w:p>
    <w:p>
      <w:pPr>
        <w:pStyle w:val="BodyText"/>
        <w:spacing w:line="480" w:lineRule="auto"/>
        <w:ind w:firstLine="720"/>
      </w:pPr>
      <w:r>
        <w:t xml:space="preserve">The third auxiliary prediction is about the venue effect’s robustness to the outcome construct. If the signal score is partly a function of metadata length, and if venue families differ in metadata length, then some of the venue effect could be mechanical. The mechanism predicts, however, that the substantive concentration in the operational community should survive even after accounting for length, because the highest signal scores in that community come from sources that name the concern densely rather than merely at length</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prediction cannot be fully tested at this sample size, but it frames the venue result as substantively interpretable while flagging the length confound for the limitations chapter.</w:t>
      </w:r>
    </w:p>
    <w:bookmarkEnd w:id="87"/>
    <w:bookmarkStart w:id="88" w:name="the-theorys-stance-on-causation"/>
    <w:p>
      <w:pPr>
        <w:pStyle w:val="Heading2"/>
        <w:spacing w:line="480" w:lineRule="auto"/>
      </w:pPr>
      <w:r>
        <w:t xml:space="preserve">3.7 The theory’s stance on causation</w:t>
      </w:r>
    </w:p>
    <w:p>
      <w:pPr>
        <w:pStyle w:val="FirstParagraph"/>
        <w:spacing w:line="480" w:lineRule="auto"/>
      </w:pPr>
      <w:r>
        <w:t xml:space="preserve">The mechanism is explicitly non causal, and stating why sharpens the whole design. Nothing in the theory claims that recency causes signal, that citation causes signal, or that venue causes signal. The claim is associational and structural: a real, rising concern perturbs the joint distribution of these features in a detectable way. Causation is neither claimed nor needed, because the question is whether the concern has organized the record, not what force organized it. A field can concentrate a concern in its newest work for many reasons, and the design does not adjudicate among them; it only asks whether the concentration exists.</w:t>
      </w:r>
    </w:p>
    <w:p>
      <w:pPr>
        <w:pStyle w:val="BodyText"/>
        <w:spacing w:line="480" w:lineRule="auto"/>
        <w:ind w:firstLine="720"/>
      </w:pPr>
      <w:r>
        <w:t xml:space="preserve">This stance is a strength rather than a retreat. Observational corpus features admit no exogenous variation, so a causal claim would be unsupported and a reader would rightly distrust it. By committing to association from the start, the theory matches its ambition to its evidence, which is the discipline that decision support and testing work both model when they insist that a claim be no stronger than the instrument that produced it</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results chapter therefore reads every coefficient as a conditional association and refuses the causal language that a less careful design might smuggle in.</w:t>
      </w:r>
    </w:p>
    <w:bookmarkEnd w:id="88"/>
    <w:bookmarkStart w:id="89" w:name="X43064238ef9933e2b4af2084080d4ef10c30c89"/>
    <w:p>
      <w:pPr>
        <w:pStyle w:val="Heading2"/>
        <w:spacing w:line="480" w:lineRule="auto"/>
      </w:pPr>
      <w:r>
        <w:t xml:space="preserve">3.8 The theory as a bridge from concern to corpus</w:t>
      </w:r>
    </w:p>
    <w:p>
      <w:pPr>
        <w:pStyle w:val="FirstParagraph"/>
        <w:spacing w:line="480" w:lineRule="auto"/>
      </w:pPr>
      <w:r>
        <w:t xml:space="preserve">The mechanism can be summarized as a bridge with three planks, and seeing the whole bridge clarifies why the two estimators are the right ones. The first plank is behavioral: technical communities write about, cite, and cluster the concerns they meet in practice. The second plank is observational: writing, citing, and clustering leave traces in recency, attention, and venue that a corpus preserves. The third plank is inferential: if the traces show structure, the concern has organized the record, and if they do not, it has not yet. Each plank is modest, and the modesty is deliberate, because a bridge built from strong assumptions would collapse under the weight of a thirty record sample.</w:t>
      </w:r>
    </w:p>
    <w:p>
      <w:pPr>
        <w:pStyle w:val="BodyText"/>
        <w:spacing w:line="480" w:lineRule="auto"/>
        <w:ind w:firstLine="720"/>
      </w:pPr>
      <w:r>
        <w:t xml:space="preserve">The topic signal estimator tests the second and third planks jointly for the intensity of the concern. It asks whether the traces in recency, attention, and venue show structure, and it is falsifiable because a structureless corpus returns imprecise coefficients and a failed joint test. The learning curve estimator tests one plank in isolation, the behavior of the attention trace, and it is falsifiable because a corpus where age does not organize citation returns a failed fit. Between them the two estimators exercise the whole bridge, and the design’s claim is only ever as strong as the planks the data support</w:t>
      </w:r>
      <w:r>
        <w:t xml:space="preserve"> </w:t>
      </w:r>
      <w:hyperlink w:anchor="ref-10">
        <w:r>
          <w:rPr>
            <w:rStyle w:val="Hyperlink"/>
          </w:rPr>
          <w:t xml:space="preserve">[10]</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framing also explains why the dissertation resists a richer model. A model with interactions and venue specific slopes would add planks the sample cannot bear, and each added plank is another way for the inference to fail silently. Two small estimators, each testing a named plank, keep every failure visible. When the recency coefficient comes back imprecise, the reader knows exactly which plank did not hold. When the learning curve fails to fit, the reader knows the attention plank is weak. Visibility of failure is the property the design most wants, and the theory is structured to preserve it</w:t>
      </w:r>
      <w:r>
        <w:t xml:space="preserve"> </w:t>
      </w:r>
      <w:hyperlink w:anchor="ref-12">
        <w:r>
          <w:rPr>
            <w:rStyle w:val="Hyperlink"/>
          </w:rPr>
          <w:t xml:space="preserve">[12]</w:t>
        </w:r>
      </w:hyperlink>
      <w:r>
        <w:t xml:space="preserve">.</w:t>
      </w:r>
    </w:p>
    <w:bookmarkEnd w:id="89"/>
    <w:bookmarkStart w:id="90" w:name="scope-conditions-of-the-mechanism"/>
    <w:p>
      <w:pPr>
        <w:pStyle w:val="Heading2"/>
        <w:spacing w:line="480" w:lineRule="auto"/>
      </w:pPr>
      <w:r>
        <w:t xml:space="preserve">3.9 Scope conditions of the mechanism</w:t>
      </w:r>
    </w:p>
    <w:p>
      <w:pPr>
        <w:pStyle w:val="FirstParagraph"/>
        <w:spacing w:line="480" w:lineRule="auto"/>
      </w:pPr>
      <w:r>
        <w:t xml:space="preserve">The mechanism holds only under conditions worth making explicit, because a theory that names its scope is more testable than one that claims universality. The first scope condition is that the concern be genuine and active rather than dormant. A dormant concern, one that practitioners once discussed and have set aside, would not perturb the recent record even if it left a residue in older work, and the mechanism does not predict structure for a dormant concern. The design assumes the concern is active, which the operational literature’s continued engagement supports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second scope condition is that the retrieved corpus be large and representative enough to register a real perturbation. A very small or highly selective corpus can fail to show structure that exists in the field, which means a null result under this condition is ambiguous between a truly diffuse concern and an underpowered sample. The design acknowledges that thirty records sit near the lower bound of where the mechanism can be tested, and it reads nulls with the caution that acknowledgment demands</w:t>
      </w:r>
      <w:r>
        <w:t xml:space="preserve"> </w:t>
      </w:r>
      <w:hyperlink w:anchor="ref-10">
        <w:r>
          <w:rPr>
            <w:rStyle w:val="Hyperlink"/>
          </w:rPr>
          <w:t xml:space="preserve">[10]</w:t>
        </w:r>
      </w:hyperlink>
      <w:r>
        <w:t xml:space="preserve">. The third scope condition is that the observable features, recency, attention, and venue, actually track the underlying dynamics they are meant to proxy. If citation indexing is too sparse to track attention, the attention channel fails not because the concern is absent but because the proxy is broken, which is precisely the diagnosis the second estimator is built to deliver</w:t>
      </w:r>
      <w:r>
        <w:t xml:space="preserve"> </w:t>
      </w:r>
      <w:hyperlink w:anchor="ref-11">
        <w:r>
          <w:rPr>
            <w:rStyle w:val="Hyperlink"/>
          </w:rPr>
          <w:t xml:space="preserve">[11]</w:t>
        </w:r>
      </w:hyperlink>
      <w:r>
        <w:t xml:space="preserve">.</w:t>
      </w:r>
    </w:p>
    <w:p>
      <w:pPr>
        <w:pStyle w:val="BodyText"/>
        <w:spacing w:line="480" w:lineRule="auto"/>
        <w:ind w:firstLine="720"/>
      </w:pPr>
      <w:r>
        <w:t xml:space="preserve">Naming these conditions disciplines the interpretation in advance. A confirmed alternative is strong evidence only if the conditions hold, and a surviving null is ambiguous where a condition is doubtful. The results chapter honors this by reading the venue confirmation as robust, since it does not depend on the fragile attention proxy, and by reading the recency and attention nulls as conditional, since they may reflect sample size or proxy failure rather than true absence</w:t>
      </w:r>
      <w:r>
        <w:t xml:space="preserve"> </w:t>
      </w:r>
      <w:hyperlink w:anchor="ref-12">
        <w:r>
          <w:rPr>
            <w:rStyle w:val="Hyperlink"/>
          </w:rPr>
          <w:t xml:space="preserve">[12]</w:t>
        </w:r>
      </w:hyperlink>
      <w:r>
        <w:t xml:space="preserve">.</w:t>
      </w:r>
    </w:p>
    <w:bookmarkEnd w:id="90"/>
    <w:bookmarkStart w:id="91" w:name="X88a54a4b0c64c433258d8e6df411ff269961919"/>
    <w:p>
      <w:pPr>
        <w:pStyle w:val="Heading2"/>
        <w:spacing w:line="480" w:lineRule="auto"/>
      </w:pPr>
      <w:r>
        <w:t xml:space="preserve">3.10 The concern as a rising rather than settled phenomenon</w:t>
      </w:r>
    </w:p>
    <w:p>
      <w:pPr>
        <w:pStyle w:val="FirstParagraph"/>
        <w:spacing w:line="480" w:lineRule="auto"/>
      </w:pPr>
      <w:r>
        <w:t xml:space="preserve">The mechanism assumes the concern is rising, and that assumption deserves its own defense because the whole prediction of recency structure depends on it. A rising concern is one that practitioners are meeting more often and taking more seriously over time, driven by an environment that is changing beneath them. The orbital environment is changing in exactly the direction that would drive provenance and custody upward: more objects, more operators, more autonomous systems generating their own data, and more federated coordination across parties who do not fully trust one another</w:t>
      </w:r>
      <w:r>
        <w:t xml:space="preserve"> </w:t>
      </w:r>
      <w:hyperlink w:anchor="ref-7">
        <w:r>
          <w:rPr>
            <w:rStyle w:val="Hyperlink"/>
          </w:rPr>
          <w:t xml:space="preserve">[7]</w:t>
        </w:r>
      </w:hyperlink>
      <w:r>
        <w:t xml:space="preserve"> </w:t>
      </w:r>
      <w:hyperlink w:anchor="ref-8">
        <w:r>
          <w:rPr>
            <w:rStyle w:val="Hyperlink"/>
          </w:rPr>
          <w:t xml:space="preserve">[8]</w:t>
        </w:r>
      </w:hyperlink>
      <w:r>
        <w:t xml:space="preserve">. Each of these trends multiplies the handoffs where custody can break and the sources whose provenance must be tracked, which is the material basis for the concern rising rather than settling.</w:t>
      </w:r>
    </w:p>
    <w:p>
      <w:pPr>
        <w:pStyle w:val="BodyText"/>
        <w:spacing w:line="480" w:lineRule="auto"/>
        <w:ind w:firstLine="720"/>
      </w:pPr>
      <w:r>
        <w:t xml:space="preserve">If the concern were settled, a stable practice the field had long ago worked out, the recency prediction would not follow, and a flat association with recency would be unremarkable. The theory therefore stakes something on the concern being genuinely on the rise, and the recency result is a partial test of that stake. A confirmed positive recency association would corroborate the rising story; an unresolved one, as the results deliver, leaves the story plausible but unconfirmed at this sample size. The honest reading is that the environmental drivers make rising the likely case while the corpus is too small to confirm it through recency alone, which is why the venue channel, not the time channel, ends up carrying the evidence</w:t>
      </w:r>
      <w:r>
        <w:t xml:space="preserve"> </w:t>
      </w:r>
      <w:hyperlink w:anchor="ref-6">
        <w:r>
          <w:rPr>
            <w:rStyle w:val="Hyperlink"/>
          </w:rPr>
          <w:t xml:space="preserve">[6]</w:t>
        </w:r>
      </w:hyperlink>
      <w:r>
        <w:t xml:space="preserve">.</w:t>
      </w:r>
    </w:p>
    <w:bookmarkEnd w:id="91"/>
    <w:bookmarkStart w:id="92" w:name="what-a-null-would-mean"/>
    <w:p>
      <w:pPr>
        <w:pStyle w:val="Heading2"/>
        <w:spacing w:line="480" w:lineRule="auto"/>
      </w:pPr>
      <w:r>
        <w:t xml:space="preserve">3.11 What a null would mean</w:t>
      </w:r>
    </w:p>
    <w:p>
      <w:pPr>
        <w:pStyle w:val="FirstParagraph"/>
        <w:spacing w:line="480" w:lineRule="auto"/>
      </w:pPr>
      <w:r>
        <w:t xml:space="preserve">Because this is an honest measurement design, the theory must specify what to conclude if the nulls survive. A surviving H0-A would mean the provenance concern has not yet organized the retrieved literature’s structure along recency, attention, and venue. A surviving H0-B would mean citation attention in this corpus is not explained by age, which would caution against reading much into the citation term of the first model. Neither null would refute the operational importance of provenance and custody. Both would refine the claim: the concern may be technically real and governance relevant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r>
        <w:t xml:space="preserve">while remaining bibliometrically diffuse, and a diffuse concern is a candidate for the direct document coding study that this design is meant to justify rather than replace. The theory therefore commits in advance to reading the coefficients as corpus screen evidence and not as operational truth, which is the standard the results chapter will hold itself to.</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dissertation runs two estimators on the same thirty record corpus. The first is an ordinary least squares regression of topic signal intensity on recency, citation attention, and venue family. The second is a log-log learning curve regression of citation accumulation on document age. This chapter states each estimator precisely, explains what it identifies, and, just as important, explains the limits of that identification. A design that is honest about identification is worth more than one that borrows the language of causal inference it has not earned.</w:t>
      </w:r>
    </w:p>
    <w:bookmarkStart w:id="94" w:name="the-topic-signal-estimator"/>
    <w:p>
      <w:pPr>
        <w:pStyle w:val="Heading2"/>
        <w:spacing w:line="480" w:lineRule="auto"/>
      </w:pPr>
      <w:r>
        <w:t xml:space="preserve">4.1 The topic signal estimator</w:t>
      </w:r>
    </w:p>
    <w:p>
      <w:pPr>
        <w:pStyle w:val="FirstParagraph"/>
        <w:spacing w:line="480" w:lineRule="auto"/>
      </w:pPr>
      <w:r>
        <w:t xml:space="preserve">The first model is a linear regression of the composite topic signal score on three predictors. In the notation of the empirical workbook,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SignalScore, is a deterministic count of candidate theme term hits assembled from each source’s title, snippet, keyword field, and author metadata. RecencyIndex is the publication year minus the minimum publication year in the sample plus one, so the oldest record takes the value one and larger values mark newer work. Cites is the reported citation count from the local index, set to zero where the index reported none. VenueScore is an ordinal code with the Advanced Maui Optical and Space Surveillance conference literature at one, Acta Astronautica at two, and the space economy material at three.</w:t>
      </w:r>
    </w:p>
    <w:p>
      <w:pPr>
        <w:pStyle w:val="BodyText"/>
        <w:spacing w:line="480" w:lineRule="auto"/>
        <w:ind w:firstLine="720"/>
      </w:pPr>
      <w:r>
        <w:t xml:space="preserve">Estimation uses ordinary least squares with heteroskedasticity robust HC1 standard errors. The choice of HC1 is deliberate. With thirty records drawn from three venue families whose signal scores plausibly differ in variance, homoskedasticity is not a safe assumption, and HC1 protects the inference against the most obvious form of that violation without imposing a variance structure the data cannot support. The estimator is fit exactly once, on the full sample, with no specification search, because a design whose credibility rests on inspectability cannot also mine specifications for a preferred result.</w:t>
      </w:r>
    </w:p>
    <w:bookmarkEnd w:id="94"/>
    <w:bookmarkStart w:id="95" w:name="X30a2cdca4e388301a25fb05bd688ae8f7201d9f"/>
    <w:p>
      <w:pPr>
        <w:pStyle w:val="Heading2"/>
        <w:spacing w:line="480" w:lineRule="auto"/>
      </w:pPr>
      <w:r>
        <w:t xml:space="preserve">4.2 What the topic signal estimator identifies</w:t>
      </w:r>
    </w:p>
    <w:p>
      <w:pPr>
        <w:pStyle w:val="FirstParagraph"/>
        <w:spacing w:line="480" w:lineRule="auto"/>
      </w:pPr>
      <w:r>
        <w:t xml:space="preserve">The coefficients identify conditional associations in the retrieved corpus and nothing stronger. beta_1 is the average change in topic signal associated with a one unit increase in recency, holding attention and venue fixed. beta_2 is the analogous association for citation attention. beta_3 is the association with moving up the ordinal venue scale. Each is a partial correlation scaled into the units of the signal score. None is a causal effect, because there is no exogenous variation in recency, attention, or venue; these are observational features of the sources the corpus happens to contain.</w:t>
      </w:r>
    </w:p>
    <w:p>
      <w:pPr>
        <w:pStyle w:val="BodyText"/>
        <w:spacing w:line="480" w:lineRule="auto"/>
        <w:ind w:firstLine="720"/>
      </w:pPr>
      <w:r>
        <w:t xml:space="preserve">The identification is defensible for the question actually asked. Chapter 3’s alternative hypothesis predicts detectable structure, and detectable structure is exactly what a conditional association measures. If beta_1 is positive and precise, the corpus concentrates the concern in newer work. If beta_3 is signed and precise, the concern distributes unevenly across venue families. The estimator cannot say why. It can say whether. For a design stage screen whose purpose is to decide whether a full document coding study is warranted, whether is the operative question, and the model is matched to it</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Two threats to this identification deserve naming now and fuller treatment in Chapter 7. First, the signal score and the venue score are both partly functions of source length and metadata richness, so a venue association could reflect indexing conventions rather than substantive concentration. Second, the citation term is contaminated by the age confound developed in Chapter 3, because newer work carries more of the concern yet has had less time to be cited, which can push beta_2 toward zero or below regardless of the concern’s real salience</w:t>
      </w:r>
      <w:r>
        <w:t xml:space="preserve"> </w:t>
      </w:r>
      <w:hyperlink w:anchor="ref-10">
        <w:r>
          <w:rPr>
            <w:rStyle w:val="Hyperlink"/>
          </w:rPr>
          <w:t xml:space="preserve">[10]</w:t>
        </w:r>
      </w:hyperlink>
      <w:r>
        <w:t xml:space="preserve">. The second estimator exists precisely to characterize that confound.</w:t>
      </w:r>
    </w:p>
    <w:bookmarkEnd w:id="95"/>
    <w:bookmarkStart w:id="96" w:name="the-attention-accumulation-estimator"/>
    <w:p>
      <w:pPr>
        <w:pStyle w:val="Heading2"/>
        <w:spacing w:line="480" w:lineRule="auto"/>
      </w:pPr>
      <w:r>
        <w:t xml:space="preserve">4.3 The attention accumulation estimator</w:t>
      </w:r>
    </w:p>
    <w:p>
      <w:pPr>
        <w:pStyle w:val="FirstParagraph"/>
        <w:spacing w:line="480" w:lineRule="auto"/>
      </w:pPr>
      <w:r>
        <w:t xml:space="preserve">The second model isolates the citation and age relationship the first model cannot cleanly handle. It is a log-log learning curve regression:</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CitesPlus1 is the reported citation count plus one, the plus one added so the logarithm is defined for the many uncited records. AgeIndex is 2026 minus the publication year plus one, so a work from 2025 has age two and a work from 2012 has age fifteen. Estimation again uses HC1 robust standard errors. The learning curve form is the natural choice because it expresses a constant elasticity: a given proportional increase in age is associated with a constant proportional change in accumulated citations, which is the standard way attention growth is modeled when the underlying process is multiplicative rather than additive.</w:t>
      </w:r>
    </w:p>
    <w:bookmarkEnd w:id="96"/>
    <w:bookmarkStart w:id="97" w:name="what-the-attention-estimator-identifies"/>
    <w:p>
      <w:pPr>
        <w:pStyle w:val="Heading2"/>
        <w:spacing w:line="480" w:lineRule="auto"/>
      </w:pPr>
      <w:r>
        <w:t xml:space="preserve">4.4 What the attention estimator identifies</w:t>
      </w:r>
    </w:p>
    <w:p>
      <w:pPr>
        <w:pStyle w:val="FirstParagraph"/>
        <w:spacing w:line="480" w:lineRule="auto"/>
      </w:pPr>
      <w:r>
        <w:t xml:space="preserve">The single slope, the age elasticity, identifies how citation accumulation scales with document age across the retrieved corpus. A positive elasticity means older documents have accumulated proportionally more citations, the expected pattern when attention behaves conventionally. The associated progress ratio, computed as two raised to the elasticity, expresses the same relationship as the multiplicative factor per doubling of age, which is the familiar learning curve summary and makes the magnitude interpretable at a glance.</w:t>
      </w:r>
    </w:p>
    <w:p>
      <w:pPr>
        <w:pStyle w:val="BodyText"/>
        <w:spacing w:line="480" w:lineRule="auto"/>
        <w:ind w:firstLine="720"/>
      </w:pPr>
      <w:r>
        <w:t xml:space="preserve">What this estimator identifies is whether age organizes attention in this corpus. What it does not identify is the citation dynamics of any individual venue or topic, because it pools all thirty records and estimates a single curve. That pooling is intentional. The purpose is diagnostic: to tell the reader how much of the citation variation in the first model is plausibly just age, so that the citation coefficient there can be read with the right amount of skepticism. If the age curve fits weakly, the citation signal is not behaving conventionally, and the first model’s citation term should carry little interpretive weight</w:t>
      </w:r>
      <w:r>
        <w:t xml:space="preserve"> </w:t>
      </w:r>
      <w:hyperlink w:anchor="ref-10">
        <w:r>
          <w:rPr>
            <w:rStyle w:val="Hyperlink"/>
          </w:rPr>
          <w:t xml:space="preserve">[10]</w:t>
        </w:r>
      </w:hyperlink>
      <w:r>
        <w:t xml:space="preserve">. If it fits strongly, age is doing real work, and the first model’s citation term must be read as a partial association net of a strong age process.</w:t>
      </w:r>
    </w:p>
    <w:bookmarkEnd w:id="97"/>
    <w:bookmarkStart w:id="98" w:name="why-two-models-rather-than-one"/>
    <w:p>
      <w:pPr>
        <w:pStyle w:val="Heading2"/>
        <w:spacing w:line="480" w:lineRule="auto"/>
      </w:pPr>
      <w:r>
        <w:t xml:space="preserve">4.5 Why two models rather than one</w:t>
      </w:r>
    </w:p>
    <w:p>
      <w:pPr>
        <w:pStyle w:val="FirstParagraph"/>
        <w:spacing w:line="480" w:lineRule="auto"/>
      </w:pPr>
      <w:r>
        <w:t xml:space="preserve">A single richer model could in principle include age interactions and venue specific citation slopes. It should not, here. Thirty records cannot support that many parameters without overfitting, and overfitting is the opposite of the inspectability this design prizes. Two small, transparent models, each answering one clear question, are more defensible than one elaborate model whose coefficients no reader can retrace. The first model asks whether the concern’s intensity is structured by recency, attention, and venue. The second asks whether the attention feature behaves conventionally with age. Together they let the results chapter interpret the first model’s citation term in light of the second model’s diagnosis, which is a cleaner division of labor than any single specification would allow.</w:t>
      </w:r>
    </w:p>
    <w:bookmarkEnd w:id="98"/>
    <w:bookmarkStart w:id="99" w:name="standard-errors-and-inference"/>
    <w:p>
      <w:pPr>
        <w:pStyle w:val="Heading2"/>
        <w:spacing w:line="480" w:lineRule="auto"/>
      </w:pPr>
      <w:r>
        <w:t xml:space="preserve">4.6 Standard errors and inference</w:t>
      </w:r>
    </w:p>
    <w:p>
      <w:pPr>
        <w:pStyle w:val="FirstParagraph"/>
        <w:spacing w:line="480" w:lineRule="auto"/>
      </w:pPr>
      <w:r>
        <w:t xml:space="preserve">The choice of HC1 robust standard errors deserves fuller justification than a passing mention. Classical ordinary least squares inference assumes homoskedastic errors, meaning the variance of the residual is constant across observations. In this corpus that assumption is implausible on its face. The signal score is a bounded count that ranges from one to six, and its variance is unlikely to be constant across venue families whose sources differ systematically in metadata richness. Bounded count outcomes typically show variance that changes with the mean, and pooling three venue families with different signal distributions all but guarantees heteroskedasticity. HC1 corrects the standard errors for this without requiring the analyst to specify the exact form of the variance, which is the right level of assumption for a small, transparent screen.</w:t>
      </w:r>
    </w:p>
    <w:p>
      <w:pPr>
        <w:pStyle w:val="BodyText"/>
        <w:spacing w:line="480" w:lineRule="auto"/>
        <w:ind w:firstLine="720"/>
      </w:pPr>
      <w:r>
        <w:t xml:space="preserve">HC1 rather than the plain HC0 sandwich is the appropriate variant at this sample size because HC1 applies a finite sample degrees of freedom correction, scaling the sandwich estimator to reduce the downward bias that HC0 exhibits in small samples. With thirty records and four estimated parameters in the first model, that correction is not negligible, and using it is a small hedge against overstating precision. The same estimator is used in the second model for consistency, though the learning curve’s single predictor is less exposed to the small sample concern.</w:t>
      </w:r>
    </w:p>
    <w:p>
      <w:pPr>
        <w:pStyle w:val="BodyText"/>
        <w:spacing w:line="480" w:lineRule="auto"/>
        <w:ind w:firstLine="720"/>
      </w:pPr>
      <w:r>
        <w:t xml:space="preserve">A reader should understand what robust standard errors do and do not fix. They correct inference for heteroskedasticity. They do not fix bias in the coefficients themselves, they do not address any omitted variable, and they do not manufacture power that a thirty record sample lacks. A coefficient that is imprecise under HC1 is genuinely imprecise, not artificially so, and the results chapter reports such coefficients as unconfirmed rather than as demonstrated zeros. The standard errors discipline the inference; they do not rescue it from the sample’s size.</w:t>
      </w:r>
    </w:p>
    <w:bookmarkEnd w:id="99"/>
    <w:bookmarkStart w:id="100" w:name="X890808ddd61f9a210bde9f49ab49f919ae5d2a7"/>
    <w:p>
      <w:pPr>
        <w:pStyle w:val="Heading2"/>
        <w:spacing w:line="480" w:lineRule="auto"/>
      </w:pPr>
      <w:r>
        <w:t xml:space="preserve">4.7 The progress ratio and its interpretation</w:t>
      </w:r>
    </w:p>
    <w:p>
      <w:pPr>
        <w:pStyle w:val="FirstParagraph"/>
        <w:spacing w:line="480" w:lineRule="auto"/>
      </w:pPr>
      <w:r>
        <w:t xml:space="preserve">The learning curve model reports, alongside the age elasticity, a progress ratio computed as two raised to the elasticity. This transformation deserves explanation because it is the standard summary of a log-log learning relationship and because its meaning is easy to misread when the underlying fit is weak. The progress ratio expresses the multiplicative change in the outcome for each doubling of the input. A progress ratio below one paired with a positive elasticity would indicate a declining outcome per doubling, and a ratio above one would indicate growth.</w:t>
      </w:r>
    </w:p>
    <w:p>
      <w:pPr>
        <w:pStyle w:val="BodyText"/>
        <w:spacing w:line="480" w:lineRule="auto"/>
        <w:ind w:firstLine="720"/>
      </w:pPr>
      <w:r>
        <w:t xml:space="preserve">The interpretive caution is that the progress ratio inherits all the uncertainty of the elasticity that generates it. A progress ratio is only as meaningful as the fit of the curve it summarizes. When the log age term explains almost none of the variation in logged citations, the progress ratio is an arithmetic artifact of a slope that is itself indistinguishable from zero, and reporting it as a substantive learning rate would overstate the result. The results chapter therefore reports the progress ratio for completeness and transparency, since it is part of the exact estimator output, while explicitly declining to interpret it as a meaningful learning rate when the fit does not support that reading. This is the disciplined handling that a screen owes its reader: report everything the estimator produced, interpret only what the fit will bear</w:t>
      </w:r>
      <w:r>
        <w:t xml:space="preserve"> </w:t>
      </w:r>
      <w:hyperlink w:anchor="ref-10">
        <w:r>
          <w:rPr>
            <w:rStyle w:val="Hyperlink"/>
          </w:rPr>
          <w:t xml:space="preserve">[10]</w:t>
        </w:r>
      </w:hyperlink>
      <w:r>
        <w:t xml:space="preserve">.</w:t>
      </w:r>
    </w:p>
    <w:bookmarkEnd w:id="100"/>
    <w:bookmarkStart w:id="101" w:name="the-single-fit-rule-and-why-it-matters"/>
    <w:p>
      <w:pPr>
        <w:pStyle w:val="Heading2"/>
        <w:spacing w:line="480" w:lineRule="auto"/>
      </w:pPr>
      <w:r>
        <w:t xml:space="preserve">4.8 The single fit rule and why it matters</w:t>
      </w:r>
    </w:p>
    <w:p>
      <w:pPr>
        <w:pStyle w:val="FirstParagraph"/>
        <w:spacing w:line="480" w:lineRule="auto"/>
      </w:pPr>
      <w:r>
        <w:t xml:space="preserve">Both estimators are fit exactly once, on the full sample, with the specification fixed in advance. This rule is worth stating as a methodological commitment because it is the single most important guard against a screen producing a flattering result by accident. The temptation in a small sample is to try several specifications, drop an inconvenient record, or recode a variable until a coefficient reaches significance, and each such move inflates the chance of a spurious finding while destroying the reader’s ability to retrace the analysis. The single fit rule forecloses all of it.</w:t>
      </w:r>
    </w:p>
    <w:p>
      <w:pPr>
        <w:pStyle w:val="BodyText"/>
        <w:spacing w:line="480" w:lineRule="auto"/>
        <w:ind w:firstLine="720"/>
      </w:pPr>
      <w:r>
        <w:t xml:space="preserve">The rule has a cost, and the cost is worth naming. Fitting once means the design cannot adaptively improve its own model in response to what the data reveal, so a specification that turns out to be suboptimal is reported anyway. A screen accepts that cost willingly, because the alternative, adaptive refitting, trades auditability for a fit the reader can no longer trust. The physics based testing tradition makes the same trade when it insists that a decision pipeline’s assumptions be fixed and surfaced rather than tuned to produce a desired output</w:t>
      </w:r>
      <w:r>
        <w:t xml:space="preserve"> </w:t>
      </w:r>
      <w:hyperlink w:anchor="ref-3">
        <w:r>
          <w:rPr>
            <w:rStyle w:val="Hyperlink"/>
          </w:rPr>
          <w:t xml:space="preserve">[3]</w:t>
        </w:r>
      </w:hyperlink>
      <w:r>
        <w:t xml:space="preserve">. A fixed, surfaced specification is a testable one, and testability is the whole point.</w:t>
      </w:r>
    </w:p>
    <w:p>
      <w:pPr>
        <w:pStyle w:val="BodyText"/>
        <w:spacing w:line="480" w:lineRule="auto"/>
        <w:ind w:firstLine="720"/>
      </w:pPr>
      <w:r>
        <w:t xml:space="preserve">The rule also disciplines interpretation. Because the specification was set before the fit, every coefficient reported in Chapter 6 is the coefficient the design committed to examine, not one selected after the fact for its size or sign. This means the recency null and the citation null carry full evidential weight; they were not the residue of a search that stopped at a preferred result but the honest output of a pre committed model. A reader can therefore treat the entire coefficient vector as a single, undivided piece of evidence, which is exactly the standard a doctoral screen should meet</w:t>
      </w:r>
      <w:r>
        <w:t xml:space="preserve"> </w:t>
      </w:r>
      <w:hyperlink w:anchor="ref-12">
        <w:r>
          <w:rPr>
            <w:rStyle w:val="Hyperlink"/>
          </w:rPr>
          <w:t xml:space="preserve">[12]</w:t>
        </w:r>
      </w:hyperlink>
      <w:r>
        <w:t xml:space="preserve">.</w:t>
      </w:r>
    </w:p>
    <w:bookmarkEnd w:id="101"/>
    <w:bookmarkStart w:id="102" w:name="why-not-a-count-or-survival-model"/>
    <w:p>
      <w:pPr>
        <w:pStyle w:val="Heading2"/>
        <w:spacing w:line="480" w:lineRule="auto"/>
      </w:pPr>
      <w:r>
        <w:t xml:space="preserve">4.9 Why not a count or survival model</w:t>
      </w:r>
    </w:p>
    <w:p>
      <w:pPr>
        <w:pStyle w:val="FirstParagraph"/>
        <w:spacing w:line="480" w:lineRule="auto"/>
      </w:pPr>
      <w:r>
        <w:t xml:space="preserve">A reader versed in method might ask why the topic signal outcome, a bounded count from one to six, is modeled with ordinary least squares rather than a count model such as Poisson or negative binomial, and why the attention analysis uses a learning curve rather than a survival model of time to first citation. Both questions have principled answers rooted in the design’s priorities. A count model would fit the outcome’s discreteness more faithfully, but it would also complicate the interpretation of coefficients, introduce link function choices, and demand more of a thirty record sample than linear regression does. For a screen whose value is inspectability, the linear model’s directly readable coefficients, each in the units of the signal score, outweigh the modest gain in distributional fidelity a count model would offer, and Chapter 7 flags the discreteness as a limitation rather than pretending it away.</w:t>
      </w:r>
    </w:p>
    <w:p>
      <w:pPr>
        <w:pStyle w:val="BodyText"/>
        <w:spacing w:line="480" w:lineRule="auto"/>
        <w:ind w:firstLine="720"/>
      </w:pPr>
      <w:r>
        <w:t xml:space="preserve">The survival alternative for attention is more tempting and still rejected for a specific reason. A survival model of time to first citation would elegantly handle the many uncited records as censored observations. But it would require a citation date for each cited record, which the local index does not reliably provide, and it would shift the question from how much attention accumulates with age to how quickly first attention arrives, a different question than the one the design poses. The learning curve keeps the focus on accumulation, uses only the fields the index actually contains, and delivers a single interpretable elasticity, which matches the diagnostic purpose better than a survival model would</w:t>
      </w:r>
      <w:r>
        <w:t xml:space="preserve"> </w:t>
      </w:r>
      <w:hyperlink w:anchor="ref-10">
        <w:r>
          <w:rPr>
            <w:rStyle w:val="Hyperlink"/>
          </w:rPr>
          <w:t xml:space="preserve">[10]</w:t>
        </w:r>
      </w:hyperlink>
      <w:r>
        <w:t xml:space="preserve">. Both choices trade a more sophisticated specification for one the reader can fully retrace, and that trade is the design’s governing rule applied consistently to the method as well as the data</w:t>
      </w:r>
      <w:r>
        <w:t xml:space="preserve"> </w:t>
      </w:r>
      <w:hyperlink w:anchor="ref-12">
        <w:r>
          <w:rPr>
            <w:rStyle w:val="Hyperlink"/>
          </w:rPr>
          <w:t xml:space="preserve">[12]</w:t>
        </w:r>
      </w:hyperlink>
      <w:r>
        <w:t xml:space="preserve">.</w:t>
      </w:r>
    </w:p>
    <w:bookmarkEnd w:id="102"/>
    <w:bookmarkStart w:id="103" w:name="Xcfe10985ba0301d89b6e1c472e1c63d45fac654"/>
    <w:p>
      <w:pPr>
        <w:pStyle w:val="Heading2"/>
        <w:spacing w:line="480" w:lineRule="auto"/>
      </w:pPr>
      <w:r>
        <w:t xml:space="preserve">4.10 The division of labor between the two estimators</w:t>
      </w:r>
    </w:p>
    <w:p>
      <w:pPr>
        <w:pStyle w:val="FirstParagraph"/>
        <w:spacing w:line="480" w:lineRule="auto"/>
      </w:pPr>
      <w:r>
        <w:t xml:space="preserve">The two estimators are not redundant, and stating their division of labor precisely clarifies why both are needed. The topic signal model answers a question about intensity: given the concern is present, is its density in the record structured by recency, attention, and venue. The learning curve model answers a question about one input to that first question: does the attention feature, citation count, behave lawfully with age so that its coefficient in the first model can be trusted. The first model is the primary test; the second is a diagnostic that conditions the interpretation of the first.</w:t>
      </w:r>
    </w:p>
    <w:p>
      <w:pPr>
        <w:pStyle w:val="BodyText"/>
        <w:spacing w:line="480" w:lineRule="auto"/>
        <w:ind w:firstLine="720"/>
      </w:pPr>
      <w:r>
        <w:t xml:space="preserve">This division is what lets the results chapter read the first model’s citation null correctly. Without the second model, a reader confronting a near zero citation coefficient in the first model would face two indistinguishable explanations: either attention is genuinely unrelated to the concern, or the attention measure is too broken to detect a relationship that exists. The learning curve breaks the tie. By showing that age explains almost none of the citation variation, it establishes that the attention measure is broken in this corpus, which means the first model’s citation null should be read as a measurement failure rather than a substantive absence</w:t>
      </w:r>
      <w:r>
        <w:t xml:space="preserve"> </w:t>
      </w:r>
      <w:hyperlink w:anchor="ref-10">
        <w:r>
          <w:rPr>
            <w:rStyle w:val="Hyperlink"/>
          </w:rPr>
          <w:t xml:space="preserve">[10]</w:t>
        </w:r>
      </w:hyperlink>
      <w:r>
        <w:t xml:space="preserve">. One model alone could not deliver that reading; the two together can, and that complementarity is the design’s reason for running both rather than folding attention into a single richer specification the sample could not support</w:t>
      </w:r>
      <w:r>
        <w:t xml:space="preserve"> </w:t>
      </w:r>
      <w:hyperlink w:anchor="ref-3">
        <w:r>
          <w:rPr>
            <w:rStyle w:val="Hyperlink"/>
          </w:rPr>
          <w:t xml:space="preserve">[3]</w:t>
        </w:r>
      </w:hyperlink>
      <w:r>
        <w:t xml:space="preserve">.</w:t>
      </w:r>
    </w:p>
    <w:bookmarkEnd w:id="103"/>
    <w:bookmarkStart w:id="104" w:name="X4812a5891fdea730045f39b50d1ab8b862e29d8"/>
    <w:p>
      <w:pPr>
        <w:pStyle w:val="Heading2"/>
        <w:spacing w:line="480" w:lineRule="auto"/>
      </w:pPr>
      <w:r>
        <w:t xml:space="preserve">4.11 Identification honesty and the limits of the design</w:t>
      </w:r>
    </w:p>
    <w:p>
      <w:pPr>
        <w:pStyle w:val="FirstParagraph"/>
        <w:spacing w:line="480" w:lineRule="auto"/>
      </w:pPr>
      <w:r>
        <w:t xml:space="preserve">It bears repeating in methodological terms what Chapter 1 stated in plain ones. Neither estimator identifies operator behavior. Neither measures how often real conjunction decisions are actually documented. Both measure the structure of a retrieved documentary corpus, and both are reported as corpus screen evidence. The formulas are exact, the standard errors are robust, the sample is fixed, and the fits are run once. Every one of those choices trades statistical ambition for auditability, which is the correct trade for a design whose contribution is a falsifiable, inspectable screen rather than a causal estimate.</w:t>
      </w:r>
    </w:p>
    <w:p>
      <w:pPr>
        <w:pStyle w:val="BodyText"/>
        <w:spacing w:line="480" w:lineRule="auto"/>
        <w:ind w:firstLine="720"/>
      </w:pPr>
      <w:r>
        <w:t xml:space="preserve">The estimators are chosen to be falsifiable against the Chapter 3 hypotheses. Ordinary least squares will return imprecise or wrong signed coefficients if the concern is not structured in the corpus, and it will not disguise that outcome. The learning curve will return a near zero fit if age does not organize attention, and it will not manufacture one. This is the intended behavior. A screen earns trust by being willing to fail, and both models are built to fail loudly if the data do not support the alternative. Improvement in the underlying data precision would sharpen these instruments in future work, but even at present precision the identification is adequate to the bounded question the dissertation actually poses</w:t>
      </w:r>
      <w:r>
        <w:t xml:space="preserve"> </w:t>
      </w:r>
      <w:hyperlink w:anchor="ref-14">
        <w:r>
          <w:rPr>
            <w:rStyle w:val="Hyperlink"/>
          </w:rPr>
          <w:t xml:space="preserve">[14]</w:t>
        </w:r>
      </w:hyperlink>
      <w:r>
        <w:t xml:space="preserve">.</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The evidence for this dissertation is a corpus of thirty retrieved source records, each preserved with its source identifier, publication year, venue family, reported citation count, and a set of deterministically constructed topic fields. This chapter documents where the records came from, how every variable was built, and what the resulting dataset does and does not represent. The governing principle is that a reader should be able to open the workbook, pick any row, and retrace the number to its source</w:t>
      </w:r>
      <w:r>
        <w:t xml:space="preserve"> </w:t>
      </w:r>
      <w:hyperlink w:anchor="ref-2">
        <w:r>
          <w:rPr>
            <w:rStyle w:val="Hyperlink"/>
          </w:rPr>
          <w:t xml:space="preserve">[2]</w:t>
        </w:r>
      </w:hyperlink>
      <w:r>
        <w:t xml:space="preserve">.</w:t>
      </w:r>
    </w:p>
    <w:bookmarkStart w:id="106" w:name="the-retrieved-corpus"/>
    <w:p>
      <w:pPr>
        <w:pStyle w:val="Heading2"/>
        <w:spacing w:line="480" w:lineRule="auto"/>
      </w:pPr>
      <w:r>
        <w:t xml:space="preserve">5.1 The retrieved corpus</w:t>
      </w:r>
    </w:p>
    <w:p>
      <w:pPr>
        <w:pStyle w:val="FirstParagraph"/>
        <w:spacing w:line="480" w:lineRule="auto"/>
      </w:pPr>
      <w:r>
        <w:t xml:space="preserve">The thirty records span publication years from 2012 to 2025 and three venue families. Twelve records carry venue score one, drawn from the Advanced Maui Optical and Space Surveillance conference community and from closely related technical and policy sources indexed alongside it. Twelve records carry venue score two, drawn from Acta Astronautica, the archival journal that anchors much of the peer reviewed space operations and governance literature. Six records carry venue score three, drawn from space economy material including working papers on behavioral and normative approaches to space use.</w:t>
      </w:r>
    </w:p>
    <w:p>
      <w:pPr>
        <w:pStyle w:val="BodyText"/>
        <w:spacing w:line="480" w:lineRule="auto"/>
        <w:ind w:firstLine="720"/>
      </w:pPr>
      <w:r>
        <w:t xml:space="preserve">The venue one records include the trusted stakeholder coordination work</w:t>
      </w:r>
      <w:r>
        <w:t xml:space="preserve"> </w:t>
      </w:r>
      <w:hyperlink w:anchor="ref-1">
        <w:r>
          <w:rPr>
            <w:rStyle w:val="Hyperlink"/>
          </w:rPr>
          <w:t xml:space="preserve">[1]</w:t>
        </w:r>
      </w:hyperlink>
      <w:r>
        <w:t xml:space="preserve">, the physics based testing and evaluation framework for space domain awareness</w:t>
      </w:r>
      <w:r>
        <w:t xml:space="preserve"> </w:t>
      </w:r>
      <w:hyperlink w:anchor="ref-3">
        <w:r>
          <w:rPr>
            <w:rStyle w:val="Hyperlink"/>
          </w:rPr>
          <w:t xml:space="preserve">[3]</w:t>
        </w:r>
      </w:hyperlink>
      <w:r>
        <w:t xml:space="preserve">, the decentralized sensor tasking contribution</w:t>
      </w:r>
      <w:r>
        <w:t xml:space="preserve"> </w:t>
      </w:r>
      <w:hyperlink w:anchor="ref-4">
        <w:r>
          <w:rPr>
            <w:rStyle w:val="Hyperlink"/>
          </w:rPr>
          <w:t xml:space="preserve">[4]</w:t>
        </w:r>
      </w:hyperlink>
      <w:r>
        <w:t xml:space="preserve">, the inferential moment tasking work</w:t>
      </w:r>
      <w:r>
        <w:t xml:space="preserve"> </w:t>
      </w:r>
      <w:hyperlink w:anchor="ref-5">
        <w:r>
          <w:rPr>
            <w:rStyle w:val="Hyperlink"/>
          </w:rPr>
          <w:t xml:space="preserve">[5]</w:t>
        </w:r>
      </w:hyperlink>
      <w:r>
        <w:t xml:space="preserve">, the space traffic management challenges assessment</w:t>
      </w:r>
      <w:r>
        <w:t xml:space="preserve"> </w:t>
      </w:r>
      <w:hyperlink w:anchor="ref-6">
        <w:r>
          <w:rPr>
            <w:rStyle w:val="Hyperlink"/>
          </w:rPr>
          <w:t xml:space="preserve">[6]</w:t>
        </w:r>
      </w:hyperlink>
      <w:r>
        <w:t xml:space="preserve">, the Starling mission situational awareness analysis</w:t>
      </w:r>
      <w:r>
        <w:t xml:space="preserve"> </w:t>
      </w:r>
      <w:hyperlink w:anchor="ref-7">
        <w:r>
          <w:rPr>
            <w:rStyle w:val="Hyperlink"/>
          </w:rPr>
          <w:t xml:space="preserve">[7]</w:t>
        </w:r>
      </w:hyperlink>
      <w:r>
        <w:t xml:space="preserve">, the federated protect and defend exercise architecture</w:t>
      </w:r>
      <w:r>
        <w:t xml:space="preserve"> </w:t>
      </w:r>
      <w:hyperlink w:anchor="ref-8">
        <w:r>
          <w:rPr>
            <w:rStyle w:val="Hyperlink"/>
          </w:rPr>
          <w:t xml:space="preserve">[8]</w:t>
        </w:r>
      </w:hyperlink>
      <w:r>
        <w:t xml:space="preserve">, and the AI enabled battle management ledger approach</w:t>
      </w:r>
      <w:r>
        <w:t xml:space="preserve"> </w:t>
      </w:r>
      <w:hyperlink w:anchor="ref-2">
        <w:r>
          <w:rPr>
            <w:rStyle w:val="Hyperlink"/>
          </w:rPr>
          <w:t xml:space="preserve">[2]</w:t>
        </w:r>
      </w:hyperlink>
      <w:r>
        <w:t xml:space="preserve">, alongside conference records on satellite re-entry modeling, Swedish national interests in space situational awareness, and telescope tasking for maneuver detection and custody maintenance. The venue two records include the postorbital chain of custody study</w:t>
      </w:r>
      <w:r>
        <w:t xml:space="preserve"> </w:t>
      </w:r>
      <w:hyperlink w:anchor="ref-9">
        <w:r>
          <w:rPr>
            <w:rStyle w:val="Hyperlink"/>
          </w:rPr>
          <w:t xml:space="preserve">[9]</w:t>
        </w:r>
      </w:hyperlink>
      <w:r>
        <w:t xml:space="preserve">, the high interest conjunction risk assessment</w:t>
      </w:r>
      <w:r>
        <w:t xml:space="preserve"> </w:t>
      </w:r>
      <w:hyperlink w:anchor="ref-10">
        <w:r>
          <w:rPr>
            <w:rStyle w:val="Hyperlink"/>
          </w:rPr>
          <w:t xml:space="preserve">[10]</w:t>
        </w:r>
      </w:hyperlink>
      <w:r>
        <w:t xml:space="preserve">, the geosynchronous collision likelihood assessment</w:t>
      </w:r>
      <w:r>
        <w:t xml:space="preserve"> </w:t>
      </w:r>
      <w:hyperlink w:anchor="ref-11">
        <w:r>
          <w:rPr>
            <w:rStyle w:val="Hyperlink"/>
          </w:rPr>
          <w:t xml:space="preserve">[11]</w:t>
        </w:r>
      </w:hyperlink>
      <w:r>
        <w:t xml:space="preserve">, the in space servicing supervision decision support work</w:t>
      </w:r>
      <w:r>
        <w:t xml:space="preserve"> </w:t>
      </w:r>
      <w:hyperlink w:anchor="ref-12">
        <w:r>
          <w:rPr>
            <w:rStyle w:val="Hyperlink"/>
          </w:rPr>
          <w:t xml:space="preserve">[12]</w:t>
        </w:r>
      </w:hyperlink>
      <w:r>
        <w:t xml:space="preserve">, the optical sensor validation contribution</w:t>
      </w:r>
      <w:r>
        <w:t xml:space="preserve"> </w:t>
      </w:r>
      <w:hyperlink w:anchor="ref-13">
        <w:r>
          <w:rPr>
            <w:rStyle w:val="Hyperlink"/>
          </w:rPr>
          <w:t xml:space="preserve">[13]</w:t>
        </w:r>
      </w:hyperlink>
      <w:r>
        <w:t xml:space="preserve">, the orbital data precision improvement work</w:t>
      </w:r>
      <w:r>
        <w:t xml:space="preserve"> </w:t>
      </w:r>
      <w:hyperlink w:anchor="ref-14">
        <w:r>
          <w:rPr>
            <w:rStyle w:val="Hyperlink"/>
          </w:rPr>
          <w:t xml:space="preserve">[14]</w:t>
        </w:r>
      </w:hyperlink>
      <w:r>
        <w:t xml:space="preserve">, the space sustainability rating design</w:t>
      </w:r>
      <w:r>
        <w:t xml:space="preserve"> </w:t>
      </w:r>
      <w:hyperlink w:anchor="ref-15">
        <w:r>
          <w:rPr>
            <w:rStyle w:val="Hyperlink"/>
          </w:rPr>
          <w:t xml:space="preserve">[15]</w:t>
        </w:r>
      </w:hyperlink>
      <w:r>
        <w:t xml:space="preserve">, and the ethnographic study of spaceflight imagination labor</w:t>
      </w:r>
      <w:r>
        <w:t xml:space="preserve"> </w:t>
      </w:r>
      <w:hyperlink w:anchor="ref-16">
        <w:r>
          <w:rPr>
            <w:rStyle w:val="Hyperlink"/>
          </w:rPr>
          <w:t xml:space="preserve">[16]</w:t>
        </w:r>
      </w:hyperlink>
      <w:r>
        <w:t xml:space="preserve">, among other Acta Astronautica articles. The venue three records are space economy sources including material on strategic competition and economic innovation, behavioral economics in space, and normative transformation of space use.</w:t>
      </w:r>
    </w:p>
    <w:p>
      <w:pPr>
        <w:pStyle w:val="BodyText"/>
        <w:spacing w:line="480" w:lineRule="auto"/>
        <w:ind w:firstLine="720"/>
      </w:pPr>
      <w:r>
        <w:t xml:space="preserve">This composition is not a random sample of the space operations literature. It is a purposive retrieval organized around the candidate topic, and its structure reflects that purpose. The dataset is therefore a screen of a curated corpus, not a survey of a population, and every inference in the results chapter is bounded accordingly.</w:t>
      </w:r>
    </w:p>
    <w:bookmarkEnd w:id="106"/>
    <w:bookmarkStart w:id="107" w:name="constructing-the-topic-signal-score"/>
    <w:p>
      <w:pPr>
        <w:pStyle w:val="Heading2"/>
        <w:spacing w:line="480" w:lineRule="auto"/>
      </w:pPr>
      <w:r>
        <w:t xml:space="preserve">5.2 Constructing the topic signal score</w:t>
      </w:r>
    </w:p>
    <w:p>
      <w:pPr>
        <w:pStyle w:val="FirstParagraph"/>
        <w:spacing w:line="480" w:lineRule="auto"/>
      </w:pPr>
      <w:r>
        <w:t xml:space="preserve">The outcome variable in the first model, signal_score, is a deterministic count. For each record, the construction counts candidate theme term hits across four metadata fields: the source title, the retrieved snippet, the keyword field, and the author metadata. The count is fully mechanical. Given the same source record, the construction returns the same score every time, which is what makes the outcome auditable and what disqualifies any claim that the coding reflects analyst judgment.</w:t>
      </w:r>
    </w:p>
    <w:p>
      <w:pPr>
        <w:pStyle w:val="BodyText"/>
        <w:spacing w:line="480" w:lineRule="auto"/>
        <w:ind w:firstLine="720"/>
      </w:pPr>
      <w:r>
        <w:t xml:space="preserve">The signal scores in the corpus range from one to six. Two records reach six, both from the venue one technical community: the decentralized sensor tasking work and the inferential moment tasking work, which is consistent with the concern being densely expressed in operational tasking sources</w:t>
      </w:r>
      <w:r>
        <w:t xml:space="preserve"> </w:t>
      </w:r>
      <w:hyperlink w:anchor="ref-4">
        <w:r>
          <w:rPr>
            <w:rStyle w:val="Hyperlink"/>
          </w:rPr>
          <w:t xml:space="preserve">[4]</w:t>
        </w:r>
      </w:hyperlink>
      <w:r>
        <w:t xml:space="preserve"> </w:t>
      </w:r>
      <w:hyperlink w:anchor="ref-5">
        <w:r>
          <w:rPr>
            <w:rStyle w:val="Hyperlink"/>
          </w:rPr>
          <w:t xml:space="preserve">[5]</w:t>
        </w:r>
      </w:hyperlink>
      <w:r>
        <w:t xml:space="preserve">. Several records sit at one, including recent Acta Astronautica articles whose metadata carries little of the candidate theme vocabulary despite topical adjacency. The distribution is right skewed and bounded below at one, which the linear model in Chapter 4 treats as a count like intensity measure rather than a normally distributed outcome, a simplification whose consequences Chapter 7 revisits.</w:t>
      </w:r>
    </w:p>
    <w:p>
      <w:pPr>
        <w:pStyle w:val="BodyText"/>
        <w:spacing w:line="480" w:lineRule="auto"/>
        <w:ind w:firstLine="720"/>
      </w:pPr>
      <w:r>
        <w:t xml:space="preserve">Supporting fields make the construction transparent. Each record records its title word count, snippet word count, keyword count, and raw theme hit count alongside the final signal score. These fields let a reader see that a low signal score can arise either because a source genuinely carries little of the concern or because its indexed metadata is sparse, a distinction that matters for interpreting the venue coefficient.</w:t>
      </w:r>
    </w:p>
    <w:bookmarkEnd w:id="107"/>
    <w:bookmarkStart w:id="108" w:name="constructing-recency-citations-and-venue"/>
    <w:p>
      <w:pPr>
        <w:pStyle w:val="Heading2"/>
        <w:spacing w:line="480" w:lineRule="auto"/>
      </w:pPr>
      <w:r>
        <w:t xml:space="preserve">5.3 Constructing recency, citations, and venue</w:t>
      </w:r>
    </w:p>
    <w:p>
      <w:pPr>
        <w:pStyle w:val="FirstParagraph"/>
        <w:spacing w:line="480" w:lineRule="auto"/>
      </w:pPr>
      <w:r>
        <w:t xml:space="preserve">RecencyIndex is publication year minus the sample minimum year plus one. The minimum year in the sample is 2012, so a 2012 record takes recency one and a 2025 record takes recency fourteen. The transformation is monotone in year and shifts the origin so the index starts at one rather than zero, which keeps the intercept interpretable and avoids a zero valued predictor for the oldest record.</w:t>
      </w:r>
    </w:p>
    <w:p>
      <w:pPr>
        <w:pStyle w:val="BodyText"/>
        <w:spacing w:line="480" w:lineRule="auto"/>
        <w:ind w:firstLine="720"/>
      </w:pPr>
      <w:r>
        <w:t xml:space="preserve">Cites is the reported citation count from the local brain index, set to zero where the index returned no count. The citation field is sparse and uneven. Most venue one conference records and most space economy records carry zero reported citations, while a subset of Acta Astronautica records carry substantial counts, the largest being fifty one citations for a 2018 geosynchronous collision likelihood assessment</w:t>
      </w:r>
      <w:r>
        <w:t xml:space="preserve"> </w:t>
      </w:r>
      <w:hyperlink w:anchor="ref-11">
        <w:r>
          <w:rPr>
            <w:rStyle w:val="Hyperlink"/>
          </w:rPr>
          <w:t xml:space="preserve">[11]</w:t>
        </w:r>
      </w:hyperlink>
      <w:r>
        <w:t xml:space="preserve">. This unevenness is not measurement error to be smoothed away; it is a real property of how the local index tracks citations across venue families, and it is the empirical reason the second model treats citation attention as a quantity to be diagnosed rather than trusted.</w:t>
      </w:r>
    </w:p>
    <w:p>
      <w:pPr>
        <w:pStyle w:val="BodyText"/>
        <w:spacing w:line="480" w:lineRule="auto"/>
        <w:ind w:firstLine="720"/>
      </w:pPr>
      <w:r>
        <w:t xml:space="preserve">VenueScore is the ordinal code described above: one for the Advanced Maui Optical and Space Surveillance family, two for Acta Astronautica, three for space economy. The ordering is meant only to separate the families in a single scalar, not to assert that a space economy source is three times a conference source in any substantive sense. Chapter 7 treats the ordinal coding as a limitation and cautions against overreading the venue coefficient’s magnitude.</w:t>
      </w:r>
    </w:p>
    <w:bookmarkEnd w:id="108"/>
    <w:bookmarkStart w:id="109" w:name="constructing-the-age-variables"/>
    <w:p>
      <w:pPr>
        <w:pStyle w:val="Heading2"/>
        <w:spacing w:line="480" w:lineRule="auto"/>
      </w:pPr>
      <w:r>
        <w:t xml:space="preserve">5.4 Constructing the age variables</w:t>
      </w:r>
    </w:p>
    <w:p>
      <w:pPr>
        <w:pStyle w:val="FirstParagraph"/>
        <w:spacing w:line="480" w:lineRule="auto"/>
      </w:pPr>
      <w:r>
        <w:t xml:space="preserve">For the second model, AgeIndex is 2026 minus the publication year plus one. A 2025 record takes age two, a 2022 record takes age five, and the single 2012 record takes age fifteen. The plus one keeps the youngest records at age two rather than one, which preserves a defined logarithm and avoids compressing the newest cohort against the origin.</w:t>
      </w:r>
    </w:p>
    <w:p>
      <w:pPr>
        <w:pStyle w:val="BodyText"/>
        <w:spacing w:line="480" w:lineRule="auto"/>
        <w:ind w:firstLine="720"/>
      </w:pPr>
      <w:r>
        <w:t xml:space="preserve">CitesPlus1 is the reported citation count plus one. The plus one is not cosmetic. Because most records are uncited, a raw log of citations would be undefined for the majority of the sample, and dropping those records would discard exactly the recent, concern laden work the design most wants to retain. Adding one preserves every record and encodes the sensible baseline that an uncited work has accumulated the minimum possible attention rather than an undefined amount. The resulting CitesPlus1 values range from one, for the many uncited records, to fifty two, for the 2018 assessment with fifty one raw citations</w:t>
      </w:r>
      <w:r>
        <w:t xml:space="preserve"> </w:t>
      </w:r>
      <w:hyperlink w:anchor="ref-11">
        <w:r>
          <w:rPr>
            <w:rStyle w:val="Hyperlink"/>
          </w:rPr>
          <w:t xml:space="preserve">[11]</w:t>
        </w:r>
      </w:hyperlink>
      <w:r>
        <w:t xml:space="preserve">.</w:t>
      </w:r>
    </w:p>
    <w:bookmarkEnd w:id="109"/>
    <w:bookmarkStart w:id="110" w:name="provenance-preservation"/>
    <w:p>
      <w:pPr>
        <w:pStyle w:val="Heading2"/>
        <w:spacing w:line="480" w:lineRule="auto"/>
      </w:pPr>
      <w:r>
        <w:t xml:space="preserve">5.5 Provenance preservation</w:t>
      </w:r>
    </w:p>
    <w:p>
      <w:pPr>
        <w:pStyle w:val="FirstParagraph"/>
        <w:spacing w:line="480" w:lineRule="auto"/>
      </w:pPr>
      <w:r>
        <w:t xml:space="preserve">Every row in both workbooks carries a source column. For journal records the source is the digital object identifier, for conference records it is the retrieval URL, and for the working papers it is a descriptive source string. This is the concrete implementation of the dissertation’s own governing concern: the dataset practices the provenance discipline it studies. A reader who doubts a signal score can open the cited source and count the theme terms. A reader who doubts a citation count can trace it to the indexed record. Nothing in the estimation depends on a fact that cannot be retraced to a source, which is the standard the transparency oriented sustainability rating literature sets for any construct that asks to be trusted</w:t>
      </w:r>
      <w:r>
        <w:t xml:space="preserve"> </w:t>
      </w:r>
      <w:hyperlink w:anchor="ref-15">
        <w:r>
          <w:rPr>
            <w:rStyle w:val="Hyperlink"/>
          </w:rPr>
          <w:t xml:space="preserve">[15]</w:t>
        </w:r>
      </w:hyperlink>
      <w:r>
        <w:t xml:space="preserve">.</w:t>
      </w:r>
    </w:p>
    <w:bookmarkEnd w:id="110"/>
    <w:bookmarkStart w:id="111" w:name="Xdd522ce5cbfa503d48259569ee8c69825fb2e83"/>
    <w:p>
      <w:pPr>
        <w:pStyle w:val="Heading2"/>
        <w:spacing w:line="480" w:lineRule="auto"/>
      </w:pPr>
      <w:r>
        <w:t xml:space="preserve">5.6 The distribution of records across years and venues</w:t>
      </w:r>
    </w:p>
    <w:p>
      <w:pPr>
        <w:pStyle w:val="FirstParagraph"/>
        <w:spacing w:line="480" w:lineRule="auto"/>
      </w:pPr>
      <w:r>
        <w:t xml:space="preserve">A closer look at how the thirty records distribute across time and venue clarifies what the estimators have to work with. The publication years cluster heavily toward the recent end. A large share of records date from 2020 or later, with a substantial group from 2025 alone, and only a single record from 2012 anchors the old end of the range. This right skew in publication year has a direct consequence for the recency variable: most of the sample sits at high recency values, and the sparse coverage of older years means the recency coefficient is estimated largely from contrasts among recent records rather than across a balanced span of time. A reader should hold this in mind when weighing the recency result, because a concentrated predictor distribution limits how sharply any association with it can be resolved.</w:t>
      </w:r>
    </w:p>
    <w:p>
      <w:pPr>
        <w:pStyle w:val="BodyText"/>
        <w:spacing w:line="480" w:lineRule="auto"/>
        <w:ind w:firstLine="720"/>
      </w:pPr>
      <w:r>
        <w:t xml:space="preserve">The venue distribution is more balanced by design, with twelve records each in the two larger families and six in the space economy family. Within the operational conference family the records skew toward tasking, custody maintenance, and battle management topics, which is the substantive reason the two highest signal scores appear there</w:t>
      </w:r>
      <w:r>
        <w:t xml:space="preserve"> </w:t>
      </w:r>
      <w:hyperlink w:anchor="ref-4">
        <w:r>
          <w:rPr>
            <w:rStyle w:val="Hyperlink"/>
          </w:rPr>
          <w:t xml:space="preserve">[4]</w:t>
        </w:r>
      </w:hyperlink>
      <w:r>
        <w:t xml:space="preserve"> </w:t>
      </w:r>
      <w:hyperlink w:anchor="ref-5">
        <w:r>
          <w:rPr>
            <w:rStyle w:val="Hyperlink"/>
          </w:rPr>
          <w:t xml:space="preserve">[5]</w:t>
        </w:r>
      </w:hyperlink>
      <w:r>
        <w:t xml:space="preserve">. Within the Acta Astronautica family the records span collision likelihood, servicing supervision, sensor validation, and sustainability rating, a broader thematic spread that dilutes the concern’s metadata density even where the underlying work is closely related</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space economy records are the most thematically diffuse of all, treating the concern as one element within governance and normative framing. This composition is what produces the venue gradient that Chapter 6 reports.</w:t>
      </w:r>
    </w:p>
    <w:p>
      <w:pPr>
        <w:pStyle w:val="BodyText"/>
        <w:spacing w:line="480" w:lineRule="auto"/>
        <w:ind w:firstLine="720"/>
      </w:pPr>
      <w:r>
        <w:t xml:space="preserve">The intersection of year and venue introduces a subtle entanglement. The space economy records all date from a single working period and all carry venue score three, so venue three and a particular year are partly collinear in the sample. The estimators cannot fully separate a venue three effect from a year effect for those records. The design accepts this because the venue result rests primarily on the contrast between the operational conference family and the others rather than on the space economy records alone, but the entanglement is a real feature of the corpus and it is flagged here so no reader mistakes the venue coefficient for a perfectly clean venue contrast.</w:t>
      </w:r>
    </w:p>
    <w:bookmarkEnd w:id="111"/>
    <w:bookmarkStart w:id="112" w:name="Xaa2236760339fb8b118325e6d8ad0109212f468"/>
    <w:p>
      <w:pPr>
        <w:pStyle w:val="Heading2"/>
        <w:spacing w:line="480" w:lineRule="auto"/>
      </w:pPr>
      <w:r>
        <w:t xml:space="preserve">5.7 Citation sparsity as a substantive feature</w:t>
      </w:r>
    </w:p>
    <w:p>
      <w:pPr>
        <w:pStyle w:val="FirstParagraph"/>
        <w:spacing w:line="480" w:lineRule="auto"/>
      </w:pPr>
      <w:r>
        <w:t xml:space="preserve">The most consequential property of the dataset is the sparsity of its citation field, and it deserves treatment as a substantive feature rather than a defect. Across the thirty records, the great majority carry zero reported citations. Every record in the operational conference family carries zero, as do all of the space economy records. Non zero citation counts appear almost entirely within the Acta Astronautica family, and even there they are uneven, ranging from a handful up to the single high value of fifty one for the 2018 geosynchronous collision likelihood assessment</w:t>
      </w:r>
      <w:r>
        <w:t xml:space="preserve"> </w:t>
      </w:r>
      <w:hyperlink w:anchor="ref-11">
        <w:r>
          <w:rPr>
            <w:rStyle w:val="Hyperlink"/>
          </w:rPr>
          <w:t xml:space="preserve">[11]</w:t>
        </w:r>
      </w:hyperlink>
      <w:r>
        <w:t xml:space="preserve">.</w:t>
      </w:r>
    </w:p>
    <w:p>
      <w:pPr>
        <w:pStyle w:val="BodyText"/>
        <w:spacing w:line="480" w:lineRule="auto"/>
        <w:ind w:firstLine="720"/>
      </w:pPr>
      <w:r>
        <w:t xml:space="preserve">This pattern is not random missingness. It reflects how the local index tracks citations across venue families, and it means the citation variable is effectively a within journal measure masquerading as a corpus wide one. When such a variable enters a pooled regression, it contributes informative variation for one family and structural zeros for the others, and the pooled coefficient averages the two toward a small number. The design confronts this rather than hiding it, which is why the second model exists and why Chapter 6 reads the citation coefficient with the skepticism the sparsity demands. A dataset that is honest about its own citation sparsity is more useful than one that smooths it into a false completeness</w:t>
      </w:r>
      <w:r>
        <w:t xml:space="preserve"> </w:t>
      </w:r>
      <w:hyperlink w:anchor="ref-10">
        <w:r>
          <w:rPr>
            <w:rStyle w:val="Hyperlink"/>
          </w:rPr>
          <w:t xml:space="preserve">[10]</w:t>
        </w:r>
      </w:hyperlink>
      <w:r>
        <w:t xml:space="preserve">.</w:t>
      </w:r>
    </w:p>
    <w:bookmarkEnd w:id="112"/>
    <w:bookmarkStart w:id="113" w:name="reproducibility-of-the-construction"/>
    <w:p>
      <w:pPr>
        <w:pStyle w:val="Heading2"/>
        <w:spacing w:line="480" w:lineRule="auto"/>
      </w:pPr>
      <w:r>
        <w:t xml:space="preserve">5.8 Reproducibility of the construction</w:t>
      </w:r>
    </w:p>
    <w:p>
      <w:pPr>
        <w:pStyle w:val="FirstParagraph"/>
        <w:spacing w:line="480" w:lineRule="auto"/>
      </w:pPr>
      <w:r>
        <w:t xml:space="preserve">Every variable in both workbooks can be regenerated from the source records without any analyst judgment, and this reproducibility is a design requirement rather than a convenience. The signal score is a mechanical count. The recency index is an arithmetic transformation of publication year. The age index is an arithmetic transformation of the same year against a fixed reference of 2026. The venue score is a lookup from source to one of three integers. The citations plus one field is a reported count with a constant added. None of these steps requires a decision that a second analyst could make differently, which means a replication would return the identical dataset from the identical sources.</w:t>
      </w:r>
    </w:p>
    <w:p>
      <w:pPr>
        <w:pStyle w:val="BodyText"/>
        <w:spacing w:line="480" w:lineRule="auto"/>
        <w:ind w:firstLine="720"/>
      </w:pPr>
      <w:r>
        <w:t xml:space="preserve">This property matters for the dissertation’s central concern in a self referential way. A study of provenance and custody that could not itself reproduce its own numbers from its own sources would undercut its own argument. By making every construction deterministic and every source explicit, the dataset demonstrates the discipline it advocates, and a skeptical reader can perform the demonstration personally by opening any source and recomputing any row. The sustainability rating literature holds composite measures to exactly this standard of reconstructable construction, and the dataset meets it deliberately</w:t>
      </w:r>
      <w:r>
        <w:t xml:space="preserve"> </w:t>
      </w:r>
      <w:hyperlink w:anchor="ref-15">
        <w:r>
          <w:rPr>
            <w:rStyle w:val="Hyperlink"/>
          </w:rPr>
          <w:t xml:space="preserve">[15]</w:t>
        </w:r>
      </w:hyperlink>
      <w:r>
        <w:t xml:space="preserve">.</w:t>
      </w:r>
    </w:p>
    <w:p>
      <w:pPr>
        <w:pStyle w:val="BodyText"/>
        <w:spacing w:line="480" w:lineRule="auto"/>
        <w:ind w:firstLine="720"/>
      </w:pPr>
      <w:r>
        <w:t xml:space="preserve">Reproducibility also bounds a class of error. Because the construction admits no judgment, the dataset cannot suffer from analyst drift, coder disagreement, or undocumented recoding, which are among the most common threats to bibliometric work. What it can suffer from is error in the underlying sources or in the local index, and those errors are visible to any reader who checks the source column. The design trades the flexibility of judgment based coding for the auditability of deterministic construction, and for a screen whose purpose is to be inspected, that trade is correct</w:t>
      </w:r>
      <w:r>
        <w:t xml:space="preserve"> </w:t>
      </w:r>
      <w:hyperlink w:anchor="ref-2">
        <w:r>
          <w:rPr>
            <w:rStyle w:val="Hyperlink"/>
          </w:rPr>
          <w:t xml:space="preserve">[2]</w:t>
        </w:r>
      </w:hyperlink>
      <w:r>
        <w:t xml:space="preserve">.</w:t>
      </w:r>
    </w:p>
    <w:bookmarkEnd w:id="113"/>
    <w:bookmarkStart w:id="114" w:name="the-signal-score-distribution-examined"/>
    <w:p>
      <w:pPr>
        <w:pStyle w:val="Heading2"/>
        <w:spacing w:line="480" w:lineRule="auto"/>
      </w:pPr>
      <w:r>
        <w:t xml:space="preserve">5.9 The signal score distribution examined</w:t>
      </w:r>
    </w:p>
    <w:p>
      <w:pPr>
        <w:pStyle w:val="FirstParagraph"/>
        <w:spacing w:line="480" w:lineRule="auto"/>
      </w:pPr>
      <w:r>
        <w:t xml:space="preserve">The topic signal score deserves one further pass because it is the outcome on which the first model turns. Across the thirty records the score never falls below one and never rises above six, and the mass of the distribution sits low, with many records at one or two and only a handful reaching the upper values. This shape has two implications the estimation must respect. The floor at one means the outcome is bounded below, so the linear model can in principle predict values below the floor for extreme predictor combinations, a known limitation of applying linear regression to a bounded count that Chapter 7 revisits. The right skew means the few high scoring records carry substantial leverage, and it is worth confirming that those records are substantively appropriate rather than anomalous.</w:t>
      </w:r>
    </w:p>
    <w:p>
      <w:pPr>
        <w:pStyle w:val="BodyText"/>
        <w:spacing w:line="480" w:lineRule="auto"/>
        <w:ind w:firstLine="720"/>
      </w:pPr>
      <w:r>
        <w:t xml:space="preserve">They are appropriate. The two records at the maximum of six are the decentralized sensor tasking work and the inferential moment tasking work, both squarely about the operational handling of observations that provenance and custody concern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Their high scores reflect genuine density of the theme vocabulary, not a metadata artifact, and their leverage on the venue coefficient is therefore substantively justified rather than spurious. The records at the floor are a mix of recent journal articles topically adjacent to the concern but sparse in theme vocabulary and space economy sources that treat the concern diffusely. The distribution, in short, is not an accident of coding; it maps onto the substantive gradient the venue result will quantify, and inspecting it builds confidence that the model is measuring concentration rather than noise</w:t>
      </w:r>
      <w:r>
        <w:t xml:space="preserve"> </w:t>
      </w:r>
      <w:hyperlink w:anchor="ref-15">
        <w:r>
          <w:rPr>
            <w:rStyle w:val="Hyperlink"/>
          </w:rPr>
          <w:t xml:space="preserve">[15]</w:t>
        </w:r>
      </w:hyperlink>
      <w:r>
        <w:t xml:space="preserve">.</w:t>
      </w:r>
    </w:p>
    <w:bookmarkEnd w:id="114"/>
    <w:bookmarkStart w:id="115" w:name="the-age-index-and-its-coverage"/>
    <w:p>
      <w:pPr>
        <w:pStyle w:val="Heading2"/>
        <w:spacing w:line="480" w:lineRule="auto"/>
      </w:pPr>
      <w:r>
        <w:t xml:space="preserve">5.10 The age index and its coverage</w:t>
      </w:r>
    </w:p>
    <w:p>
      <w:pPr>
        <w:pStyle w:val="FirstParagraph"/>
        <w:spacing w:line="480" w:lineRule="auto"/>
      </w:pPr>
      <w:r>
        <w:t xml:space="preserve">The age index that anchors the second model warrants a brief examination of its coverage, because the learning curve’s failure to fit is partly a story about how age is distributed in the sample. Age is computed against a fixed 2026 reference, so the youngest records, from 2025, take an age of two, and the oldest, from 2012, takes an age of fifteen. The distribution of age mirrors the right skew in publication year: most records are young, clustered at ages of two through seven, with only the single 2012 record reaching the high end. This means the age variable, like the recency variable it inversely tracks, offers little variation at the older end where a learning curve would most expect citations to have accumulated.</w:t>
      </w:r>
    </w:p>
    <w:p>
      <w:pPr>
        <w:pStyle w:val="BodyText"/>
        <w:spacing w:line="480" w:lineRule="auto"/>
        <w:ind w:firstLine="720"/>
      </w:pPr>
      <w:r>
        <w:t xml:space="preserve">The consequence for the second model is direct. A learning curve estimates how citations scale across the full range of age, and a sample thin at the old end gives the estimator little leverage to detect accumulation even if it exists. The few older records that do appear also fail to carry the high citation counts a conventional curve predicts; the 2012 record carries zero reported citations, while the most cited record, from 2018 with fifty one citations, is younger</w:t>
      </w:r>
      <w:r>
        <w:t xml:space="preserve"> </w:t>
      </w:r>
      <w:hyperlink w:anchor="ref-11">
        <w:r>
          <w:rPr>
            <w:rStyle w:val="Hyperlink"/>
          </w:rPr>
          <w:t xml:space="preserve">[11]</w:t>
        </w:r>
      </w:hyperlink>
      <w:r>
        <w:t xml:space="preserve">. Age and citation are thus not merely weakly related but arranged in a pattern that inverts the expected curve, which is why the fit is essentially zero rather than merely weak. Documenting the age coverage here makes that result interpretable rather than surprising when Chapter 6 reports it</w:t>
      </w:r>
      <w:r>
        <w:t xml:space="preserve"> </w:t>
      </w:r>
      <w:hyperlink w:anchor="ref-10">
        <w:r>
          <w:rPr>
            <w:rStyle w:val="Hyperlink"/>
          </w:rPr>
          <w:t xml:space="preserve">[10]</w:t>
        </w:r>
      </w:hyperlink>
      <w:r>
        <w:t xml:space="preserve">.</w:t>
      </w:r>
    </w:p>
    <w:bookmarkEnd w:id="115"/>
    <w:bookmarkStart w:id="116" w:name="X641dc550e36c08780b03d52038f9e4351cb7198"/>
    <w:p>
      <w:pPr>
        <w:pStyle w:val="Heading2"/>
        <w:spacing w:line="480" w:lineRule="auto"/>
      </w:pPr>
      <w:r>
        <w:t xml:space="preserve">5.11 What the dataset represents and what it does not</w:t>
      </w:r>
    </w:p>
    <w:p>
      <w:pPr>
        <w:pStyle w:val="FirstParagraph"/>
        <w:spacing w:line="480" w:lineRule="auto"/>
      </w:pPr>
      <w:r>
        <w:t xml:space="preserve">The dataset represents the structure of a purposive, thirty record retrieval organized around provenance and custody in conjunction decision making. It captures how the candidate theme is distributed across time, indexed attention, and venue family within that retrieval. It does not represent the population of all space operations literature, the behavior of any operator, or the true frequency with which real conjunction decisions are documented. Those are different objects requiring different data that this design does not claim to have. What it claims is a clean, auditable, deterministically constructed corpus adequate to a bounded screen, and the results chapter reports only what that corpus will honestly bear</w:t>
      </w:r>
      <w:r>
        <w:t xml:space="preserve"> </w:t>
      </w:r>
      <w:hyperlink w:anchor="ref-6">
        <w:r>
          <w:rPr>
            <w:rStyle w:val="Hyperlink"/>
          </w:rPr>
          <w:t xml:space="preserve">[6]</w:t>
        </w:r>
      </w:hyperlink>
      <w:r>
        <w:t xml:space="preserve">.</w:t>
      </w:r>
    </w:p>
    <w:bookmarkEnd w:id="116"/>
    <w:bookmarkEnd w:id="117"/>
    <w:bookmarkStart w:id="130" w:name="chapter-6.-results"/>
    <w:p>
      <w:pPr>
        <w:pStyle w:val="Heading1"/>
        <w:spacing w:line="480" w:lineRule="auto"/>
      </w:pPr>
      <w:r>
        <w:t xml:space="preserve">Chapter 6. Results</w:t>
      </w:r>
    </w:p>
    <w:p>
      <w:pPr>
        <w:pStyle w:val="FirstParagraph"/>
        <w:spacing w:line="480" w:lineRule="auto"/>
      </w:pPr>
      <w:r>
        <w:t xml:space="preserve">This chapter reports the output of the two estimators exactly as the empirical workbooks produced them. No coefficient is rounded away, no standard error is suppressed, and no result is reshaped to fit the theory. Both models were fit on the thirty record corpus with heteroskedasticity robust HC1 standard errors. The interpretation that follows the numbers reads them as corpus screen evidence, consistent with the identification limits set out in Chapter 4.</w:t>
      </w:r>
    </w:p>
    <w:bookmarkStart w:id="118" w:name="topic-signal-model-fit"/>
    <w:p>
      <w:pPr>
        <w:pStyle w:val="Heading2"/>
        <w:spacing w:line="480" w:lineRule="auto"/>
      </w:pPr>
      <w:r>
        <w:t xml:space="preserve">6.1 Topic signal model: fit</w:t>
      </w:r>
    </w:p>
    <w:p>
      <w:pPr>
        <w:pStyle w:val="FirstParagraph"/>
        <w:spacing w:line="480" w:lineRule="auto"/>
      </w:pPr>
      <w:r>
        <w:t xml:space="preserve">The ordinary least squares regression of signal_score on recency_index, cites_num, and venue_score was estimated on N=30 records. The model fit summary is as follows. The R-squared is 0.3044800227751977. The adjusted R-squared is 0.22422771771079741. The F statistic is 7.794031832030591 with an associated p value of 0.0007143362799178684.</w:t>
      </w:r>
    </w:p>
    <w:p>
      <w:pPr>
        <w:pStyle w:val="BodyText"/>
        <w:spacing w:line="480" w:lineRule="auto"/>
        <w:ind w:firstLine="720"/>
      </w:pPr>
      <w:r>
        <w:t xml:space="preserve">The overall fit is modest but real. The three predictors together account for roughly thirty percent of the variation in the topic signal score, and the adjusted figure of about twenty two percent reflects the penalty for three predictors on thirty records. The F test is the more decisive line in this summary. Its p value of 0.0007 rejects the joint null that all three slopes are zero. Something in the combination of recency, attention, and venue is systematically related to the topic signal, which is the first and most important result: the corpus is not structurally silent.</w:t>
      </w:r>
    </w:p>
    <w:bookmarkEnd w:id="118"/>
    <w:bookmarkStart w:id="119" w:name="topic-signal-model-coefficients"/>
    <w:p>
      <w:pPr>
        <w:pStyle w:val="Heading2"/>
        <w:spacing w:line="480" w:lineRule="auto"/>
      </w:pPr>
      <w:r>
        <w:t xml:space="preserve">6.2 Topic signal model: coefficients</w:t>
      </w:r>
    </w:p>
    <w:p>
      <w:pPr>
        <w:pStyle w:val="FirstParagraph"/>
        <w:spacing w:line="480" w:lineRule="auto"/>
      </w:pPr>
      <w:r>
        <w:t xml:space="preserve">The estimated terms are as follows, each reported with its coefficient and p value.</w:t>
      </w:r>
    </w:p>
    <w:p>
      <w:pPr>
        <w:pStyle w:val="BodyText"/>
        <w:spacing w:line="480" w:lineRule="auto"/>
        <w:ind w:firstLine="720"/>
      </w:pPr>
      <w:r>
        <w:t xml:space="preserve">The constant has coefficient 3.554304486731946 with p value 0.025101285795028253.</w:t>
      </w:r>
    </w:p>
    <w:p>
      <w:pPr>
        <w:pStyle w:val="BodyText"/>
        <w:spacing w:line="480" w:lineRule="auto"/>
        <w:ind w:firstLine="720"/>
      </w:pPr>
      <w:r>
        <w:t xml:space="preserve">recency_index has coefficient 0.05754670569551767 with p value 0.548166519319668.</w:t>
      </w:r>
    </w:p>
    <w:p>
      <w:pPr>
        <w:pStyle w:val="BodyText"/>
        <w:spacing w:line="480" w:lineRule="auto"/>
        <w:ind w:firstLine="720"/>
      </w:pPr>
      <w:r>
        <w:t xml:space="preserve">cites_num has coefficient -0.000968453756648037 with p value 0.9193029994513964.</w:t>
      </w:r>
    </w:p>
    <w:p>
      <w:pPr>
        <w:pStyle w:val="BodyText"/>
        <w:spacing w:line="480" w:lineRule="auto"/>
        <w:ind w:firstLine="720"/>
      </w:pPr>
      <w:r>
        <w:t xml:space="preserve">venue_score has coefficient -0.9925572020959788 with p value 0.0033602872295059503.</w:t>
      </w:r>
    </w:p>
    <w:p>
      <w:pPr>
        <w:pStyle w:val="BodyText"/>
        <w:spacing w:line="480" w:lineRule="auto"/>
        <w:ind w:firstLine="720"/>
      </w:pPr>
      <w:r>
        <w:t xml:space="preserve">The story lives in the pattern of precision across these four terms. The intercept is positive and significant at conventional levels, locating the baseline topic signal for the reference configuration well above zero. The venue_score coefficient is negative, sizable relative to the signal scale, and precisely estimated with a p value of 0.0034. The recency and citation coefficients are both indistinguishable from zero.</w:t>
      </w:r>
    </w:p>
    <w:bookmarkEnd w:id="119"/>
    <w:bookmarkStart w:id="120" w:name="interpreting-the-venue-result"/>
    <w:p>
      <w:pPr>
        <w:pStyle w:val="Heading2"/>
        <w:spacing w:line="480" w:lineRule="auto"/>
      </w:pPr>
      <w:r>
        <w:t xml:space="preserve">6.3 Interpreting the venue result</w:t>
      </w:r>
    </w:p>
    <w:p>
      <w:pPr>
        <w:pStyle w:val="FirstParagraph"/>
        <w:spacing w:line="480" w:lineRule="auto"/>
      </w:pPr>
      <w:r>
        <w:t xml:space="preserve">The venue_score coefficient is the load bearing finding of the first model. Its value of approximately negative 0.99 means that moving up one step on the ordinal venue scale is associated with roughly a full point lower topic signal, holding recency and attention fixed. The scale runs from the Advanced Maui Optical and Space Surveillance conference family at one, through Acta Astronautica at two, to the space economy material at three. The negative sign therefore says the concern’s metadata fingerprint is densest in the operational conference literature and thins as one moves toward the archival journal and then the space economy families.</w:t>
      </w:r>
    </w:p>
    <w:p>
      <w:pPr>
        <w:pStyle w:val="BodyText"/>
        <w:spacing w:line="480" w:lineRule="auto"/>
        <w:ind w:firstLine="720"/>
      </w:pPr>
      <w:r>
        <w:t xml:space="preserve">This is a substantively coherent result. The conference community is where sensor tasking, custody maintenance, and decentralized observation are worked out in operational detail, and it is exactly where Chapter 5 found the two highest signal scores, both at six, in the decentralized tasking and inferential moment tasking records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peer reviewed and space economy families engage the concern more diffusely, framing it within broader treatments of collision likelihood, supervision, and governance rather than naming it densely in metadata</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precise negative coefficient confirms that the concern is not uniformly distributed across venues, which was the one venue prediction Chapter 3 was willing to make.</w:t>
      </w:r>
    </w:p>
    <w:bookmarkEnd w:id="120"/>
    <w:bookmarkStart w:id="121" w:name="X25875827fdf2088d9478339d1a2d2faa79b5d51"/>
    <w:p>
      <w:pPr>
        <w:pStyle w:val="Heading2"/>
        <w:spacing w:line="480" w:lineRule="auto"/>
      </w:pPr>
      <w:r>
        <w:t xml:space="preserve">6.4 Interpreting the recency and citation nulls</w:t>
      </w:r>
    </w:p>
    <w:p>
      <w:pPr>
        <w:pStyle w:val="FirstParagraph"/>
        <w:spacing w:line="480" w:lineRule="auto"/>
      </w:pPr>
      <w:r>
        <w:t xml:space="preserve">The recency coefficient is positive, at about 0.058, which is the direction Chapter 3 predicted, but its p value of 0.55 places it well inside the range attributable to chance. The corpus does not concentrate the concern’s intensity in newer work strongly enough to distinguish the association from zero at this sample size. The honest reading is that the rising concern prediction is not confirmed by recency in this screen. The sign is encouraging; the precision is absent.</w:t>
      </w:r>
    </w:p>
    <w:p>
      <w:pPr>
        <w:pStyle w:val="BodyText"/>
        <w:spacing w:line="480" w:lineRule="auto"/>
        <w:ind w:firstLine="720"/>
      </w:pPr>
      <w:r>
        <w:t xml:space="preserve">The citation coefficient is essentially zero, at about negative 0.001, with a p value of 0.92. Citation attention, as indexed here, carries no detectable association with the topic signal once recency and venue are held fixed. Chapter 4 anticipated this. The citation field is sparse and uneven across venue families, and the newest, most concern laden work has had the least time to accrue citations. The near zero coefficient is what a contaminated attention signal looks like, and the second model was built to diagnose exactly that contamination</w:t>
      </w:r>
      <w:r>
        <w:t xml:space="preserve"> </w:t>
      </w:r>
      <w:hyperlink w:anchor="ref-10">
        <w:r>
          <w:rPr>
            <w:rStyle w:val="Hyperlink"/>
          </w:rPr>
          <w:t xml:space="preserve">[10]</w:t>
        </w:r>
      </w:hyperlink>
      <w:r>
        <w:t xml:space="preserve">.</w:t>
      </w:r>
    </w:p>
    <w:bookmarkEnd w:id="121"/>
    <w:bookmarkStart w:id="122" w:name="X43045358ddf854af5dc697607bb36e4c15ea5fa"/>
    <w:p>
      <w:pPr>
        <w:pStyle w:val="Heading2"/>
        <w:spacing w:line="480" w:lineRule="auto"/>
      </w:pPr>
      <w:r>
        <w:t xml:space="preserve">6.5 Attention accumulation model: fit and coefficients</w:t>
      </w:r>
    </w:p>
    <w:p>
      <w:pPr>
        <w:pStyle w:val="FirstParagraph"/>
        <w:spacing w:line="480" w:lineRule="auto"/>
      </w:pPr>
      <w:r>
        <w:t xml:space="preserve">The log-log learning curve regression of ln(cites_plus1) on ln(age_index) was estimated on N=30 records. The fit summary is as follows. The R-squared is 0.005982359547612615. The estimated age elasticity is -0.1589743079214872, and the implied progress ratio, computed as two raised to that elasticity, is 0.8956616202418646.</w:t>
      </w:r>
    </w:p>
    <w:p>
      <w:pPr>
        <w:pStyle w:val="BodyText"/>
        <w:spacing w:line="480" w:lineRule="auto"/>
        <w:ind w:firstLine="720"/>
      </w:pPr>
      <w:r>
        <w:t xml:space="preserve">The estimated terms are as follows. The constant has coefficient 1.0285975880639717 with p value 0.06028253989693142. The log age term, _ln_x, has coefficient -0.1589743079214872 with p value 0.6780806103183905.</w:t>
      </w:r>
    </w:p>
    <w:bookmarkEnd w:id="122"/>
    <w:bookmarkStart w:id="123" w:name="interpreting-the-attention-result"/>
    <w:p>
      <w:pPr>
        <w:pStyle w:val="Heading2"/>
        <w:spacing w:line="480" w:lineRule="auto"/>
      </w:pPr>
      <w:r>
        <w:t xml:space="preserve">6.6 Interpreting the attention result</w:t>
      </w:r>
    </w:p>
    <w:p>
      <w:pPr>
        <w:pStyle w:val="FirstParagraph"/>
        <w:spacing w:line="480" w:lineRule="auto"/>
      </w:pPr>
      <w:r>
        <w:t xml:space="preserve">The learning curve does not fit. An R-squared of about 0.006 means article age explains well under one percent of the variation in logged citation accumulation across this corpus. The age elasticity is negative, at about negative 0.16, which is the wrong sign for a conventional attention curve where older work accumulates more citations, and it is estimated with a p value of 0.68 that renders it statistically indistinguishable from zero. The progress ratio of about 0.90 is the arithmetic restatement of that negative elasticity and should not be read as a meaningful learning rate given the absence of fit.</w:t>
      </w:r>
    </w:p>
    <w:p>
      <w:pPr>
        <w:pStyle w:val="BodyText"/>
        <w:spacing w:line="480" w:lineRule="auto"/>
        <w:ind w:firstLine="720"/>
      </w:pPr>
      <w:r>
        <w:t xml:space="preserve">This is a clean null, and it is informative rather than disappointing. Age does not organize attention in this corpus. The reason is visible in the data assembled in Chapter 5: the citation field is dominated by uncited records across the conference and space economy families, while the few heavily cited records cluster in Acta Astronautica without regard to a smooth age relationship, so the single most cited record, the 2018 assessment at fifty one citations, sits alongside older records with none</w:t>
      </w:r>
      <w:r>
        <w:t xml:space="preserve"> </w:t>
      </w:r>
      <w:hyperlink w:anchor="ref-11">
        <w:r>
          <w:rPr>
            <w:rStyle w:val="Hyperlink"/>
          </w:rPr>
          <w:t xml:space="preserve">[11]</w:t>
        </w:r>
      </w:hyperlink>
      <w:r>
        <w:t xml:space="preserve">. Citation behavior here is driven by venue and indexing conventions, not by the passage of time.</w:t>
      </w:r>
    </w:p>
    <w:bookmarkEnd w:id="123"/>
    <w:bookmarkStart w:id="124" w:name="Xe13b928c3a3aa98dd34f842266c63e1702dd7af"/>
    <w:p>
      <w:pPr>
        <w:pStyle w:val="Heading2"/>
        <w:spacing w:line="480" w:lineRule="auto"/>
      </w:pPr>
      <w:r>
        <w:t xml:space="preserve">6.7 The magnitude of the venue effect in context</w:t>
      </w:r>
    </w:p>
    <w:p>
      <w:pPr>
        <w:pStyle w:val="FirstParagraph"/>
        <w:spacing w:line="480" w:lineRule="auto"/>
      </w:pPr>
      <w:r>
        <w:t xml:space="preserve">It is worth translating the venue coefficient into the scale of the outcome to see how large it is. The signal score in this corpus ranges from one to six, and its spread across the sample is a matter of a few points. Against that scale, a venue coefficient of approximately negative 0.99 per ordinal step is substantial. Moving from the operational conference family at venue one to the space economy family at venue three is two steps, implying a predicted signal difference of roughly two points, holding recency and citation fixed. Two points on a one to six scale is a meaningful fraction of the entire observed range.</w:t>
      </w:r>
    </w:p>
    <w:p>
      <w:pPr>
        <w:pStyle w:val="BodyText"/>
        <w:spacing w:line="480" w:lineRule="auto"/>
        <w:ind w:firstLine="720"/>
      </w:pPr>
      <w:r>
        <w:t xml:space="preserve">This magnitude aligns with the raw data assembled in Chapter 5. The two records scoring six both sit in the operational conference family, and the records scoring one are scattered across the journal and space economy families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regression is not manufacturing the gradient; it is quantifying a separation that is already visible in the record level scores. The value of the coefficient over the raw comparison is that it holds recency and citation fixed, so the venue gradient is not an artifact of the conference records happening to be older or more cited. They are not more cited, in fact, since the conference family carries zero reported citations throughout, which makes the venue effect a clean statement about metadata concentration net of the other two channels.</w:t>
      </w:r>
    </w:p>
    <w:p>
      <w:pPr>
        <w:pStyle w:val="BodyText"/>
        <w:spacing w:line="480" w:lineRule="auto"/>
        <w:ind w:firstLine="720"/>
      </w:pPr>
      <w:r>
        <w:t xml:space="preserve">The intercept reinforces the reading. Its value of approximately 3.55, significant at conventional levels, locates the baseline signal for the reference configuration, low venue and low recency and zero citations, above the midpoint of the scale. The model therefore describes a corpus in which the concern is present at a substantial baseline and then declines as one moves toward the journal and space economy families, rather than one in which the concern is absent except in a few sources. That baseline is itself a modest finding: the concern is broadly present and unevenly concentrated, not narrowly confined.</w:t>
      </w:r>
    </w:p>
    <w:bookmarkEnd w:id="124"/>
    <w:bookmarkStart w:id="125" w:name="the-learning-curve-failure-in-numbers"/>
    <w:p>
      <w:pPr>
        <w:pStyle w:val="Heading2"/>
        <w:spacing w:line="480" w:lineRule="auto"/>
      </w:pPr>
      <w:r>
        <w:t xml:space="preserve">6.8 The learning curve failure in numbers</w:t>
      </w:r>
    </w:p>
    <w:p>
      <w:pPr>
        <w:pStyle w:val="FirstParagraph"/>
        <w:spacing w:line="480" w:lineRule="auto"/>
      </w:pPr>
      <w:r>
        <w:t xml:space="preserve">The learning curve’s non result can be stated with the same precision as the topic signal findings, and the numbers are worth dwelling on because their smallness is the finding. An R-squared of 0.005982359547612615 means that the log of article age accounts for roughly six tenths of one percent of the variation in the log of citations plus one. In practical terms, knowing a document’s age tells a reader essentially nothing about how many citations it has accumulated in this corpus. The elasticity of negative 0.1589743079214872 is not only statistically indistinguishable from zero, at a p value of 0.6780806103183905, but also pointed against the conventional expectation that older work accumulates more citations.</w:t>
      </w:r>
    </w:p>
    <w:p>
      <w:pPr>
        <w:pStyle w:val="BodyText"/>
        <w:spacing w:line="480" w:lineRule="auto"/>
        <w:ind w:firstLine="720"/>
      </w:pPr>
      <w:r>
        <w:t xml:space="preserve">The constant in the learning curve model, at 1.0285975880639717 with a p value of 0.06028253989693142, sits just outside conventional significance and represents the fitted log citation level at the reference age. Its modest positive value reflects that most records carry citations plus one equal to one, whose logarithm is zero, pulled upward by the handful of heavily cited journal records. Neither the constant nor the slope describes a corpus in which attention grows lawfully with time. The single most cited record, the 2018 assessment at fifty one citations, is not the oldest record in the sample, and the oldest record, from 2012, carries zero reported citations, which is exactly the inversion of the pattern a conventional attention curve would predict</w:t>
      </w:r>
      <w:r>
        <w:t xml:space="preserve"> </w:t>
      </w:r>
      <w:hyperlink w:anchor="ref-11">
        <w:r>
          <w:rPr>
            <w:rStyle w:val="Hyperlink"/>
          </w:rPr>
          <w:t xml:space="preserve">[11]</w:t>
        </w:r>
      </w:hyperlink>
      <w:r>
        <w:t xml:space="preserve">.</w:t>
      </w:r>
    </w:p>
    <w:bookmarkEnd w:id="125"/>
    <w:bookmarkStart w:id="126" w:name="X9dd73c8be8bc777474838de9643dd7a84de55a1"/>
    <w:p>
      <w:pPr>
        <w:pStyle w:val="Heading2"/>
        <w:spacing w:line="480" w:lineRule="auto"/>
      </w:pPr>
      <w:r>
        <w:t xml:space="preserve">6.9 What the F test settles and what it leaves open</w:t>
      </w:r>
    </w:p>
    <w:p>
      <w:pPr>
        <w:pStyle w:val="FirstParagraph"/>
        <w:spacing w:line="480" w:lineRule="auto"/>
      </w:pPr>
      <w:r>
        <w:t xml:space="preserve">The joint F statistic of 7.794031832030591, with its p value of 0.0007143362799178684, does more analytic work than a single coefficient can, and its role deserves isolation. The F test evaluates whether all three slopes are jointly zero, and its decisive rejection means the three predictors together carry real explanatory content even though two of them individually do not. This is a familiar and important distinction. A model can have an informative joint fit while most of that information concentrates in one predictor, and that is precisely the situation here: the venue term carries the joint result nearly single handedly, while recency and citation contribute little.</w:t>
      </w:r>
    </w:p>
    <w:p>
      <w:pPr>
        <w:pStyle w:val="BodyText"/>
        <w:spacing w:line="480" w:lineRule="auto"/>
        <w:ind w:firstLine="720"/>
      </w:pPr>
      <w:r>
        <w:t xml:space="preserve">The F test settles the first order question. The corpus is not structurally silent about the concern; something in the joint distribution of recency, attention, and venue is systematically related to the topic signal, and the strict joint null H0-A is rejected at a stringent threshold. What the F test leaves open is the decomposition, and the individual coefficients supply it. They show that the joint rejection is a venue rejection, that recency and citation could be dropped without much loss to the fit, and that the concern’s legibility in this corpus runs almost entirely through venue structure. The F test says the model matters; the coefficients say why.</w:t>
      </w:r>
    </w:p>
    <w:p>
      <w:pPr>
        <w:pStyle w:val="BodyText"/>
        <w:spacing w:line="480" w:lineRule="auto"/>
        <w:ind w:firstLine="720"/>
      </w:pPr>
      <w:r>
        <w:t xml:space="preserve">This two level reading protects against two opposite misreadings. A reader who saw only the significant F might conclude that all three channels carry the concern, which the coefficients refute. A reader who saw only the recency and citation nulls might conclude that the corpus is silent, which the F refutes. Holding both levels together yields the accurate picture: a corpus that speaks clearly through one channel and is quiet through the other two, which is a more precise and more useful finding than either level alone would give</w:t>
      </w:r>
      <w:r>
        <w:t xml:space="preserve"> </w:t>
      </w:r>
      <w:hyperlink w:anchor="ref-6">
        <w:r>
          <w:rPr>
            <w:rStyle w:val="Hyperlink"/>
          </w:rPr>
          <w:t xml:space="preserve">[6]</w:t>
        </w:r>
      </w:hyperlink>
      <w:r>
        <w:t xml:space="preserve">.</w:t>
      </w:r>
    </w:p>
    <w:bookmarkEnd w:id="126"/>
    <w:bookmarkStart w:id="127" w:name="Xa632a88cf3772192c421c5996c517716515dd89"/>
    <w:p>
      <w:pPr>
        <w:pStyle w:val="Heading2"/>
        <w:spacing w:line="480" w:lineRule="auto"/>
      </w:pPr>
      <w:r>
        <w:t xml:space="preserve">6.10 Robustness of the venue finding to the sample</w:t>
      </w:r>
    </w:p>
    <w:p>
      <w:pPr>
        <w:pStyle w:val="FirstParagraph"/>
        <w:spacing w:line="480" w:lineRule="auto"/>
      </w:pPr>
      <w:r>
        <w:t xml:space="preserve">Because the venue coefficient is the dissertation’s one confident result, it is worth asking how fragile it is to the composition of the thirty record sample. The coefficient’s precision, with a p value of 0.0034 under robust standard errors, already indicates that it is not a marginal result teetering on a single observation. The finding survives the finite sample correction that HC1 applies, which means the degrees of freedom penalty of estimating four parameters on thirty records has been paid and the venue effect remains significant after paying it. This is a meaningful hurdle for a small sample to clear.</w:t>
      </w:r>
    </w:p>
    <w:p>
      <w:pPr>
        <w:pStyle w:val="BodyText"/>
        <w:spacing w:line="480" w:lineRule="auto"/>
        <w:ind w:firstLine="720"/>
      </w:pPr>
      <w:r>
        <w:t xml:space="preserve">The finding also coheres with the raw record level data, which guards against its being a modeling artifact. Even without any regression, a reader who sorted the thirty records by venue family and examined their signal scores would see the operational conference family carrying the two maximum scores and a generally higher central tendency than the other two families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regression quantifies and conditions this raw pattern; it does not conjure it. A result that is visible in the unmodeled data and survives a stringent conditional test under robust inference is about as robust as a thirty record sample permits, and the results chapter presents it with correspondingly greater confidence than it grants the recency and citation channels, whose nulls could plausibly reflect low power rather than true absence.</w:t>
      </w:r>
    </w:p>
    <w:bookmarkEnd w:id="127"/>
    <w:bookmarkStart w:id="128" w:name="Xb5fbead95ae9fd658f9b1fab96a69548571e8a1"/>
    <w:p>
      <w:pPr>
        <w:pStyle w:val="Heading2"/>
        <w:spacing w:line="480" w:lineRule="auto"/>
      </w:pPr>
      <w:r>
        <w:t xml:space="preserve">6.11 The adjusted R-squared and honest fit reporting</w:t>
      </w:r>
    </w:p>
    <w:p>
      <w:pPr>
        <w:pStyle w:val="FirstParagraph"/>
        <w:spacing w:line="480" w:lineRule="auto"/>
      </w:pPr>
      <w:r>
        <w:t xml:space="preserve">The gap between the topic signal model’s R-squared of 0.3044800227751977 and its adjusted R-squared of 0.22422771771079741 is worth a moment because it embodies the honest fit reporting the design commits to. The unadjusted figure rewards the model for every predictor regardless of whether that predictor earns its place. The adjusted figure penalizes the model for the three predictors it carries on only thirty records, and the roughly eight percentage point drop between the two is the size of that penalty. Reporting both, and interpreting the lower one as the honest account of explanatory power, prevents the model from claiming more fit than its parameter budget deserves.</w:t>
      </w:r>
    </w:p>
    <w:p>
      <w:pPr>
        <w:pStyle w:val="BodyText"/>
        <w:spacing w:line="480" w:lineRule="auto"/>
        <w:ind w:firstLine="720"/>
      </w:pPr>
      <w:r>
        <w:t xml:space="preserve">An adjusted R-squared near 0.22 is a modest but real fit for a bibliometric screen. It says the three predictors together explain about a fifth of the variation in the topic signal after accounting for their number, which is enough to reject structurelessness, as the F test confirmed, without pretending the model captures most of what drives the signal. The unexplained majority is exactly what a reader should expect from a coarse screen built on metadata; much of the signal’s variation surely reflects source specific factors the three predictors cannot see. The design neither hides this nor apologizes for it, because a screen that explained most of the variance would be suspiciously good for its inputs, and the modest, honestly adjusted fit is the appropriate result for the instrument</w:t>
      </w:r>
      <w:r>
        <w:t xml:space="preserve"> </w:t>
      </w:r>
      <w:hyperlink w:anchor="ref-6">
        <w:r>
          <w:rPr>
            <w:rStyle w:val="Hyperlink"/>
          </w:rPr>
          <w:t xml:space="preserve">[6]</w:t>
        </w:r>
      </w:hyperlink>
      <w:r>
        <w:t xml:space="preserve">.</w:t>
      </w:r>
    </w:p>
    <w:bookmarkEnd w:id="128"/>
    <w:bookmarkStart w:id="129" w:name="reading-the-two-models-together"/>
    <w:p>
      <w:pPr>
        <w:pStyle w:val="Heading2"/>
        <w:spacing w:line="480" w:lineRule="auto"/>
      </w:pPr>
      <w:r>
        <w:t xml:space="preserve">6.12 Reading the two models together</w:t>
      </w:r>
    </w:p>
    <w:p>
      <w:pPr>
        <w:pStyle w:val="FirstParagraph"/>
        <w:spacing w:line="480" w:lineRule="auto"/>
      </w:pPr>
      <w:r>
        <w:t xml:space="preserve">The second model’s null retroactively vindicates the first model’s citation null. If age does not explain attention in this corpus, then the citation count in the first model is a noisy, venue confounded quantity, and its near zero coefficient there should be read as evidence that the attention channel is uninformative in this screen rather than as evidence that attention and the concern are unrelated in general</w:t>
      </w:r>
      <w:r>
        <w:t xml:space="preserve"> </w:t>
      </w:r>
      <w:hyperlink w:anchor="ref-10">
        <w:r>
          <w:rPr>
            <w:rStyle w:val="Hyperlink"/>
          </w:rPr>
          <w:t xml:space="preserve">[10]</w:t>
        </w:r>
      </w:hyperlink>
      <w:r>
        <w:t xml:space="preserve">. The two nulls are the same underlying fact seen from two angles: indexed citation attention is too sparse and too venue bound in this corpus to carry interpretive weight.</w:t>
      </w:r>
    </w:p>
    <w:p>
      <w:pPr>
        <w:pStyle w:val="BodyText"/>
        <w:spacing w:line="480" w:lineRule="auto"/>
        <w:ind w:firstLine="720"/>
      </w:pPr>
      <w:r>
        <w:t xml:space="preserve">What survives is a coherent and defensible finding set. The joint F test rejects structurelessness, so the corpus is not silent. The venue coefficient is precise, sizable, and substantively sensible, locating the concern’s densest metadata fingerprint in the operational conference literature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recency association points the predicted way but cannot be distinguished from zero. The citation channel is uninformative, and the learning curve confirms why. Read against Chapter 3, this rejects the strict joint null H0-A while leaving the recency and attention components of H1-A unconfirmed, and it fails to reject H0-B, the attention accumulation null. The concern is legible in the corpus, but it is legible through venue structure rather than through time or attention, and that is the precise, falsifiable result the design was built to deliver</w:t>
      </w:r>
      <w:r>
        <w:t xml:space="preserve"> </w:t>
      </w:r>
      <w:hyperlink w:anchor="ref-6">
        <w:r>
          <w:rPr>
            <w:rStyle w:val="Hyperlink"/>
          </w:rPr>
          <w:t xml:space="preserve">[6]</w:t>
        </w:r>
      </w:hyperlink>
      <w:r>
        <w:t xml:space="preserve">.</w:t>
      </w:r>
    </w:p>
    <w:bookmarkEnd w:id="129"/>
    <w:bookmarkEnd w:id="130"/>
    <w:bookmarkStart w:id="143"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narrow, and their honest interpretation is the point of this chapter. The corpus is not structurally silent about provenance and custody in conjunction decision making. It carries the concern’s fingerprint through venue family, densest in the operational conference literature and thinning toward the archival and space economy families. It does not carry the concern detectably through recency or citation attention. This chapter works out what that pattern means, then confronts, without softening, the threats to validity that bound every claim.</w:t>
      </w:r>
    </w:p>
    <w:bookmarkStart w:id="131" w:name="what-the-findings-mean"/>
    <w:p>
      <w:pPr>
        <w:pStyle w:val="Heading2"/>
        <w:spacing w:line="480" w:lineRule="auto"/>
      </w:pPr>
      <w:r>
        <w:t xml:space="preserve">7.1 What the findings mean</w:t>
      </w:r>
    </w:p>
    <w:p>
      <w:pPr>
        <w:pStyle w:val="FirstParagraph"/>
        <w:spacing w:line="480" w:lineRule="auto"/>
      </w:pPr>
      <w:r>
        <w:t xml:space="preserve">The central positive finding is that venue family organizes the concern. That the concern’s metadata fingerprint concentrates in the Advanced Maui Optical and Space Surveillance conference community fits a coherent account of how operational concerns mature. Practitioners who task sensors, maintain custody of tracked objects, and manage decentralized observation are the first to name the concern densely, because they meet it in daily work</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peer reviewed journal literature engages it, but embedded within broader treatments of collision likelihood and supervision rather than named in the metadata that the signal score reads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space economy family engages it most diffusely of all, as one strand within governance and normative framing. The negative venue coefficient is the quantitative shadow of that gradient, and it is the finding a follow on study should build on.</w:t>
      </w:r>
    </w:p>
    <w:p>
      <w:pPr>
        <w:pStyle w:val="BodyText"/>
        <w:spacing w:line="480" w:lineRule="auto"/>
        <w:ind w:firstLine="720"/>
      </w:pPr>
      <w:r>
        <w:t xml:space="preserve">The recency result is more delicate. The coefficient points the predicted way, positive, but it cannot be distinguished from zero. The correct conclusion is not that the concern is failing to rise; it is that a thirty record purposive corpus cannot resolve a rising concern from a stable one along the time axis. The signal, if it exists, is below the resolution of this instrument. That is a statement about the design’s power, not about the world, and it should be read as a reason to gather more records rather than as evidence of stasis</w:t>
      </w:r>
      <w:r>
        <w:t xml:space="preserve"> </w:t>
      </w:r>
      <w:hyperlink w:anchor="ref-6">
        <w:r>
          <w:rPr>
            <w:rStyle w:val="Hyperlink"/>
          </w:rPr>
          <w:t xml:space="preserve">[6]</w:t>
        </w:r>
      </w:hyperlink>
      <w:r>
        <w:t xml:space="preserve">.</w:t>
      </w:r>
    </w:p>
    <w:p>
      <w:pPr>
        <w:pStyle w:val="BodyText"/>
        <w:spacing w:line="480" w:lineRule="auto"/>
        <w:ind w:firstLine="720"/>
      </w:pPr>
      <w:r>
        <w:t xml:space="preserve">The citation nulls, across both models, converge on a single meaning. Indexed citation attention in this corpus is too sparse, too uneven across venue families, and too disconnected from article age to serve as a measure of the concern’s salience. The learning curve’s failure to fit, with age explaining under one percent of citation variation, is the diagnostic that confirms it</w:t>
      </w:r>
      <w:r>
        <w:t xml:space="preserve"> </w:t>
      </w:r>
      <w:hyperlink w:anchor="ref-10">
        <w:r>
          <w:rPr>
            <w:rStyle w:val="Hyperlink"/>
          </w:rPr>
          <w:t xml:space="preserve">[10]</w:t>
        </w:r>
      </w:hyperlink>
      <w:r>
        <w:t xml:space="preserve">. Where citation counts do appear, they cluster in a handful of Acta Astronautica records for reasons of venue and indexing rather than concern intensity</w:t>
      </w:r>
      <w:r>
        <w:t xml:space="preserve"> </w:t>
      </w:r>
      <w:hyperlink w:anchor="ref-11">
        <w:r>
          <w:rPr>
            <w:rStyle w:val="Hyperlink"/>
          </w:rPr>
          <w:t xml:space="preserve">[11]</w:t>
        </w:r>
      </w:hyperlink>
      <w:r>
        <w:t xml:space="preserve">. Attention, as this corpus indexes it, is simply the wrong channel for the question, and the design was right to hold it at arm’s length.</w:t>
      </w:r>
    </w:p>
    <w:bookmarkEnd w:id="131"/>
    <w:bookmarkStart w:id="132" w:name="construct-validity-threats"/>
    <w:p>
      <w:pPr>
        <w:pStyle w:val="Heading2"/>
        <w:spacing w:line="480" w:lineRule="auto"/>
      </w:pPr>
      <w:r>
        <w:t xml:space="preserve">7.2 Construct validity threats</w:t>
      </w:r>
    </w:p>
    <w:p>
      <w:pPr>
        <w:pStyle w:val="FirstParagraph"/>
        <w:spacing w:line="480" w:lineRule="auto"/>
      </w:pPr>
      <w:r>
        <w:t xml:space="preserve">The most serious threat is to the outcome construct itself. The signal score counts theme term hits across title, snippet, keyword, and author fields, which means it measures the density of the concern’s vocabulary in metadata, not the depth of the concern’s treatment in the underlying work. A source can engage provenance and custody profoundly while using little of the tracked vocabulary in its metadata, and it would score low. The venue result is partly exposed to this threat, because conference metadata and journal metadata differ in length and keyword conventions, so some of the venue gradient could reflect how each family writes its metadata rather than how densely each engages the concern. Chapter 5’s supporting fields, the title, snippet, and keyword counts, let a reader gauge this, but they do not eliminate it. The result should be read as a finding about metadata legibility that is suggestive of, but not identical to, substantive concentration.</w:t>
      </w:r>
    </w:p>
    <w:p>
      <w:pPr>
        <w:pStyle w:val="BodyText"/>
        <w:spacing w:line="480" w:lineRule="auto"/>
        <w:ind w:firstLine="720"/>
      </w:pPr>
      <w:r>
        <w:t xml:space="preserve">A related threat concerns the ordinal venue coding. Assigning one, two, and three to the three families imposes a single scalar ordering on what are really distinct categories, and the linear model reads the venue effect as constant across steps. If the true pattern is that the conference family differs sharply from both others while the journal and space economy families are similar, the linear ordinal coding would misstate the shape while still recovering the correct sign. The magnitude of the venue coefficient should therefore be treated as approximate, and Chapter 8’s recommendations include re estimating with venue as an unordered categorical factor once the sample is large enough to support it.</w:t>
      </w:r>
    </w:p>
    <w:bookmarkEnd w:id="132"/>
    <w:bookmarkStart w:id="133" w:name="Xd82dcadb4a2b30a96d2cf884bb4cd077870a500"/>
    <w:p>
      <w:pPr>
        <w:pStyle w:val="Heading2"/>
        <w:spacing w:line="480" w:lineRule="auto"/>
      </w:pPr>
      <w:r>
        <w:t xml:space="preserve">7.3 Internal validity and the citation confound</w:t>
      </w:r>
    </w:p>
    <w:p>
      <w:pPr>
        <w:pStyle w:val="FirstParagraph"/>
        <w:spacing w:line="480" w:lineRule="auto"/>
      </w:pPr>
      <w:r>
        <w:t xml:space="preserve">The citation measure carries an internal validity threat that Chapter 4 anticipated and the results confirmed. Newer work carries more of the concern yet has had less time to accrue citations, so citation count and recency are entangled, which biases any naive reading of the citation coefficient toward zero</w:t>
      </w:r>
      <w:r>
        <w:t xml:space="preserve"> </w:t>
      </w:r>
      <w:hyperlink w:anchor="ref-10">
        <w:r>
          <w:rPr>
            <w:rStyle w:val="Hyperlink"/>
          </w:rPr>
          <w:t xml:space="preserve">[10]</w:t>
        </w:r>
      </w:hyperlink>
      <w:r>
        <w:t xml:space="preserve">. The design handled this by refusing to interpret the citation term causally and by running the learning curve model to diagnose the age dependence directly. The diagnosis returned a null, which means the entanglement, while real in principle, is dominated in practice by an even more basic problem: citation attention in this corpus is mostly absent and, where present, venue bound. The confound did not need to be resolved because the channel it contaminates turned out to be uninformative regardless.</w:t>
      </w:r>
    </w:p>
    <w:bookmarkEnd w:id="133"/>
    <w:bookmarkStart w:id="134" w:name="external-validity"/>
    <w:p>
      <w:pPr>
        <w:pStyle w:val="Heading2"/>
        <w:spacing w:line="480" w:lineRule="auto"/>
      </w:pPr>
      <w:r>
        <w:t xml:space="preserve">7.4 External validity</w:t>
      </w:r>
    </w:p>
    <w:p>
      <w:pPr>
        <w:pStyle w:val="FirstParagraph"/>
        <w:spacing w:line="480" w:lineRule="auto"/>
      </w:pPr>
      <w:r>
        <w:t xml:space="preserve">The corpus is a purposive retrieval, not a random sample, so the findings do not generalize to the population of all space operations literature, and they were never meant to. The venue gradient is a property of this retrieval organized around this candidate topic. A different retrieval, a different theme vocabulary, or a different set of venue families could yield a different gradient. This is the ordinary price of a curated screen, and the design pays it openly. The external claim is deliberately small: within a transparent, provenance preserving retrieval on this topic, the concern is legible through venue and not through time or attention. Extending that claim to the field at large requires the larger, more representative corpus that Chapter 8 recommends.</w:t>
      </w:r>
    </w:p>
    <w:bookmarkEnd w:id="134"/>
    <w:bookmarkStart w:id="135" w:name="what-the-data-cannot-show"/>
    <w:p>
      <w:pPr>
        <w:pStyle w:val="Heading2"/>
        <w:spacing w:line="480" w:lineRule="auto"/>
      </w:pPr>
      <w:r>
        <w:t xml:space="preserve">7.5 What the data cannot show</w:t>
      </w:r>
    </w:p>
    <w:p>
      <w:pPr>
        <w:pStyle w:val="FirstParagraph"/>
        <w:spacing w:line="480" w:lineRule="auto"/>
      </w:pPr>
      <w:r>
        <w:t xml:space="preserve">Three limits are categorical, not incremental. First, the data cannot show how often real conjunction decisions are actually documented, because the dataset is documentary literature about the domain, not operational records from within it. No amount of additional bibliometric data would cross that gap; only access to operational decision logs would, and those are not obtainable here. Second, the data cannot establish causation among recency, attention, venue, and the concern, because there is no exogenous variation in any of them; the estimators recover conditional associations and nothing stronger</w:t>
      </w:r>
      <w:r>
        <w:t xml:space="preserve"> </w:t>
      </w:r>
      <w:hyperlink w:anchor="ref-3">
        <w:r>
          <w:rPr>
            <w:rStyle w:val="Hyperlink"/>
          </w:rPr>
          <w:t xml:space="preserve">[3]</w:t>
        </w:r>
      </w:hyperlink>
      <w:r>
        <w:t xml:space="preserve">. Third, the data cannot speak to the quality of any provenance chain, only to the presence of the concern’s vocabulary in metadata; a densely named concern can still be poorly practiced, and a sparsely named one well practiced</w:t>
      </w:r>
      <w:r>
        <w:t xml:space="preserve"> </w:t>
      </w:r>
      <w:hyperlink w:anchor="ref-9">
        <w:r>
          <w:rPr>
            <w:rStyle w:val="Hyperlink"/>
          </w:rPr>
          <w:t xml:space="preserve">[9]</w:t>
        </w:r>
      </w:hyperlink>
      <w:r>
        <w:t xml:space="preserve">.</w:t>
      </w:r>
    </w:p>
    <w:bookmarkEnd w:id="135"/>
    <w:bookmarkStart w:id="136" w:name="statistical-caution"/>
    <w:p>
      <w:pPr>
        <w:pStyle w:val="Heading2"/>
        <w:spacing w:line="480" w:lineRule="auto"/>
      </w:pPr>
      <w:r>
        <w:t xml:space="preserve">7.6 Statistical caution</w:t>
      </w:r>
    </w:p>
    <w:p>
      <w:pPr>
        <w:pStyle w:val="FirstParagraph"/>
        <w:spacing w:line="480" w:lineRule="auto"/>
      </w:pPr>
      <w:r>
        <w:t xml:space="preserve">Two further cautions temper the numbers themselves. With thirty records and three predictors, the first model’s degrees of freedom are thin, and the adjusted R-squared of about 0.22 reflects that thinness honestly. The precise venue coefficient survives that caution because its p value of 0.0034 is comfortably below conventional thresholds even after the robust correction, but the recency and citation nulls could in part reflect low power rather than true absence, and they are reported as unconfirmed rather than as established zeros. The learning curve model, with one predictor, is less exposed to the degrees of freedom problem, and its near zero R-squared is a strong statement that age simply does not organize attention here rather than an artifact of low power</w:t>
      </w:r>
      <w:r>
        <w:t xml:space="preserve"> </w:t>
      </w:r>
      <w:hyperlink w:anchor="ref-10">
        <w:r>
          <w:rPr>
            <w:rStyle w:val="Hyperlink"/>
          </w:rPr>
          <w:t xml:space="preserve">[10]</w:t>
        </w:r>
      </w:hyperlink>
      <w:r>
        <w:t xml:space="preserve">. Read with these cautions, the results support exactly one confident claim, the venue gradient, and two disciplined non findings, on recency and attention, which is the appropriate yield from a corpus of this size and character.</w:t>
      </w:r>
    </w:p>
    <w:bookmarkEnd w:id="136"/>
    <w:bookmarkStart w:id="137" w:name="the-length-confound-examined-directly"/>
    <w:p>
      <w:pPr>
        <w:pStyle w:val="Heading2"/>
        <w:spacing w:line="480" w:lineRule="auto"/>
      </w:pPr>
      <w:r>
        <w:t xml:space="preserve">7.7 The length confound examined directly</w:t>
      </w:r>
    </w:p>
    <w:p>
      <w:pPr>
        <w:pStyle w:val="FirstParagraph"/>
        <w:spacing w:line="480" w:lineRule="auto"/>
      </w:pPr>
      <w:r>
        <w:t xml:space="preserve">The single threat most likely to unsettle the venue finding is the length confound, and it deserves a direct examination rather than a passing acknowledgment. The signal score counts theme term hits across four metadata fields, and longer metadata offers more opportunities for hits. If the operational conference family systematically publishes longer or keyword richer metadata than the journal and space economy families, then part of the venue gradient could be an artifact of metadata length rather than of substantive concern density. Chapter 5 preserved the title, snippet, and keyword counts precisely so this threat could be inspected.</w:t>
      </w:r>
    </w:p>
    <w:p>
      <w:pPr>
        <w:pStyle w:val="BodyText"/>
        <w:spacing w:line="480" w:lineRule="auto"/>
        <w:ind w:firstLine="720"/>
      </w:pPr>
      <w:r>
        <w:t xml:space="preserve">The inspection is reassuring but not conclusive. The two highest scoring records, both in the conference family, achieve their scores through dense theme term usage in relatively compact metadata, not through sheer length</w:t>
      </w:r>
      <w:r>
        <w:t xml:space="preserve"> </w:t>
      </w:r>
      <w:hyperlink w:anchor="ref-4">
        <w:r>
          <w:rPr>
            <w:rStyle w:val="Hyperlink"/>
          </w:rPr>
          <w:t xml:space="preserve">[4]</w:t>
        </w:r>
      </w:hyperlink>
      <w:r>
        <w:t xml:space="preserve"> </w:t>
      </w:r>
      <w:hyperlink w:anchor="ref-5">
        <w:r>
          <w:rPr>
            <w:rStyle w:val="Hyperlink"/>
          </w:rPr>
          <w:t xml:space="preserve">[5]</w:t>
        </w:r>
      </w:hyperlink>
      <w:r>
        <w:t xml:space="preserve">. Several long journal records, by contrast, score low despite ample metadata, because their vocabulary sits adjacent to the concern without naming it densely. This pattern suggests the venue gradient reflects concentration rather than length, since length and score do not move together across the sample. The caveat is that thirty records cannot support a formal control for length alongside the three existing predictors without straining the degrees of freedom, so the argument rests on inspection rather than on a fitted length control. The honest conclusion is that the length confound is present in principle, appears not to drive the venue result on inspection, and should be formally controlled in the larger follow on sample.</w:t>
      </w:r>
    </w:p>
    <w:bookmarkEnd w:id="137"/>
    <w:bookmarkStart w:id="138" w:name="Xc02fb9cf402c0dc853e48d0462a8cfddfb6de33"/>
    <w:p>
      <w:pPr>
        <w:pStyle w:val="Heading2"/>
        <w:spacing w:line="480" w:lineRule="auto"/>
      </w:pPr>
      <w:r>
        <w:t xml:space="preserve">7.8 Alternative explanations for the venue gradient</w:t>
      </w:r>
    </w:p>
    <w:p>
      <w:pPr>
        <w:pStyle w:val="FirstParagraph"/>
        <w:spacing w:line="480" w:lineRule="auto"/>
      </w:pPr>
      <w:r>
        <w:t xml:space="preserve">Intellectual honesty requires entertaining explanations for the venue gradient other than genuine concern concentration. One alternative is disciplinary vocabulary. The operational conference community may simply use the specific theme terms more habitually as jargon, so that the signal score measures dialect rather than concern. This is difficult to distinguish from substantive concentration at the metadata level, and it is a real limit; a document coding study that reads the underlying work would separate jargon from engagement in a way this screen cannot</w:t>
      </w:r>
      <w:r>
        <w:t xml:space="preserve"> </w:t>
      </w:r>
      <w:hyperlink w:anchor="ref-3">
        <w:r>
          <w:rPr>
            <w:rStyle w:val="Hyperlink"/>
          </w:rPr>
          <w:t xml:space="preserve">[3]</w:t>
        </w:r>
      </w:hyperlink>
      <w:r>
        <w:t xml:space="preserve">.</w:t>
      </w:r>
    </w:p>
    <w:p>
      <w:pPr>
        <w:pStyle w:val="BodyText"/>
        <w:spacing w:line="480" w:lineRule="auto"/>
        <w:ind w:firstLine="720"/>
      </w:pPr>
      <w:r>
        <w:t xml:space="preserve">A second alternative is selection in the retrieval itself. Because the corpus is purposive, the particular conference records retrieved may overrepresent the concern relative to the conference literature as a whole, inflating the family’s apparent density. The design cannot rule this out, and it is the strongest reason to treat the external claim as bounded to this retrieval rather than generalized to the field. A third alternative is that the journal and space economy families dilute the concern not because they engage it less but because their metadata conventions favor broader thematic keywords over specific ones, which would depress their signal scores for reasons of indexing convention rather than engagement</w:t>
      </w:r>
      <w:r>
        <w:t xml:space="preserve"> </w:t>
      </w:r>
      <w:hyperlink w:anchor="ref-15">
        <w:r>
          <w:rPr>
            <w:rStyle w:val="Hyperlink"/>
          </w:rPr>
          <w:t xml:space="preserve">[15]</w:t>
        </w:r>
      </w:hyperlink>
      <w:r>
        <w:t xml:space="preserve">. Each alternative is plausible, none is fully excluded, and their joint presence is why the venue result is reported as a corpus screen finding that motivates a richer study rather than as a settled fact about the field.</w:t>
      </w:r>
    </w:p>
    <w:bookmarkEnd w:id="138"/>
    <w:bookmarkStart w:id="139" w:name="X6f6046413804862bc208fb544ebdbc7d2165f29"/>
    <w:p>
      <w:pPr>
        <w:pStyle w:val="Heading2"/>
        <w:spacing w:line="480" w:lineRule="auto"/>
      </w:pPr>
      <w:r>
        <w:t xml:space="preserve">7.9 The gap between metadata and operational reality</w:t>
      </w:r>
    </w:p>
    <w:p>
      <w:pPr>
        <w:pStyle w:val="FirstParagraph"/>
        <w:spacing w:line="480" w:lineRule="auto"/>
      </w:pPr>
      <w:r>
        <w:t xml:space="preserve">The deepest limitation is the one the design chose to accept, and confronting it directly is more honest than burying it among smaller caveats. This dissertation measures a documentary trace. It does not measure operational practice. The chain of reasoning from a signal score in a source’s metadata to the frequency with which a real operator documents a real conjunction decision is long, and every link in it is an assumption rather than an observation. A field can name a concern densely in its literature while practicing it poorly, or name it sparsely while practicing it well, and the screen cannot distinguish these cases</w:t>
      </w:r>
      <w:r>
        <w:t xml:space="preserve"> </w:t>
      </w:r>
      <w:hyperlink w:anchor="ref-9">
        <w:r>
          <w:rPr>
            <w:rStyle w:val="Hyperlink"/>
          </w:rPr>
          <w:t xml:space="preserve">[9]</w:t>
        </w:r>
      </w:hyperlink>
      <w:r>
        <w:t xml:space="preserve">.</w:t>
      </w:r>
    </w:p>
    <w:p>
      <w:pPr>
        <w:pStyle w:val="BodyText"/>
        <w:spacing w:line="480" w:lineRule="auto"/>
        <w:ind w:firstLine="720"/>
      </w:pPr>
      <w:r>
        <w:t xml:space="preserve">This gap is not a flaw to be apologized for; it is the boundary of what obtainable evidence permits. Operational decision logs are simply not available to this design, and no amount of additional bibliometric data would substitute for them. The honest posture is to treat the documentary trace as a leading indicator whose relationship to practice is itself an open empirical question, one the staged research program in Chapter 8 proposes to answer by eventually validating the screen against operational records</w:t>
      </w:r>
      <w:r>
        <w:t xml:space="preserve"> </w:t>
      </w:r>
      <w:hyperlink w:anchor="ref-12">
        <w:r>
          <w:rPr>
            <w:rStyle w:val="Hyperlink"/>
          </w:rPr>
          <w:t xml:space="preserve">[12]</w:t>
        </w:r>
      </w:hyperlink>
      <w:r>
        <w:t xml:space="preserve">. Until that validation is done, every operational implication drawn from the venue result is a hypothesis about practice, not a measurement of it, and the discussion labels each one that way throughout.</w:t>
      </w:r>
    </w:p>
    <w:p>
      <w:pPr>
        <w:pStyle w:val="BodyText"/>
        <w:spacing w:line="480" w:lineRule="auto"/>
        <w:ind w:firstLine="720"/>
      </w:pPr>
      <w:r>
        <w:t xml:space="preserve">There is a constructive reading of the gap. Precisely because the screen cannot see operational practice, it forces the field to confront how little of that practice is currently observable to anyone outside the operators themselves. The invisibility of operational provenance is not merely this dissertation’s limitation; it is the field’s condition, and the screen makes that condition legible. A governance community that wants to know how often conjunction decisions rest on documented chains will have to build the observability that does not yet exist, and naming the gap is the first step toward building it</w:t>
      </w:r>
      <w:r>
        <w:t xml:space="preserve"> </w:t>
      </w:r>
      <w:hyperlink w:anchor="ref-1">
        <w:r>
          <w:rPr>
            <w:rStyle w:val="Hyperlink"/>
          </w:rPr>
          <w:t xml:space="preserve">[1]</w:t>
        </w:r>
      </w:hyperlink>
      <w:r>
        <w:t xml:space="preserve">.</w:t>
      </w:r>
    </w:p>
    <w:bookmarkEnd w:id="139"/>
    <w:bookmarkStart w:id="140" w:name="what-a-hostile-examiner-would-press"/>
    <w:p>
      <w:pPr>
        <w:pStyle w:val="Heading2"/>
        <w:spacing w:line="480" w:lineRule="auto"/>
      </w:pPr>
      <w:r>
        <w:t xml:space="preserve">7.10 What a hostile examiner would press</w:t>
      </w:r>
    </w:p>
    <w:p>
      <w:pPr>
        <w:pStyle w:val="FirstParagraph"/>
        <w:spacing w:line="480" w:lineRule="auto"/>
      </w:pPr>
      <w:r>
        <w:t xml:space="preserve">A useful discipline is to imagine the objections a hostile examiner would raise and to answer them in advance rather than hope they go unasked. The first objection would be that thirty records is too small for any regression to carry weight. The answer is that the design never claimed statistical power as its virtue; it claimed a falsifiable, inspectable screen, and a small sample can still reject a strict joint null, which it did at a p value of 0.0007, and can still fail to fit a learning curve, which it did</w:t>
      </w:r>
      <w:r>
        <w:t xml:space="preserve"> </w:t>
      </w:r>
      <w:hyperlink w:anchor="ref-10">
        <w:r>
          <w:rPr>
            <w:rStyle w:val="Hyperlink"/>
          </w:rPr>
          <w:t xml:space="preserve">[10]</w:t>
        </w:r>
      </w:hyperlink>
      <w:r>
        <w:t xml:space="preserve">. The smallness is a real limit on the recency and attention nulls, which are reported as unconfirmed, and it is a lesser limit on the venue result, which survives robust inference.</w:t>
      </w:r>
    </w:p>
    <w:p>
      <w:pPr>
        <w:pStyle w:val="BodyText"/>
        <w:spacing w:line="480" w:lineRule="auto"/>
        <w:ind w:firstLine="720"/>
      </w:pPr>
      <w:r>
        <w:t xml:space="preserve">The second objection would be that the outcome measures vocabulary, not substance, so the whole exercise measures how a field talks rather than what it does</w:t>
      </w:r>
      <w:r>
        <w:t xml:space="preserve"> </w:t>
      </w:r>
      <w:hyperlink w:anchor="ref-3">
        <w:r>
          <w:rPr>
            <w:rStyle w:val="Hyperlink"/>
          </w:rPr>
          <w:t xml:space="preserve">[3]</w:t>
        </w:r>
      </w:hyperlink>
      <w:r>
        <w:t xml:space="preserve">. This is the strongest objection, and the answer is concession plus scope: the design accepts that it measures a documentary trace, treats that trace as a leading indicator whose relation to practice is an open question, and specifies the document coding study that would close the gap. The objection does not defeat the design; it describes the design’s boundary, which the design already names.</w:t>
      </w:r>
    </w:p>
    <w:p>
      <w:pPr>
        <w:pStyle w:val="BodyText"/>
        <w:spacing w:line="480" w:lineRule="auto"/>
        <w:ind w:firstLine="720"/>
      </w:pPr>
      <w:r>
        <w:t xml:space="preserve">The third objection would be that a purposive corpus cannot generalize</w:t>
      </w:r>
      <w:r>
        <w:t xml:space="preserve"> </w:t>
      </w:r>
      <w:hyperlink w:anchor="ref-16">
        <w:r>
          <w:rPr>
            <w:rStyle w:val="Hyperlink"/>
          </w:rPr>
          <w:t xml:space="preserve">[16]</w:t>
        </w:r>
      </w:hyperlink>
      <w:r>
        <w:t xml:space="preserve">. The answer is that the external claim is deliberately bounded to the retrieval, and generalization is explicitly deferred to a larger representative sample. An examiner pressing each of these would find the design has already conceded the true limits and defended only the bounded claim it actually makes, which is the posture a screen should adopt under scrutiny</w:t>
      </w:r>
      <w:r>
        <w:t xml:space="preserve"> </w:t>
      </w:r>
      <w:hyperlink w:anchor="ref-6">
        <w:r>
          <w:rPr>
            <w:rStyle w:val="Hyperlink"/>
          </w:rPr>
          <w:t xml:space="preserve">[6]</w:t>
        </w:r>
      </w:hyperlink>
      <w:r>
        <w:t xml:space="preserve">.</w:t>
      </w:r>
    </w:p>
    <w:bookmarkEnd w:id="140"/>
    <w:bookmarkStart w:id="141" w:name="X5637ac64c1636f603a13d68e5f8a6b6a1018528"/>
    <w:p>
      <w:pPr>
        <w:pStyle w:val="Heading2"/>
        <w:spacing w:line="480" w:lineRule="auto"/>
      </w:pPr>
      <w:r>
        <w:t xml:space="preserve">7.11 The risk of overinterpreting a single significant coefficient</w:t>
      </w:r>
    </w:p>
    <w:p>
      <w:pPr>
        <w:pStyle w:val="FirstParagraph"/>
        <w:spacing w:line="480" w:lineRule="auto"/>
      </w:pPr>
      <w:r>
        <w:t xml:space="preserve">A subtle danger in a screen that returns one significant result is the temptation to build too much on it. The venue coefficient is precise and substantively sensible, but it is one coefficient from one model on one small purposive corpus, and treating it as a settled fact about the field would repeat the very overreach the design was built to avoid. The discipline here is to state what the coefficient supports and refuse to state more. It supports the claim that, within this retrieval, the concern’s metadata density is concentrated in the operational conference family. It does not support claims about the field at large, about operational practice, or about causation, and each of those extensions would be an overinterpretation.</w:t>
      </w:r>
    </w:p>
    <w:p>
      <w:pPr>
        <w:pStyle w:val="BodyText"/>
        <w:spacing w:line="480" w:lineRule="auto"/>
        <w:ind w:firstLine="720"/>
      </w:pPr>
      <w:r>
        <w:t xml:space="preserve">The guard against overinterpretation is to keep the coefficient tethered to its three alternative explanations, developed above, and to the metadata versus substance gap that bounds the outcome construct</w:t>
      </w:r>
      <w:r>
        <w:t xml:space="preserve"> </w:t>
      </w:r>
      <w:hyperlink w:anchor="ref-3">
        <w:r>
          <w:rPr>
            <w:rStyle w:val="Hyperlink"/>
          </w:rPr>
          <w:t xml:space="preserve">[3]</w:t>
        </w:r>
      </w:hyperlink>
      <w:r>
        <w:t xml:space="preserve">. A venue effect that could reflect disciplinary jargon, retrieval selection, or indexing convention, as much as substantive concentration, is a finding to be built upon cautiously, not a foundation to be treated as bedrock. The dissertation’s confidence in the coefficient is confidence that it is a real feature of the corpus, not confidence that it is a real feature of the world, and holding that distinction is what separates a disciplined screen from a study that mistook a single significant number for a discovery</w:t>
      </w:r>
      <w:r>
        <w:t xml:space="preserve"> </w:t>
      </w:r>
      <w:hyperlink w:anchor="ref-6">
        <w:r>
          <w:rPr>
            <w:rStyle w:val="Hyperlink"/>
          </w:rPr>
          <w:t xml:space="preserve">[6]</w:t>
        </w:r>
      </w:hyperlink>
      <w:r>
        <w:t xml:space="preserve">. The follow on document coding study exists precisely so that the one confident corpus finding can be tested against substance before anyone builds policy on it</w:t>
      </w:r>
      <w:r>
        <w:t xml:space="preserve"> </w:t>
      </w:r>
      <w:hyperlink w:anchor="ref-12">
        <w:r>
          <w:rPr>
            <w:rStyle w:val="Hyperlink"/>
          </w:rPr>
          <w:t xml:space="preserve">[12]</w:t>
        </w:r>
      </w:hyperlink>
      <w:r>
        <w:t xml:space="preserve">.</w:t>
      </w:r>
    </w:p>
    <w:bookmarkEnd w:id="141"/>
    <w:bookmarkStart w:id="142" w:name="X5d04fac9d8ea9978838e3c03411cac835067e6e"/>
    <w:p>
      <w:pPr>
        <w:pStyle w:val="Heading2"/>
        <w:spacing w:line="480" w:lineRule="auto"/>
      </w:pPr>
      <w:r>
        <w:t xml:space="preserve">7.12 Why the limited result is still worth reporting</w:t>
      </w:r>
    </w:p>
    <w:p>
      <w:pPr>
        <w:pStyle w:val="FirstParagraph"/>
        <w:spacing w:line="480" w:lineRule="auto"/>
      </w:pPr>
      <w:r>
        <w:t xml:space="preserve">A screen that returns one precise finding and two honest nulls is more useful to a field than a confident narrative that overstates its evidence. The venue gradient tells a follow on study where to look: the operational conference literature is where the concern is most densely expressed, so a document coding study should oversample it</w:t>
      </w:r>
      <w:r>
        <w:t xml:space="preserve"> </w:t>
      </w:r>
      <w:hyperlink w:anchor="ref-4">
        <w:r>
          <w:rPr>
            <w:rStyle w:val="Hyperlink"/>
          </w:rPr>
          <w:t xml:space="preserve">[4]</w:t>
        </w:r>
      </w:hyperlink>
      <w:r>
        <w:t xml:space="preserve">. The recency and attention nulls tell that study what not to rely on: bibliometric attention is the wrong instrument for this concern at this stage, and time based inference needs a larger sample. Space traffic management has repeatedly suffered from premature confidence that a concern was understood because it was discussed</w:t>
      </w:r>
      <w:r>
        <w:t xml:space="preserve"> </w:t>
      </w:r>
      <w:hyperlink w:anchor="ref-6">
        <w:r>
          <w:rPr>
            <w:rStyle w:val="Hyperlink"/>
          </w:rPr>
          <w:t xml:space="preserve">[6]</w:t>
        </w:r>
      </w:hyperlink>
      <w:r>
        <w:t xml:space="preserve">. This dissertation’s restraint is a corrective, and its limitations are not a weakness of the design but the design working as intended.</w:t>
      </w:r>
    </w:p>
    <w:bookmarkEnd w:id="142"/>
    <w:bookmarkEnd w:id="143"/>
    <w:bookmarkStart w:id="18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a bounded, falsifiable question about a large operational problem. The problem is that conjunction decisions in space situational awareness rest on evidentiary chains that are frequently invisible, and invisibility corrodes the trust that a shared orbital commons requires. The bounded question was whether that concern is legible in the field’s own documentary record before any direct study of operational practice is undertaken. The answer, delivered by two transparent estimators on a thirty record corpus, is a qualified yes: the concern is legible, but through venue structure rather than through time or attention. This chapter states the contribution, connects it to governance and program needs, and lays out the study it justifies next.</w:t>
      </w:r>
    </w:p>
    <w:bookmarkStart w:id="144" w:name="the-contribution"/>
    <w:p>
      <w:pPr>
        <w:pStyle w:val="Heading2"/>
        <w:spacing w:line="480" w:lineRule="auto"/>
      </w:pPr>
      <w:r>
        <w:t xml:space="preserve">8.1 The contribution</w:t>
      </w:r>
    </w:p>
    <w:p>
      <w:pPr>
        <w:pStyle w:val="FirstParagraph"/>
        <w:spacing w:line="480" w:lineRule="auto"/>
      </w:pPr>
      <w:r>
        <w:t xml:space="preserve">The contribution is one falsifiable finding and a method for producing it. The finding is that within a provenance preserving, purposively retrieved corpus on this topic, the concern’s metadata fingerprint is precisely and substantially structured by venue family, densest in the operational conference literature and thinning toward the archival journal and space economy families. The joint F test rejected structurelessness at a p value of 0.0007, and the venue coefficient carried that rejection with a p value of 0.0034 and a magnitude near a full point on the signal scale. Recency pointed the predicted way but could not be resolved from zero, and citation attention proved uninformative, a non finding the learning curve model independently confirmed by failing to fit.</w:t>
      </w:r>
    </w:p>
    <w:p>
      <w:pPr>
        <w:pStyle w:val="BodyText"/>
        <w:spacing w:line="480" w:lineRule="auto"/>
        <w:ind w:firstLine="720"/>
      </w:pPr>
      <w:r>
        <w:t xml:space="preserve">Stated against the hypotheses, the strict joint null H0-A is rejected, the recency and attention components of the alternative H1-A are unconfirmed, and the attention accumulation null H0-B is not rejected. That is a precise verdict, and its precision is the contribution. The dissertation does not claim that provenance and custody are operationally solved or unsolved. It claims, with evidence a committee can retrace, that the concern has begun to organize the field’s record through the operational community rather than through the passage of time or the accumulation of citations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method is the second contribution, and arguably the more durable one. The design demonstrates that a domain concern can be converted into a falsifiable, inspectable screen using only obtainable documentary and bibliometric evidence, with every variable deterministically constructed and every row traceable to its source</w:t>
      </w:r>
      <w:r>
        <w:t xml:space="preserve"> </w:t>
      </w:r>
      <w:hyperlink w:anchor="ref-2">
        <w:r>
          <w:rPr>
            <w:rStyle w:val="Hyperlink"/>
          </w:rPr>
          <w:t xml:space="preserve">[2]</w:t>
        </w:r>
      </w:hyperlink>
      <w:r>
        <w:t xml:space="preserve">. The corpus practices the provenance discipline it studies, which is not a rhetorical flourish but a methodological commitment: no inference depends on a fact that cannot be retraced. That standard is portable to any early stage question about whether a space governance concern has yet cohered.</w:t>
      </w:r>
    </w:p>
    <w:bookmarkEnd w:id="144"/>
    <w:bookmarkStart w:id="145" w:name="governance-relevance"/>
    <w:p>
      <w:pPr>
        <w:pStyle w:val="Heading2"/>
        <w:spacing w:line="480" w:lineRule="auto"/>
      </w:pPr>
      <w:r>
        <w:t xml:space="preserve">8.2 Governance relevance</w:t>
      </w:r>
    </w:p>
    <w:p>
      <w:pPr>
        <w:pStyle w:val="FirstParagraph"/>
        <w:spacing w:line="480" w:lineRule="auto"/>
      </w:pPr>
      <w:r>
        <w:t xml:space="preserve">The venue gradient has a governance reading. If the concern is densest in the operational conference community and more diffuse in the peer reviewed and policy literatures, then the practitioners closest to conjunction decisions are ahead of the governance conversation in naming provenance and custody as operational realities. That is the characteristic lag between technical recognition and governance salience that the space traffic management literature has documented repeatedly</w:t>
      </w:r>
      <w:r>
        <w:t xml:space="preserve"> </w:t>
      </w:r>
      <w:hyperlink w:anchor="ref-6">
        <w:r>
          <w:rPr>
            <w:rStyle w:val="Hyperlink"/>
          </w:rPr>
          <w:t xml:space="preserve">[6]</w:t>
        </w:r>
      </w:hyperlink>
      <w:r>
        <w:t xml:space="preserve">. The finding suggests where governance attention should turn: toward codifying, in the peer reviewed and policy channels, the provenance practices that the operational community is already working out.</w:t>
      </w:r>
    </w:p>
    <w:p>
      <w:pPr>
        <w:pStyle w:val="BodyText"/>
        <w:spacing w:line="480" w:lineRule="auto"/>
        <w:ind w:firstLine="720"/>
      </w:pPr>
      <w:r>
        <w:t xml:space="preserve">Trusted stakeholder coordination depends on the ability to inspect why a shared claim should be believed, and provenance is the substrate of that inspection</w:t>
      </w:r>
      <w:r>
        <w:t xml:space="preserve"> </w:t>
      </w:r>
      <w:hyperlink w:anchor="ref-1">
        <w:r>
          <w:rPr>
            <w:rStyle w:val="Hyperlink"/>
          </w:rPr>
          <w:t xml:space="preserve">[1]</w:t>
        </w:r>
      </w:hyperlink>
      <w:r>
        <w:t xml:space="preserve">. A conjunction warning that cannot be retraced cannot be trusted across organizational boundaries, and cross boundary trust is exactly what a multi operator orbital environment requires. The dissertation’s result implies that the raw material for such trust, a concern actively named and worked in the operational literature, exists, and that the governance task is to elevate it from operational practice into shared, documented standard. Decision support architectures that treat supervisability as a first class objective offer a template for what that codification could look like</w:t>
      </w:r>
      <w:r>
        <w:t xml:space="preserve"> </w:t>
      </w:r>
      <w:hyperlink w:anchor="ref-12">
        <w:r>
          <w:rPr>
            <w:rStyle w:val="Hyperlink"/>
          </w:rPr>
          <w:t xml:space="preserve">[12]</w:t>
        </w:r>
      </w:hyperlink>
      <w:r>
        <w:t xml:space="preserve">.</w:t>
      </w:r>
    </w:p>
    <w:bookmarkEnd w:id="145"/>
    <w:bookmarkStart w:id="146" w:name="program-relevance"/>
    <w:p>
      <w:pPr>
        <w:pStyle w:val="Heading2"/>
        <w:spacing w:line="480" w:lineRule="auto"/>
      </w:pPr>
      <w:r>
        <w:t xml:space="preserve">8.3 Program relevance</w:t>
      </w:r>
    </w:p>
    <w:p>
      <w:pPr>
        <w:pStyle w:val="FirstParagraph"/>
        <w:spacing w:line="480" w:lineRule="auto"/>
      </w:pPr>
      <w:r>
        <w:t xml:space="preserve">For program offices standing up or evaluating conjunction assessment and sensor tasking systems, the finding carries a concrete implication. The operational community’s dense engagement with custody and provenance means that requirements for these systems should treat the recorded evidentiary chain as a specified deliverable rather than an emergent property. Tasking policies that optimize purely for information gain will, left unconstrained, accumulate decisions whose rationale cannot be reconstructed, and the literature that most clearly names this tension is precisely the operational literature the venue result identifies</w:t>
      </w:r>
      <w:r>
        <w:t xml:space="preserve"> </w:t>
      </w:r>
      <w:hyperlink w:anchor="ref-5">
        <w:r>
          <w:rPr>
            <w:rStyle w:val="Hyperlink"/>
          </w:rPr>
          <w:t xml:space="preserve">[5]</w:t>
        </w:r>
      </w:hyperlink>
      <w:r>
        <w:t xml:space="preserve">. A program that reads its own field’s record would prioritize instrumentation of the decision pipeline, in the manner the physics based testing and evaluation framework describes, so that provenance is captured by design</w:t>
      </w:r>
      <w:r>
        <w:t xml:space="preserve"> </w:t>
      </w:r>
      <w:hyperlink w:anchor="ref-3">
        <w:r>
          <w:rPr>
            <w:rStyle w:val="Hyperlink"/>
          </w:rPr>
          <w:t xml:space="preserve">[3]</w:t>
        </w:r>
      </w:hyperlink>
      <w:r>
        <w:t xml:space="preserve">.</w:t>
      </w:r>
    </w:p>
    <w:p>
      <w:pPr>
        <w:pStyle w:val="BodyText"/>
        <w:spacing w:line="480" w:lineRule="auto"/>
        <w:ind w:firstLine="720"/>
      </w:pPr>
      <w:r>
        <w:t xml:space="preserve">The federated and multi actor architectures now being rehearsed at operational scale raise the stakes further, because every additional actor is an additional handoff where custody can break</w:t>
      </w:r>
      <w:r>
        <w:t xml:space="preserve"> </w:t>
      </w:r>
      <w:hyperlink w:anchor="ref-8">
        <w:r>
          <w:rPr>
            <w:rStyle w:val="Hyperlink"/>
          </w:rPr>
          <w:t xml:space="preserve">[8]</w:t>
        </w:r>
      </w:hyperlink>
      <w:r>
        <w:t xml:space="preserve">. Autonomous multi spacecraft missions that generate their own conjunction relevant data compound the same problem</w:t>
      </w:r>
      <w:r>
        <w:t xml:space="preserve"> </w:t>
      </w:r>
      <w:hyperlink w:anchor="ref-7">
        <w:r>
          <w:rPr>
            <w:rStyle w:val="Hyperlink"/>
          </w:rPr>
          <w:t xml:space="preserve">[7]</w:t>
        </w:r>
      </w:hyperlink>
      <w:r>
        <w:t xml:space="preserve">. The program relevant conclusion is that provenance and custody should be engineered into these architectures at the outset, since the artifact return literature shows that custody is an achievement maintained through documented handoffs and not a property that survives on its own</w:t>
      </w:r>
      <w:r>
        <w:t xml:space="preserve"> </w:t>
      </w:r>
      <w:hyperlink w:anchor="ref-9">
        <w:r>
          <w:rPr>
            <w:rStyle w:val="Hyperlink"/>
          </w:rPr>
          <w:t xml:space="preserve">[9]</w:t>
        </w:r>
      </w:hyperlink>
      <w:r>
        <w:t xml:space="preserve">.</w:t>
      </w:r>
    </w:p>
    <w:bookmarkEnd w:id="146"/>
    <w:bookmarkStart w:id="147" w:name="future-work"/>
    <w:p>
      <w:pPr>
        <w:pStyle w:val="Heading2"/>
        <w:spacing w:line="480" w:lineRule="auto"/>
      </w:pPr>
      <w:r>
        <w:t xml:space="preserve">8.4 Future work</w:t>
      </w:r>
    </w:p>
    <w:p>
      <w:pPr>
        <w:pStyle w:val="FirstParagraph"/>
        <w:spacing w:line="480" w:lineRule="auto"/>
      </w:pPr>
      <w:r>
        <w:t xml:space="preserve">The design points to a clear next study rather than a vague call for more research. The venue gradient tells that study where to look: oversample the operational conference literature, where the concern is densest, and pair the bibliometric screen with direct document coding that reads the underlying work rather than its metadata</w:t>
      </w:r>
      <w:r>
        <w:t xml:space="preserve"> </w:t>
      </w:r>
      <w:hyperlink w:anchor="ref-4">
        <w:r>
          <w:rPr>
            <w:rStyle w:val="Hyperlink"/>
          </w:rPr>
          <w:t xml:space="preserve">[4]</w:t>
        </w:r>
      </w:hyperlink>
      <w:r>
        <w:t xml:space="preserve">. Document coding would address the central construct validity threat, the gap between vocabulary density and substantive treatment, that Chapter 7 identified. It would replace the theme term count with a graded assessment of how thoroughly each source specifies its evidentiary chain.</w:t>
      </w:r>
    </w:p>
    <w:p>
      <w:pPr>
        <w:pStyle w:val="BodyText"/>
        <w:spacing w:line="480" w:lineRule="auto"/>
        <w:ind w:firstLine="720"/>
      </w:pPr>
      <w:r>
        <w:t xml:space="preserve">Three further extensions follow. First, the sample should grow well beyond thirty records so that recency, which pointed the right way but could not be resolved, can be tested with adequate power, and so that venue can be re estimated as an unordered categorical factor rather than an ordinal scale</w:t>
      </w:r>
      <w:r>
        <w:t xml:space="preserve"> </w:t>
      </w:r>
      <w:hyperlink w:anchor="ref-6">
        <w:r>
          <w:rPr>
            <w:rStyle w:val="Hyperlink"/>
          </w:rPr>
          <w:t xml:space="preserve">[6]</w:t>
        </w:r>
      </w:hyperlink>
      <w:r>
        <w:t xml:space="preserve">. Second, the attention channel should be abandoned or replaced; indexed citation counts proved uninformative and venue bound, and a future design should either drop them or draw citations from a source with consistent cross venue coverage</w:t>
      </w:r>
      <w:r>
        <w:t xml:space="preserve"> </w:t>
      </w:r>
      <w:hyperlink w:anchor="ref-10">
        <w:r>
          <w:rPr>
            <w:rStyle w:val="Hyperlink"/>
          </w:rPr>
          <w:t xml:space="preserve">[10]</w:t>
        </w:r>
      </w:hyperlink>
      <w:r>
        <w:t xml:space="preserve">. Third, and most ambitiously, the documentary screen should eventually be validated against operational evidence, because the ultimate question, how often real conjunction decisions rest on a documented chain, can only be answered with access to the decision records themselves, which this design deliberately did not claim to have.</w:t>
      </w:r>
    </w:p>
    <w:bookmarkEnd w:id="147"/>
    <w:bookmarkStart w:id="148" w:name="a-staged-research-program"/>
    <w:p>
      <w:pPr>
        <w:pStyle w:val="Heading2"/>
        <w:spacing w:line="480" w:lineRule="auto"/>
      </w:pPr>
      <w:r>
        <w:t xml:space="preserve">8.5 A staged research program</w:t>
      </w:r>
    </w:p>
    <w:p>
      <w:pPr>
        <w:pStyle w:val="FirstParagraph"/>
        <w:spacing w:line="480" w:lineRule="auto"/>
      </w:pPr>
      <w:r>
        <w:t xml:space="preserve">The single follow on study is best understood as the first stage of a longer program, and laying out the stages clarifies how this dissertation fits a larger arc. Stage one is the document coding study the venue result points toward: oversample the operational conference literature, read the underlying work rather than its metadata, and grade each source on how thoroughly it specifies provenance and custody in its own decision procedures</w:t>
      </w:r>
      <w:r>
        <w:t xml:space="preserve"> </w:t>
      </w:r>
      <w:hyperlink w:anchor="ref-4">
        <w:r>
          <w:rPr>
            <w:rStyle w:val="Hyperlink"/>
          </w:rPr>
          <w:t xml:space="preserve">[4]</w:t>
        </w:r>
      </w:hyperlink>
      <w:r>
        <w:t xml:space="preserve">. That stage converts the screen’s metadata proxy into a substantive measure and tests whether the venue gradient survives the conversion.</w:t>
      </w:r>
    </w:p>
    <w:p>
      <w:pPr>
        <w:pStyle w:val="BodyText"/>
        <w:spacing w:line="480" w:lineRule="auto"/>
        <w:ind w:firstLine="720"/>
      </w:pPr>
      <w:r>
        <w:t xml:space="preserve">Stage two moves from literature to artifact. Where the conference and journal work describes systems that produce conjunction decisions, those systems generate logs, and a subset of those logs may be obtainable through cooperative operators or published exercise records</w:t>
      </w:r>
      <w:r>
        <w:t xml:space="preserve"> </w:t>
      </w:r>
      <w:hyperlink w:anchor="ref-8">
        <w:r>
          <w:rPr>
            <w:rStyle w:val="Hyperlink"/>
          </w:rPr>
          <w:t xml:space="preserve">[8]</w:t>
        </w:r>
      </w:hyperlink>
      <w:r>
        <w:t xml:space="preserve">. Coding whether a sample of actual decisions carried documented provenance chains would begin to answer the operational question this dissertation deliberately left to future work: how often, in practice, a conjunction decision rests on an inspectable chain rather than an assertion. Stage three closes the loop by validating the documentary screen against the operational sample, testing whether the field’s published attention to provenance predicts its operational practice of provenance, which is the deepest version of the question and the one requiring the most access</w:t>
      </w:r>
      <w:r>
        <w:t xml:space="preserve"> </w:t>
      </w:r>
      <w:hyperlink w:anchor="ref-12">
        <w:r>
          <w:rPr>
            <w:rStyle w:val="Hyperlink"/>
          </w:rPr>
          <w:t xml:space="preserve">[12]</w:t>
        </w:r>
      </w:hyperlink>
      <w:r>
        <w:t xml:space="preserve">.</w:t>
      </w:r>
    </w:p>
    <w:p>
      <w:pPr>
        <w:pStyle w:val="BodyText"/>
        <w:spacing w:line="480" w:lineRule="auto"/>
        <w:ind w:firstLine="720"/>
      </w:pPr>
      <w:r>
        <w:t xml:space="preserve">This staging matters for how the present contribution should be judged. A design stage screen is not a failed operational study; it is the correct first move in a program that cannot begin with operational data it has no way to obtain. The dissertation earns its place by making the first move rigorously, delivering a falsifiable result, and specifying precisely what the next moves require. Space traffic governance has too often skipped the early stages and asserted operational conclusions on narrative grounds, and the staged program is a deliberate refusal of that shortcut</w:t>
      </w:r>
      <w:r>
        <w:t xml:space="preserve"> </w:t>
      </w:r>
      <w:hyperlink w:anchor="ref-6">
        <w:r>
          <w:rPr>
            <w:rStyle w:val="Hyperlink"/>
          </w:rPr>
          <w:t xml:space="preserve">[6]</w:t>
        </w:r>
      </w:hyperlink>
      <w:r>
        <w:t xml:space="preserve">.</w:t>
      </w:r>
    </w:p>
    <w:bookmarkEnd w:id="148"/>
    <w:bookmarkStart w:id="149" w:name="the-methodological-legacy"/>
    <w:p>
      <w:pPr>
        <w:pStyle w:val="Heading2"/>
        <w:spacing w:line="480" w:lineRule="auto"/>
      </w:pPr>
      <w:r>
        <w:t xml:space="preserve">8.6 The methodological legacy</w:t>
      </w:r>
    </w:p>
    <w:p>
      <w:pPr>
        <w:pStyle w:val="FirstParagraph"/>
        <w:spacing w:line="480" w:lineRule="auto"/>
      </w:pPr>
      <w:r>
        <w:t xml:space="preserve">Beyond its substantive finding, the dissertation leaves a reusable pattern for any early stage question about whether a space governance concern has cohered. The pattern has four parts. Retrieve a purposive corpus and preserve every source. Construct every variable deterministically so that no inference depends on analyst judgment that cannot be retraced. Fit small, transparent estimators once, without specification search. Report the exact output and interpret only what the fit will bear. Each part is a guard against a specific way that early stage claims go wrong, and together they produce a screen a committee can audit end to end.</w:t>
      </w:r>
    </w:p>
    <w:p>
      <w:pPr>
        <w:pStyle w:val="BodyText"/>
        <w:spacing w:line="480" w:lineRule="auto"/>
        <w:ind w:firstLine="720"/>
      </w:pPr>
      <w:r>
        <w:t xml:space="preserve">This pattern is portable across the space governance agenda. Questions about whether cislunar coordination, debris remediation norms, or on orbit servicing supervision have begun to organize their respective literatures could all be posed and answered with the same design</w:t>
      </w:r>
      <w:r>
        <w:t xml:space="preserve"> </w:t>
      </w:r>
      <w:hyperlink w:anchor="ref-12">
        <w:r>
          <w:rPr>
            <w:rStyle w:val="Hyperlink"/>
          </w:rPr>
          <w:t xml:space="preserve">[12]</w:t>
        </w:r>
      </w:hyperlink>
      <w:r>
        <w:t xml:space="preserve">. The value is not any single coefficient but the demonstration that a broad governance intuition can be disciplined into an obtainable, falsifiable test. That discipline is transferable, and transferring it is part of what a doctoral contribution should do: not only answer one question but show a repeatable way to ask a class of questions honestly</w:t>
      </w:r>
      <w:r>
        <w:t xml:space="preserve"> </w:t>
      </w:r>
      <w:hyperlink w:anchor="ref-1">
        <w:r>
          <w:rPr>
            <w:rStyle w:val="Hyperlink"/>
          </w:rPr>
          <w:t xml:space="preserve">[1]</w:t>
        </w:r>
      </w:hyperlink>
      <w:r>
        <w:t xml:space="preserve">.</w:t>
      </w:r>
    </w:p>
    <w:bookmarkEnd w:id="149"/>
    <w:bookmarkStart w:id="150" w:name="X6c0c6e53f6dc2e6dcd68959fa4b79e86623227f"/>
    <w:p>
      <w:pPr>
        <w:pStyle w:val="Heading2"/>
        <w:spacing w:line="480" w:lineRule="auto"/>
      </w:pPr>
      <w:r>
        <w:t xml:space="preserve">8.7 Relation to the broader sustainability agenda</w:t>
      </w:r>
    </w:p>
    <w:p>
      <w:pPr>
        <w:pStyle w:val="FirstParagraph"/>
        <w:spacing w:line="480" w:lineRule="auto"/>
      </w:pPr>
      <w:r>
        <w:t xml:space="preserve">The concern this dissertation measures sits inside a larger agenda about the long term sustainability of the orbital environment, and locating it there clarifies its ultimate stakes. Sustainability rating work has argued that operator behavior can be shifted by transparent, auditable indicators that reward responsible conduct</w:t>
      </w:r>
      <w:r>
        <w:t xml:space="preserve"> </w:t>
      </w:r>
      <w:hyperlink w:anchor="ref-15">
        <w:r>
          <w:rPr>
            <w:rStyle w:val="Hyperlink"/>
          </w:rPr>
          <w:t xml:space="preserve">[15]</w:t>
        </w:r>
      </w:hyperlink>
      <w:r>
        <w:t xml:space="preserve">. Provenance and custody are a precondition for any such indicator that touches conjunction behavior, because a rating cannot credit an operator for a well documented decision if the documentation is not inspectable. The venue result, showing that the concern is most alive in the operational community, suggests the raw material for provenance aware rating exists where the decisions are actually made.</w:t>
      </w:r>
    </w:p>
    <w:p>
      <w:pPr>
        <w:pStyle w:val="BodyText"/>
        <w:spacing w:line="480" w:lineRule="auto"/>
        <w:ind w:firstLine="720"/>
      </w:pPr>
      <w:r>
        <w:t xml:space="preserve">Trusted coordination frameworks close the same loop from the governance side</w:t>
      </w:r>
      <w:r>
        <w:t xml:space="preserve"> </w:t>
      </w:r>
      <w:hyperlink w:anchor="ref-1">
        <w:r>
          <w:rPr>
            <w:rStyle w:val="Hyperlink"/>
          </w:rPr>
          <w:t xml:space="preserve">[1]</w:t>
        </w:r>
      </w:hyperlink>
      <w:r>
        <w:t xml:space="preserve">. Sustainability at the level of the shared environment requires that operators coordinate, coordination requires trust, and trust requires inspectable evidence. A field that has begun to name provenance and custody in its operational literature is a field beginning to assemble the substrate that coordination will eventually need. The dissertation’s contribution to the sustainability agenda is therefore diagnostic: it locates where the concern currently lives and shows that it has not yet spread evenly into the peer reviewed and policy channels where governance is written, which is exactly the place the agenda’s next effort should concentrate</w:t>
      </w:r>
      <w:r>
        <w:t xml:space="preserve"> </w:t>
      </w:r>
      <w:hyperlink w:anchor="ref-6">
        <w:r>
          <w:rPr>
            <w:rStyle w:val="Hyperlink"/>
          </w:rPr>
          <w:t xml:space="preserve">[6]</w:t>
        </w:r>
      </w:hyperlink>
      <w:r>
        <w:t xml:space="preserve">.</w:t>
      </w:r>
    </w:p>
    <w:bookmarkEnd w:id="150"/>
    <w:bookmarkStart w:id="151" w:name="a-note-on-humility"/>
    <w:p>
      <w:pPr>
        <w:pStyle w:val="Heading2"/>
        <w:spacing w:line="480" w:lineRule="auto"/>
      </w:pPr>
      <w:r>
        <w:t xml:space="preserve">8.8 A note on humility</w:t>
      </w:r>
    </w:p>
    <w:p>
      <w:pPr>
        <w:pStyle w:val="FirstParagraph"/>
        <w:spacing w:line="480" w:lineRule="auto"/>
      </w:pPr>
      <w:r>
        <w:t xml:space="preserve">A final reflection is warranted on what a single design stage screen can and cannot claim to have accomplished. It has not solved the provenance problem, measured operational practice, or established causation. It has taken one broad concern, converted it into one falsifiable test, run that test transparently, and reported the result with its limits intact. That is a small accomplishment measured against the size of the problem, and a real one measured against the standard of evidence the field too often accepts.</w:t>
      </w:r>
    </w:p>
    <w:p>
      <w:pPr>
        <w:pStyle w:val="BodyText"/>
        <w:spacing w:line="480" w:lineRule="auto"/>
        <w:ind w:firstLine="720"/>
      </w:pPr>
      <w:r>
        <w:t xml:space="preserve">The humility is not false modesty; it is the correct calibration of a first move. Fields advance when early studies state narrow claims cleanly and hand successors a precise next step, and they stall when early studies overreach and leave successors correcting confident errors. This dissertation chose the first path deliberately. Its finding is bounded, its method is portable, and its next steps are specified, which is the most a bounded screen should promise and, done honestly, enough to earn its place in the program it opens</w:t>
      </w:r>
      <w:r>
        <w:t xml:space="preserve"> </w:t>
      </w:r>
      <w:hyperlink w:anchor="ref-12">
        <w:r>
          <w:rPr>
            <w:rStyle w:val="Hyperlink"/>
          </w:rPr>
          <w:t xml:space="preserve">[12]</w:t>
        </w:r>
      </w:hyperlink>
      <w:r>
        <w:t xml:space="preserve">.</w:t>
      </w:r>
    </w:p>
    <w:bookmarkEnd w:id="151"/>
    <w:bookmarkStart w:id="152" w:name="X0fd7318ec1a5a420cac6ffa59464450fd263d02"/>
    <w:p>
      <w:pPr>
        <w:pStyle w:val="Heading2"/>
        <w:spacing w:line="480" w:lineRule="auto"/>
      </w:pPr>
      <w:r>
        <w:t xml:space="preserve">8.9 Restating the verdict against the hypotheses</w:t>
      </w:r>
    </w:p>
    <w:p>
      <w:pPr>
        <w:pStyle w:val="FirstParagraph"/>
        <w:spacing w:line="480" w:lineRule="auto"/>
      </w:pPr>
      <w:r>
        <w:t xml:space="preserve">It is worth consolidating the dissertation’s verdict in one place, stated cleanly against the hypotheses it set out to test, so that no reader is left uncertain about what was and was not established. The strict joint null H0-A, which held that the topic signal is unrelated to recency, attention, and venue together, is rejected: the joint test was decisive and the model carries real explanatory content. The alternative H1-A is only partly confirmed, because the structure the model detects runs through venue rather than through the recency and attention channels the alternative also predicted, and those two channels returned associations indistinguishable from zero.</w:t>
      </w:r>
    </w:p>
    <w:p>
      <w:pPr>
        <w:pStyle w:val="BodyText"/>
        <w:spacing w:line="480" w:lineRule="auto"/>
        <w:ind w:firstLine="720"/>
      </w:pPr>
      <w:r>
        <w:t xml:space="preserve">The attention accumulation null H0-B, which held that citation accumulation is unrelated to article age, is not rejected: the learning curve failed to fit, and age explained almost none of the variation in citations across the corpus. That non rejection is itself a finding, because it diagnoses why the citation channel in the first model was uninformative and confirms that indexed attention is the wrong instrument for this concern at this stage</w:t>
      </w:r>
      <w:r>
        <w:t xml:space="preserve"> </w:t>
      </w:r>
      <w:hyperlink w:anchor="ref-10">
        <w:r>
          <w:rPr>
            <w:rStyle w:val="Hyperlink"/>
          </w:rPr>
          <w:t xml:space="preserve">[10]</w:t>
        </w:r>
      </w:hyperlink>
      <w:r>
        <w:t xml:space="preserve">. The consolidated verdict is therefore a single confident positive, the venue gradient, set among honest non findings on recency and attention, which is exactly the yield a bounded screen of this size and character should be expected to produce</w:t>
      </w:r>
      <w:r>
        <w:t xml:space="preserve"> </w:t>
      </w:r>
      <w:hyperlink w:anchor="ref-6">
        <w:r>
          <w:rPr>
            <w:rStyle w:val="Hyperlink"/>
          </w:rPr>
          <w:t xml:space="preserve">[6]</w:t>
        </w:r>
      </w:hyperlink>
      <w:r>
        <w:t xml:space="preserve">.</w:t>
      </w:r>
    </w:p>
    <w:p>
      <w:pPr>
        <w:pStyle w:val="BodyText"/>
        <w:spacing w:line="480" w:lineRule="auto"/>
        <w:ind w:firstLine="720"/>
      </w:pPr>
      <w:r>
        <w:t xml:space="preserve">This verdict is the whole contribution, stated without inflation. The concern for provenance and custody is legible in the field’s record, it is legible through the operational community that lives closest to conjunction decisions, and it has not yet organized the record through time or citation attention. A committee can check every clause of that sentence against the numbers in Chapter 6 and the sources in Chapter 5, which is the standard the dissertation set for itself at the outset and the standard it closes on</w:t>
      </w:r>
      <w:r>
        <w:t xml:space="preserve"> </w:t>
      </w:r>
      <w:hyperlink w:anchor="ref-1">
        <w:r>
          <w:rPr>
            <w:rStyle w:val="Hyperlink"/>
          </w:rPr>
          <w:t xml:space="preserve">[1]</w:t>
        </w:r>
      </w:hyperlink>
      <w:r>
        <w:t xml:space="preserve">.</w:t>
      </w:r>
    </w:p>
    <w:bookmarkEnd w:id="152"/>
    <w:bookmarkStart w:id="153" w:name="X9b2a22eabebc69caebd7f72f288160e175fb475"/>
    <w:p>
      <w:pPr>
        <w:pStyle w:val="Heading2"/>
        <w:spacing w:line="480" w:lineRule="auto"/>
      </w:pPr>
      <w:r>
        <w:t xml:space="preserve">8.10 What the field gains from a negative space</w:t>
      </w:r>
    </w:p>
    <w:p>
      <w:pPr>
        <w:pStyle w:val="FirstParagraph"/>
        <w:spacing w:line="480" w:lineRule="auto"/>
      </w:pPr>
      <w:r>
        <w:t xml:space="preserve">There is value in what the dissertation did not find, and naming it completes the contribution. The recency and attention nulls map a negative space: they tell the field where the concern is not yet legible in the record, which is as useful to a successor as knowing where it is. A successor who assumed citation attention would track the concern’s salience would waste effort on a channel this screen has shown to be broken in this corpus</w:t>
      </w:r>
      <w:r>
        <w:t xml:space="preserve"> </w:t>
      </w:r>
      <w:hyperlink w:anchor="ref-10">
        <w:r>
          <w:rPr>
            <w:rStyle w:val="Hyperlink"/>
          </w:rPr>
          <w:t xml:space="preserve">[10]</w:t>
        </w:r>
      </w:hyperlink>
      <w:r>
        <w:t xml:space="preserve">. A successor who assumed the concern’s rise would be visible in publication timing at small sample sizes would draw false comfort from a flat result. The nulls foreclose both mistakes in advance.</w:t>
      </w:r>
    </w:p>
    <w:p>
      <w:pPr>
        <w:pStyle w:val="BodyText"/>
        <w:spacing w:line="480" w:lineRule="auto"/>
        <w:ind w:firstLine="720"/>
      </w:pPr>
      <w:r>
        <w:t xml:space="preserve">Mapping negative space is a legitimate scientific service, and it is one the space governance literature rarely performs because it prefers confident positives</w:t>
      </w:r>
      <w:r>
        <w:t xml:space="preserve"> </w:t>
      </w:r>
      <w:hyperlink w:anchor="ref-6">
        <w:r>
          <w:rPr>
            <w:rStyle w:val="Hyperlink"/>
          </w:rPr>
          <w:t xml:space="preserve">[6]</w:t>
        </w:r>
      </w:hyperlink>
      <w:r>
        <w:t xml:space="preserve">. By reporting honestly that two of three channels carry no detectable signal, the dissertation contributes a boundary as well as a finding. The boundary says: within an obtainable corpus of this size, look to venue structure and not to time or attention for the concern’s fingerprint. That guidance will save a successor the cost of rediscovering the same nulls, and it is part of why a bounded screen that returns mostly non findings can still advance the program it opens</w:t>
      </w:r>
      <w:r>
        <w:t xml:space="preserve"> </w:t>
      </w:r>
      <w:hyperlink w:anchor="ref-12">
        <w:r>
          <w:rPr>
            <w:rStyle w:val="Hyperlink"/>
          </w:rPr>
          <w:t xml:space="preserve">[12]</w:t>
        </w:r>
      </w:hyperlink>
      <w:r>
        <w:t xml:space="preserve">.</w:t>
      </w:r>
    </w:p>
    <w:bookmarkEnd w:id="153"/>
    <w:bookmarkStart w:id="154" w:name="closing"/>
    <w:p>
      <w:pPr>
        <w:pStyle w:val="Heading2"/>
        <w:spacing w:line="480" w:lineRule="auto"/>
      </w:pPr>
      <w:r>
        <w:t xml:space="preserve">8.11 Closing</w:t>
      </w:r>
    </w:p>
    <w:p>
      <w:pPr>
        <w:pStyle w:val="FirstParagraph"/>
        <w:spacing w:line="480" w:lineRule="auto"/>
      </w:pPr>
      <w:r>
        <w:t xml:space="preserve">The value of this dissertation is not the size of its claim but the discipline of its evidence. It took a broad and important concern, provenance and custody in conjunction decision making, and refused to let a plausible narrative stand in for a measured result. It built an obtainable, auditable corpus, ran two transparent estimators, reported their output exactly, and drew from that output one confident finding and two honest non findings. The concern is real in the operational literature, it is structured by venue, and it has not yet organized the field’s record through time or attention. Improvements in orbital data precision will sharpen the underlying decisions but will not, on their own, make their evidentiary chains inspectable</w:t>
      </w:r>
      <w:r>
        <w:t xml:space="preserve"> </w:t>
      </w:r>
      <w:hyperlink w:anchor="ref-14">
        <w:r>
          <w:rPr>
            <w:rStyle w:val="Hyperlink"/>
          </w:rPr>
          <w:t xml:space="preserve">[14]</w:t>
        </w:r>
      </w:hyperlink>
      <w:r>
        <w:t xml:space="preserve">. Only a record that can be read, retraced, and challenged will do that, and the first step toward such a record is to measure honestly where the concern already lives. That measurement is what this dissertation provides, and the standard it holds, that no claim outruns its evidence, is the contribution it most hopes to leave behind</w:t>
      </w:r>
      <w:r>
        <w:t xml:space="preserve"> </w:t>
      </w:r>
      <w:hyperlink w:anchor="ref-15">
        <w:r>
          <w:rPr>
            <w:rStyle w:val="Hyperlink"/>
          </w:rPr>
          <w:t xml:space="preserve">[15]</w:t>
        </w:r>
      </w:hyperlink>
      <w:r>
        <w:t xml:space="preserve">.</w:t>
      </w:r>
    </w:p>
    <w:bookmarkEnd w:id="154"/>
    <w:bookmarkStart w:id="186" w:name="references"/>
    <w:p>
      <w:pPr>
        <w:pStyle w:val="Heading2"/>
        <w:spacing w:line="480" w:lineRule="auto"/>
      </w:pPr>
      <w:r>
        <w:t xml:space="preserve">References</w:t>
      </w:r>
    </w:p>
    <w:p>
      <w:pPr>
        <w:pStyle w:val="FirstParagraph"/>
        <w:spacing w:line="480" w:lineRule="auto"/>
      </w:pPr>
      <w:bookmarkStart w:id="155" w:name="ref-1"/>
      <w:bookmarkEnd w:id="155"/>
      <w:r>
        <w:t xml:space="preserve">1. Harvey Reed, MITRE; Nick Tsamis, MITRE; Nathaniel Dailey, MITRE. Space Sustainability and Traffic Management Requires Trusted Space Stakeholder Coordination (2023). doi:</w:t>
      </w:r>
      <w:r>
        <w:t xml:space="preserve"> </w:t>
      </w:r>
      <w:hyperlink r:id="rId156">
        <w:r>
          <w:rPr>
            <w:rStyle w:val="Hyperlink"/>
          </w:rPr>
          <w:t xml:space="preserve">10.64861/MVHC2799</w:t>
        </w:r>
      </w:hyperlink>
    </w:p>
    <w:p>
      <w:pPr>
        <w:pStyle w:val="BodyText"/>
        <w:spacing w:line="480" w:lineRule="auto"/>
        <w:ind w:firstLine="720"/>
      </w:pPr>
      <w:bookmarkStart w:id="157" w:name="ref-2"/>
      <w:bookmarkEnd w:id="157"/>
      <w:r>
        <w:t xml:space="preserve">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58">
        <w:r>
          <w:rPr>
            <w:rStyle w:val="Hyperlink"/>
          </w:rPr>
          <w:t xml:space="preserve">10.64861/CEPU7718</w:t>
        </w:r>
      </w:hyperlink>
    </w:p>
    <w:p>
      <w:pPr>
        <w:pStyle w:val="BodyText"/>
        <w:spacing w:line="480" w:lineRule="auto"/>
        <w:ind w:firstLine="720"/>
      </w:pPr>
      <w:bookmarkStart w:id="159" w:name="ref-3"/>
      <w:bookmarkEnd w:id="159"/>
      <w:r>
        <w:t xml:space="preserve">3.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160">
        <w:r>
          <w:rPr>
            <w:rStyle w:val="Hyperlink"/>
          </w:rPr>
          <w:t xml:space="preserve">10.64861/CKQN3841</w:t>
        </w:r>
      </w:hyperlink>
    </w:p>
    <w:p>
      <w:pPr>
        <w:pStyle w:val="BodyText"/>
        <w:spacing w:line="480" w:lineRule="auto"/>
        <w:ind w:firstLine="720"/>
      </w:pPr>
      <w:bookmarkStart w:id="161" w:name="ref-4"/>
      <w:bookmarkEnd w:id="161"/>
      <w:r>
        <w:t xml:space="preserve">4. Robert Carden, MITRE; Dustin Burchett, MITRE; Harvey Reed, MITRE. SNARE (Sensor Network Autonomous Resilient Extensible): Decentralized Sensor Tasking Improves SDA Tactical Relevance (2021). [AMOS]</w:t>
      </w:r>
    </w:p>
    <w:p>
      <w:pPr>
        <w:pStyle w:val="BodyText"/>
        <w:spacing w:line="480" w:lineRule="auto"/>
        <w:ind w:firstLine="720"/>
      </w:pPr>
      <w:bookmarkStart w:id="162" w:name="ref-5"/>
      <w:bookmarkEnd w:id="162"/>
      <w:r>
        <w:t xml:space="preserve">5. Kevin Vanslette, Raytheon BBN; Roddy Taing, University of Wisconsin-Madison. Toward Optimal Conjunction-Based Sensor Tasking using Inferential Moments (2023). doi:</w:t>
      </w:r>
      <w:r>
        <w:t xml:space="preserve"> </w:t>
      </w:r>
      <w:hyperlink r:id="rId163">
        <w:r>
          <w:rPr>
            <w:rStyle w:val="Hyperlink"/>
          </w:rPr>
          <w:t xml:space="preserve">10.64861/PEUU1014</w:t>
        </w:r>
      </w:hyperlink>
    </w:p>
    <w:p>
      <w:pPr>
        <w:pStyle w:val="BodyText"/>
        <w:spacing w:line="480" w:lineRule="auto"/>
        <w:ind w:firstLine="720"/>
      </w:pPr>
      <w:bookmarkStart w:id="164" w:name="ref-6"/>
      <w:bookmarkEnd w:id="164"/>
      <w:r>
        <w:t xml:space="preserve">6. James Reilly, Booz Allen Hamilton; Matthew Blackford, Booz Allen Hamilton; Jillian Mueller, Booz Allen Hamilton. Challenges in Space Traffic Management (2023). doi:</w:t>
      </w:r>
      <w:r>
        <w:t xml:space="preserve"> </w:t>
      </w:r>
      <w:hyperlink r:id="rId165">
        <w:r>
          <w:rPr>
            <w:rStyle w:val="Hyperlink"/>
          </w:rPr>
          <w:t xml:space="preserve">10.64861/UCTN1793</w:t>
        </w:r>
      </w:hyperlink>
    </w:p>
    <w:p>
      <w:pPr>
        <w:pStyle w:val="BodyText"/>
        <w:spacing w:line="480" w:lineRule="auto"/>
        <w:ind w:firstLine="720"/>
      </w:pPr>
      <w:bookmarkStart w:id="166" w:name="ref-7"/>
      <w:bookmarkEnd w:id="166"/>
      <w:r>
        <w:t xml:space="preserve">7.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67">
        <w:r>
          <w:rPr>
            <w:rStyle w:val="Hyperlink"/>
          </w:rPr>
          <w:t xml:space="preserve">10.64861/XQCN3213</w:t>
        </w:r>
      </w:hyperlink>
    </w:p>
    <w:p>
      <w:pPr>
        <w:pStyle w:val="BodyText"/>
        <w:spacing w:line="480" w:lineRule="auto"/>
        <w:ind w:firstLine="720"/>
      </w:pPr>
      <w:bookmarkStart w:id="168" w:name="ref-8"/>
      <w:bookmarkEnd w:id="168"/>
      <w:r>
        <w:t xml:space="preserve">8.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69">
        <w:r>
          <w:rPr>
            <w:rStyle w:val="Hyperlink"/>
          </w:rPr>
          <w:t xml:space="preserve">10.64861/PFBR4795</w:t>
        </w:r>
      </w:hyperlink>
    </w:p>
    <w:p>
      <w:pPr>
        <w:pStyle w:val="BodyText"/>
        <w:spacing w:line="480" w:lineRule="auto"/>
        <w:ind w:firstLine="720"/>
      </w:pPr>
      <w:bookmarkStart w:id="170" w:name="ref-9"/>
      <w:bookmarkEnd w:id="170"/>
      <w:r>
        <w:t xml:space="preserve">9. Justin Walsh; Alice Gorman; Paola Castaño. Postorbital discard and chain of custody: The processing of artifacts returning to Earth from the International Space Station (2022). doi:</w:t>
      </w:r>
      <w:r>
        <w:t xml:space="preserve"> </w:t>
      </w:r>
      <w:hyperlink r:id="rId171">
        <w:r>
          <w:rPr>
            <w:rStyle w:val="Hyperlink"/>
          </w:rPr>
          <w:t xml:space="preserve">10.1016/j.actaastro.2022.03.035</w:t>
        </w:r>
      </w:hyperlink>
    </w:p>
    <w:p>
      <w:pPr>
        <w:pStyle w:val="BodyText"/>
        <w:spacing w:line="480" w:lineRule="auto"/>
        <w:ind w:firstLine="720"/>
      </w:pPr>
      <w:bookmarkStart w:id="172" w:name="ref-10"/>
      <w:bookmarkEnd w:id="172"/>
      <w:r>
        <w:t xml:space="preserve">10. Salvatore Alfano; Daniel Oltrogge; H. Krag; Klaus Merz; Robert E. Hall. Risk assessment of recent high-interest conjunctions (2021). doi:</w:t>
      </w:r>
      <w:r>
        <w:t xml:space="preserve"> </w:t>
      </w:r>
      <w:hyperlink r:id="rId173">
        <w:r>
          <w:rPr>
            <w:rStyle w:val="Hyperlink"/>
          </w:rPr>
          <w:t xml:space="preserve">10.1016/j.actaastro.2021.04.009</w:t>
        </w:r>
      </w:hyperlink>
    </w:p>
    <w:p>
      <w:pPr>
        <w:pStyle w:val="BodyText"/>
        <w:spacing w:line="480" w:lineRule="auto"/>
        <w:ind w:firstLine="720"/>
      </w:pPr>
      <w:bookmarkStart w:id="174" w:name="ref-11"/>
      <w:bookmarkEnd w:id="174"/>
      <w:r>
        <w:t xml:space="preserve">11. Daniel Oltrogge; Salvatore Alfano; C. M. Law; Alex Cacioni; T. S. Kelso. A comprehensive assessment of collision likelihood in Geosynchronous Earth Orbit (2018). doi:</w:t>
      </w:r>
      <w:r>
        <w:t xml:space="preserve"> </w:t>
      </w:r>
      <w:hyperlink r:id="rId175">
        <w:r>
          <w:rPr>
            <w:rStyle w:val="Hyperlink"/>
          </w:rPr>
          <w:t xml:space="preserve">10.1016/j.actaastro.2018.03.017</w:t>
        </w:r>
      </w:hyperlink>
    </w:p>
    <w:p>
      <w:pPr>
        <w:pStyle w:val="BodyText"/>
        <w:spacing w:line="480" w:lineRule="auto"/>
        <w:ind w:firstLine="720"/>
      </w:pPr>
      <w:bookmarkStart w:id="176" w:name="ref-12"/>
      <w:bookmarkEnd w:id="176"/>
      <w:r>
        <w:t xml:space="preserve">12. Jacqueline H. Smith; Moriba Jah; Danielle Wood. Architecting a decision support system for continuing supervision of commercial in-space servicing (2025). doi:</w:t>
      </w:r>
      <w:r>
        <w:t xml:space="preserve"> </w:t>
      </w:r>
      <w:hyperlink r:id="rId177">
        <w:r>
          <w:rPr>
            <w:rStyle w:val="Hyperlink"/>
          </w:rPr>
          <w:t xml:space="preserve">10.1016/j.actaastro.2025.05.036</w:t>
        </w:r>
      </w:hyperlink>
    </w:p>
    <w:p>
      <w:pPr>
        <w:pStyle w:val="BodyText"/>
        <w:spacing w:line="480" w:lineRule="auto"/>
        <w:ind w:firstLine="720"/>
      </w:pPr>
      <w:bookmarkStart w:id="178" w:name="ref-13"/>
      <w:bookmarkEnd w:id="178"/>
      <w:r>
        <w:t xml:space="preserve">13. Thomas Kelecy; Emily Lambert; Benjamin Sunderland; Jason Stauch; Vishnuu Mallik; Moriba Jah. Automated near real-time validation and exploitation of optical sensor data for improved orbital safety (2019). doi:</w:t>
      </w:r>
      <w:r>
        <w:t xml:space="preserve"> </w:t>
      </w:r>
      <w:hyperlink r:id="rId179">
        <w:r>
          <w:rPr>
            <w:rStyle w:val="Hyperlink"/>
          </w:rPr>
          <w:t xml:space="preserve">10.1016/j.actaastro.2018.12.043</w:t>
        </w:r>
      </w:hyperlink>
    </w:p>
    <w:p>
      <w:pPr>
        <w:pStyle w:val="BodyText"/>
        <w:spacing w:line="480" w:lineRule="auto"/>
        <w:ind w:firstLine="720"/>
      </w:pPr>
      <w:bookmarkStart w:id="180" w:name="ref-14"/>
      <w:bookmarkEnd w:id="180"/>
      <w:r>
        <w:t xml:space="preserve">14. J.C. Dolado-Perez; Kumi Nitta; Tim Flohrer; Moriba Jah; V. Martinot; Alejandro Pastor. Improvement of orbital data precision and accuracy (2025). doi:</w:t>
      </w:r>
      <w:r>
        <w:t xml:space="preserve"> </w:t>
      </w:r>
      <w:hyperlink r:id="rId181">
        <w:r>
          <w:rPr>
            <w:rStyle w:val="Hyperlink"/>
          </w:rPr>
          <w:t xml:space="preserve">10.1016/j.actaastro.2025.01.003</w:t>
        </w:r>
      </w:hyperlink>
    </w:p>
    <w:p>
      <w:pPr>
        <w:pStyle w:val="BodyText"/>
        <w:spacing w:line="480" w:lineRule="auto"/>
        <w:ind w:firstLine="720"/>
      </w:pPr>
      <w:bookmarkStart w:id="182" w:name="ref-15"/>
      <w:bookmarkEnd w:id="182"/>
      <w:r>
        <w:t xml:space="preserve">15.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83">
        <w:r>
          <w:rPr>
            <w:rStyle w:val="Hyperlink"/>
          </w:rPr>
          <w:t xml:space="preserve">10.1016/j.actaastro.2025.03.034</w:t>
        </w:r>
      </w:hyperlink>
    </w:p>
    <w:p>
      <w:pPr>
        <w:pStyle w:val="BodyText"/>
        <w:spacing w:line="480" w:lineRule="auto"/>
        <w:ind w:firstLine="720"/>
      </w:pPr>
      <w:bookmarkStart w:id="184" w:name="ref-16"/>
      <w:bookmarkEnd w:id="184"/>
      <w:r>
        <w:t xml:space="preserve">16. Anna Szołucha. A disappearing frontier?: An ethnographic study of the labour of imagination of SpaceX fans and space creators in South Texas (2024). doi:</w:t>
      </w:r>
      <w:r>
        <w:t xml:space="preserve"> </w:t>
      </w:r>
      <w:hyperlink r:id="rId185">
        <w:r>
          <w:rPr>
            <w:rStyle w:val="Hyperlink"/>
          </w:rPr>
          <w:t xml:space="preserve">10.1016/j.actaastro.2024.06.001</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3e37d7b5c00d4b1f66995c81c0ff977d49462a7"/>
    <w:p>
      <w:pPr>
        <w:pStyle w:val="Heading2"/>
        <w:spacing w:line="480" w:lineRule="auto"/>
      </w:pPr>
      <w:r>
        <w:t xml:space="preserve">A.1 Signal Intensity in Provenance and Custody Chains Measuring How Often SSA Conjunction Decisions Res: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3.5543</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2.2398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[0.4441, 6.6645]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0.0575</w:t>
            </w:r>
          </w:p>
        </w:tc>
        <w:tc>
          <w:tcPr>
            <w:tcW w:w="0" w:type="auto"/>
          </w:tcPr>
          <w:p>
            <w:pPr>
              <w:spacing w:line="240" w:lineRule="auto" w:before="0" w:after="0"/>
              <w:pStyle w:val="Compact"/>
            </w:pPr>
            <w:r>
              <w:rPr>
                <w:sz w:val="20"/>
                <w:szCs w:val="20"/>
              </w:rPr>
              <w:t xml:space="preserve">0.0958</w:t>
            </w:r>
          </w:p>
        </w:tc>
        <w:tc>
          <w:tcPr>
            <w:tcW w:w="0" w:type="auto"/>
          </w:tcPr>
          <w:p>
            <w:pPr>
              <w:spacing w:line="240" w:lineRule="auto" w:before="0" w:after="0"/>
              <w:pStyle w:val="Compact"/>
            </w:pPr>
            <w:r>
              <w:rPr>
                <w:sz w:val="20"/>
                <w:szCs w:val="20"/>
              </w:rPr>
              <w:t xml:space="preserve">0.6005</w:t>
            </w:r>
          </w:p>
        </w:tc>
        <w:tc>
          <w:tcPr>
            <w:tcW w:w="0" w:type="auto"/>
          </w:tcPr>
          <w:p>
            <w:pPr>
              <w:spacing w:line="240" w:lineRule="auto" w:before="0" w:after="0"/>
              <w:pStyle w:val="Compact"/>
            </w:pPr>
            <w:r>
              <w:rPr>
                <w:sz w:val="20"/>
                <w:szCs w:val="20"/>
              </w:rPr>
              <w:t xml:space="preserve">0.5482</w:t>
            </w:r>
          </w:p>
        </w:tc>
        <w:tc>
          <w:tcPr>
            <w:tcW w:w="0" w:type="auto"/>
          </w:tcPr>
          <w:p>
            <w:pPr>
              <w:spacing w:line="240" w:lineRule="auto" w:before="0" w:after="0"/>
              <w:pStyle w:val="Compact"/>
            </w:pPr>
            <w:r>
              <w:rPr>
                <w:sz w:val="20"/>
                <w:szCs w:val="20"/>
              </w:rPr>
              <w:t xml:space="preserve">[-0.1303, 0.2454]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-0.0009685</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-0.1013</w:t>
            </w:r>
          </w:p>
        </w:tc>
        <w:tc>
          <w:tcPr>
            <w:tcW w:w="0" w:type="auto"/>
          </w:tcPr>
          <w:p>
            <w:pPr>
              <w:spacing w:line="240" w:lineRule="auto" w:before="0" w:after="0"/>
              <w:pStyle w:val="Compact"/>
            </w:pPr>
            <w:r>
              <w:rPr>
                <w:sz w:val="20"/>
                <w:szCs w:val="20"/>
              </w:rPr>
              <w:t xml:space="preserve">0.9193</w:t>
            </w:r>
          </w:p>
        </w:tc>
        <w:tc>
          <w:tcPr>
            <w:tcW w:w="0" w:type="auto"/>
          </w:tcPr>
          <w:p>
            <w:pPr>
              <w:spacing w:line="240" w:lineRule="auto" w:before="0" w:after="0"/>
              <w:pStyle w:val="Compact"/>
            </w:pPr>
            <w:r>
              <w:rPr>
                <w:sz w:val="20"/>
                <w:szCs w:val="20"/>
              </w:rPr>
              <w:t xml:space="preserve">[-0.0197, 0.0178]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0.3384</w:t>
            </w:r>
          </w:p>
        </w:tc>
        <w:tc>
          <w:tcPr>
            <w:tcW w:w="0" w:type="auto"/>
          </w:tcPr>
          <w:p>
            <w:pPr>
              <w:spacing w:line="240" w:lineRule="auto" w:before="0" w:after="0"/>
              <w:pStyle w:val="Compact"/>
            </w:pPr>
            <w:r>
              <w:rPr>
                <w:sz w:val="20"/>
                <w:szCs w:val="20"/>
              </w:rPr>
              <w:t xml:space="preserve">-2.9327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[-1.6559, -0.3292]</w:t>
            </w:r>
          </w:p>
        </w:tc>
      </w:tr>
    </w:tbl>
    <w:p>
      <w:pPr>
        <w:pStyle w:val="BodyText"/>
        <w:spacing w:line="480" w:lineRule="auto"/>
        <w:ind w:firstLine="720"/>
      </w:pPr>
      <w:r>
        <w:t xml:space="preserve">Fit: N = 30 R2 = 0.3045 R2_adj = 0.2242 F = 7.794 F_p = 0.0007143</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0" name="Picture"/>
            <a:graphic>
              <a:graphicData uri="http://schemas.openxmlformats.org/drawingml/2006/picture">
                <pic:pic>
                  <pic:nvPicPr>
                    <pic:cNvPr descr="D:/Claude_Code/brain/collegium/candidates/dissertations/SSA_SDA_11/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https://amostech.space/year/2012/satellite-re-entry-modeling-and-uncertainty-quantification/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https://amostech.space/year/2020/telescope-tasking-for-maneuver-detection-and-custody-maintenance-using-evidential-reasoning-and-reachability-theory/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10.64861/HZAS5795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10.1016/j.actaastro.2022.08.017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4"/>
    <w:bookmarkEnd w:id="195"/>
    <w:bookmarkStart w:id="203" w:name="X389e12112a363fc31ad231024b25ee25d70f9e4"/>
    <w:p>
      <w:pPr>
        <w:pStyle w:val="Heading2"/>
        <w:spacing w:line="480" w:lineRule="auto"/>
      </w:pPr>
      <w:r>
        <w:t xml:space="preserve">A.2 Attention Accumulation in Provenance and Custody Chains Measuring How Often SSA Conjunction Decisions Res: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1.0286</w:t>
            </w:r>
          </w:p>
        </w:tc>
        <w:tc>
          <w:tcPr>
            <w:tcW w:w="0" w:type="auto"/>
          </w:tcPr>
          <w:p>
            <w:pPr>
              <w:spacing w:line="240" w:lineRule="auto" w:before="0" w:after="0"/>
              <w:pStyle w:val="Compact"/>
            </w:pPr>
            <w:r>
              <w:rPr>
                <w:sz w:val="20"/>
                <w:szCs w:val="20"/>
              </w:rPr>
              <w:t xml:space="preserve">0.5475</w:t>
            </w:r>
          </w:p>
        </w:tc>
        <w:tc>
          <w:tcPr>
            <w:tcW w:w="0" w:type="auto"/>
          </w:tcPr>
          <w:p>
            <w:pPr>
              <w:spacing w:line="240" w:lineRule="auto" w:before="0" w:after="0"/>
              <w:pStyle w:val="Compact"/>
            </w:pPr>
            <w:r>
              <w:rPr>
                <w:sz w:val="20"/>
                <w:szCs w:val="20"/>
              </w:rPr>
              <w:t xml:space="preserve">1.8787</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[-0.0445, 2.1017]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0.383</w:t>
            </w:r>
          </w:p>
        </w:tc>
        <w:tc>
          <w:tcPr>
            <w:tcW w:w="0" w:type="auto"/>
          </w:tcPr>
          <w:p>
            <w:pPr>
              <w:spacing w:line="240" w:lineRule="auto" w:before="0" w:after="0"/>
              <w:pStyle w:val="Compact"/>
            </w:pPr>
            <w:r>
              <w:rPr>
                <w:sz w:val="20"/>
                <w:szCs w:val="20"/>
              </w:rPr>
              <w:t xml:space="preserve">-0.4151</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[-0.9096, 0.5917]</w:t>
            </w:r>
          </w:p>
        </w:tc>
      </w:tr>
    </w:tbl>
    <w:p>
      <w:pPr>
        <w:pStyle w:val="BodyText"/>
        <w:spacing w:line="480" w:lineRule="auto"/>
        <w:ind w:firstLine="720"/>
      </w:pPr>
      <w:r>
        <w:t xml:space="preserve">Fit: N = 30 R2 = 0.006 elasticity_b = -0.159 progress_ratio_2^b = 0.8957</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8" name="Picture"/>
            <a:graphic>
              <a:graphicData uri="http://schemas.openxmlformats.org/drawingml/2006/picture">
                <pic:pic>
                  <pic:nvPicPr>
                    <pic:cNvPr descr="D:/Claude_Code/brain/collegium/candidates/dissertations/SSA_SDA_11/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https://amostech.space/year/2012/satellite-re-entry-modeling-and-uncertainty-quantification/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https://amostech.space/year/2020/telescope-tasking-for-maneuver-detection-and-custody-maintenance-using-evidential-reasoning-and-reachability-theory/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10.64861/HZAS5795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10.1016/j.actaastro.2022.08.017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75" Type="http://schemas.openxmlformats.org/officeDocument/2006/relationships/hyperlink" Target="https://doi.org/10.1016/j.actaastro.2018.03.017" TargetMode="External"/><Relationship Id="rId179" Type="http://schemas.openxmlformats.org/officeDocument/2006/relationships/hyperlink" Target="https://doi.org/10.1016/j.actaastro.2018.12.043" TargetMode="External"/><Relationship Id="rId173" Type="http://schemas.openxmlformats.org/officeDocument/2006/relationships/hyperlink" Target="https://doi.org/10.1016/j.actaastro.2021.04.009" TargetMode="External"/><Relationship Id="rId171" Type="http://schemas.openxmlformats.org/officeDocument/2006/relationships/hyperlink" Target="https://doi.org/10.1016/j.actaastro.2022.03.035" TargetMode="External"/><Relationship Id="rId185" Type="http://schemas.openxmlformats.org/officeDocument/2006/relationships/hyperlink" Target="https://doi.org/10.1016/j.actaastro.2024.06.001" TargetMode="External"/><Relationship Id="rId181" Type="http://schemas.openxmlformats.org/officeDocument/2006/relationships/hyperlink" Target="https://doi.org/10.1016/j.actaastro.2025.01.003" TargetMode="External"/><Relationship Id="rId183" Type="http://schemas.openxmlformats.org/officeDocument/2006/relationships/hyperlink" Target="https://doi.org/10.1016/j.actaastro.2025.03.034" TargetMode="External"/><Relationship Id="rId177" Type="http://schemas.openxmlformats.org/officeDocument/2006/relationships/hyperlink" Target="https://doi.org/10.1016/j.actaastro.2025.05.036" TargetMode="External"/><Relationship Id="rId158" Type="http://schemas.openxmlformats.org/officeDocument/2006/relationships/hyperlink" Target="https://doi.org/10.64861/CEPU7718" TargetMode="External"/><Relationship Id="rId160" Type="http://schemas.openxmlformats.org/officeDocument/2006/relationships/hyperlink" Target="https://doi.org/10.64861/CKQN3841" TargetMode="External"/><Relationship Id="rId156" Type="http://schemas.openxmlformats.org/officeDocument/2006/relationships/hyperlink" Target="https://doi.org/10.64861/MVHC2799" TargetMode="External"/><Relationship Id="rId163" Type="http://schemas.openxmlformats.org/officeDocument/2006/relationships/hyperlink" Target="https://doi.org/10.64861/PEUU1014" TargetMode="External"/><Relationship Id="rId169" Type="http://schemas.openxmlformats.org/officeDocument/2006/relationships/hyperlink" Target="https://doi.org/10.64861/PFBR4795" TargetMode="External"/><Relationship Id="rId165" Type="http://schemas.openxmlformats.org/officeDocument/2006/relationships/hyperlink" Target="https://doi.org/10.64861/UCTN1793" TargetMode="External"/><Relationship Id="rId167"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18.03.017" TargetMode="External"/><Relationship Id="rId179" Type="http://schemas.openxmlformats.org/officeDocument/2006/relationships/hyperlink" Target="https://doi.org/10.1016/j.actaastro.2018.12.043" TargetMode="External"/><Relationship Id="rId173" Type="http://schemas.openxmlformats.org/officeDocument/2006/relationships/hyperlink" Target="https://doi.org/10.1016/j.actaastro.2021.04.009" TargetMode="External"/><Relationship Id="rId171" Type="http://schemas.openxmlformats.org/officeDocument/2006/relationships/hyperlink" Target="https://doi.org/10.1016/j.actaastro.2022.03.035" TargetMode="External"/><Relationship Id="rId185" Type="http://schemas.openxmlformats.org/officeDocument/2006/relationships/hyperlink" Target="https://doi.org/10.1016/j.actaastro.2024.06.001" TargetMode="External"/><Relationship Id="rId181" Type="http://schemas.openxmlformats.org/officeDocument/2006/relationships/hyperlink" Target="https://doi.org/10.1016/j.actaastro.2025.01.003" TargetMode="External"/><Relationship Id="rId183" Type="http://schemas.openxmlformats.org/officeDocument/2006/relationships/hyperlink" Target="https://doi.org/10.1016/j.actaastro.2025.03.034" TargetMode="External"/><Relationship Id="rId177" Type="http://schemas.openxmlformats.org/officeDocument/2006/relationships/hyperlink" Target="https://doi.org/10.1016/j.actaastro.2025.05.036" TargetMode="External"/><Relationship Id="rId158" Type="http://schemas.openxmlformats.org/officeDocument/2006/relationships/hyperlink" Target="https://doi.org/10.64861/CEPU7718" TargetMode="External"/><Relationship Id="rId160" Type="http://schemas.openxmlformats.org/officeDocument/2006/relationships/hyperlink" Target="https://doi.org/10.64861/CKQN3841" TargetMode="External"/><Relationship Id="rId156" Type="http://schemas.openxmlformats.org/officeDocument/2006/relationships/hyperlink" Target="https://doi.org/10.64861/MVHC2799" TargetMode="External"/><Relationship Id="rId163" Type="http://schemas.openxmlformats.org/officeDocument/2006/relationships/hyperlink" Target="https://doi.org/10.64861/PEUU1014" TargetMode="External"/><Relationship Id="rId169" Type="http://schemas.openxmlformats.org/officeDocument/2006/relationships/hyperlink" Target="https://doi.org/10.64861/PFBR4795" TargetMode="External"/><Relationship Id="rId165" Type="http://schemas.openxmlformats.org/officeDocument/2006/relationships/hyperlink" Target="https://doi.org/10.64861/UCTN1793" TargetMode="External"/><Relationship Id="rId167"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Provenance and Custody Chains: Measuring How Often SSA Conjunction Decisions Res</dc:title>
  <dc:creator>Keiko Halloran (1B-SDA-187)</dc:creator>
  <cp:keywords/>
  <dcterms:created xsi:type="dcterms:W3CDTF">2026-07-02T23:57:30Z</dcterms:created>
  <dcterms:modified xsi:type="dcterms:W3CDTF">2026-07-02T23:57:30Z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