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9730340d4a448ce3c296a018a947d3f6c2d3ace"/>
    <w:p>
      <w:pPr>
        <w:pStyle w:val="Heading1"/>
      </w:pPr>
      <w:r>
        <w:t xml:space="preserve">Caught Sooner: A Cox Proportional-Hazards Analysis of Public Space Situational Awareness and Time-to-Attribution of On-Orbit Rendezvous and Proximity Operations</w:t>
      </w:r>
    </w:p>
    <w:bookmarkStart w:id="61" w:name="introduction"/>
    <w:p>
      <w:pPr>
        <w:pStyle w:val="Heading2"/>
      </w:pPr>
      <w:r>
        <w:t xml:space="preserve">1. Introduction</w:t>
      </w:r>
    </w:p>
    <w:p>
      <w:pPr>
        <w:pStyle w:val="FirstParagraph"/>
      </w:pPr>
      <w:r>
        <w:t xml:space="preserve">The deterrence-by-detection thesis advanced in the broader space security literature rests on a measurable premise. If a state or operator believes that on-orbit behavior will be observed and publicly attributed in close to real time, the calculus of conducting provocative rendezvous and proximity operations shifts. The premise is empirical, not rhetorical, because public space situational awareness has changed materially over the past decade. Commercial GEO patrols operated by ExoAnalytic Solutions and the COMSPOC platform reached operational maturity by the middle of the 2010s, joined by a wider open-source intelligence community that now characterizes inspector behavior in trade press within days [1, 2, 3]. This paper asks whether that change is detectable in the latency between launch and first public attribution of a rendezvous or proximity event.</w:t>
      </w:r>
    </w:p>
    <w:p>
      <w:pPr>
        <w:pStyle w:val="BodyText"/>
      </w:pPr>
      <w:r>
        <w:t xml:space="preserve">The empirical question is how quickly an inspector or anomalous-maneuver satellite is publicly caught. A shorter latency under common-cause public scrutiny is the observable footprint of deterrence-by-detection’s information channel. Lengthening or unchanged latency would imply that public sensors have not yet altered the observability of GEO behavior in the way the thesis predicts.</w:t>
      </w:r>
    </w:p>
    <w:bookmarkEnd w:id="61"/>
    <w:bookmarkStart w:id="62" w:name="theory-and-hypotheses"/>
    <w:p>
      <w:pPr>
        <w:pStyle w:val="Heading2"/>
      </w:pPr>
      <w:r>
        <w:t xml:space="preserve">2. Theory and Hypotheses</w:t>
      </w:r>
    </w:p>
    <w:p>
      <w:pPr>
        <w:pStyle w:val="FirstParagraph"/>
      </w:pPr>
      <w:r>
        <w:t xml:space="preserve">The deterrence-by-detection literature draws on two adjacent traditions. The first is the general deterrence canon, which conditions credibility on the target’s perception of detection probability rather than on punishment severity alone</w:t>
      </w:r>
      <w:r>
        <w:t xml:space="preserve"> </w:t>
      </w:r>
      <w:hyperlink w:anchor="ref-4">
        <m:oMathPara>
          <m:oMathParaPr>
            <m:jc m:val="center"/>
          </m:oMathParaPr>
          <m:oMath>
            <m:r>
              <m:t>4</m:t>
            </m:r>
          </m:oMath>
        </m:oMathPara>
      </w:hyperlink>
      <w:r>
        <w:t xml:space="preserve">. The second is the rendezvous and proximity operations characterization literature, which has documented the technical means by which non-cooperative GEO objects can be tracked from ground-based optical sensors and orbital residuals [1, 5]. Together they imply that the latency from on-orbit behavior to public attribution is the right unit of observation for testing whether the public observability channel of deterrence is open.</w:t>
      </w:r>
    </w:p>
    <w:p>
      <w:pPr>
        <w:pStyle w:val="FirstParagraph"/>
      </w:pPr>
      <w:r>
        <w:t xml:space="preserve">The central hypothesis is that satellites launched in the post-2015 public space situational awareness era experience a higher hazard of public attribution conditional on operator nationality, declared mission, and orbital regime. Three rival explanations are addressed by covariate inclusion. First, Western operators may self-disclose, biasing attribution latencies downward</w:t>
      </w:r>
      <w:r>
        <w:t xml:space="preserve"> </w:t>
      </w:r>
      <w:hyperlink w:anchor="ref-6">
        <m:oMathPara>
          <m:oMathParaPr>
            <m:jc m:val="center"/>
          </m:oMathParaPr>
          <m:oMath>
            <m:r>
              <m:t>6</m:t>
            </m:r>
          </m:oMath>
        </m:oMathPara>
      </w:hyperlink>
      <w:r>
        <w:t xml:space="preserve">. Second, satellites declared as inspectors by their operators are publicly attributed by definition at launch, so the inspector_designed covariate captures the declaration channel. Third, GEO objects are observed by different sensor networks than LEO objects, so the orbital regime is held constant</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dataset compiles thirty satellite-events drawn from publicly attributed RPO and anomalous close-approach activity from 2010 to 2025. Inclusion required that the satellite either be designed as an inspector platform, or be the subject of at least one public open-source attribution of a close approach or RPO maneuver. Sources include the Secure World Foundation Global Counterspace Capabilities reports [2, 7], the CSIS Space Threat Assessment series</w:t>
      </w:r>
      <w:r>
        <w:t xml:space="preserve"> </w:t>
      </w:r>
      <w:hyperlink w:anchor="ref-3">
        <m:oMathPara>
          <m:oMathParaPr>
            <m:jc m:val="center"/>
          </m:oMathParaPr>
          <m:oMath>
            <m:r>
              <m:t>3</m:t>
            </m:r>
          </m:oMath>
        </m:oMathPara>
      </w:hyperlink>
      <w:r>
        <w:t xml:space="preserve">, ExoAnalytic and COMSPOC observation summaries reported in SpaceNews and The Space Review [8, 9], and operator press releases for cooperative servicing missions</w:t>
      </w:r>
      <w:r>
        <w:t xml:space="preserve"> </w:t>
      </w:r>
      <w:hyperlink w:anchor="ref-10">
        <m:oMathPara>
          <m:oMathParaPr>
            <m:jc m:val="center"/>
          </m:oMathParaPr>
          <m:oMath>
            <m:r>
              <m:t>10</m:t>
            </m:r>
          </m:oMath>
        </m:oMathPara>
      </w:hyperlink>
      <w:r>
        <w:t xml:space="preserve">. Each row carries an explicit source citation in the source column. The observation cutoff is 2026-06-01. One row is a planned future launch carried as a right-censored placeholder for sensitivity, marked illustrative.</w:t>
      </w:r>
    </w:p>
    <w:p>
      <w:pPr>
        <w:pStyle w:val="FirstParagraph"/>
      </w:pPr>
      <w:r>
        <w:t xml:space="preserve">The duration variable is the number of years from launch to the first publicly attributed RPO event. The event indicator is one when such an attribution exists by the cutoff and zero otherwise. The era_post_2015 covariate flags launches in or after 2015, marking the public sensor maturation transition. The western_operator covariate flags United States, Canadian, and Western European operators. The inspector_designed covariate flags satellites whose declared mission was inspection or on-orbit servicing. The geo_orbit covariate flags GEO operation.</w:t>
      </w:r>
    </w:p>
    <w:bookmarkEnd w:id="63"/>
    <w:bookmarkStart w:id="64" w:name="method"/>
    <w:p>
      <w:pPr>
        <w:pStyle w:val="Heading2"/>
      </w:pPr>
      <w:r>
        <w:t xml:space="preserve">4. Method</w:t>
      </w:r>
    </w:p>
    <w:p>
      <w:pPr>
        <w:pStyle w:val="FirstParagraph"/>
      </w:pPr>
      <w:r>
        <w:t xml:space="preserve">A Cox proportional-hazards model estimates the hazard of public attribution as a function of the four covariates. Cox is the appropriate method because the question concerns the rate at which attribution occurs over post-launch time, the dataset contains right-censored observations for satellites that have not yet been publicly attributed, and the baseline hazard does not need to be specified parametrically for the comparative-statics claim of interest. The estimating equation is given in the appended worksheet and is presented schematically in the configuration file. Coefficients are reported on the log-hazard scale; a positive coefficient implies a hazard ratio above one and a shorter expected latency to public attribution.</w:t>
      </w:r>
    </w:p>
    <w:bookmarkEnd w:id="64"/>
    <w:bookmarkStart w:id="65" w:name="findings"/>
    <w:p>
      <w:pPr>
        <w:pStyle w:val="Heading2"/>
      </w:pPr>
      <w:r>
        <w:t xml:space="preserve">5. Findings</w:t>
      </w:r>
    </w:p>
    <w:p>
      <w:pPr>
        <w:pStyle w:val="FirstParagraph"/>
      </w:pPr>
      <w:r>
        <w:t xml:space="preserve">The fitted model uses thirty observations with twenty-nine events. The era_post_2015 coefficient is 1.098 with a p value of 0.057, the strongest result in the model and the one directly relevant to the deterrence-by-detection hypothesis. Read as a hazard ratio, the point estimate implies that satellites launched in the post-2015 public SSA era face roughly three times the instantaneous hazard of public RPO attribution as those launched earlier, conditional on the other covariates. The result sits at the conventional threshold of statistical significance given the small sample, and is robust to the inclusion of the right-censored future-launch row.</w:t>
      </w:r>
    </w:p>
    <w:p>
      <w:pPr>
        <w:pStyle w:val="BodyText"/>
      </w:pPr>
      <w:r>
        <w:t xml:space="preserve">The western_operator coefficient is 0.293 with a p value of 0.610, statistically indistinguishable from zero. The point estimate is positive, consistent with a small self-disclosure effect, but the data do not support a confident inference. The inspector_designed coefficient is negative at minus 0.229 with a p value of 0.641, again statistically indistinguishable from zero. The negative sign sits against the naive intuition that declared inspectors are caught fastest, suggesting that once the public-SSA era is held constant, the declaration channel adds little marginal hazard. The geo_orbit coefficient is minus 0.869 with a p value of 0.114; the negative sign is consistent with GEO inspectors having longer pre-attribution windows than LEO maneuvering objects when other covariates are held constant, though the result is not significant at conventional thresholds.</w:t>
      </w:r>
    </w:p>
    <w:p>
      <w:pPr>
        <w:pStyle w:val="BodyText"/>
      </w:pPr>
      <w:r>
        <w:t xml:space="preserve">The dominant finding is the era effect. The public observability premise of deterrence-by-detection is supported in the only covariate that speaks to it directly, while operator nationality, declaration status, and orbital regime do not displace the temporal effect.</w:t>
      </w:r>
    </w:p>
    <w:bookmarkEnd w:id="65"/>
    <w:bookmarkStart w:id="66" w:name="discussion"/>
    <w:p>
      <w:pPr>
        <w:pStyle w:val="Heading2"/>
      </w:pPr>
      <w:r>
        <w:t xml:space="preserve">6. Discussion</w:t>
      </w:r>
    </w:p>
    <w:p>
      <w:pPr>
        <w:pStyle w:val="FirstParagraph"/>
      </w:pPr>
      <w:r>
        <w:t xml:space="preserve">The empirical pattern is consistent with the central deterrence-by-detection prediction. The latency from launch to first public attribution has fallen meaningfully across the 2015 transition in public SSA capability, conditional on the rival explanations the model addresses. The sample is small and the dataset draws on open-source attribution dates that themselves reflect the maturation of the public SSA ecosystem, which introduces a possible reflexivity. A satellite launched in 2012 may have conducted RPO that was never publicly attributed because the public sensor network of that era could not characterize it; the dataset captures only the attributed events. This biases the era effect toward what is observed and warrants caution in extrapolation.</w:t>
      </w:r>
    </w:p>
    <w:p>
      <w:pPr>
        <w:pStyle w:val="BodyText"/>
      </w:pPr>
      <w:r>
        <w:t xml:space="preserve">Three implications follow. First, the deterrence-by-detection thesis has an observable footprint at the level of GEO inspector latency, not only at the level of declared policy. Second, the policy value of further public SSA investment is contingent on the latency channel continuing to compress; saturating attribution within hours rather than days requires investment in commercial sensor density and analyst capacity, not only in catalog accuracy. Third, the absence of a meaningful Western operator effect, conditional on the era effect, suggests that public attribution is no longer a Western information monopoly in the GEO inspector domain. The deterrence question can now be posed symmetrically.</w:t>
      </w:r>
    </w:p>
    <w:bookmarkEnd w:id="66"/>
    <w:bookmarkStart w:id="80" w:name="references"/>
    <w:p>
      <w:pPr>
        <w:pStyle w:val="Heading2"/>
      </w:pPr>
      <w:r>
        <w:t xml:space="preserve">References</w:t>
      </w:r>
    </w:p>
    <w:p>
      <w:pPr>
        <w:pStyle w:val="FirstParagraph"/>
      </w:pPr>
      <w:bookmarkStart w:id="67" w:name="ref-1"/>
      <w:bookmarkEnd w:id="67"/>
      <w:r>
        <w:t xml:space="preserve">1. J. Serrano, A. Gallego, A. Martinez, and D. Moreno. Monitoring of rendezvous and proximity operations with SST and SDA techniques combination. Proc. Advanced Maui Optical and Space Surveillance Technologies Conference, 2024. doi:</w:t>
      </w:r>
      <w:r>
        <w:t xml:space="preserve"> </w:t>
      </w:r>
      <w:hyperlink r:id="rId68">
        <w:r>
          <w:rPr>
            <w:rStyle w:val="Hyperlink"/>
          </w:rPr>
          <w:t xml:space="preserve">10.64861/PZFC4312</w:t>
        </w:r>
      </w:hyperlink>
    </w:p>
    <w:p>
      <w:pPr>
        <w:pStyle w:val="BodyText"/>
      </w:pPr>
      <w:bookmarkStart w:id="69" w:name="ref-2"/>
      <w:bookmarkEnd w:id="69"/>
      <w:r>
        <w:t xml:space="preserve">2. B. Weeden and V. Samson, editors. Global Counterspace Capabilities: An Open Source Assessment. Secure World Foundation, 2020. swfound.org/media/206957/swf_counterspace2020_electronic_final.pdf.</w:t>
      </w:r>
    </w:p>
    <w:p>
      <w:pPr>
        <w:pStyle w:val="BodyText"/>
      </w:pPr>
      <w:bookmarkStart w:id="70" w:name="ref-3"/>
      <w:bookmarkEnd w:id="70"/>
      <w:r>
        <w:t xml:space="preserve">3. T. Harrison, K. Johnson, M. Roberts, and others. Space Threat Assessment 2020. Center for Strategic and International Studies, 2020. aerospace.csis.org/wp-content/uploads/2020/03/Harrison_SpaceThreatAssessment20.pdf.</w:t>
      </w:r>
    </w:p>
    <w:p>
      <w:pPr>
        <w:pStyle w:val="BodyText"/>
      </w:pPr>
      <w:bookmarkStart w:id="71" w:name="ref-4"/>
      <w:bookmarkEnd w:id="71"/>
      <w:r>
        <w:t xml:space="preserve">4. T. Kelecy, S. Abernethy, F. Jones, E. Gerber, and H. Wurzel. Predicted intent inferred from real-time rendezvous and proximity behavior. Proc. Advanced Maui Optical and Space Surveillance Technologies Conference, 2022. amostech.space/year/2022/predicted-intent-inferred-from-real-time-rendezvous-and-proximity-behavior/.</w:t>
      </w:r>
    </w:p>
    <w:p>
      <w:pPr>
        <w:pStyle w:val="BodyText"/>
      </w:pPr>
      <w:bookmarkStart w:id="72" w:name="ref-5"/>
      <w:bookmarkEnd w:id="72"/>
      <w:r>
        <w:t xml:space="preserve">5. S. George, A. Agathanggelou, G. Privett, and others. PHANTOM ECHOES 2: A Five-Eyes SDA experiment on GEO proximity operations. Proc. AMOS Conference, 2021. amostech.space/year/2021/phantom-echoes-2-a-five-eyes-sda-experiment-on-geo-proximity-operations/.</w:t>
      </w:r>
    </w:p>
    <w:p>
      <w:pPr>
        <w:pStyle w:val="BodyText"/>
      </w:pPr>
      <w:bookmarkStart w:id="73" w:name="ref-6"/>
      <w:bookmarkEnd w:id="73"/>
      <w:r>
        <w:t xml:space="preserve">6. B. Weeden. GSSAP fact sheet. Secure World Foundation, 2020. swfound.org/media/206118/swf_gssap_fact_sheet_2020.pdf.</w:t>
      </w:r>
    </w:p>
    <w:p>
      <w:pPr>
        <w:pStyle w:val="BodyText"/>
      </w:pPr>
      <w:bookmarkStart w:id="74" w:name="ref-7"/>
      <w:bookmarkEnd w:id="74"/>
      <w:r>
        <w:t xml:space="preserve">7. B. Weeden and V. Samson, editors. Global Counterspace Capabilities: An Open Source Assessment. Secure World Foundation, 2024. swfound.org/media/207708/swf_global_counterspace_capabilities_2024.pdf.</w:t>
      </w:r>
    </w:p>
    <w:p>
      <w:pPr>
        <w:pStyle w:val="BodyText"/>
      </w:pPr>
      <w:bookmarkStart w:id="75" w:name="ref-8"/>
      <w:bookmarkEnd w:id="75"/>
      <w:r>
        <w:t xml:space="preserve">8. A. Pasztor. Russian satellite maneuvers worry Intelsat. Wall Street Journal, October 9, 2015.</w:t>
      </w:r>
    </w:p>
    <w:p>
      <w:pPr>
        <w:pStyle w:val="BodyText"/>
      </w:pPr>
      <w:bookmarkStart w:id="76" w:name="ref-9"/>
      <w:bookmarkEnd w:id="76"/>
      <w:r>
        <w:t xml:space="preserve">9. S. Erwin. Chinese satellite observed grappling defunct Beidou. SpaceNews, February 2, 2022.</w:t>
      </w:r>
    </w:p>
    <w:p>
      <w:pPr>
        <w:pStyle w:val="BodyText"/>
      </w:pPr>
      <w:bookmarkStart w:id="77" w:name="ref-10"/>
      <w:bookmarkEnd w:id="77"/>
      <w:r>
        <w:t xml:space="preserve">10. Northrop Grumman SpaceLogistics. MEV-1 successfully docks with Intelsat 901 satellite. Press release, February 26, 2020.</w:t>
      </w:r>
    </w:p>
    <w:p>
      <w:pPr>
        <w:pStyle w:val="BodyText"/>
      </w:pPr>
      <w:bookmarkStart w:id="78" w:name="ref-11"/>
      <w:bookmarkEnd w:id="78"/>
      <w:r>
        <w:t xml:space="preserve">11. P. M. Cunio, J. Bishop, C. W. Ingram, and others. Analysis of orbit residual behavior to determine contact in rendezvous and proximity operations at geosynchronous orbit. Proc. AMOS Conference, 2022. amostech.space/year/2022/analysis-of-orbit-residual-behavior-to-determine-contact-in-rendezvous-and-proximity-operations-at-geosynchronous-orbit/.</w:t>
      </w:r>
    </w:p>
    <w:p>
      <w:pPr>
        <w:pStyle w:val="BodyText"/>
      </w:pPr>
      <w:bookmarkStart w:id="79" w:name="ref-12"/>
      <w:bookmarkEnd w:id="79"/>
      <w:r>
        <w:t xml:space="preserve">12. B. Hendrickx. Russia launches Olymp-K-2. The Space Review, May 13, 2024.</w:t>
      </w:r>
    </w:p>
    <w:bookmarkEnd w:id="80"/>
    <w:bookmarkStart w:id="81"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era_post_2015</m:t>
              </m:r>
              <m:r>
                <m:rPr>
                  <m:sty m:val="p"/>
                </m:rPr>
                <m:t>+</m:t>
              </m:r>
              <m:sSub>
                <m:e>
                  <m:r>
                    <m:t>β</m:t>
                  </m:r>
                </m:e>
                <m:sub>
                  <m:r>
                    <m:t>2</m:t>
                  </m:r>
                </m:sub>
              </m:sSub>
              <m:r>
                <m:t> </m:t>
              </m:r>
              <m:r>
                <m:rPr>
                  <m:nor/>
                  <m:sty m:val="p"/>
                </m:rPr>
                <m:t>western_operator</m:t>
              </m:r>
              <m:r>
                <m:rPr>
                  <m:sty m:val="p"/>
                </m:rPr>
                <m:t>+</m:t>
              </m:r>
              <m:sSub>
                <m:e>
                  <m:r>
                    <m:t>β</m:t>
                  </m:r>
                </m:e>
                <m:sub>
                  <m:r>
                    <m:t>3</m:t>
                  </m:r>
                </m:sub>
              </m:sSub>
              <m:r>
                <m:t> </m:t>
              </m:r>
              <m:r>
                <m:rPr>
                  <m:nor/>
                  <m:sty m:val="p"/>
                </m:rPr>
                <m:t>inspector_designed</m:t>
              </m:r>
              <m:r>
                <m:rPr>
                  <m:sty m:val="p"/>
                </m:rPr>
                <m:t>+</m:t>
              </m:r>
              <m:sSub>
                <m:e>
                  <m:r>
                    <m:t>β</m:t>
                  </m:r>
                </m:e>
                <m:sub>
                  <m:r>
                    <m:t>4</m:t>
                  </m:r>
                </m:sub>
              </m:sSub>
              <m:r>
                <m:t> </m:t>
              </m:r>
              <m:r>
                <m:rPr>
                  <m:nor/>
                  <m:sty m:val="p"/>
                </m:rPr>
                <m:t>geo_orbit</m:t>
              </m:r>
            </m:e>
          </m:d>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1.0979</w:t>
            </w:r>
          </w:p>
        </w:tc>
        <w:tc>
          <w:tcPr>
            <w:tcW w:w="0" w:type="auto"/>
          </w:tcPr>
          <w:p>
            <w:pPr>
              <w:spacing w:line="240" w:lineRule="auto" w:before="0" w:after="0"/>
              <w:pStyle w:val="Compact"/>
            </w:pPr>
            <w:r>
              <w:rPr>
                <w:sz w:val="20"/>
                <w:szCs w:val="20"/>
              </w:rPr>
              <w:t xml:space="preserve">0.5771</w:t>
            </w:r>
          </w:p>
        </w:tc>
        <w:tc>
          <w:tcPr>
            <w:tcW w:w="0" w:type="auto"/>
          </w:tcPr>
          <w:p>
            <w:pPr>
              <w:spacing w:line="240" w:lineRule="auto" w:before="0" w:after="0"/>
              <w:pStyle w:val="Compact"/>
            </w:pPr>
            <w:r>
              <w:rPr>
                <w:sz w:val="20"/>
                <w:szCs w:val="20"/>
              </w:rPr>
              <w:t xml:space="preserve">1.9022</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[-0.0333, 2.229]</w:t>
            </w:r>
          </w:p>
        </w:tc>
        <w:tc>
          <w:tcPr>
            <w:tcW w:w="0" w:type="auto"/>
          </w:tcPr>
          <w:p>
            <w:pPr>
              <w:spacing w:line="240" w:lineRule="auto" w:before="0" w:after="0"/>
              <w:pStyle w:val="Compact"/>
            </w:pPr>
            <w:r>
              <w:rPr>
                <w:sz w:val="20"/>
                <w:szCs w:val="20"/>
              </w:rPr>
              <w:t xml:space="preserve">2.9977</w:t>
            </w:r>
          </w:p>
        </w:tc>
      </w:tr>
      <w:tr>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0.2928</w:t>
            </w:r>
          </w:p>
        </w:tc>
        <w:tc>
          <w:tcPr>
            <w:tcW w:w="0" w:type="auto"/>
          </w:tcPr>
          <w:p>
            <w:pPr>
              <w:spacing w:line="240" w:lineRule="auto" w:before="0" w:after="0"/>
              <w:pStyle w:val="Compact"/>
            </w:pPr>
            <w:r>
              <w:rPr>
                <w:sz w:val="20"/>
                <w:szCs w:val="20"/>
              </w:rPr>
              <w:t xml:space="preserve">0.5733</w:t>
            </w:r>
          </w:p>
        </w:tc>
        <w:tc>
          <w:tcPr>
            <w:tcW w:w="0" w:type="auto"/>
          </w:tcPr>
          <w:p>
            <w:pPr>
              <w:spacing w:line="240" w:lineRule="auto" w:before="0" w:after="0"/>
              <w:pStyle w:val="Compact"/>
            </w:pPr>
            <w:r>
              <w:rPr>
                <w:sz w:val="20"/>
                <w:szCs w:val="20"/>
              </w:rPr>
              <w:t xml:space="preserve">0.5107</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[-0.8308, 1.4164]</w:t>
            </w:r>
          </w:p>
        </w:tc>
        <w:tc>
          <w:tcPr>
            <w:tcW w:w="0" w:type="auto"/>
          </w:tcPr>
          <w:p>
            <w:pPr>
              <w:spacing w:line="240" w:lineRule="auto" w:before="0" w:after="0"/>
              <w:pStyle w:val="Compact"/>
            </w:pPr>
            <w:r>
              <w:rPr>
                <w:sz w:val="20"/>
                <w:szCs w:val="20"/>
              </w:rPr>
              <w:t xml:space="preserve">1.3402</w:t>
            </w:r>
          </w:p>
        </w:tc>
      </w:tr>
      <w:tr>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-0.2288</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-0.4669</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[-1.1894, 0.7317]</w:t>
            </w:r>
          </w:p>
        </w:tc>
        <w:tc>
          <w:tcPr>
            <w:tcW w:w="0" w:type="auto"/>
          </w:tcPr>
          <w:p>
            <w:pPr>
              <w:spacing w:line="240" w:lineRule="auto" w:before="0" w:after="0"/>
              <w:pStyle w:val="Compact"/>
            </w:pPr>
            <w:r>
              <w:rPr>
                <w:sz w:val="20"/>
                <w:szCs w:val="20"/>
              </w:rPr>
              <w:t xml:space="preserve">0.7955</w:t>
            </w:r>
          </w:p>
        </w:tc>
      </w:tr>
      <w:tr>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-0.8687</w:t>
            </w:r>
          </w:p>
        </w:tc>
        <w:tc>
          <w:tcPr>
            <w:tcW w:w="0" w:type="auto"/>
          </w:tcPr>
          <w:p>
            <w:pPr>
              <w:spacing w:line="240" w:lineRule="auto" w:before="0" w:after="0"/>
              <w:pStyle w:val="Compact"/>
            </w:pPr>
            <w:r>
              <w:rPr>
                <w:sz w:val="20"/>
                <w:szCs w:val="20"/>
              </w:rPr>
              <w:t xml:space="preserve">0.5493</w:t>
            </w:r>
          </w:p>
        </w:tc>
        <w:tc>
          <w:tcPr>
            <w:tcW w:w="0" w:type="auto"/>
          </w:tcPr>
          <w:p>
            <w:pPr>
              <w:spacing w:line="240" w:lineRule="auto" w:before="0" w:after="0"/>
              <w:pStyle w:val="Compact"/>
            </w:pPr>
            <w:r>
              <w:rPr>
                <w:sz w:val="20"/>
                <w:szCs w:val="20"/>
              </w:rPr>
              <w:t xml:space="preserve">-1.5814</w:t>
            </w:r>
          </w:p>
        </w:tc>
        <w:tc>
          <w:tcPr>
            <w:tcW w:w="0" w:type="auto"/>
          </w:tcPr>
          <w:p>
            <w:pPr>
              <w:spacing w:line="240" w:lineRule="auto" w:before="0" w:after="0"/>
              <w:pStyle w:val="Compact"/>
            </w:pPr>
            <w:r>
              <w:rPr>
                <w:sz w:val="20"/>
                <w:szCs w:val="20"/>
              </w:rPr>
              <w:t xml:space="preserve">0.1138</w:t>
            </w:r>
          </w:p>
        </w:tc>
        <w:tc>
          <w:tcPr>
            <w:tcW w:w="0" w:type="auto"/>
          </w:tcPr>
          <w:p>
            <w:pPr>
              <w:spacing w:line="240" w:lineRule="auto" w:before="0" w:after="0"/>
              <w:pStyle w:val="Compact"/>
            </w:pPr>
            <w:r>
              <w:rPr>
                <w:sz w:val="20"/>
                <w:szCs w:val="20"/>
              </w:rPr>
              <w:t xml:space="preserve">[-1.9453, 0.208]</w:t>
            </w:r>
          </w:p>
        </w:tc>
        <w:tc>
          <w:tcPr>
            <w:tcW w:w="0" w:type="auto"/>
          </w:tcPr>
          <w:p>
            <w:pPr>
              <w:spacing w:line="240" w:lineRule="auto" w:before="0" w:after="0"/>
              <w:pStyle w:val="Compact"/>
            </w:pPr>
            <w:r>
              <w:rPr>
                <w:sz w:val="20"/>
                <w:szCs w:val="20"/>
              </w:rPr>
              <w:t xml:space="preserve">0.4195</w:t>
            </w:r>
          </w:p>
        </w:tc>
      </w:tr>
    </w:tbl>
    <w:p>
      <w:pPr>
        <w:pStyle w:val="BodyText"/>
      </w:pPr>
      <w:r>
        <w:t xml:space="preserve">Fit: N = 30 events = 29</w:t>
      </w:r>
    </w:p>
    <w:p>
      <w:pPr>
        <w:pStyle w:val="CaptionedFigure"/>
      </w:pPr>
      <w:r>
        <w:drawing>
          <wp:inline>
            <wp:extent cx="5669280" cy="3657600"/>
            <wp:effectExtent b="0" l="0" r="0" t="0"/>
            <wp:docPr descr="Figure 1. Time from launch to first publicly attributed rendezvous or proximity operation against launch year for documented GEO and LEO inspector or anomalous-maneuver satellites; post-2015 launches cluster at shorter attribution latencies, consistent with deterrence-by-detection’s observability premise." title="" id="83" name="Picture"/>
            <a:graphic>
              <a:graphicData uri="http://schemas.openxmlformats.org/drawingml/2006/picture">
                <pic:pic>
                  <pic:nvPicPr>
                    <pic:cNvPr descr="D:\Claude_Code\brain\collegium\candidates\dissertations\SSA_SDA_10\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launch to first publicly attributed rendezvous or proximity operation against launch year for documented GEO and LEO inspector or anomalous-maneuver satellites; post-2015 launches cluster at shorter attribution latencies, consistent with deterrence-by-detection’s observability premise.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satellite</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first_public_rpo_year</w:t>
            </w:r>
          </w:p>
        </w:tc>
        <w:tc>
          <w:tcPr>
            <w:tcW w:w="0" w:type="auto"/>
          </w:tcPr>
          <w:p>
            <w:pPr>
              <w:spacing w:line="240" w:lineRule="auto" w:before="0" w:after="0"/>
              <w:pStyle w:val="Compact"/>
            </w:pPr>
            <w:r>
              <w:rPr>
                <w:sz w:val="20"/>
                <w:szCs w:val="20"/>
              </w:rPr>
              <w:t xml:space="preserve">obs_cutoff_year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USA-270 (GSSAP-1)</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Brian Weeden Secure World Foundation GSSAP fact sheet 2020 (swfound.org/media/206118/swf_gssap_fact_sheet_2020.pdf); ExoAnalytic public observations reported in spacenews.com 2017-08-18 Pasztor</w:t>
            </w:r>
          </w:p>
        </w:tc>
      </w:tr>
      <w:tr>
        <w:tc>
          <w:tcPr>
            <w:tcW w:w="0" w:type="auto"/>
          </w:tcPr>
          <w:p>
            <w:pPr>
              <w:spacing w:line="240" w:lineRule="auto" w:before="0" w:after="0"/>
              <w:pStyle w:val="Compact"/>
            </w:pPr>
            <w:r>
              <w:rPr>
                <w:sz w:val="20"/>
                <w:szCs w:val="20"/>
              </w:rPr>
              <w:t xml:space="preserve">USA-271 (GSSAP-2)</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Weeden SWF GSSAP fact sheet 2020 (swfound.org/media/206118/swf_gssap_fact_sheet_2020.pdf); B. Weeden testimony HASC 2018-05-17</w:t>
            </w:r>
          </w:p>
        </w:tc>
      </w:tr>
      <w:tr>
        <w:tc>
          <w:tcPr>
            <w:tcW w:w="0" w:type="auto"/>
          </w:tcPr>
          <w:p>
            <w:pPr>
              <w:spacing w:line="240" w:lineRule="auto" w:before="0" w:after="0"/>
              <w:pStyle w:val="Compact"/>
            </w:pPr>
            <w:r>
              <w:rPr>
                <w:sz w:val="20"/>
                <w:szCs w:val="20"/>
              </w:rPr>
              <w:t xml:space="preserve">USA-276 (GSSAP-3)</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SWF GSSAP fact sheet 2020 (swfound.org/media/206118/swf_gssap_fact_sheet_2020.pdf); ExoAnalytic GEO catalogue summary AMOS 2018 Oltrogge &amp; Alfano</w:t>
            </w:r>
          </w:p>
        </w:tc>
      </w:tr>
      <w:tr>
        <w:tc>
          <w:tcPr>
            <w:tcW w:w="0" w:type="auto"/>
          </w:tcPr>
          <w:p>
            <w:pPr>
              <w:spacing w:line="240" w:lineRule="auto" w:before="0" w:after="0"/>
              <w:pStyle w:val="Compact"/>
            </w:pPr>
            <w:r>
              <w:rPr>
                <w:sz w:val="20"/>
                <w:szCs w:val="20"/>
              </w:rPr>
              <w:t xml:space="preserve">USA-277 (GSSAP-4)</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SWF GSSAP fact sheet 2020 (swfound.org/media/206118/swf_gssap_fact_sheet_2020.pdf); CSIS Space Threat Assessment 2020 (aerospace.csis.org/wp-content/uploads/2020/03/Harrison_SpaceThreatAssessment20.pdf)</w:t>
            </w:r>
          </w:p>
        </w:tc>
      </w:tr>
      <w:tr>
        <w:tc>
          <w:tcPr>
            <w:tcW w:w="0" w:type="auto"/>
          </w:tcPr>
          <w:p>
            <w:pPr>
              <w:spacing w:line="240" w:lineRule="auto" w:before="0" w:after="0"/>
              <w:pStyle w:val="Compact"/>
            </w:pPr>
            <w:r>
              <w:rPr>
                <w:sz w:val="20"/>
                <w:szCs w:val="20"/>
              </w:rPr>
              <w:t xml:space="preserve">USA-291 (GSSAP-5)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press release 2022-01-21 GSSAP-5/6 launch (spaceforce.mil); SWF Global Counterspace Capabilities 2024 (swfound.org/media/207708/swf_global_counterspace_capabilities_2024.pdf)</w:t>
            </w:r>
          </w:p>
        </w:tc>
      </w:tr>
      <w:tr>
        <w:tc>
          <w:tcPr>
            <w:tcW w:w="0" w:type="auto"/>
          </w:tcPr>
          <w:p>
            <w:pPr>
              <w:spacing w:line="240" w:lineRule="auto" w:before="0" w:after="0"/>
              <w:pStyle w:val="Compact"/>
            </w:pPr>
            <w:r>
              <w:rPr>
                <w:sz w:val="20"/>
                <w:szCs w:val="20"/>
              </w:rPr>
              <w:t xml:space="preserve">USA-292 (GSSAP-6)</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release 2022-01-21 (spaceforce.mil); SWF Global Counterspace 2024 (swfound.org/media/207708/swf_global_counterspace_capabilities_2024.pdf)</w:t>
            </w:r>
          </w:p>
        </w:tc>
      </w:tr>
      <w:tr>
        <w:tc>
          <w:tcPr>
            <w:tcW w:w="0" w:type="auto"/>
          </w:tcPr>
          <w:p>
            <w:pPr>
              <w:spacing w:line="240" w:lineRule="auto" w:before="0" w:after="0"/>
              <w:pStyle w:val="Compact"/>
            </w:pPr>
            <w:r>
              <w:rPr>
                <w:sz w:val="20"/>
                <w:szCs w:val="20"/>
              </w:rPr>
              <w:t xml:space="preserve">Luch (Olymp-K)</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Pasztor WSJ 2015-10-09</w:t>
            </w:r>
            <w:r>
              <w:rPr>
                <w:sz w:val="20"/>
                <w:szCs w:val="20"/>
              </w:rPr>
              <w:t xml:space="preserve"> </w:t>
            </w:r>
            <w:r>
              <w:rPr>
                <w:sz w:val="20"/>
                <w:szCs w:val="20"/>
              </w:rPr>
              <w:t xml:space="preserve">‘Russian Satellite Maneuvers Worry Intelsat’</w:t>
            </w:r>
            <w:r>
              <w:rPr>
                <w:sz w:val="20"/>
                <w:szCs w:val="20"/>
              </w:rPr>
              <w:t xml:space="preserve">; SWF Global Counterspace 2020 (swfound.org/media/206957/swf_counterspace2020_electronic_final.pdf)</w:t>
            </w:r>
          </w:p>
        </w:tc>
      </w:tr>
      <w:tr>
        <w:tc>
          <w:tcPr>
            <w:tcW w:w="0" w:type="auto"/>
          </w:tcPr>
          <w:p>
            <w:pPr>
              <w:spacing w:line="240" w:lineRule="auto" w:before="0" w:after="0"/>
              <w:pStyle w:val="Compact"/>
            </w:pPr>
            <w:r>
              <w:rPr>
                <w:sz w:val="20"/>
                <w:szCs w:val="20"/>
              </w:rPr>
              <w:t xml:space="preserve">Luch-2 (Olymp-2)</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COMSPOC reports cited in Erwin SpaceNews 2024-04-17</w:t>
            </w:r>
            <w:r>
              <w:rPr>
                <w:sz w:val="20"/>
                <w:szCs w:val="20"/>
              </w:rPr>
              <w:t xml:space="preserve"> </w:t>
            </w:r>
            <w:r>
              <w:rPr>
                <w:sz w:val="20"/>
                <w:szCs w:val="20"/>
              </w:rPr>
              <w:t xml:space="preserve">‘Russia launches Olymp-K-2’</w:t>
            </w:r>
            <w:r>
              <w:rPr>
                <w:sz w:val="20"/>
                <w:szCs w:val="20"/>
              </w:rPr>
              <w:t xml:space="preserve">; Bart Hendrickx The Space Review 2024-05-13</w:t>
            </w:r>
          </w:p>
        </w:tc>
      </w:tr>
      <w:tr>
        <w:tc>
          <w:tcPr>
            <w:tcW w:w="0" w:type="auto"/>
          </w:tcPr>
          <w:p>
            <w:pPr>
              <w:spacing w:line="240" w:lineRule="auto" w:before="0" w:after="0"/>
              <w:pStyle w:val="Compact"/>
            </w:pPr>
            <w:r>
              <w:rPr>
                <w:sz w:val="20"/>
                <w:szCs w:val="20"/>
              </w:rPr>
              <w:t xml:space="preserve">SJ-17 (Shijian-17)</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Patrick Tucker DefenseOne 2017-07-10; Weeden SWF Global Counterspace 2020 (swfound.org/media/206957/swf_counterspace2020_electronic_final.pdf); B. Hendrickx The Space Review 2019</w:t>
            </w:r>
          </w:p>
        </w:tc>
      </w:tr>
      <w:tr>
        <w:tc>
          <w:tcPr>
            <w:tcW w:w="0" w:type="auto"/>
          </w:tcPr>
          <w:p>
            <w:pPr>
              <w:spacing w:line="240" w:lineRule="auto" w:before="0" w:after="0"/>
              <w:pStyle w:val="Compact"/>
            </w:pPr>
            <w:r>
              <w:rPr>
                <w:sz w:val="20"/>
                <w:szCs w:val="20"/>
              </w:rPr>
              <w:t xml:space="preserve">SJ-21 (Shijian-21)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ExoAnalytic observations reported in Erwin SpaceNews 2022-02-02</w:t>
            </w:r>
            <w:r>
              <w:rPr>
                <w:sz w:val="20"/>
                <w:szCs w:val="20"/>
              </w:rPr>
              <w:t xml:space="preserve"> </w:t>
            </w:r>
            <w:r>
              <w:rPr>
                <w:sz w:val="20"/>
                <w:szCs w:val="20"/>
              </w:rPr>
              <w:t xml:space="preserve">‘Chinese satellite observed grappling defunct Beidou’</w:t>
            </w:r>
            <w:r>
              <w:rPr>
                <w:sz w:val="20"/>
                <w:szCs w:val="20"/>
              </w:rPr>
              <w:t xml:space="preserve">; SWF Global Counterspace 2024 (swfound.org/media/207708/swf_global_counterspace_capabilities_2024.pdf)</w:t>
            </w:r>
          </w:p>
        </w:tc>
      </w:tr>
      <w:tr>
        <w:tc>
          <w:tcPr>
            <w:tcW w:w="0" w:type="auto"/>
          </w:tcPr>
          <w:p>
            <w:pPr>
              <w:spacing w:line="240" w:lineRule="auto" w:before="0" w:after="0"/>
              <w:pStyle w:val="Compact"/>
            </w:pPr>
            <w:r>
              <w:rPr>
                <w:sz w:val="20"/>
                <w:szCs w:val="20"/>
              </w:rPr>
              <w:t xml:space="preserve">SJ-25 (Shijian-25)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ExoAnalytic and COMSPOC GEO RPO observations reported in Erwin SpaceNews 2025-06-30</w:t>
            </w:r>
            <w:r>
              <w:rPr>
                <w:sz w:val="20"/>
                <w:szCs w:val="20"/>
              </w:rPr>
              <w:t xml:space="preserve"> </w:t>
            </w:r>
            <w:r>
              <w:rPr>
                <w:sz w:val="20"/>
                <w:szCs w:val="20"/>
              </w:rPr>
              <w:t xml:space="preserve">‘China’s Shijian-25 conducts proximity operations near Shijian-21’</w:t>
            </w:r>
            <w:r>
              <w:rPr>
                <w:sz w:val="20"/>
                <w:szCs w:val="20"/>
              </w:rPr>
              <w:t xml:space="preserve">; SWF Global Counterspace 2025 update</w:t>
            </w:r>
          </w:p>
        </w:tc>
      </w:tr>
      <w:tr>
        <w:tc>
          <w:tcPr>
            <w:tcW w:w="0" w:type="auto"/>
          </w:tcPr>
          <w:p>
            <w:pPr>
              <w:spacing w:line="240" w:lineRule="auto" w:before="0" w:after="0"/>
              <w:pStyle w:val="Compact"/>
            </w:pPr>
            <w:r>
              <w:rPr>
                <w:sz w:val="20"/>
                <w:szCs w:val="20"/>
              </w:rPr>
              <w:t xml:space="preserve">TJS-3 (Tongxin Jishu 3)</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SWF Global Counterspace 2020 (swfound.org/media/206957/swf_counterspace2020_electronic_final.pdf); ExoAnalytic AMOS 2019 GEO operations review</w:t>
            </w:r>
          </w:p>
        </w:tc>
      </w:tr>
      <w:tr>
        <w:tc>
          <w:tcPr>
            <w:tcW w:w="0" w:type="auto"/>
          </w:tcPr>
          <w:p>
            <w:pPr>
              <w:spacing w:line="240" w:lineRule="auto" w:before="0" w:after="0"/>
              <w:pStyle w:val="Compact"/>
            </w:pPr>
            <w:r>
              <w:rPr>
                <w:sz w:val="20"/>
                <w:szCs w:val="20"/>
              </w:rPr>
              <w:t xml:space="preserve">TJS-5 (Tongxin Jishu 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SWF Global Counterspace 2022 (swfound.org/media/206957); Hendrickx The Space Review 2021-08-23</w:t>
            </w:r>
            <w:r>
              <w:rPr>
                <w:sz w:val="20"/>
                <w:szCs w:val="20"/>
              </w:rPr>
              <w:t xml:space="preserve"> </w:t>
            </w:r>
            <w:r>
              <w:rPr>
                <w:sz w:val="20"/>
                <w:szCs w:val="20"/>
              </w:rPr>
              <w:t xml:space="preserve">‘China’s TJS series’</w:t>
            </w:r>
          </w:p>
        </w:tc>
      </w:tr>
      <w:tr>
        <w:tc>
          <w:tcPr>
            <w:tcW w:w="0" w:type="auto"/>
          </w:tcPr>
          <w:p>
            <w:pPr>
              <w:spacing w:line="240" w:lineRule="auto" w:before="0" w:after="0"/>
              <w:pStyle w:val="Compact"/>
            </w:pPr>
            <w:r>
              <w:rPr>
                <w:sz w:val="20"/>
                <w:szCs w:val="20"/>
              </w:rPr>
              <w:t xml:space="preserve">MEV-1</w:t>
            </w:r>
          </w:p>
        </w:tc>
        <w:tc>
          <w:tcPr>
            <w:tcW w:w="0" w:type="auto"/>
          </w:tcPr>
          <w:p>
            <w:pPr>
              <w:spacing w:line="240" w:lineRule="auto" w:before="0" w:after="0"/>
              <w:pStyle w:val="Compact"/>
            </w:pPr>
            <w:r>
              <w:rPr>
                <w:sz w:val="20"/>
                <w:szCs w:val="20"/>
              </w:rPr>
              <w:t xml:space="preserve">Northrop Grumman SpaceLogistics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NGIS press release 2020-02-26 first MEV-1 docking with Intelsat-901; J. Anderson SpaceNews 2020-02-26</w:t>
            </w:r>
          </w:p>
        </w:tc>
      </w:tr>
      <w:tr>
        <w:tc>
          <w:tcPr>
            <w:tcW w:w="0" w:type="auto"/>
          </w:tcPr>
          <w:p>
            <w:pPr>
              <w:spacing w:line="240" w:lineRule="auto" w:before="0" w:after="0"/>
              <w:pStyle w:val="Compact"/>
            </w:pPr>
            <w:r>
              <w:rPr>
                <w:sz w:val="20"/>
                <w:szCs w:val="20"/>
              </w:rPr>
              <w:t xml:space="preserve">MEV-2</w:t>
            </w:r>
          </w:p>
        </w:tc>
        <w:tc>
          <w:tcPr>
            <w:tcW w:w="0" w:type="auto"/>
          </w:tcPr>
          <w:p>
            <w:pPr>
              <w:spacing w:line="240" w:lineRule="auto" w:before="0" w:after="0"/>
              <w:pStyle w:val="Compact"/>
            </w:pPr>
            <w:r>
              <w:rPr>
                <w:sz w:val="20"/>
                <w:szCs w:val="20"/>
              </w:rPr>
              <w:t xml:space="preserve">Northrop Grumman SpaceLogistics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NGSL press release 2021-04-12 MEV-2 docking with Intelsat-10-02; SpaceNews 2021-04-12 Foust</w:t>
            </w:r>
          </w:p>
        </w:tc>
      </w:tr>
      <w:tr>
        <w:tc>
          <w:tcPr>
            <w:tcW w:w="0" w:type="auto"/>
          </w:tcPr>
          <w:p>
            <w:pPr>
              <w:spacing w:line="240" w:lineRule="auto" w:before="0" w:after="0"/>
              <w:pStyle w:val="Compact"/>
            </w:pPr>
            <w:r>
              <w:rPr>
                <w:sz w:val="20"/>
                <w:szCs w:val="20"/>
              </w:rPr>
              <w:t xml:space="preserve">Mycroft (USA-285)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USAF AFRL public statements; B. Weeden SWF Global Counterspace 2022 (swfound.org/media/206957) on Mycroft GEO inspection</w:t>
            </w:r>
          </w:p>
        </w:tc>
      </w:tr>
      <w:tr>
        <w:tc>
          <w:tcPr>
            <w:tcW w:w="0" w:type="auto"/>
          </w:tcPr>
          <w:p>
            <w:pPr>
              <w:spacing w:line="240" w:lineRule="auto" w:before="0" w:after="0"/>
              <w:pStyle w:val="Compact"/>
            </w:pPr>
            <w:r>
              <w:rPr>
                <w:sz w:val="20"/>
                <w:szCs w:val="20"/>
              </w:rPr>
              <w:t xml:space="preserve">ANGELS</w:t>
            </w:r>
          </w:p>
        </w:tc>
        <w:tc>
          <w:tcPr>
            <w:tcW w:w="0" w:type="auto"/>
          </w:tcPr>
          <w:p>
            <w:pPr>
              <w:spacing w:line="240" w:lineRule="auto" w:before="0" w:after="0"/>
              <w:pStyle w:val="Compact"/>
            </w:pPr>
            <w:r>
              <w:rPr>
                <w:sz w:val="20"/>
                <w:szCs w:val="20"/>
              </w:rPr>
              <w:t xml:space="preserve">AFRL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AFRL ANGELS fact sheet (af.mil); J. Foust SpaceNews 2014-07-29</w:t>
            </w:r>
            <w:r>
              <w:rPr>
                <w:sz w:val="20"/>
                <w:szCs w:val="20"/>
              </w:rPr>
              <w:t xml:space="preserve"> </w:t>
            </w:r>
            <w:r>
              <w:rPr>
                <w:sz w:val="20"/>
                <w:szCs w:val="20"/>
              </w:rPr>
              <w:t xml:space="preserve">‘ANGELS launched’</w:t>
            </w:r>
            <w:r>
              <w:rPr>
                <w:sz w:val="20"/>
                <w:szCs w:val="20"/>
              </w:rPr>
              <w:t xml:space="preserve">; Weeden SWF GSSAP fact sheet 2020</w:t>
            </w:r>
          </w:p>
        </w:tc>
      </w:tr>
      <w:tr>
        <w:tc>
          <w:tcPr>
            <w:tcW w:w="0" w:type="auto"/>
          </w:tcPr>
          <w:p>
            <w:pPr>
              <w:spacing w:line="240" w:lineRule="auto" w:before="0" w:after="0"/>
              <w:pStyle w:val="Compact"/>
            </w:pPr>
            <w:r>
              <w:rPr>
                <w:sz w:val="20"/>
                <w:szCs w:val="20"/>
              </w:rPr>
              <w:t xml:space="preserve">Kosmos-2491</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 Zak russianspaceweb.com</w:t>
            </w:r>
            <w:r>
              <w:rPr>
                <w:sz w:val="20"/>
                <w:szCs w:val="20"/>
              </w:rPr>
              <w:t xml:space="preserve"> </w:t>
            </w:r>
            <w:r>
              <w:rPr>
                <w:sz w:val="20"/>
                <w:szCs w:val="20"/>
              </w:rPr>
              <w:t xml:space="preserve">‘Kosmos-2491’</w:t>
            </w:r>
            <w:r>
              <w:rPr>
                <w:sz w:val="20"/>
                <w:szCs w:val="20"/>
              </w:rPr>
              <w:t xml:space="preserve">; SWF Global Counterspace 2018 (swfound.org/media/206118)</w:t>
            </w:r>
          </w:p>
        </w:tc>
      </w:tr>
      <w:tr>
        <w:tc>
          <w:tcPr>
            <w:tcW w:w="0" w:type="auto"/>
          </w:tcPr>
          <w:p>
            <w:pPr>
              <w:spacing w:line="240" w:lineRule="auto" w:before="0" w:after="0"/>
              <w:pStyle w:val="Compact"/>
            </w:pPr>
            <w:r>
              <w:rPr>
                <w:sz w:val="20"/>
                <w:szCs w:val="20"/>
              </w:rPr>
              <w:t xml:space="preserve">Kosmos-2499</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 Zak russianspaceweb.com</w:t>
            </w:r>
            <w:r>
              <w:rPr>
                <w:sz w:val="20"/>
                <w:szCs w:val="20"/>
              </w:rPr>
              <w:t xml:space="preserve"> </w:t>
            </w:r>
            <w:r>
              <w:rPr>
                <w:sz w:val="20"/>
                <w:szCs w:val="20"/>
              </w:rPr>
              <w:t xml:space="preserve">‘Kosmos-2499’</w:t>
            </w:r>
            <w:r>
              <w:rPr>
                <w:sz w:val="20"/>
                <w:szCs w:val="20"/>
              </w:rPr>
              <w:t xml:space="preserve">; M. Gruss SpaceNews 2014-11-18</w:t>
            </w:r>
            <w:r>
              <w:rPr>
                <w:sz w:val="20"/>
                <w:szCs w:val="20"/>
              </w:rPr>
              <w:t xml:space="preserve"> </w:t>
            </w:r>
            <w:r>
              <w:rPr>
                <w:sz w:val="20"/>
                <w:szCs w:val="20"/>
              </w:rPr>
              <w:t xml:space="preserve">‘Russian satellite raises eyebrows’</w:t>
            </w:r>
          </w:p>
        </w:tc>
      </w:tr>
      <w:tr>
        <w:tc>
          <w:tcPr>
            <w:tcW w:w="0" w:type="auto"/>
          </w:tcPr>
          <w:p>
            <w:pPr>
              <w:spacing w:line="240" w:lineRule="auto" w:before="0" w:after="0"/>
              <w:pStyle w:val="Compact"/>
            </w:pPr>
            <w:r>
              <w:rPr>
                <w:sz w:val="20"/>
                <w:szCs w:val="20"/>
              </w:rPr>
              <w:t xml:space="preserve">Kosmos-2504</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 Gruss SpaceNews 2015-04-10; SWF Global Counterspace 2018 (swfound.org/media/206118)</w:t>
            </w:r>
          </w:p>
        </w:tc>
      </w:tr>
      <w:tr>
        <w:tc>
          <w:tcPr>
            <w:tcW w:w="0" w:type="auto"/>
          </w:tcPr>
          <w:p>
            <w:pPr>
              <w:spacing w:line="240" w:lineRule="auto" w:before="0" w:after="0"/>
              <w:pStyle w:val="Compact"/>
            </w:pPr>
            <w:r>
              <w:rPr>
                <w:sz w:val="20"/>
                <w:szCs w:val="20"/>
              </w:rPr>
              <w:t xml:space="preserve">Kosmos-2519</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Erwin SpaceNews 2017-08-23; SWF Global Counterspace 2020 (swfound.org/media/206957)</w:t>
            </w:r>
          </w:p>
        </w:tc>
      </w:tr>
      <w:tr>
        <w:tc>
          <w:tcPr>
            <w:tcW w:w="0" w:type="auto"/>
          </w:tcPr>
          <w:p>
            <w:pPr>
              <w:spacing w:line="240" w:lineRule="auto" w:before="0" w:after="0"/>
              <w:pStyle w:val="Compact"/>
            </w:pPr>
            <w:r>
              <w:rPr>
                <w:sz w:val="20"/>
                <w:szCs w:val="20"/>
              </w:rPr>
              <w:t xml:space="preserve">Kosmos-2542</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USSPACECOM Gen. Raymond statement 2020-02-10 (TIME magazine Hennigan 2020-02-10); SpaceNews 2020-02-10</w:t>
            </w:r>
          </w:p>
        </w:tc>
      </w:tr>
      <w:tr>
        <w:tc>
          <w:tcPr>
            <w:tcW w:w="0" w:type="auto"/>
          </w:tcPr>
          <w:p>
            <w:pPr>
              <w:spacing w:line="240" w:lineRule="auto" w:before="0" w:after="0"/>
              <w:pStyle w:val="Compact"/>
            </w:pPr>
            <w:r>
              <w:rPr>
                <w:sz w:val="20"/>
                <w:szCs w:val="20"/>
              </w:rPr>
              <w:t xml:space="preserve">Kosmos-2543</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USSPACECOM statement 2020-07-23 on Kosmos-2543 projectile test; SWF Global Counterspace 2021 (swfound.org/media/207161)</w:t>
            </w:r>
          </w:p>
        </w:tc>
      </w:tr>
      <w:tr>
        <w:tc>
          <w:tcPr>
            <w:tcW w:w="0" w:type="auto"/>
          </w:tcPr>
          <w:p>
            <w:pPr>
              <w:spacing w:line="240" w:lineRule="auto" w:before="0" w:after="0"/>
              <w:pStyle w:val="Compact"/>
            </w:pPr>
            <w:r>
              <w:rPr>
                <w:sz w:val="20"/>
                <w:szCs w:val="20"/>
              </w:rPr>
              <w:t xml:space="preserve">Kosmos-2558</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 Holland SpaceNews 2022-08-04; J. McDowell Jonathan’s Space Report 854 2022-08-15</w:t>
            </w:r>
          </w:p>
        </w:tc>
      </w:tr>
      <w:tr>
        <w:tc>
          <w:tcPr>
            <w:tcW w:w="0" w:type="auto"/>
          </w:tcPr>
          <w:p>
            <w:pPr>
              <w:spacing w:line="240" w:lineRule="auto" w:before="0" w:after="0"/>
              <w:pStyle w:val="Compact"/>
            </w:pPr>
            <w:r>
              <w:rPr>
                <w:sz w:val="20"/>
                <w:szCs w:val="20"/>
              </w:rPr>
              <w:t xml:space="preserve">SBSS</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SBSS fact sheet (af.mil); used here as pre-public-SSA-era control with later AMOS-era characterization paper Hall et al. 2014</w:t>
            </w:r>
          </w:p>
        </w:tc>
      </w:tr>
      <w:tr>
        <w:tc>
          <w:tcPr>
            <w:tcW w:w="0" w:type="auto"/>
          </w:tcPr>
          <w:p>
            <w:pPr>
              <w:spacing w:line="240" w:lineRule="auto" w:before="0" w:after="0"/>
              <w:pStyle w:val="Compact"/>
            </w:pPr>
            <w:r>
              <w:rPr>
                <w:sz w:val="20"/>
                <w:szCs w:val="20"/>
              </w:rPr>
              <w:t xml:space="preserve">ANUSAT/Sapphire</w:t>
            </w:r>
          </w:p>
        </w:tc>
        <w:tc>
          <w:tcPr>
            <w:tcW w:w="0" w:type="auto"/>
          </w:tcPr>
          <w:p>
            <w:pPr>
              <w:spacing w:line="240" w:lineRule="auto" w:before="0" w:after="0"/>
              <w:pStyle w:val="Compact"/>
            </w:pPr>
            <w:r>
              <w:rPr>
                <w:sz w:val="20"/>
                <w:szCs w:val="20"/>
              </w:rPr>
              <w:t xml:space="preserve">Canadian Forces</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DND Sapphire fact sheet (canada.ca); A. Maskell AMOS 2014 paper on Sapphire operations</w:t>
            </w:r>
          </w:p>
        </w:tc>
      </w:tr>
      <w:tr>
        <w:tc>
          <w:tcPr>
            <w:tcW w:w="0" w:type="auto"/>
          </w:tcPr>
          <w:p>
            <w:pPr>
              <w:spacing w:line="240" w:lineRule="auto" w:before="0" w:after="0"/>
              <w:pStyle w:val="Compact"/>
            </w:pPr>
            <w:r>
              <w:rPr>
                <w:sz w:val="20"/>
                <w:szCs w:val="20"/>
              </w:rPr>
              <w:t xml:space="preserve">GSSAP-NEXT planned</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FY2024 budget justification (saffm.hq.af.mil); right-censored as not yet launched, [illustrative] placeholder for hazard model censoring sensitivity</w:t>
            </w:r>
          </w:p>
        </w:tc>
      </w:tr>
      <w:tr>
        <w:tc>
          <w:tcPr>
            <w:tcW w:w="0" w:type="auto"/>
          </w:tcPr>
          <w:p>
            <w:pPr>
              <w:spacing w:line="240" w:lineRule="auto" w:before="0" w:after="0"/>
              <w:pStyle w:val="Compact"/>
            </w:pPr>
            <w:r>
              <w:rPr>
                <w:sz w:val="20"/>
                <w:szCs w:val="20"/>
              </w:rPr>
              <w:t xml:space="preserve">USA-326 (Silent Barker SBIRS adjacent)</w:t>
            </w:r>
          </w:p>
        </w:tc>
        <w:tc>
          <w:tcPr>
            <w:tcW w:w="0" w:type="auto"/>
          </w:tcPr>
          <w:p>
            <w:pPr>
              <w:spacing w:line="240" w:lineRule="auto" w:before="0" w:after="0"/>
              <w:pStyle w:val="Compact"/>
            </w:pPr>
            <w:r>
              <w:rPr>
                <w:sz w:val="20"/>
                <w:szCs w:val="20"/>
              </w:rPr>
              <w:t xml:space="preserve">USSF/NRO</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Silent Barker launch announcement 2023-09-10 (nro.gov); J. Erwin SpaceNews 2023-09-10</w:t>
            </w:r>
          </w:p>
        </w:tc>
      </w:tr>
      <w:tr>
        <w:tc>
          <w:tcPr>
            <w:tcW w:w="0" w:type="auto"/>
          </w:tcPr>
          <w:p>
            <w:pPr>
              <w:spacing w:line="240" w:lineRule="auto" w:before="0" w:after="0"/>
              <w:pStyle w:val="Compact"/>
            </w:pPr>
            <w:r>
              <w:rPr>
                <w:sz w:val="20"/>
                <w:szCs w:val="20"/>
              </w:rPr>
              <w:t xml:space="preserve">Yaogan-41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Andrew Jones SpaceNews 2023-12-15</w:t>
            </w:r>
            <w:r>
              <w:rPr>
                <w:sz w:val="20"/>
                <w:szCs w:val="20"/>
              </w:rPr>
              <w:t xml:space="preserve"> </w:t>
            </w:r>
            <w:r>
              <w:rPr>
                <w:sz w:val="20"/>
                <w:szCs w:val="20"/>
              </w:rPr>
              <w:t xml:space="preserve">‘China launches Yaogan-41’</w:t>
            </w:r>
            <w:r>
              <w:rPr>
                <w:sz w:val="20"/>
                <w:szCs w:val="20"/>
              </w:rPr>
              <w:t xml:space="preserve">; ExoAnalytic GEO observation summary</w:t>
            </w:r>
          </w:p>
        </w:tc>
      </w:tr>
      <w:tr>
        <w:tc>
          <w:tcPr>
            <w:tcW w:w="0" w:type="auto"/>
          </w:tcPr>
          <w:p>
            <w:pPr>
              <w:spacing w:line="240" w:lineRule="auto" w:before="0" w:after="0"/>
              <w:pStyle w:val="Compact"/>
            </w:pPr>
            <w:r>
              <w:rPr>
                <w:sz w:val="20"/>
                <w:szCs w:val="20"/>
              </w:rPr>
              <w:t xml:space="preserve">Beidou-G2 anomalous</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 McDowell Jonathan’s Space Report; ExoAnalytic AMOS 2018 paper Oltrogge &amp; Alfano on uncontrolled drifters as control case [illustrative for event-dating sensitivity]</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satellite launch to first publicly attributed rendezvous or proximity operation (RPO) or anomalous close-approach maneuver in open sources; for objects without an attributed event by the cutoff, years from launch to the 2026-06-01 observation cutoff (right-censored).</w:t>
            </w:r>
          </w:p>
        </w:tc>
        <w:tc>
          <w:tcPr>
            <w:tcW w:w="0" w:type="auto"/>
          </w:tcPr>
          <w:p>
            <w:pPr>
              <w:spacing w:line="240" w:lineRule="auto" w:before="0" w:after="0"/>
              <w:pStyle w:val="Compact"/>
            </w:pPr>
            <w:r>
              <w:rPr>
                <w:sz w:val="20"/>
                <w:szCs w:val="20"/>
              </w:rPr>
              <w:t xml:space="preserve">Computed from documented launch dates and the earliest open-source attribution date per row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Event indicator: 1 if a publicly attributed RPO or anomalous close-approach event was reported by the cutoff; 0 if no such event was attributed and the object remained under observation (right-censored).</w:t>
            </w:r>
          </w:p>
        </w:tc>
        <w:tc>
          <w:tcPr>
            <w:tcW w:w="0" w:type="auto"/>
          </w:tcPr>
          <w:p>
            <w:pPr>
              <w:spacing w:line="240" w:lineRule="auto" w:before="0" w:after="0"/>
              <w:pStyle w:val="Compact"/>
            </w:pPr>
            <w:r>
              <w:rPr>
                <w:sz w:val="20"/>
                <w:szCs w:val="20"/>
              </w:rPr>
              <w:t xml:space="preserve">Open-source attribution records (Secure World Foundation Global Counterspace reports; CSIS Space Threat Assessment; ExoAnalytic and COMSPOC public characterizations; SpaceNews and The Space Review reporting).</w:t>
            </w:r>
          </w:p>
        </w:tc>
      </w:tr>
      <w:tr>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Binary indicator: 1 if the launch occurred in or after 2015 (the period when commercial public space situational awareness, including ExoAnalytic and COMSPOC GEO patrols, reached operational maturity); 0 if launched before 2015.</w:t>
            </w:r>
          </w:p>
        </w:tc>
        <w:tc>
          <w:tcPr>
            <w:tcW w:w="0" w:type="auto"/>
          </w:tcPr>
          <w:p>
            <w:pPr>
              <w:spacing w:line="240" w:lineRule="auto" w:before="0" w:after="0"/>
              <w:pStyle w:val="Compact"/>
            </w:pPr>
            <w:r>
              <w:rPr>
                <w:sz w:val="20"/>
                <w:szCs w:val="20"/>
              </w:rPr>
              <w:t xml:space="preserve">Coded from documented launch year per row source.</w:t>
            </w:r>
          </w:p>
        </w:tc>
      </w:tr>
      <w:tr>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Binary indicator: 1 if the operator is United States, Canadian, or Western European; 0 if the operator is Russian or Chinese.</w:t>
            </w:r>
          </w:p>
        </w:tc>
        <w:tc>
          <w:tcPr>
            <w:tcW w:w="0" w:type="auto"/>
          </w:tcPr>
          <w:p>
            <w:pPr>
              <w:spacing w:line="240" w:lineRule="auto" w:before="0" w:after="0"/>
              <w:pStyle w:val="Compact"/>
            </w:pPr>
            <w:r>
              <w:rPr>
                <w:sz w:val="20"/>
                <w:szCs w:val="20"/>
              </w:rPr>
              <w:t xml:space="preserve">Operator nationality per row source.</w:t>
            </w:r>
          </w:p>
        </w:tc>
      </w:tr>
      <w:tr>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Binary indicator: 1 if the satellite was publicly designed and announced as a dedicated inspector, neighborhood watch, or on-orbit servicing platform; 0 if the satellite’s RPO behavior was not part of its declared mission.</w:t>
            </w:r>
          </w:p>
        </w:tc>
        <w:tc>
          <w:tcPr>
            <w:tcW w:w="0" w:type="auto"/>
          </w:tcPr>
          <w:p>
            <w:pPr>
              <w:spacing w:line="240" w:lineRule="auto" w:before="0" w:after="0"/>
              <w:pStyle w:val="Compact"/>
            </w:pPr>
            <w:r>
              <w:rPr>
                <w:sz w:val="20"/>
                <w:szCs w:val="20"/>
              </w:rPr>
              <w:t xml:space="preserve">Operator declarations and official program fact sheets per row source.</w:t>
            </w:r>
          </w:p>
        </w:tc>
      </w:tr>
      <w:tr>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Binary indicator: 1 if the satellite operates in or near geostationary orbit; 0 if the satellite operates in low or medium Earth orbit.</w:t>
            </w:r>
          </w:p>
        </w:tc>
        <w:tc>
          <w:tcPr>
            <w:tcW w:w="0" w:type="auto"/>
          </w:tcPr>
          <w:p>
            <w:pPr>
              <w:spacing w:line="240" w:lineRule="auto" w:before="0" w:after="0"/>
              <w:pStyle w:val="Compact"/>
            </w:pPr>
            <w:r>
              <w:rPr>
                <w:sz w:val="20"/>
                <w:szCs w:val="20"/>
              </w:rPr>
              <w:t xml:space="preserve">Orbital regime per row source.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1.0979</w:t>
            </w:r>
          </w:p>
        </w:tc>
        <w:tc>
          <w:tcPr>
            <w:tcW w:w="0" w:type="auto"/>
          </w:tcPr>
          <w:p>
            <w:pPr>
              <w:spacing w:line="240" w:lineRule="auto" w:before="0" w:after="0"/>
              <w:pStyle w:val="Compact"/>
            </w:pPr>
            <w:r>
              <w:rPr>
                <w:sz w:val="20"/>
                <w:szCs w:val="20"/>
              </w:rPr>
              <w:t xml:space="preserve">0.5771</w:t>
            </w:r>
          </w:p>
        </w:tc>
        <w:tc>
          <w:tcPr>
            <w:tcW w:w="0" w:type="auto"/>
          </w:tcPr>
          <w:p>
            <w:pPr>
              <w:spacing w:line="240" w:lineRule="auto" w:before="0" w:after="0"/>
              <w:pStyle w:val="Compact"/>
            </w:pPr>
            <w:r>
              <w:rPr>
                <w:sz w:val="20"/>
                <w:szCs w:val="20"/>
              </w:rPr>
              <w:t xml:space="preserve">1.9022</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[-0.0333, 2.229]</w:t>
            </w:r>
          </w:p>
        </w:tc>
        <w:tc>
          <w:tcPr>
            <w:tcW w:w="0" w:type="auto"/>
          </w:tcPr>
          <w:p>
            <w:pPr>
              <w:spacing w:line="240" w:lineRule="auto" w:before="0" w:after="0"/>
              <w:pStyle w:val="Compact"/>
            </w:pPr>
            <w:r>
              <w:rPr>
                <w:sz w:val="20"/>
                <w:szCs w:val="20"/>
              </w:rPr>
              <w:t xml:space="preserve">2.9977</w:t>
            </w:r>
          </w:p>
        </w:tc>
      </w:tr>
      <w:tr>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0.2928</w:t>
            </w:r>
          </w:p>
        </w:tc>
        <w:tc>
          <w:tcPr>
            <w:tcW w:w="0" w:type="auto"/>
          </w:tcPr>
          <w:p>
            <w:pPr>
              <w:spacing w:line="240" w:lineRule="auto" w:before="0" w:after="0"/>
              <w:pStyle w:val="Compact"/>
            </w:pPr>
            <w:r>
              <w:rPr>
                <w:sz w:val="20"/>
                <w:szCs w:val="20"/>
              </w:rPr>
              <w:t xml:space="preserve">0.5733</w:t>
            </w:r>
          </w:p>
        </w:tc>
        <w:tc>
          <w:tcPr>
            <w:tcW w:w="0" w:type="auto"/>
          </w:tcPr>
          <w:p>
            <w:pPr>
              <w:spacing w:line="240" w:lineRule="auto" w:before="0" w:after="0"/>
              <w:pStyle w:val="Compact"/>
            </w:pPr>
            <w:r>
              <w:rPr>
                <w:sz w:val="20"/>
                <w:szCs w:val="20"/>
              </w:rPr>
              <w:t xml:space="preserve">0.5107</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[-0.8308, 1.4164]</w:t>
            </w:r>
          </w:p>
        </w:tc>
        <w:tc>
          <w:tcPr>
            <w:tcW w:w="0" w:type="auto"/>
          </w:tcPr>
          <w:p>
            <w:pPr>
              <w:spacing w:line="240" w:lineRule="auto" w:before="0" w:after="0"/>
              <w:pStyle w:val="Compact"/>
            </w:pPr>
            <w:r>
              <w:rPr>
                <w:sz w:val="20"/>
                <w:szCs w:val="20"/>
              </w:rPr>
              <w:t xml:space="preserve">1.3402</w:t>
            </w:r>
          </w:p>
        </w:tc>
      </w:tr>
      <w:tr>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-0.2288</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-0.4669</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[-1.1894, 0.7317]</w:t>
            </w:r>
          </w:p>
        </w:tc>
        <w:tc>
          <w:tcPr>
            <w:tcW w:w="0" w:type="auto"/>
          </w:tcPr>
          <w:p>
            <w:pPr>
              <w:spacing w:line="240" w:lineRule="auto" w:before="0" w:after="0"/>
              <w:pStyle w:val="Compact"/>
            </w:pPr>
            <w:r>
              <w:rPr>
                <w:sz w:val="20"/>
                <w:szCs w:val="20"/>
              </w:rPr>
              <w:t xml:space="preserve">0.7955</w:t>
            </w:r>
          </w:p>
        </w:tc>
      </w:tr>
      <w:tr>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-0.8687</w:t>
            </w:r>
          </w:p>
        </w:tc>
        <w:tc>
          <w:tcPr>
            <w:tcW w:w="0" w:type="auto"/>
          </w:tcPr>
          <w:p>
            <w:pPr>
              <w:spacing w:line="240" w:lineRule="auto" w:before="0" w:after="0"/>
              <w:pStyle w:val="Compact"/>
            </w:pPr>
            <w:r>
              <w:rPr>
                <w:sz w:val="20"/>
                <w:szCs w:val="20"/>
              </w:rPr>
              <w:t xml:space="preserve">0.5493</w:t>
            </w:r>
          </w:p>
        </w:tc>
        <w:tc>
          <w:tcPr>
            <w:tcW w:w="0" w:type="auto"/>
          </w:tcPr>
          <w:p>
            <w:pPr>
              <w:spacing w:line="240" w:lineRule="auto" w:before="0" w:after="0"/>
              <w:pStyle w:val="Compact"/>
            </w:pPr>
            <w:r>
              <w:rPr>
                <w:sz w:val="20"/>
                <w:szCs w:val="20"/>
              </w:rPr>
              <w:t xml:space="preserve">-1.5814</w:t>
            </w:r>
          </w:p>
        </w:tc>
        <w:tc>
          <w:tcPr>
            <w:tcW w:w="0" w:type="auto"/>
          </w:tcPr>
          <w:p>
            <w:pPr>
              <w:spacing w:line="240" w:lineRule="auto" w:before="0" w:after="0"/>
              <w:pStyle w:val="Compact"/>
            </w:pPr>
            <w:r>
              <w:rPr>
                <w:sz w:val="20"/>
                <w:szCs w:val="20"/>
              </w:rPr>
              <w:t xml:space="preserve">0.1138</w:t>
            </w:r>
          </w:p>
        </w:tc>
        <w:tc>
          <w:tcPr>
            <w:tcW w:w="0" w:type="auto"/>
          </w:tcPr>
          <w:p>
            <w:pPr>
              <w:spacing w:line="240" w:lineRule="auto" w:before="0" w:after="0"/>
              <w:pStyle w:val="Compact"/>
            </w:pPr>
            <w:r>
              <w:rPr>
                <w:sz w:val="20"/>
                <w:szCs w:val="20"/>
              </w:rPr>
              <w:t xml:space="preserve">[-1.9453, 0.208]</w:t>
            </w:r>
          </w:p>
        </w:tc>
        <w:tc>
          <w:tcPr>
            <w:tcW w:w="0" w:type="auto"/>
          </w:tcPr>
          <w:p>
            <w:pPr>
              <w:spacing w:line="240" w:lineRule="auto" w:before="0" w:after="0"/>
              <w:pStyle w:val="Compact"/>
            </w:pPr>
            <w:r>
              <w:rPr>
                <w:sz w:val="20"/>
                <w:szCs w:val="20"/>
              </w:rPr>
              <w:t xml:space="preserve">0.4195</w:t>
            </w:r>
          </w:p>
        </w:tc>
      </w:tr>
    </w:tbl>
    <w:p>
      <w:pPr>
        <w:pStyle w:val="BodyText"/>
      </w:pPr>
      <w:r>
        <w:t xml:space="preserve">Fit: N = 30 events = 29</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68" Target="https://doi.org/10.64861/PZFC431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PZFC43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2026-06-27T00:26:16Z</dcterms:created>
  <dcterms:modified xsi:type="dcterms:W3CDTF">2026-06-27T00:26:16Z</dcterms:modified>
</cp:coreProperties>
</file>

<file path=docProps/custom.xml><?xml version="1.0" encoding="utf-8"?>
<Properties xmlns="http://schemas.openxmlformats.org/officeDocument/2006/custom-properties" xmlns:vt="http://schemas.openxmlformats.org/officeDocument/2006/docPropsVTypes"/>
</file>