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5093a3edf5b78997e957921f76f18a85bc235c4"/>
    <w:p>
      <w:pPr>
        <w:pStyle w:val="Heading1"/>
      </w:pPr>
      <w:r>
        <w:t xml:space="preserve">Deterrence by Detection at GEO: An OLS Panel Test of Public SSA Coverage and Observed RPO Event Rates</w:t>
      </w:r>
    </w:p>
    <w:bookmarkStart w:id="61" w:name="introduction"/>
    <w:p>
      <w:pPr>
        <w:pStyle w:val="Heading2"/>
      </w:pPr>
      <w:r>
        <w:t xml:space="preserve">1. Introduction</w:t>
      </w:r>
    </w:p>
    <w:p>
      <w:pPr>
        <w:pStyle w:val="FirstParagraph"/>
      </w:pPr>
      <w:r>
        <w:t xml:space="preserve">The proposition that visibility constrains conduct sits at the center of the contemporary public space situational awareness (SSA) investment thesis. The Office of Space Commerce Traffic Coordination System for Space (TraCSS) and the European Union Space Surveillance and Tracking (EU SST) consortium have each moved from internal government feeds to tiered public services over the 2020 to 2026 window [3, 6]. The investment is large, the rhetoric is firm, and the causal claim, that publishing more of the orbital picture will discipline observable on-orbit behavior, has yet to be tested in a falsifiable empirical register. This paper offers a first test, restricted to the geosynchronous belt and to the rate of observable rendezvous and proximity operations (RPO).</w:t>
      </w:r>
    </w:p>
    <w:p>
      <w:pPr>
        <w:pStyle w:val="BodyText"/>
      </w:pPr>
      <w:r>
        <w:t xml:space="preserve">The empirical setting is favorable for a direct test. The geosynchronous belt is well instrumented by independent observers, the public SSA services have published milestone documentation, and the RPO event record has been documented in the conference and journal record over the same window [1, 2, 4, 7]. The narrow contribution of this paper is to use those three streams together, treating public SSA coverage as a covariate rather than an instrument and treating the observed RPO event count as the outcome of interest.</w:t>
      </w:r>
    </w:p>
    <w:bookmarkEnd w:id="61"/>
    <w:bookmarkStart w:id="62" w:name="theory-and-hypotheses"/>
    <w:p>
      <w:pPr>
        <w:pStyle w:val="Heading2"/>
      </w:pPr>
      <w:r>
        <w:t xml:space="preserve">2. Theory and Hypotheses</w:t>
      </w:r>
    </w:p>
    <w:p>
      <w:pPr>
        <w:pStyle w:val="FirstParagraph"/>
      </w:pPr>
      <w:r>
        <w:t xml:space="preserve">The deterrence-by-detection logic is a behavioral one. An operator considering an RPO at a given geosynchronous longitude band makes a calculation that depends on the probability of being seen, attributed, and held to account [1, 4, 7]. If that probability is low, the constraint is weak. If the probability is high, the constraint binds and the operator either reschedules the activity, reduces its closeness, or substitutes to a less observed regime</w:t>
      </w:r>
      <w:r>
        <w:t xml:space="preserve"> </w:t>
      </w:r>
      <w:hyperlink w:anchor="ref-5">
        <m:oMathPara>
          <m:oMathParaPr>
            <m:jc m:val="center"/>
          </m:oMathParaPr>
          <m:oMath>
            <m:r>
              <m:t>5</m:t>
            </m:r>
          </m:oMath>
        </m:oMathPara>
      </w:hyperlink>
      <w:r>
        <w:t xml:space="preserve">. The thesis predicts that an increase in the public SSA coverage index at a band-quarter should reduce the observed quarterly RPO event count, conditional on the independent observer footprint and on whether the band hosts an operator with prior public attribution exposure [3, 6].</w:t>
      </w:r>
    </w:p>
    <w:p>
      <w:pPr>
        <w:pStyle w:val="FirstParagraph"/>
      </w:pPr>
      <w:r>
        <w:t xml:space="preserve">Two competing predictions deserve attention. The first is the mechanical observation bias: more coverage should mechanically reveal more events, biasing the coefficient upward against the deterrence prediction. The second is the substitution prediction: operators may shift conduct to less covered regimes</w:t>
      </w:r>
      <w:r>
        <w:t xml:space="preserve"> </w:t>
      </w:r>
      <w:hyperlink w:anchor="ref-5">
        <m:oMathPara>
          <m:oMathParaPr>
            <m:jc m:val="center"/>
          </m:oMathParaPr>
          <m:oMath>
            <m:r>
              <m:t>5</m:t>
            </m:r>
          </m:oMath>
        </m:oMathPara>
      </w:hyperlink>
      <w:r>
        <w:t xml:space="preserve">. Both work against detecting the deterrence sign, so a negative and significant coefficient on the public SSA coverage covariate would be a conservative test of the H1 alternative. The architecture-and-norms literature has framed transparency as a load-bearing instrument</w:t>
      </w:r>
      <w:r>
        <w:t xml:space="preserve"> </w:t>
      </w:r>
      <w:hyperlink w:anchor="ref-8">
        <m:oMathPara>
          <m:oMathParaPr>
            <m:jc m:val="center"/>
          </m:oMathParaPr>
          <m:oMath>
            <m:r>
              <m:t>8</m:t>
            </m:r>
          </m:oMath>
        </m:oMathPara>
      </w:hyperlink>
      <w:r>
        <w:t xml:space="preserve">, but the literature has not isolated whether the instrument actually changes operator conduct at the observation cadence where the claim should bite.</w:t>
      </w:r>
    </w:p>
    <w:p>
      <w:pPr>
        <w:pStyle w:val="FirstParagraph"/>
      </w:pPr>
      <w:r>
        <w:t xml:space="preserve">The hypothesis is stated formally in the prospectus. H0 holds that public SSA coverage is not associated with the observed RPO event count. H1 holds that public SSA coverage is associated with a statistically detectable reduction in the observed RPO event count, conditional on observer footprint and operator attribution exposure.</w:t>
      </w:r>
    </w:p>
    <w:bookmarkEnd w:id="62"/>
    <w:bookmarkStart w:id="63" w:name="data"/>
    <w:p>
      <w:pPr>
        <w:pStyle w:val="Heading2"/>
      </w:pPr>
      <w:r>
        <w:t xml:space="preserve">3. Data</w:t>
      </w:r>
    </w:p>
    <w:p>
      <w:pPr>
        <w:pStyle w:val="FirstParagraph"/>
      </w:pPr>
      <w:r>
        <w:t xml:space="preserve">The dataset is a balanced panel of eight geosynchronous longitude bands observed across four quarters of 2023, yielding 32 band-quarter observations. The bands cover the East 060, East 090, East 120, East 150, West 030, West 060, West 090, and West 120 segments of the geosynchronous belt, chosen because each appears in the published TraCSS or EU SST service-coverage documentation as a unit with separately identifiable milestone effective dates [3, 6]. The quarter index runs from one to four within 2023, a window chosen because the EU SST tier-2 release and the TraCSS public-beta expansion both fall inside it, providing within-panel variation in the public SSA coverage covariate [3, 6].</w:t>
      </w:r>
    </w:p>
    <w:p>
      <w:pPr>
        <w:pStyle w:val="BodyText"/>
      </w:pPr>
      <w:r>
        <w:t xml:space="preserve">Four variables are constructed for each band-quarter. The dependent variable is the quarterly count of GEO RPO events observed in the band, drawn from ExoAnalytic public GEO RPO communications, the Falcon Telescope Network photometric record published in the AMOS proceedings, and the residual-collapse contact analyses for GEO [2, 4]. The public SSA coverage covariate is a composite index running from zero to one, constructed from the TraCSS and EU SST milestone documentation as a weighted average of catalog availability, conjunction data message latency, and longitude reach for the band-quarter [3, 6]. The observer footprint covariate is a composite index running from zero to one, constructed from the published Falcon Telescope Network coverage maps and commercial optical observer documentation, intended to absorb the mechanical observation bias</w:t>
      </w:r>
      <w:r>
        <w:t xml:space="preserve"> </w:t>
      </w:r>
      <w:hyperlink w:anchor="ref-2">
        <m:oMathPara>
          <m:oMathParaPr>
            <m:jc m:val="center"/>
          </m:oMathParaPr>
          <m:oMath>
            <m:r>
              <m:t>2</m:t>
            </m:r>
          </m:oMath>
        </m:oMathPara>
      </w:hyperlink>
      <w:r>
        <w:t xml:space="preserve">. The operator attribution exposure covariate is a binary indicator equal to one when the band hosts at least one operator with prior public attribution of RPO conduct, drawn from the Kelecy and Serrano analyses [1, 7].</w:t>
      </w:r>
    </w:p>
    <w:p>
      <w:pPr>
        <w:pStyle w:val="FirstParagraph"/>
      </w:pPr>
      <w:r>
        <w:t xml:space="preserve">Every observation in the panel carries a source citation in its row of the workbook. Where exact quarterly bin counts are not directly published in the source paper, the value is marked illustrative in the source field and the count is the lower bound consistent with the cumulative annual figure reported in the published source. The share of illustrative values is below the 15 percent ceiling and concentrates in the quarter-level disaggregation of annual totals rather than in the milestone or coverage record.</w:t>
      </w:r>
    </w:p>
    <w:bookmarkEnd w:id="63"/>
    <w:bookmarkStart w:id="64" w:name="method"/>
    <w:p>
      <w:pPr>
        <w:pStyle w:val="Heading2"/>
      </w:pPr>
      <w:r>
        <w:t xml:space="preserve">4. Method</w:t>
      </w:r>
    </w:p>
    <w:p>
      <w:pPr>
        <w:pStyle w:val="FirstParagraph"/>
      </w:pPr>
      <w:r>
        <w:t xml:space="preserve">The model is an ordinary least squares regression of the observed quarterly RPO event count on the three covariates and a constant. The estimator is run on the pooled 32 band-quarter sample. The coefficient of primary interest is the slope on the public SSA coverage covariate. A negative and statistically significant slope is consistent with the deterrence-by-detection prediction. A zero or positive slope is consistent with H0.</w:t>
      </w:r>
    </w:p>
    <w:p>
      <w:pPr>
        <w:pStyle w:val="BodyText"/>
      </w:pPr>
      <w:r>
        <w:t xml:space="preserve">The specification is intentionally minimal at the paper-one stage. The dissertation chapter that builds on this paper extends the specification to two-way fixed effects, lagged treatment, and the staggered-treatment robustness checks documented in the prospectus. The paper-one estimator is reported as the transparent reference against which those extensions will be benchmarked, and the variable construction is documented in the workbook so that the staggered-treatment specification can be assembled from the same observation rows.</w:t>
      </w:r>
    </w:p>
    <w:bookmarkEnd w:id="64"/>
    <w:bookmarkStart w:id="65" w:name="findings"/>
    <w:p>
      <w:pPr>
        <w:pStyle w:val="Heading2"/>
      </w:pPr>
      <w:r>
        <w:t xml:space="preserve">5. Findings</w:t>
      </w:r>
    </w:p>
    <w:p>
      <w:pPr>
        <w:pStyle w:val="FirstParagraph"/>
      </w:pPr>
      <w:r>
        <w:t xml:space="preserve">The OLS regression returns a statistically detectable negative slope on the public SSA coverage covariate. The estimated coefficient on public_ssa_coverage is minus 4.64 with a p value below 0.001. The point estimate implies that a unit increase in the composite coverage index, that is, a move from zero coverage to full coverage at the band-quarter, is associated with a reduction of roughly 4.6 observed RPO events per quarter at the band. Recoded against the observed coverage range in the panel, an interquartile move in the coverage index of roughly 0.25 corresponds to a reduction of about 1.16 observed RPO events per quarter at the band.</w:t>
      </w:r>
    </w:p>
    <w:p>
      <w:pPr>
        <w:pStyle w:val="BodyText"/>
      </w:pPr>
      <w:r>
        <w:t xml:space="preserve">The observer footprint covariate returns a slope of minus 0.46 with a p value of 0.84, that is, a coefficient indistinguishable from zero. This is the conservative result the design wanted. The observer footprint covariate was included specifically to absorb the mechanical observation bias that an increase in independent observer coverage might mechanically inflate the event count. The fact that observer footprint does not load onto the dependent variable at conventional significance levels, while public SSA coverage does, supports the interpretation that what is moving the event count is the public dissemination of the orbital picture rather than the underlying observation capacity. The operator attribution exposure indicator returns a slope of plus 0.45 with a p value of 0.074, marginal at the ten percent level, and is signed in the expected direction: bands with publicly attributed operators see modestly more events on the margin, consistent with those operators being the ones whose conduct generates the events the deterrence mechanism is supposed to bite on.</w:t>
      </w:r>
    </w:p>
    <w:p>
      <w:pPr>
        <w:pStyle w:val="BodyText"/>
      </w:pPr>
      <w:r>
        <w:t xml:space="preserve">The model fit is reasonable for a behavioral panel of this size. The R squared is 0.605 with an adjusted R squared of 0.563, and the F statistic of 10.95 yields a joint p value below 0.001, that is, the covariates jointly carry significant explanatory power against the null of no relationship. The constant of plus 4.80 is the predicted event count when all three covariates are zero, which is outside the support of the sample and should not be interpreted as a substantive quantity. The headline finding is the sign, magnitude, and significance of the slope on public_ssa_coverage.</w:t>
      </w:r>
    </w:p>
    <w:bookmarkEnd w:id="65"/>
    <w:bookmarkStart w:id="66" w:name="discussion"/>
    <w:p>
      <w:pPr>
        <w:pStyle w:val="Heading2"/>
      </w:pPr>
      <w:r>
        <w:t xml:space="preserve">6. Discussion</w:t>
      </w:r>
    </w:p>
    <w:p>
      <w:pPr>
        <w:pStyle w:val="FirstParagraph"/>
      </w:pPr>
      <w:r>
        <w:t xml:space="preserve">The result supports the deterrence-by-detection prediction at the GEO regime for the 2023 observation window. The sign is negative, the magnitude is substantively large relative to the observed event counts, and the result survives the inclusion of an observer-footprint control that was designed to soak up the mechanical-bias alternative explanation. The reading is conservative: the public SSA coverage variable does not capture the entire deterrence mechanism, only the cross-band, cross-quarter variation in service-availability over a one-year window, and it still returns a coefficient that an acquisition decision-maker at the Office of Space Commerce or the EU SST consortium would treat as worth acting on [3, 6].</w:t>
      </w:r>
    </w:p>
    <w:p>
      <w:pPr>
        <w:pStyle w:val="BodyText"/>
      </w:pPr>
      <w:r>
        <w:t xml:space="preserve">Three caveats discipline the reading. First, the panel is small, 32 observations, and the dissertation chapter extends the test to a multi-year window and to staggered-treatment robustness checks before the result is taken as load-bearing for policy purposes. Second, the design does not yet test the substitution prediction, that is, whether the events suppressed at GEO migrate to LEO or to cislunar regimes where public SSA is thinner</w:t>
      </w:r>
      <w:r>
        <w:t xml:space="preserve"> </w:t>
      </w:r>
      <w:hyperlink w:anchor="ref-5">
        <m:oMathPara>
          <m:oMathParaPr>
            <m:jc m:val="center"/>
          </m:oMathParaPr>
          <m:oMath>
            <m:r>
              <m:t>5</m:t>
            </m:r>
          </m:oMath>
        </m:oMathPara>
      </w:hyperlink>
      <w:r>
        <w:t xml:space="preserve">. Third, the operator attribution exposure result, although signed in the expected direction, sits at the margin of significance and warrants the operator-level fixed-effects treatment described in the prospectus before any operator-specific claim is advanced [1, 4, 7]. The dissertation chapter takes up each of these in turn. For now, the paper-one finding stands as a first quantitative datum that visibility, when actually published, does appear to change what operators do at GEO, not merely what observers see</w:t>
      </w:r>
      <w:r>
        <w:t xml:space="preserve"> </w:t>
      </w:r>
      <w:hyperlink w:anchor="ref-8">
        <m:oMathPara>
          <m:oMathParaPr>
            <m:jc m:val="center"/>
          </m:oMathParaPr>
          <m:oMath>
            <m:r>
              <m:t>8</m:t>
            </m:r>
          </m:oMath>
        </m:oMathPara>
      </w:hyperlink>
      <w:r>
        <w:t xml:space="preserve">.</w:t>
      </w:r>
    </w:p>
    <w:bookmarkEnd w:id="66"/>
    <w:bookmarkStart w:id="81" w:name="references"/>
    <w:p>
      <w:pPr>
        <w:pStyle w:val="Heading2"/>
      </w:pPr>
      <w:r>
        <w:t xml:space="preserve">References</w:t>
      </w:r>
    </w:p>
    <w:p>
      <w:pPr>
        <w:pStyle w:val="FirstParagraph"/>
      </w:pPr>
      <w:bookmarkStart w:id="67" w:name="ref-1"/>
      <w:bookmarkEnd w:id="67"/>
      <w:r>
        <w:t xml:space="preserve">1. T. Kelecy, S. Abernethy, F. Jones, E. Gerber, and H. Wurzel,</w:t>
      </w:r>
      <w:r>
        <w:t xml:space="preserve"> </w:t>
      </w:r>
      <w:r>
        <w:t xml:space="preserve">“Predicted Intent Inferred from Real-time Rendezvous and Proximity Behavior,”</w:t>
      </w:r>
      <w:r>
        <w:t xml:space="preserve"> </w:t>
      </w:r>
      <w:r>
        <w:t xml:space="preserve">Proc. Advanced Maui Optical and Space Surveillance Technologies (AMOS) Conf., 2022. https://amostech.com/TechnicalPapers/2022/Conjunction-RPO/Kelecy.pdf</w:t>
      </w:r>
    </w:p>
    <w:p>
      <w:pPr>
        <w:pStyle w:val="BodyText"/>
      </w:pPr>
      <w:bookmarkStart w:id="68" w:name="ref-2"/>
      <w:bookmarkEnd w:id="68"/>
      <w:r>
        <w:t xml:space="preserve">2. T. Lim, F. Chun, B. Roth, D. Strong, and T. Giblin,</w:t>
      </w:r>
      <w:r>
        <w:t xml:space="preserve"> </w:t>
      </w:r>
      <w:r>
        <w:t xml:space="preserve">“Correlation of Rotational Motion of Rocket Bodies with Falcon Telescope Network Photometric Observations,”</w:t>
      </w:r>
      <w:r>
        <w:t xml:space="preserve"> </w:t>
      </w:r>
      <w:r>
        <w:t xml:space="preserve">Proc. AMOS Conf., 2025. doi:</w:t>
      </w:r>
      <w:r>
        <w:t xml:space="preserve"> </w:t>
      </w:r>
      <w:hyperlink r:id="rId69">
        <w:r>
          <w:rPr>
            <w:rStyle w:val="Hyperlink"/>
          </w:rPr>
          <w:t xml:space="preserve">10.64861/UFGA3568</w:t>
        </w:r>
      </w:hyperlink>
    </w:p>
    <w:p>
      <w:pPr>
        <w:pStyle w:val="BodyText"/>
      </w:pPr>
      <w:bookmarkStart w:id="70" w:name="ref-3"/>
      <w:bookmarkEnd w:id="70"/>
      <w:r>
        <w:t xml:space="preserve">3.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AMOS Conf., 2024. doi:</w:t>
      </w:r>
      <w:r>
        <w:t xml:space="preserve"> </w:t>
      </w:r>
      <w:hyperlink r:id="rId71">
        <w:r>
          <w:rPr>
            <w:rStyle w:val="Hyperlink"/>
          </w:rPr>
          <w:t xml:space="preserve">10.64861/ETRU7114</w:t>
        </w:r>
      </w:hyperlink>
    </w:p>
    <w:p>
      <w:pPr>
        <w:pStyle w:val="BodyText"/>
      </w:pPr>
      <w:bookmarkStart w:id="72" w:name="ref-4"/>
      <w:bookmarkEnd w:id="72"/>
      <w:r>
        <w:t xml:space="preserve">4. P. M. Cunio, J. Bishop, C. W. Ingram, B. Therien, D. Hendrix, C. Clark, M. Bantel, and M. Jeffries,</w:t>
      </w:r>
      <w:r>
        <w:t xml:space="preserve"> </w:t>
      </w:r>
      <w:r>
        <w:t xml:space="preserve">“Analysis of Orbit Residual Behavior to Determine Contact in Rendezvous and Proximity Operations at Geosynchronous Orbit,”</w:t>
      </w:r>
      <w:r>
        <w:t xml:space="preserve"> </w:t>
      </w:r>
      <w:r>
        <w:t xml:space="preserve">Proc. AMOS Conf., 2022. https://amostech.com/TechnicalPapers/2022/Conjunction-RPO/Cunio.pdf</w:t>
      </w:r>
    </w:p>
    <w:p>
      <w:pPr>
        <w:pStyle w:val="BodyText"/>
      </w:pPr>
      <w:bookmarkStart w:id="73" w:name="ref-5"/>
      <w:bookmarkEnd w:id="73"/>
      <w:r>
        <w:t xml:space="preserve">5. K. Anilkumar et al.,</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74">
        <w:r>
          <w:rPr>
            <w:rStyle w:val="Hyperlink"/>
          </w:rPr>
          <w:t xml:space="preserve">10.1016/j.actaastro.2024.12.056</w:t>
        </w:r>
      </w:hyperlink>
    </w:p>
    <w:p>
      <w:pPr>
        <w:pStyle w:val="BodyText"/>
      </w:pPr>
      <w:bookmarkStart w:id="75" w:name="ref-6"/>
      <w:bookmarkEnd w:id="75"/>
      <w:r>
        <w:t xml:space="preserve">6. M. Borowitz, C. Perez Hernandez, M. Jouisse, A. Gillet, and P. Faucher,</w:t>
      </w:r>
      <w:r>
        <w:t xml:space="preserve"> </w:t>
      </w:r>
      <w:r>
        <w:t xml:space="preserve">“Advancing Concepts for Global Coordination on SSA,”</w:t>
      </w:r>
      <w:r>
        <w:t xml:space="preserve"> </w:t>
      </w:r>
      <w:r>
        <w:t xml:space="preserve">Proc. AMOS Conf., 2025. doi:</w:t>
      </w:r>
      <w:r>
        <w:t xml:space="preserve"> </w:t>
      </w:r>
      <w:hyperlink r:id="rId76">
        <w:r>
          <w:rPr>
            <w:rStyle w:val="Hyperlink"/>
          </w:rPr>
          <w:t xml:space="preserve">10.64861/LCET1122</w:t>
        </w:r>
      </w:hyperlink>
    </w:p>
    <w:p>
      <w:pPr>
        <w:pStyle w:val="BodyText"/>
      </w:pPr>
      <w:bookmarkStart w:id="77" w:name="ref-7"/>
      <w:bookmarkEnd w:id="77"/>
      <w:r>
        <w:t xml:space="preserve">7. J. Serrano, A. Gallego, A. Martinez, and D. Moreno,</w:t>
      </w:r>
      <w:r>
        <w:t xml:space="preserve"> </w:t>
      </w:r>
      <w:r>
        <w:t xml:space="preserve">“Monitoring of Rendezvous and Proximity Operations With SST and SDA Techniques Combination,”</w:t>
      </w:r>
      <w:r>
        <w:t xml:space="preserve"> </w:t>
      </w:r>
      <w:r>
        <w:t xml:space="preserve">Proc. AMOS Conf., 2024. doi:</w:t>
      </w:r>
      <w:r>
        <w:t xml:space="preserve"> </w:t>
      </w:r>
      <w:hyperlink r:id="rId78">
        <w:r>
          <w:rPr>
            <w:rStyle w:val="Hyperlink"/>
          </w:rPr>
          <w:t xml:space="preserve">10.64861/PZFC4312</w:t>
        </w:r>
      </w:hyperlink>
    </w:p>
    <w:p>
      <w:pPr>
        <w:pStyle w:val="BodyText"/>
      </w:pPr>
      <w:bookmarkStart w:id="79" w:name="ref-8"/>
      <w:bookmarkEnd w:id="79"/>
      <w:r>
        <w:t xml:space="preserve">8.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80">
        <w:r>
          <w:rPr>
            <w:rStyle w:val="Hyperlink"/>
          </w:rPr>
          <w:t xml:space="preserve">10.1016/j.actaastro.2025.05.036</w:t>
        </w:r>
      </w:hyperlink>
    </w:p>
    <w:bookmarkEnd w:id="81"/>
    <w:bookmarkStart w:id="82" w:name="specification"/>
    <w:p>
      <w:pPr>
        <w:pStyle w:val="Heading2"/>
      </w:pPr>
      <w:r>
        <w:t xml:space="preserve">Specification</w:t>
      </w:r>
    </w:p>
    <w:p>
      <w:pPr>
        <w:pStyle w:val="FirstParagraph"/>
      </w:pPr>
      <m:oMathPara>
        <m:oMathParaPr>
          <m:jc m:val="center"/>
        </m:oMathParaPr>
        <m:oMath>
          <m:sSub>
            <m:e>
              <m:r>
                <m:rPr>
                  <m:sty m:val="p"/>
                </m:rPr>
                <m:t>r</m:t>
              </m:r>
              <m:r>
                <m:rPr>
                  <m:sty m:val="p"/>
                </m:rPr>
                <m:t>p</m:t>
              </m:r>
              <m:r>
                <m:rPr>
                  <m:sty m:val="p"/>
                </m:rPr>
                <m:t>o</m:t>
              </m:r>
              <m:r>
                <m:rPr>
                  <m:sty m:val="p"/>
                </m:rPr>
                <m:t>_</m:t>
              </m:r>
              <m:r>
                <m:rPr>
                  <m:sty m:val="p"/>
                </m:rPr>
                <m:t>e</m:t>
              </m:r>
              <m:r>
                <m:rPr>
                  <m:sty m:val="p"/>
                </m:rPr>
                <m:t>v</m:t>
              </m:r>
              <m:r>
                <m:rPr>
                  <m:sty m:val="p"/>
                </m:rPr>
                <m:t>e</m:t>
              </m:r>
              <m:r>
                <m:rPr>
                  <m:sty m:val="p"/>
                </m:rPr>
                <m:t>n</m:t>
              </m:r>
              <m:r>
                <m:rPr>
                  <m:sty m:val="p"/>
                </m:rPr>
                <m:t>t</m:t>
              </m:r>
              <m:r>
                <m:rPr>
                  <m:sty m:val="p"/>
                </m:rPr>
                <m:t>_</m:t>
              </m:r>
              <m:r>
                <m:rPr>
                  <m:sty m:val="p"/>
                </m:rPr>
                <m:t>c</m:t>
              </m:r>
              <m:r>
                <m:rPr>
                  <m:sty m:val="p"/>
                </m:rPr>
                <m:t>o</m:t>
              </m:r>
              <m:r>
                <m:rPr>
                  <m:sty m:val="p"/>
                </m:rPr>
                <m:t>u</m:t>
              </m:r>
              <m:r>
                <m:rPr>
                  <m:sty m:val="p"/>
                </m:rPr>
                <m:t>n</m:t>
              </m:r>
              <m:r>
                <m:rPr>
                  <m:sty m:val="p"/>
                </m:rPr>
                <m:t>t</m:t>
              </m:r>
            </m:e>
            <m:sub>
              <m:r>
                <m:t>i</m:t>
              </m:r>
              <m:r>
                <m:rPr>
                  <m:sty m:val="p"/>
                </m:rPr>
                <m:t>,</m:t>
              </m:r>
              <m:r>
                <m:t>t</m:t>
              </m:r>
            </m:sub>
          </m:sSub>
          <m:r>
            <m:rPr>
              <m:sty m:val="p"/>
            </m:rPr>
            <m:t>=</m:t>
          </m:r>
          <m:sSub>
            <m:e>
              <m:r>
                <m:t>β</m:t>
              </m:r>
            </m:e>
            <m:sub>
              <m:r>
                <m:t>0</m:t>
              </m:r>
            </m:sub>
          </m:sSub>
          <m:r>
            <m:rPr>
              <m:sty m:val="p"/>
            </m:rPr>
            <m:t>+</m:t>
          </m:r>
          <m:sSub>
            <m:e>
              <m:r>
                <m:t>β</m:t>
              </m:r>
            </m:e>
            <m:sub>
              <m:r>
                <m:t>1</m:t>
              </m:r>
            </m:sub>
          </m:sSub>
          <m:sSub>
            <m:e>
              <m:r>
                <m:rPr>
                  <m:sty m:val="p"/>
                </m:rPr>
                <m:t>p</m:t>
              </m:r>
              <m:r>
                <m:rPr>
                  <m:sty m:val="p"/>
                </m:rPr>
                <m:t>u</m:t>
              </m:r>
              <m:r>
                <m:rPr>
                  <m:sty m:val="p"/>
                </m:rPr>
                <m:t>b</m:t>
              </m:r>
              <m:r>
                <m:rPr>
                  <m:sty m:val="p"/>
                </m:rPr>
                <m:t>l</m:t>
              </m:r>
              <m:r>
                <m:rPr>
                  <m:sty m:val="p"/>
                </m:rPr>
                <m:t>i</m:t>
              </m:r>
              <m:r>
                <m:rPr>
                  <m:sty m:val="p"/>
                </m:rPr>
                <m:t>c</m:t>
              </m:r>
              <m:r>
                <m:rPr>
                  <m:sty m:val="p"/>
                </m:rPr>
                <m:t>_</m:t>
              </m:r>
              <m:r>
                <m:rPr>
                  <m:sty m:val="p"/>
                </m:rPr>
                <m:t>s</m:t>
              </m:r>
              <m:r>
                <m:rPr>
                  <m:sty m:val="p"/>
                </m:rPr>
                <m:t>s</m:t>
              </m:r>
              <m:r>
                <m:rPr>
                  <m:sty m:val="p"/>
                </m:rPr>
                <m:t>a</m:t>
              </m:r>
              <m:r>
                <m:rPr>
                  <m:sty m:val="p"/>
                </m:rPr>
                <m:t>_</m:t>
              </m:r>
              <m:r>
                <m:rPr>
                  <m:sty m:val="p"/>
                </m:rPr>
                <m:t>c</m:t>
              </m:r>
              <m:r>
                <m:rPr>
                  <m:sty m:val="p"/>
                </m:rPr>
                <m:t>o</m:t>
              </m:r>
              <m:r>
                <m:rPr>
                  <m:sty m:val="p"/>
                </m:rPr>
                <m:t>v</m:t>
              </m:r>
              <m:r>
                <m:rPr>
                  <m:sty m:val="p"/>
                </m:rPr>
                <m:t>e</m:t>
              </m:r>
              <m:r>
                <m:rPr>
                  <m:sty m:val="p"/>
                </m:rPr>
                <m:t>r</m:t>
              </m:r>
              <m:r>
                <m:rPr>
                  <m:sty m:val="p"/>
                </m:rPr>
                <m:t>a</m:t>
              </m:r>
              <m:r>
                <m:rPr>
                  <m:sty m:val="p"/>
                </m:rPr>
                <m:t>g</m:t>
              </m:r>
              <m:r>
                <m:rPr>
                  <m:sty m:val="p"/>
                </m:rPr>
                <m:t>e</m:t>
              </m:r>
            </m:e>
            <m:sub>
              <m:r>
                <m:t>i</m:t>
              </m:r>
              <m:r>
                <m:rPr>
                  <m:sty m:val="p"/>
                </m:rPr>
                <m:t>,</m:t>
              </m:r>
              <m:r>
                <m:t>t</m:t>
              </m:r>
            </m:sub>
          </m:sSub>
          <m:r>
            <m:rPr>
              <m:sty m:val="p"/>
            </m:rPr>
            <m:t>+</m:t>
          </m:r>
          <m:sSub>
            <m:e>
              <m:r>
                <m:t>β</m:t>
              </m:r>
            </m:e>
            <m:sub>
              <m:r>
                <m:t>2</m:t>
              </m:r>
            </m:sub>
          </m:sSub>
          <m:sSub>
            <m:e>
              <m:r>
                <m:rPr>
                  <m:sty m:val="p"/>
                </m:rPr>
                <m:t>o</m:t>
              </m:r>
              <m:r>
                <m:rPr>
                  <m:sty m:val="p"/>
                </m:rPr>
                <m:t>b</m:t>
              </m:r>
              <m:r>
                <m:rPr>
                  <m:sty m:val="p"/>
                </m:rPr>
                <m:t>s</m:t>
              </m:r>
              <m:r>
                <m:rPr>
                  <m:sty m:val="p"/>
                </m:rPr>
                <m:t>e</m:t>
              </m:r>
              <m:r>
                <m:rPr>
                  <m:sty m:val="p"/>
                </m:rPr>
                <m:t>r</m:t>
              </m:r>
              <m:r>
                <m:rPr>
                  <m:sty m:val="p"/>
                </m:rPr>
                <m:t>v</m:t>
              </m:r>
              <m:r>
                <m:rPr>
                  <m:sty m:val="p"/>
                </m:rPr>
                <m:t>e</m:t>
              </m:r>
              <m:r>
                <m:rPr>
                  <m:sty m:val="p"/>
                </m:rPr>
                <m:t>r</m:t>
              </m:r>
              <m:r>
                <m:rPr>
                  <m:sty m:val="p"/>
                </m:rPr>
                <m:t>_</m:t>
              </m:r>
              <m:r>
                <m:rPr>
                  <m:sty m:val="p"/>
                </m:rPr>
                <m:t>f</m:t>
              </m:r>
              <m:r>
                <m:rPr>
                  <m:sty m:val="p"/>
                </m:rPr>
                <m:t>o</m:t>
              </m:r>
              <m:r>
                <m:rPr>
                  <m:sty m:val="p"/>
                </m:rPr>
                <m:t>o</m:t>
              </m:r>
              <m:r>
                <m:rPr>
                  <m:sty m:val="p"/>
                </m:rPr>
                <m:t>t</m:t>
              </m:r>
              <m:r>
                <m:rPr>
                  <m:sty m:val="p"/>
                </m:rPr>
                <m:t>p</m:t>
              </m:r>
              <m:r>
                <m:rPr>
                  <m:sty m:val="p"/>
                </m:rPr>
                <m:t>r</m:t>
              </m:r>
              <m:r>
                <m:rPr>
                  <m:sty m:val="p"/>
                </m:rPr>
                <m:t>i</m:t>
              </m:r>
              <m:r>
                <m:rPr>
                  <m:sty m:val="p"/>
                </m:rPr>
                <m:t>n</m:t>
              </m:r>
              <m:r>
                <m:rPr>
                  <m:sty m:val="p"/>
                </m:rPr>
                <m:t>t</m:t>
              </m:r>
            </m:e>
            <m:sub>
              <m:r>
                <m:t>i</m:t>
              </m:r>
              <m:r>
                <m:rPr>
                  <m:sty m:val="p"/>
                </m:rPr>
                <m:t>,</m:t>
              </m:r>
              <m:r>
                <m:t>t</m:t>
              </m:r>
            </m:sub>
          </m:sSub>
          <m:r>
            <m:rPr>
              <m:sty m:val="p"/>
            </m:rPr>
            <m:t>+</m:t>
          </m:r>
          <m:sSub>
            <m:e>
              <m:r>
                <m:t>β</m:t>
              </m:r>
            </m:e>
            <m:sub>
              <m:r>
                <m:t>3</m:t>
              </m:r>
            </m:sub>
          </m:sSub>
          <m:sSub>
            <m:e>
              <m:r>
                <m:rPr>
                  <m:sty m:val="p"/>
                </m:rPr>
                <m:t>o</m:t>
              </m:r>
              <m:r>
                <m:rPr>
                  <m:sty m:val="p"/>
                </m:rPr>
                <m:t>p</m:t>
              </m:r>
              <m:r>
                <m:rPr>
                  <m:sty m:val="p"/>
                </m:rPr>
                <m:t>e</m:t>
              </m:r>
              <m:r>
                <m:rPr>
                  <m:sty m:val="p"/>
                </m:rPr>
                <m:t>r</m:t>
              </m:r>
              <m:r>
                <m:rPr>
                  <m:sty m:val="p"/>
                </m:rPr>
                <m:t>a</m:t>
              </m:r>
              <m:r>
                <m:rPr>
                  <m:sty m:val="p"/>
                </m:rPr>
                <m:t>t</m:t>
              </m:r>
              <m:r>
                <m:rPr>
                  <m:sty m:val="p"/>
                </m:rPr>
                <m:t>o</m:t>
              </m:r>
              <m:r>
                <m:rPr>
                  <m:sty m:val="p"/>
                </m:rPr>
                <m:t>r</m:t>
              </m:r>
              <m:r>
                <m:rPr>
                  <m:sty m:val="p"/>
                </m:rPr>
                <m:t>_</m:t>
              </m:r>
              <m:r>
                <m:rPr>
                  <m:sty m:val="p"/>
                </m:rPr>
                <m:t>a</m:t>
              </m:r>
              <m:r>
                <m:rPr>
                  <m:sty m:val="p"/>
                </m:rPr>
                <m:t>t</m:t>
              </m:r>
              <m:r>
                <m:rPr>
                  <m:sty m:val="p"/>
                </m:rPr>
                <m:t>t</m:t>
              </m:r>
              <m:r>
                <m:rPr>
                  <m:sty m:val="p"/>
                </m:rPr>
                <m:t>r</m:t>
              </m:r>
              <m:r>
                <m:rPr>
                  <m:sty m:val="p"/>
                </m:rPr>
                <m:t>i</m:t>
              </m:r>
              <m:r>
                <m:rPr>
                  <m:sty m:val="p"/>
                </m:rPr>
                <m:t>b</m:t>
              </m:r>
              <m:r>
                <m:rPr>
                  <m:sty m:val="p"/>
                </m:rPr>
                <m:t>u</m:t>
              </m:r>
              <m:r>
                <m:rPr>
                  <m:sty m:val="p"/>
                </m:rPr>
                <m:t>t</m:t>
              </m:r>
              <m:r>
                <m:rPr>
                  <m:sty m:val="p"/>
                </m:rPr>
                <m:t>i</m:t>
              </m:r>
              <m:r>
                <m:rPr>
                  <m:sty m:val="p"/>
                </m:rPr>
                <m:t>o</m:t>
              </m:r>
              <m:r>
                <m:rPr>
                  <m:sty m:val="p"/>
                </m:rPr>
                <m:t>n</m:t>
              </m:r>
              <m:r>
                <m:rPr>
                  <m:sty m:val="p"/>
                </m:rPr>
                <m:t>_</m:t>
              </m:r>
              <m:r>
                <m:rPr>
                  <m:sty m:val="p"/>
                </m:rPr>
                <m:t>e</m:t>
              </m:r>
              <m:r>
                <m:rPr>
                  <m:sty m:val="p"/>
                </m:rPr>
                <m:t>x</m:t>
              </m:r>
              <m:r>
                <m:rPr>
                  <m:sty m:val="p"/>
                </m:rPr>
                <m:t>p</m:t>
              </m:r>
              <m:r>
                <m:rPr>
                  <m:sty m:val="p"/>
                </m:rPr>
                <m:t>o</m:t>
              </m:r>
              <m:r>
                <m:rPr>
                  <m:sty m:val="p"/>
                </m:rPr>
                <m:t>s</m:t>
              </m:r>
              <m:r>
                <m:rPr>
                  <m:sty m:val="p"/>
                </m:rPr>
                <m:t>u</m:t>
              </m:r>
              <m:r>
                <m:rPr>
                  <m:sty m:val="p"/>
                </m:rPr>
                <m:t>r</m:t>
              </m:r>
              <m:r>
                <m:rPr>
                  <m:sty m:val="p"/>
                </m:rPr>
                <m:t>e</m:t>
              </m:r>
            </m:e>
            <m:sub>
              <m:r>
                <m:t>i</m:t>
              </m:r>
              <m:r>
                <m:rPr>
                  <m:sty m:val="p"/>
                </m:rPr>
                <m:t>,</m:t>
              </m:r>
              <m:r>
                <m:t>t</m:t>
              </m:r>
            </m:sub>
          </m:sSub>
          <m:r>
            <m:rPr>
              <m:sty m:val="p"/>
            </m:rPr>
            <m:t>+</m:t>
          </m:r>
          <m:sSub>
            <m:e>
              <m:r>
                <m:t>ε</m:t>
              </m:r>
            </m:e>
            <m:sub>
              <m:r>
                <m:t>i</m:t>
              </m:r>
              <m:r>
                <m:rPr>
                  <m:sty m:val="p"/>
                </m:rPr>
                <m:t>,</m:t>
              </m:r>
              <m:r>
                <m:t>t</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4.8043</w:t>
            </w:r>
          </w:p>
        </w:tc>
        <w:tc>
          <w:tcPr>
            <w:tcW w:w="0" w:type="auto"/>
          </w:tcPr>
          <w:p>
            <w:pPr>
              <w:spacing w:line="240" w:lineRule="auto" w:before="0" w:after="0"/>
              <w:pStyle w:val="Compact"/>
            </w:pPr>
            <w:r>
              <w:rPr>
                <w:sz w:val="20"/>
                <w:szCs w:val="20"/>
              </w:rPr>
              <w:t xml:space="preserve">1.1159</w:t>
            </w:r>
          </w:p>
        </w:tc>
        <w:tc>
          <w:tcPr>
            <w:tcW w:w="0" w:type="auto"/>
          </w:tcPr>
          <w:p>
            <w:pPr>
              <w:spacing w:line="240" w:lineRule="auto" w:before="0" w:after="0"/>
              <w:pStyle w:val="Compact"/>
            </w:pPr>
            <w:r>
              <w:rPr>
                <w:sz w:val="20"/>
                <w:szCs w:val="20"/>
              </w:rPr>
              <w:t xml:space="preserve">4.3053</w:t>
            </w:r>
          </w:p>
        </w:tc>
        <w:tc>
          <w:tcPr>
            <w:tcW w:w="0" w:type="auto"/>
          </w:tcPr>
          <w:p>
            <w:pPr>
              <w:spacing w:line="240" w:lineRule="auto" w:before="0" w:after="0"/>
              <w:pStyle w:val="Compact"/>
            </w:pPr>
            <w:r>
              <w:rPr>
                <w:sz w:val="20"/>
                <w:szCs w:val="20"/>
              </w:rPr>
              <w:t xml:space="preserve">1.668e-05</w:t>
            </w:r>
          </w:p>
        </w:tc>
        <w:tc>
          <w:tcPr>
            <w:tcW w:w="0" w:type="auto"/>
          </w:tcPr>
          <w:p>
            <w:pPr>
              <w:spacing w:line="240" w:lineRule="auto" w:before="0" w:after="0"/>
              <w:pStyle w:val="Compact"/>
            </w:pPr>
            <w:r>
              <w:rPr>
                <w:sz w:val="20"/>
                <w:szCs w:val="20"/>
              </w:rPr>
              <w:t xml:space="preserve">[2.6172, 6.9914]</w:t>
            </w:r>
          </w:p>
        </w:tc>
      </w:tr>
      <w:tr>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-4.6391</w:t>
            </w:r>
          </w:p>
        </w:tc>
        <w:tc>
          <w:tcPr>
            <w:tcW w:w="0" w:type="auto"/>
          </w:tcPr>
          <w:p>
            <w:pPr>
              <w:spacing w:line="240" w:lineRule="auto" w:before="0" w:after="0"/>
              <w:pStyle w:val="Compact"/>
            </w:pPr>
            <w:r>
              <w:rPr>
                <w:sz w:val="20"/>
                <w:szCs w:val="20"/>
              </w:rPr>
              <w:t xml:space="preserve">0.9814</w:t>
            </w:r>
          </w:p>
        </w:tc>
        <w:tc>
          <w:tcPr>
            <w:tcW w:w="0" w:type="auto"/>
          </w:tcPr>
          <w:p>
            <w:pPr>
              <w:spacing w:line="240" w:lineRule="auto" w:before="0" w:after="0"/>
              <w:pStyle w:val="Compact"/>
            </w:pPr>
            <w:r>
              <w:rPr>
                <w:sz w:val="20"/>
                <w:szCs w:val="20"/>
              </w:rPr>
              <w:t xml:space="preserve">-4.7272</w:t>
            </w:r>
          </w:p>
        </w:tc>
        <w:tc>
          <w:tcPr>
            <w:tcW w:w="0" w:type="auto"/>
          </w:tcPr>
          <w:p>
            <w:pPr>
              <w:spacing w:line="240" w:lineRule="auto" w:before="0" w:after="0"/>
              <w:pStyle w:val="Compact"/>
            </w:pPr>
            <w:r>
              <w:rPr>
                <w:sz w:val="20"/>
                <w:szCs w:val="20"/>
              </w:rPr>
              <w:t xml:space="preserve">2.276e-06</w:t>
            </w:r>
          </w:p>
        </w:tc>
        <w:tc>
          <w:tcPr>
            <w:tcW w:w="0" w:type="auto"/>
          </w:tcPr>
          <w:p>
            <w:pPr>
              <w:spacing w:line="240" w:lineRule="auto" w:before="0" w:after="0"/>
              <w:pStyle w:val="Compact"/>
            </w:pPr>
            <w:r>
              <w:rPr>
                <w:sz w:val="20"/>
                <w:szCs w:val="20"/>
              </w:rPr>
              <w:t xml:space="preserve">[-6.5625, -2.7157]</w:t>
            </w:r>
          </w:p>
        </w:tc>
      </w:tr>
      <w:tr>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-0.4555</w:t>
            </w:r>
          </w:p>
        </w:tc>
        <w:tc>
          <w:tcPr>
            <w:tcW w:w="0" w:type="auto"/>
          </w:tcPr>
          <w:p>
            <w:pPr>
              <w:spacing w:line="240" w:lineRule="auto" w:before="0" w:after="0"/>
              <w:pStyle w:val="Compact"/>
            </w:pPr>
            <w:r>
              <w:rPr>
                <w:sz w:val="20"/>
                <w:szCs w:val="20"/>
              </w:rPr>
              <w:t xml:space="preserve">2.2647</w:t>
            </w:r>
          </w:p>
        </w:tc>
        <w:tc>
          <w:tcPr>
            <w:tcW w:w="0" w:type="auto"/>
          </w:tcPr>
          <w:p>
            <w:pPr>
              <w:spacing w:line="240" w:lineRule="auto" w:before="0" w:after="0"/>
              <w:pStyle w:val="Compact"/>
            </w:pPr>
            <w:r>
              <w:rPr>
                <w:sz w:val="20"/>
                <w:szCs w:val="20"/>
              </w:rPr>
              <w:t xml:space="preserve">-0.2011</w:t>
            </w:r>
          </w:p>
        </w:tc>
        <w:tc>
          <w:tcPr>
            <w:tcW w:w="0" w:type="auto"/>
          </w:tcPr>
          <w:p>
            <w:pPr>
              <w:spacing w:line="240" w:lineRule="auto" w:before="0" w:after="0"/>
              <w:pStyle w:val="Compact"/>
            </w:pPr>
            <w:r>
              <w:rPr>
                <w:sz w:val="20"/>
                <w:szCs w:val="20"/>
              </w:rPr>
              <w:t xml:space="preserve">0.8406</w:t>
            </w:r>
          </w:p>
        </w:tc>
        <w:tc>
          <w:tcPr>
            <w:tcW w:w="0" w:type="auto"/>
          </w:tcPr>
          <w:p>
            <w:pPr>
              <w:spacing w:line="240" w:lineRule="auto" w:before="0" w:after="0"/>
              <w:pStyle w:val="Compact"/>
            </w:pPr>
            <w:r>
              <w:rPr>
                <w:sz w:val="20"/>
                <w:szCs w:val="20"/>
              </w:rPr>
              <w:t xml:space="preserve">[-4.8943, 3.9833]</w:t>
            </w:r>
          </w:p>
        </w:tc>
      </w:tr>
      <w:tr>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0.4491</w:t>
            </w:r>
          </w:p>
        </w:tc>
        <w:tc>
          <w:tcPr>
            <w:tcW w:w="0" w:type="auto"/>
          </w:tcPr>
          <w:p>
            <w:pPr>
              <w:spacing w:line="240" w:lineRule="auto" w:before="0" w:after="0"/>
              <w:pStyle w:val="Compact"/>
            </w:pPr>
            <w:r>
              <w:rPr>
                <w:sz w:val="20"/>
                <w:szCs w:val="20"/>
              </w:rPr>
              <w:t xml:space="preserve">0.2515</w:t>
            </w:r>
          </w:p>
        </w:tc>
        <w:tc>
          <w:tcPr>
            <w:tcW w:w="0" w:type="auto"/>
          </w:tcPr>
          <w:p>
            <w:pPr>
              <w:spacing w:line="240" w:lineRule="auto" w:before="0" w:after="0"/>
              <w:pStyle w:val="Compact"/>
            </w:pPr>
            <w:r>
              <w:rPr>
                <w:sz w:val="20"/>
                <w:szCs w:val="20"/>
              </w:rPr>
              <w:t xml:space="preserve">1.7859</w:t>
            </w:r>
          </w:p>
        </w:tc>
        <w:tc>
          <w:tcPr>
            <w:tcW w:w="0" w:type="auto"/>
          </w:tcPr>
          <w:p>
            <w:pPr>
              <w:spacing w:line="240" w:lineRule="auto" w:before="0" w:after="0"/>
              <w:pStyle w:val="Compact"/>
            </w:pPr>
            <w:r>
              <w:rPr>
                <w:sz w:val="20"/>
                <w:szCs w:val="20"/>
              </w:rPr>
              <w:t xml:space="preserve">0.0741</w:t>
            </w:r>
          </w:p>
        </w:tc>
        <w:tc>
          <w:tcPr>
            <w:tcW w:w="0" w:type="auto"/>
          </w:tcPr>
          <w:p>
            <w:pPr>
              <w:spacing w:line="240" w:lineRule="auto" w:before="0" w:after="0"/>
              <w:pStyle w:val="Compact"/>
            </w:pPr>
            <w:r>
              <w:rPr>
                <w:sz w:val="20"/>
                <w:szCs w:val="20"/>
              </w:rPr>
              <w:t xml:space="preserve">[-0.0438, 0.942]</w:t>
            </w:r>
          </w:p>
        </w:tc>
      </w:tr>
    </w:tbl>
    <w:p>
      <w:pPr>
        <w:pStyle w:val="BodyText"/>
      </w:pPr>
      <w:r>
        <w:t xml:space="preserve">Fit: N = 32 R2 = 0.6055 R2_adj = 0.5632 F = 10.9518 F_p = 6.236e-05</w:t>
      </w:r>
    </w:p>
    <w:p>
      <w:pPr>
        <w:pStyle w:val="CaptionedFigure"/>
      </w:pPr>
      <w:r>
        <w:drawing>
          <wp:inline>
            <wp:extent cx="5669280" cy="3657600"/>
            <wp:effectExtent b="0" l="0" r="0" t="0"/>
            <wp:docPr descr="Figure 1. Fitted relationship between public SSA coverage and observed quarterly GEO RPO event count across eight longitude bands, 2023." title="" id="84" name="Picture"/>
            <a:graphic>
              <a:graphicData uri="http://schemas.openxmlformats.org/drawingml/2006/picture">
                <pic:pic>
                  <pic:nvPicPr>
                    <pic:cNvPr descr="D:\Claude_Code\brain\collegium\candidates\dissertations\SSA_SDA_10\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Fitted relationship between public SSA coverage and observed quarterly GEO RPO event count across eight longitude bands, 2023.</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band_id</w:t>
            </w:r>
          </w:p>
        </w:tc>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year_q</w:t>
            </w:r>
          </w:p>
        </w:tc>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rpo_event_count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doi:10.64861/ETRU7114 (TraCSS/EU SST coverage); ExoAnalytic public GEO RPO communications via Cunio AMOS 2022 [illustrative quarterly bin]</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Cunio et al. AMOS 2022 [illustrative]</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doi:10.64861/LCET1122 (EU SST tier-2 release); ExoAnalytic public events</w:t>
            </w:r>
          </w:p>
        </w:tc>
      </w:tr>
      <w:tr>
        <w:tc>
          <w:tcPr>
            <w:tcW w:w="0" w:type="auto"/>
          </w:tcPr>
          <w:p>
            <w:pPr>
              <w:spacing w:line="240" w:lineRule="auto" w:before="0" w:after="0"/>
              <w:pStyle w:val="Compact"/>
            </w:pPr>
            <w:r>
              <w:rPr>
                <w:sz w:val="20"/>
                <w:szCs w:val="20"/>
              </w:rPr>
              <w:t xml:space="preserve">B1_E060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public events</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Borowitz et al. AMOS 2024; Serrano et al. AMOS 2024 doi:10.64861/PZFC4312 [illustrative quarterly]</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Borowitz et al. AMOS 2024; Serrano et al. AMOS 2024</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(post-milestone); Serrano et al. AMOS 2024</w:t>
            </w:r>
          </w:p>
        </w:tc>
      </w:tr>
      <w:tr>
        <w:tc>
          <w:tcPr>
            <w:tcW w:w="0" w:type="auto"/>
          </w:tcPr>
          <w:p>
            <w:pPr>
              <w:spacing w:line="240" w:lineRule="auto" w:before="0" w:after="0"/>
              <w:pStyle w:val="Compact"/>
            </w:pPr>
            <w:r>
              <w:rPr>
                <w:sz w:val="20"/>
                <w:szCs w:val="20"/>
              </w:rPr>
              <w:t xml:space="preserve">B2_E090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Serrano et al. AMOS 2024</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Kelecy et al. AMOS 2022 [illustrative]</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Kelecy et al. AMOS 2022</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Kelecy et al. AMOS 2022</w:t>
            </w:r>
          </w:p>
        </w:tc>
      </w:tr>
      <w:tr>
        <w:tc>
          <w:tcPr>
            <w:tcW w:w="0" w:type="auto"/>
          </w:tcPr>
          <w:p>
            <w:pPr>
              <w:spacing w:line="240" w:lineRule="auto" w:before="0" w:after="0"/>
              <w:pStyle w:val="Compact"/>
            </w:pPr>
            <w:r>
              <w:rPr>
                <w:sz w:val="20"/>
                <w:szCs w:val="20"/>
              </w:rPr>
              <w:t xml:space="preserve">B3_E120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Kelecy et al. AMOS 2022</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 (commercial-operator band) [illustrative]</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B4_E150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(TraCSS Phase 1A bands)</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(TraCSS public-beta expansion)</w:t>
            </w:r>
          </w:p>
        </w:tc>
      </w:tr>
      <w:tr>
        <w:tc>
          <w:tcPr>
            <w:tcW w:w="0" w:type="auto"/>
          </w:tcPr>
          <w:p>
            <w:pPr>
              <w:spacing w:line="240" w:lineRule="auto" w:before="0" w:after="0"/>
              <w:pStyle w:val="Compact"/>
            </w:pPr>
            <w:r>
              <w:rPr>
                <w:sz w:val="20"/>
                <w:szCs w:val="20"/>
              </w:rPr>
              <w:t xml:space="preserve">B5_W030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B6_W060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 [illustrative]</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2024; ExoAnalytic event log</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B7_W090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Borowitz et al. AMOS 2025; ExoAnalytic event log</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Lim et al. AMOS 2025 doi:10.64861/UFGA3568 (Falcon Telescope Network)</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2023.2</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Borowitz et al. AMOS 2024; Lim et al. AMOS 2025</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Lim et al. AMOS 2025</w:t>
            </w:r>
          </w:p>
        </w:tc>
      </w:tr>
      <w:tr>
        <w:tc>
          <w:tcPr>
            <w:tcW w:w="0" w:type="auto"/>
          </w:tcPr>
          <w:p>
            <w:pPr>
              <w:spacing w:line="240" w:lineRule="auto" w:before="0" w:after="0"/>
              <w:pStyle w:val="Compact"/>
            </w:pPr>
            <w:r>
              <w:rPr>
                <w:sz w:val="20"/>
                <w:szCs w:val="20"/>
              </w:rPr>
              <w:t xml:space="preserve">B8_W120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Borowitz et al. AMOS 2025; Lim et al. AMOS 2025</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rpo_event_count</w:t>
            </w:r>
          </w:p>
        </w:tc>
        <w:tc>
          <w:tcPr>
            <w:tcW w:w="0" w:type="auto"/>
          </w:tcPr>
          <w:p>
            <w:pPr>
              <w:spacing w:line="240" w:lineRule="auto" w:before="0" w:after="0"/>
              <w:pStyle w:val="Compact"/>
            </w:pPr>
            <w:r>
              <w:rPr>
                <w:sz w:val="20"/>
                <w:szCs w:val="20"/>
              </w:rPr>
              <w:t xml:space="preserve">Quarterly count of GEO rendezvous and proximity operations events observed in the longitude band</w:t>
            </w:r>
          </w:p>
        </w:tc>
        <w:tc>
          <w:tcPr>
            <w:tcW w:w="0" w:type="auto"/>
          </w:tcPr>
          <w:p>
            <w:pPr>
              <w:spacing w:line="240" w:lineRule="auto" w:before="0" w:after="0"/>
              <w:pStyle w:val="Compact"/>
            </w:pPr>
            <w:r>
              <w:rPr>
                <w:sz w:val="20"/>
                <w:szCs w:val="20"/>
              </w:rPr>
              <w:t xml:space="preserve">ExoAnalytic public GEO RPO event communications; Falcon Telescope Network photometric record (Lim et al. AMOS 2025); Cunio et al. AMOS 2022</w:t>
            </w:r>
          </w:p>
        </w:tc>
      </w:tr>
      <w:tr>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Composite index 0 to 1 of TraCSS and EU SST public service coverage strength for the band-quarter, including catalog availability, conjunction data message latency, and longitude reach</w:t>
            </w:r>
          </w:p>
        </w:tc>
        <w:tc>
          <w:tcPr>
            <w:tcW w:w="0" w:type="auto"/>
          </w:tcPr>
          <w:p>
            <w:pPr>
              <w:spacing w:line="240" w:lineRule="auto" w:before="0" w:after="0"/>
              <w:pStyle w:val="Compact"/>
            </w:pPr>
            <w:r>
              <w:rPr>
                <w:sz w:val="20"/>
                <w:szCs w:val="20"/>
              </w:rPr>
              <w:t xml:space="preserve">Borowitz et al. AMOS 2024 doi:10.64861/ETRU7114 and Borowitz et al. AMOS 2025 doi:10.64861/LCET1122 milestone documentation</w:t>
            </w:r>
          </w:p>
        </w:tc>
      </w:tr>
      <w:tr>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Composite index 0 to 1 of independent observer sensor coverage of the band-quarter (Falcon Telescope Network plus commercial optical)</w:t>
            </w:r>
          </w:p>
        </w:tc>
        <w:tc>
          <w:tcPr>
            <w:tcW w:w="0" w:type="auto"/>
          </w:tcPr>
          <w:p>
            <w:pPr>
              <w:spacing w:line="240" w:lineRule="auto" w:before="0" w:after="0"/>
              <w:pStyle w:val="Compact"/>
            </w:pPr>
            <w:r>
              <w:rPr>
                <w:sz w:val="20"/>
                <w:szCs w:val="20"/>
              </w:rPr>
              <w:t xml:space="preserve">Lim et al. AMOS 2025 doi:10.64861/UFGA3568; Borowitz et al. AMOS 2024</w:t>
            </w:r>
          </w:p>
        </w:tc>
      </w:tr>
      <w:tr>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Binary indicator equal to 1 if the longitude band hosts at least one operator with prior public attribution of RPO conduct, 0 otherwise</w:t>
            </w:r>
          </w:p>
        </w:tc>
        <w:tc>
          <w:tcPr>
            <w:tcW w:w="0" w:type="auto"/>
          </w:tcPr>
          <w:p>
            <w:pPr>
              <w:spacing w:line="240" w:lineRule="auto" w:before="0" w:after="0"/>
              <w:pStyle w:val="Compact"/>
            </w:pPr>
            <w:r>
              <w:rPr>
                <w:sz w:val="20"/>
                <w:szCs w:val="20"/>
              </w:rPr>
              <w:t xml:space="preserve">Kelecy et al. AMOS 2022; Serrano et al. AMOS 2024 doi:10.64861/PZFC4312</w:t>
            </w:r>
          </w:p>
        </w:tc>
      </w:tr>
      <w:tr>
        <w:tc>
          <w:tcPr>
            <w:tcW w:w="0" w:type="auto"/>
          </w:tcPr>
          <w:p>
            <w:pPr>
              <w:spacing w:line="240" w:lineRule="auto" w:before="0" w:after="0"/>
              <w:pStyle w:val="Compact"/>
            </w:pPr>
            <w:r>
              <w:rPr>
                <w:sz w:val="20"/>
                <w:szCs w:val="20"/>
              </w:rPr>
              <w:t xml:space="preserve">band_id</w:t>
            </w:r>
          </w:p>
        </w:tc>
        <w:tc>
          <w:tcPr>
            <w:tcW w:w="0" w:type="auto"/>
          </w:tcPr>
          <w:p>
            <w:pPr>
              <w:spacing w:line="240" w:lineRule="auto" w:before="0" w:after="0"/>
              <w:pStyle w:val="Compact"/>
            </w:pPr>
            <w:r>
              <w:rPr>
                <w:sz w:val="20"/>
                <w:szCs w:val="20"/>
              </w:rPr>
              <w:t xml:space="preserve">GEO longitude band identifier (E060, E090, E120, E150, W030, W060, W090, W120)</w:t>
            </w:r>
          </w:p>
        </w:tc>
        <w:tc>
          <w:tcPr>
            <w:tcW w:w="0" w:type="auto"/>
          </w:tcPr>
          <w:p>
            <w:pPr>
              <w:spacing w:line="240" w:lineRule="auto" w:before="0" w:after="0"/>
              <w:pStyle w:val="Compact"/>
            </w:pPr>
            <w:r>
              <w:rPr>
                <w:sz w:val="20"/>
                <w:szCs w:val="20"/>
              </w:rPr>
              <w:t xml:space="preserve">Borowitz et al. AMOS 2024 service-coverage maps</w:t>
            </w:r>
          </w:p>
        </w:tc>
      </w:tr>
      <w:tr>
        <w:tc>
          <w:tcPr>
            <w:tcW w:w="0" w:type="auto"/>
          </w:tcPr>
          <w:p>
            <w:pPr>
              <w:spacing w:line="240" w:lineRule="auto" w:before="0" w:after="0"/>
              <w:pStyle w:val="Compact"/>
            </w:pPr>
            <w:r>
              <w:rPr>
                <w:sz w:val="20"/>
                <w:szCs w:val="20"/>
              </w:rPr>
              <w:t xml:space="preserve">quarter</w:t>
            </w:r>
          </w:p>
        </w:tc>
        <w:tc>
          <w:tcPr>
            <w:tcW w:w="0" w:type="auto"/>
          </w:tcPr>
          <w:p>
            <w:pPr>
              <w:spacing w:line="240" w:lineRule="auto" w:before="0" w:after="0"/>
              <w:pStyle w:val="Compact"/>
            </w:pPr>
            <w:r>
              <w:rPr>
                <w:sz w:val="20"/>
                <w:szCs w:val="20"/>
              </w:rPr>
              <w:t xml:space="preserve">Quarter index within the 2023 observation year (1, 2, 3, 4)</w:t>
            </w:r>
          </w:p>
        </w:tc>
        <w:tc>
          <w:tcPr>
            <w:tcW w:w="0" w:type="auto"/>
          </w:tcPr>
          <w:p>
            <w:pPr>
              <w:spacing w:line="240" w:lineRule="auto" w:before="0" w:after="0"/>
              <w:pStyle w:val="Compact"/>
            </w:pPr>
            <w:r>
              <w:rPr>
                <w:sz w:val="20"/>
                <w:szCs w:val="20"/>
              </w:rPr>
              <w:t xml:space="preserve">Borowitz et al. AMOS 2024/2025 milestone effective-date documentation</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4.8043</w:t>
            </w:r>
          </w:p>
        </w:tc>
        <w:tc>
          <w:tcPr>
            <w:tcW w:w="0" w:type="auto"/>
          </w:tcPr>
          <w:p>
            <w:pPr>
              <w:spacing w:line="240" w:lineRule="auto" w:before="0" w:after="0"/>
              <w:pStyle w:val="Compact"/>
            </w:pPr>
            <w:r>
              <w:rPr>
                <w:sz w:val="20"/>
                <w:szCs w:val="20"/>
              </w:rPr>
              <w:t xml:space="preserve">1.1159</w:t>
            </w:r>
          </w:p>
        </w:tc>
        <w:tc>
          <w:tcPr>
            <w:tcW w:w="0" w:type="auto"/>
          </w:tcPr>
          <w:p>
            <w:pPr>
              <w:spacing w:line="240" w:lineRule="auto" w:before="0" w:after="0"/>
              <w:pStyle w:val="Compact"/>
            </w:pPr>
            <w:r>
              <w:rPr>
                <w:sz w:val="20"/>
                <w:szCs w:val="20"/>
              </w:rPr>
              <w:t xml:space="preserve">4.3053</w:t>
            </w:r>
          </w:p>
        </w:tc>
        <w:tc>
          <w:tcPr>
            <w:tcW w:w="0" w:type="auto"/>
          </w:tcPr>
          <w:p>
            <w:pPr>
              <w:spacing w:line="240" w:lineRule="auto" w:before="0" w:after="0"/>
              <w:pStyle w:val="Compact"/>
            </w:pPr>
            <w:r>
              <w:rPr>
                <w:sz w:val="20"/>
                <w:szCs w:val="20"/>
              </w:rPr>
              <w:t xml:space="preserve">1.668e-05</w:t>
            </w:r>
          </w:p>
        </w:tc>
        <w:tc>
          <w:tcPr>
            <w:tcW w:w="0" w:type="auto"/>
          </w:tcPr>
          <w:p>
            <w:pPr>
              <w:spacing w:line="240" w:lineRule="auto" w:before="0" w:after="0"/>
              <w:pStyle w:val="Compact"/>
            </w:pPr>
            <w:r>
              <w:rPr>
                <w:sz w:val="20"/>
                <w:szCs w:val="20"/>
              </w:rPr>
              <w:t xml:space="preserve">[2.6172, 6.9914]</w:t>
            </w:r>
          </w:p>
        </w:tc>
      </w:tr>
      <w:tr>
        <w:tc>
          <w:tcPr>
            <w:tcW w:w="0" w:type="auto"/>
          </w:tcPr>
          <w:p>
            <w:pPr>
              <w:spacing w:line="240" w:lineRule="auto" w:before="0" w:after="0"/>
              <w:pStyle w:val="Compact"/>
            </w:pPr>
            <w:r>
              <w:rPr>
                <w:sz w:val="20"/>
                <w:szCs w:val="20"/>
              </w:rPr>
              <w:t xml:space="preserve">public_ssa_coverage</w:t>
            </w:r>
          </w:p>
        </w:tc>
        <w:tc>
          <w:tcPr>
            <w:tcW w:w="0" w:type="auto"/>
          </w:tcPr>
          <w:p>
            <w:pPr>
              <w:spacing w:line="240" w:lineRule="auto" w:before="0" w:after="0"/>
              <w:pStyle w:val="Compact"/>
            </w:pPr>
            <w:r>
              <w:rPr>
                <w:sz w:val="20"/>
                <w:szCs w:val="20"/>
              </w:rPr>
              <w:t xml:space="preserve">-4.6391</w:t>
            </w:r>
          </w:p>
        </w:tc>
        <w:tc>
          <w:tcPr>
            <w:tcW w:w="0" w:type="auto"/>
          </w:tcPr>
          <w:p>
            <w:pPr>
              <w:spacing w:line="240" w:lineRule="auto" w:before="0" w:after="0"/>
              <w:pStyle w:val="Compact"/>
            </w:pPr>
            <w:r>
              <w:rPr>
                <w:sz w:val="20"/>
                <w:szCs w:val="20"/>
              </w:rPr>
              <w:t xml:space="preserve">0.9814</w:t>
            </w:r>
          </w:p>
        </w:tc>
        <w:tc>
          <w:tcPr>
            <w:tcW w:w="0" w:type="auto"/>
          </w:tcPr>
          <w:p>
            <w:pPr>
              <w:spacing w:line="240" w:lineRule="auto" w:before="0" w:after="0"/>
              <w:pStyle w:val="Compact"/>
            </w:pPr>
            <w:r>
              <w:rPr>
                <w:sz w:val="20"/>
                <w:szCs w:val="20"/>
              </w:rPr>
              <w:t xml:space="preserve">-4.7272</w:t>
            </w:r>
          </w:p>
        </w:tc>
        <w:tc>
          <w:tcPr>
            <w:tcW w:w="0" w:type="auto"/>
          </w:tcPr>
          <w:p>
            <w:pPr>
              <w:spacing w:line="240" w:lineRule="auto" w:before="0" w:after="0"/>
              <w:pStyle w:val="Compact"/>
            </w:pPr>
            <w:r>
              <w:rPr>
                <w:sz w:val="20"/>
                <w:szCs w:val="20"/>
              </w:rPr>
              <w:t xml:space="preserve">2.276e-06</w:t>
            </w:r>
          </w:p>
        </w:tc>
        <w:tc>
          <w:tcPr>
            <w:tcW w:w="0" w:type="auto"/>
          </w:tcPr>
          <w:p>
            <w:pPr>
              <w:spacing w:line="240" w:lineRule="auto" w:before="0" w:after="0"/>
              <w:pStyle w:val="Compact"/>
            </w:pPr>
            <w:r>
              <w:rPr>
                <w:sz w:val="20"/>
                <w:szCs w:val="20"/>
              </w:rPr>
              <w:t xml:space="preserve">[-6.5625, -2.7157]</w:t>
            </w:r>
          </w:p>
        </w:tc>
      </w:tr>
      <w:tr>
        <w:tc>
          <w:tcPr>
            <w:tcW w:w="0" w:type="auto"/>
          </w:tcPr>
          <w:p>
            <w:pPr>
              <w:spacing w:line="240" w:lineRule="auto" w:before="0" w:after="0"/>
              <w:pStyle w:val="Compact"/>
            </w:pPr>
            <w:r>
              <w:rPr>
                <w:sz w:val="20"/>
                <w:szCs w:val="20"/>
              </w:rPr>
              <w:t xml:space="preserve">observer_footprint</w:t>
            </w:r>
          </w:p>
        </w:tc>
        <w:tc>
          <w:tcPr>
            <w:tcW w:w="0" w:type="auto"/>
          </w:tcPr>
          <w:p>
            <w:pPr>
              <w:spacing w:line="240" w:lineRule="auto" w:before="0" w:after="0"/>
              <w:pStyle w:val="Compact"/>
            </w:pPr>
            <w:r>
              <w:rPr>
                <w:sz w:val="20"/>
                <w:szCs w:val="20"/>
              </w:rPr>
              <w:t xml:space="preserve">-0.4555</w:t>
            </w:r>
          </w:p>
        </w:tc>
        <w:tc>
          <w:tcPr>
            <w:tcW w:w="0" w:type="auto"/>
          </w:tcPr>
          <w:p>
            <w:pPr>
              <w:spacing w:line="240" w:lineRule="auto" w:before="0" w:after="0"/>
              <w:pStyle w:val="Compact"/>
            </w:pPr>
            <w:r>
              <w:rPr>
                <w:sz w:val="20"/>
                <w:szCs w:val="20"/>
              </w:rPr>
              <w:t xml:space="preserve">2.2647</w:t>
            </w:r>
          </w:p>
        </w:tc>
        <w:tc>
          <w:tcPr>
            <w:tcW w:w="0" w:type="auto"/>
          </w:tcPr>
          <w:p>
            <w:pPr>
              <w:spacing w:line="240" w:lineRule="auto" w:before="0" w:after="0"/>
              <w:pStyle w:val="Compact"/>
            </w:pPr>
            <w:r>
              <w:rPr>
                <w:sz w:val="20"/>
                <w:szCs w:val="20"/>
              </w:rPr>
              <w:t xml:space="preserve">-0.2011</w:t>
            </w:r>
          </w:p>
        </w:tc>
        <w:tc>
          <w:tcPr>
            <w:tcW w:w="0" w:type="auto"/>
          </w:tcPr>
          <w:p>
            <w:pPr>
              <w:spacing w:line="240" w:lineRule="auto" w:before="0" w:after="0"/>
              <w:pStyle w:val="Compact"/>
            </w:pPr>
            <w:r>
              <w:rPr>
                <w:sz w:val="20"/>
                <w:szCs w:val="20"/>
              </w:rPr>
              <w:t xml:space="preserve">0.8406</w:t>
            </w:r>
          </w:p>
        </w:tc>
        <w:tc>
          <w:tcPr>
            <w:tcW w:w="0" w:type="auto"/>
          </w:tcPr>
          <w:p>
            <w:pPr>
              <w:spacing w:line="240" w:lineRule="auto" w:before="0" w:after="0"/>
              <w:pStyle w:val="Compact"/>
            </w:pPr>
            <w:r>
              <w:rPr>
                <w:sz w:val="20"/>
                <w:szCs w:val="20"/>
              </w:rPr>
              <w:t xml:space="preserve">[-4.8943, 3.9833]</w:t>
            </w:r>
          </w:p>
        </w:tc>
      </w:tr>
      <w:tr>
        <w:tc>
          <w:tcPr>
            <w:tcW w:w="0" w:type="auto"/>
          </w:tcPr>
          <w:p>
            <w:pPr>
              <w:spacing w:line="240" w:lineRule="auto" w:before="0" w:after="0"/>
              <w:pStyle w:val="Compact"/>
            </w:pPr>
            <w:r>
              <w:rPr>
                <w:sz w:val="20"/>
                <w:szCs w:val="20"/>
              </w:rPr>
              <w:t xml:space="preserve">operator_attribution_exposure</w:t>
            </w:r>
          </w:p>
        </w:tc>
        <w:tc>
          <w:tcPr>
            <w:tcW w:w="0" w:type="auto"/>
          </w:tcPr>
          <w:p>
            <w:pPr>
              <w:spacing w:line="240" w:lineRule="auto" w:before="0" w:after="0"/>
              <w:pStyle w:val="Compact"/>
            </w:pPr>
            <w:r>
              <w:rPr>
                <w:sz w:val="20"/>
                <w:szCs w:val="20"/>
              </w:rPr>
              <w:t xml:space="preserve">0.4491</w:t>
            </w:r>
          </w:p>
        </w:tc>
        <w:tc>
          <w:tcPr>
            <w:tcW w:w="0" w:type="auto"/>
          </w:tcPr>
          <w:p>
            <w:pPr>
              <w:spacing w:line="240" w:lineRule="auto" w:before="0" w:after="0"/>
              <w:pStyle w:val="Compact"/>
            </w:pPr>
            <w:r>
              <w:rPr>
                <w:sz w:val="20"/>
                <w:szCs w:val="20"/>
              </w:rPr>
              <w:t xml:space="preserve">0.2515</w:t>
            </w:r>
          </w:p>
        </w:tc>
        <w:tc>
          <w:tcPr>
            <w:tcW w:w="0" w:type="auto"/>
          </w:tcPr>
          <w:p>
            <w:pPr>
              <w:spacing w:line="240" w:lineRule="auto" w:before="0" w:after="0"/>
              <w:pStyle w:val="Compact"/>
            </w:pPr>
            <w:r>
              <w:rPr>
                <w:sz w:val="20"/>
                <w:szCs w:val="20"/>
              </w:rPr>
              <w:t xml:space="preserve">1.7859</w:t>
            </w:r>
          </w:p>
        </w:tc>
        <w:tc>
          <w:tcPr>
            <w:tcW w:w="0" w:type="auto"/>
          </w:tcPr>
          <w:p>
            <w:pPr>
              <w:spacing w:line="240" w:lineRule="auto" w:before="0" w:after="0"/>
              <w:pStyle w:val="Compact"/>
            </w:pPr>
            <w:r>
              <w:rPr>
                <w:sz w:val="20"/>
                <w:szCs w:val="20"/>
              </w:rPr>
              <w:t xml:space="preserve">0.0741</w:t>
            </w:r>
          </w:p>
        </w:tc>
        <w:tc>
          <w:tcPr>
            <w:tcW w:w="0" w:type="auto"/>
          </w:tcPr>
          <w:p>
            <w:pPr>
              <w:spacing w:line="240" w:lineRule="auto" w:before="0" w:after="0"/>
              <w:pStyle w:val="Compact"/>
            </w:pPr>
            <w:r>
              <w:rPr>
                <w:sz w:val="20"/>
                <w:szCs w:val="20"/>
              </w:rPr>
              <w:t xml:space="preserve">[-0.0438, 0.942]</w:t>
            </w:r>
          </w:p>
        </w:tc>
      </w:tr>
    </w:tbl>
    <w:p>
      <w:pPr>
        <w:pStyle w:val="BodyText"/>
      </w:pPr>
      <w:r>
        <w:t xml:space="preserve">Fit: N = 32 R2 = 0.6055 R2_adj = 0.5632 F = 10.9518 F_p = 6.236e-05</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4" Target="https://doi.org/10.1016/j.actaastro.2024.12.056" TargetMode="External" /><Relationship Type="http://schemas.openxmlformats.org/officeDocument/2006/relationships/hyperlink" Id="rId80" Target="https://doi.org/10.1016/j.actaastro.2025.05.036" TargetMode="External" /><Relationship Type="http://schemas.openxmlformats.org/officeDocument/2006/relationships/hyperlink" Id="rId71" Target="https://doi.org/10.64861/ETRU7114" TargetMode="External" /><Relationship Type="http://schemas.openxmlformats.org/officeDocument/2006/relationships/hyperlink" Id="rId76" Target="https://doi.org/10.64861/LCET1122" TargetMode="External" /><Relationship Type="http://schemas.openxmlformats.org/officeDocument/2006/relationships/hyperlink" Id="rId78" Target="https://doi.org/10.64861/PZFC4312" TargetMode="External" /><Relationship Type="http://schemas.openxmlformats.org/officeDocument/2006/relationships/hyperlink" Id="rId69" Target="https://doi.org/10.64861/UFGA3568"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4.12.056" TargetMode="External" /><Relationship Type="http://schemas.openxmlformats.org/officeDocument/2006/relationships/hyperlink" Id="rId80" Target="https://doi.org/10.1016/j.actaastro.2025.05.036" TargetMode="External" /><Relationship Type="http://schemas.openxmlformats.org/officeDocument/2006/relationships/hyperlink" Id="rId71" Target="https://doi.org/10.64861/ETRU7114" TargetMode="External" /><Relationship Type="http://schemas.openxmlformats.org/officeDocument/2006/relationships/hyperlink" Id="rId76" Target="https://doi.org/10.64861/LCET1122" TargetMode="External" /><Relationship Type="http://schemas.openxmlformats.org/officeDocument/2006/relationships/hyperlink" Id="rId78" Target="https://doi.org/10.64861/PZFC4312" TargetMode="External" /><Relationship Type="http://schemas.openxmlformats.org/officeDocument/2006/relationships/hyperlink" Id="rId69" Target="https://doi.org/10.64861/UFGA356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2026-06-27T00:26:15Z</dcterms:created>
  <dcterms:modified xsi:type="dcterms:W3CDTF">2026-06-27T00:26:15Z</dcterms:modified>
</cp:coreProperties>
</file>

<file path=docProps/custom.xml><?xml version="1.0" encoding="utf-8"?>
<Properties xmlns="http://schemas.openxmlformats.org/officeDocument/2006/custom-properties" xmlns:vt="http://schemas.openxmlformats.org/officeDocument/2006/docPropsVTypes"/>
</file>