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DETERRENCE BY DETECTION: DOES IMPROVED PUBLIC SSA COVERAGE CHANGE OBSERVABLE ON-ORBIT BEHAVIOR?</w:t>
      </w:r>
    </w:p>
    <w:p>
      <w:pPr>
        <w:jc w:val="center"/>
      </w:pPr>
    </w:p>
    <w:p>
      <w:pPr>
        <w:jc w:val="center"/>
      </w:pPr>
      <w:r>
        <w:rPr>
          <w:rFonts w:ascii="Times New Roman" w:hAnsi="Times New Roman"/>
          <w:sz w:val="24"/>
        </w:rPr>
        <w:t>by</w:t>
      </w:r>
    </w:p>
    <w:p>
      <w:pPr>
        <w:jc w:val="center"/>
      </w:pPr>
      <w:r>
        <w:rPr>
          <w:rFonts w:ascii="Times New Roman" w:hAnsi="Times New Roman"/>
          <w:b/>
          <w:sz w:val="28"/>
        </w:rPr>
        <w:t>Diego Cabrera</w:t>
      </w:r>
    </w:p>
    <w:p>
      <w:pPr>
        <w:jc w:val="center"/>
      </w:pPr>
      <w:r>
        <w:rPr>
          <w:rFonts w:ascii="Times New Roman" w:hAnsi="Times New Roman"/>
          <w:sz w:val="24"/>
        </w:rPr>
        <w:t>1B-SDA-093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The contemporary public space situational awareness (SSA) investment agenda rests on a behavioral premise that has not been tested in falsifiable empirical register. The premise is that visibility constrains conduct, that publishing a sufficiently complete and timely orbital picture will discipline what state and quasi-state operators do in close-approach proximity operations at the geosynchronous belt, and that the discipline will be measurable in the public record. Over the 2020 to 2026 window, the Office of Space Commerce Traffic Coordination System for Space (TraCSS) and the European Union Space Surveillance and Tracking (EU SST) consortium have each migrated from internal government feeds toward tiered public catalogs, conjunction data messages, and coverage maps with progressively shorter latency and wider longitude reach [3, 6]. Each milestone has been accompanied by the rhetoric of deterrence by detection, the claim that an adversary who knows the close-approach operation will be seen, characterized, and attributed will reschedule the activity, reduce its closeness, or abandon it altogether [1, 4, 7]. The expenditure is substantial, the institutional commitment is firm, and the causal claim has not been quantified. The dissertation undertakes that quantification.</w:t>
      </w:r>
    </w:p>
    <w:p>
      <w:pPr>
        <w:pStyle w:val="BodyText"/>
        <w:spacing w:line="480" w:lineRule="auto"/>
        <w:ind w:firstLine="720"/>
      </w:pPr>
      <w:r>
        <w:t xml:space="preserve">The geosynchronous belt is the appropriate first test bed for three reasons. First, the rendezvous and proximity operations (RPO) record at GEO is publicly observed by independent commercial and academic networks at a cadence that supports panel analysis, including the ExoAnalytic Solutions GEO RPO archive and the Falcon Telescope Network photometric record at the United States Air Force Academy [2, 4]. Second, the operational stakes at GEO are high because the belt hosts national security, civil, and commercial assets whose station-keeping economy is sensitive to the rate and closeness of unsolicited inspections [1, 7]. Third, the recent record of attributed close-approach conduct at GEO, from the documented Olymp-K series to the Cosmos cluster and to the documented Chinese RPO at the GEO graveyard regime, establishes that GEO is the regime where the deterrence claim, if it is true, should bite first and most legibly [17, 18, 21]. The published counterspace and threat assessments document the same set of conduct categories the deterrence proposition is meant to compress [13, 14], and the Five-Eyes PHANTOM ECHOES 2 experiment established that the public characterization of GEO proximity conduct is technically tractable from public optical observers alone</w:t>
      </w:r>
      <w:r>
        <w:t xml:space="preserve"> </w:t>
      </w:r>
      <w:hyperlink w:anchor="ref-15">
        <w:r>
          <w:rPr>
            <w:rStyle w:val="Hyperlink"/>
          </w:rPr>
          <w:t xml:space="preserve">[15]</w:t>
        </w:r>
      </w:hyperlink>
      <w:r>
        <w:t xml:space="preserve">.</w:t>
      </w:r>
    </w:p>
    <w:bookmarkEnd w:id="61"/>
    <w:bookmarkStart w:id="62" w:name="X8ef1b9323d9da175e89b5175868799eb04edd34"/>
    <w:p>
      <w:pPr>
        <w:pStyle w:val="Heading2"/>
        <w:spacing w:line="480" w:lineRule="auto"/>
      </w:pPr>
      <w:r>
        <w:t xml:space="preserve">1.2 Why the Question Matters for NASA and JPL</w:t>
      </w:r>
    </w:p>
    <w:p>
      <w:pPr>
        <w:pStyle w:val="FirstParagraph"/>
        <w:spacing w:line="480" w:lineRule="auto"/>
      </w:pPr>
      <w:r>
        <w:t xml:space="preserve">The question is not narrowly an Office of Space Commerce question. NASA and the Jet Propulsion Laboratory have direct equities in the answer along three independent vectors. The first vector is mission protection. NASA-owned and NASA-partnered GEO and near-GEO assets, including communications relays and the science platforms that move through the belt during transfer phases, depend on conjunction warning latency and on attributed characterization of nearby objects [3, 6]. The decision-support apparatus that processes those warnings, including the decision-support framework formalized by Smith, Jah, and Wood for continuing supervision of commercial in-space servicing, treats the public SSA catalog as an input whose behavioral effect on operators is presumed but not measured [8, 37]. If the deterrence-by-detection mechanism is real, the latency and coverage milestones the Office of Space Commerce and EU SST publish carry a mission protection co-benefit that should be visible in the NASA conjunction caseload. If the mechanism is absent, NASA mission planners should not allocate residual risk on the assumption that catalog publication will dampen the underlying behavior.</w:t>
      </w:r>
    </w:p>
    <w:p>
      <w:pPr>
        <w:pStyle w:val="BodyText"/>
        <w:spacing w:line="480" w:lineRule="auto"/>
        <w:ind w:firstLine="720"/>
      </w:pPr>
      <w:r>
        <w:t xml:space="preserve">The second vector is cislunar and Moon-to-Mars architecture. The published cislunar space traffic management literature has argued that the lessons learned in the GEO regime are the analytical precursor to architecting the cislunar SSA commons, and the strategic framework for cislunar and cismartian environments treats transparency as a load-bearing instrument whose behavioral efficacy at GEO conditions the case for analogous investment beyond geostationary [5, 31]. JPL is the institutional locus for several of the lunar surface and cislunar transit programs whose operations will share the same volume with non-cooperative inspection assets, and the question of whether transparency at one regime suppresses or simply displaces conduct to another regime is operationally consequential for JPL mission design [5, 30]. The substitution prediction, that operators displace RPO to less observed regimes when their primary regime is illuminated, is a falsifiable corollary of the deterrence claim, and the cislunar fragmentation monitoring literature has already begun to argue for the space-based observer constellations that would be required to close the displacement window</w:t>
      </w:r>
      <w:r>
        <w:t xml:space="preserve"> </w:t>
      </w:r>
      <w:hyperlink w:anchor="ref-30">
        <w:r>
          <w:rPr>
            <w:rStyle w:val="Hyperlink"/>
          </w:rPr>
          <w:t xml:space="preserve">[30]</w:t>
        </w:r>
      </w:hyperlink>
      <w:r>
        <w:t xml:space="preserve">.</w:t>
      </w:r>
    </w:p>
    <w:p>
      <w:pPr>
        <w:pStyle w:val="BodyText"/>
        <w:spacing w:line="480" w:lineRule="auto"/>
        <w:ind w:firstLine="720"/>
      </w:pPr>
      <w:r>
        <w:t xml:space="preserve">The third vector is the NASA acquisition register itself. The decadal-survey cycle, the cross-mission risk-acceptance process, and the technology shortfall portfolio each require a quantitative estimate of what public SSA buys in operational terms, not what it buys in rhetorical terms. The architecture decision-support literature in the</w:t>
      </w:r>
      <w:r>
        <w:t xml:space="preserve"> </w:t>
      </w:r>
      <w:r>
        <w:rPr>
          <w:i/>
          <w:iCs/>
        </w:rPr>
        <w:t xml:space="preserve">Acta Astronautica</w:t>
      </w:r>
      <w:r>
        <w:t xml:space="preserve"> </w:t>
      </w:r>
      <w:r>
        <w:t xml:space="preserve">record now treats the supervision of commercial in-space servicing as a coupled human-machine decision system whose performance depends on the timeliness and credibility of the SSA picture it ingests [8, 37]. The Environment-Vulnerability-Decision-Technology framing that has been applied to other complex coupled systems makes the same general point in a transferable register</w:t>
      </w:r>
      <w:r>
        <w:t xml:space="preserve"> </w:t>
      </w:r>
      <w:hyperlink w:anchor="ref-33">
        <w:r>
          <w:rPr>
            <w:rStyle w:val="Hyperlink"/>
          </w:rPr>
          <w:t xml:space="preserve">[33]</w:t>
        </w:r>
      </w:hyperlink>
      <w:r>
        <w:t xml:space="preserve">. NASA acquisition officers and JPL program managers cannot calibrate the value of public SSA inputs to their decision pipelines without an empirical estimate of how those inputs change the underlying behavior the pipelines are designed to manage.</w:t>
      </w:r>
    </w:p>
    <w:bookmarkEnd w:id="62"/>
    <w:bookmarkStart w:id="63" w:name="Xfb88ffc49ee5343136593b06b1ccea157d2ec8a"/>
    <w:p>
      <w:pPr>
        <w:pStyle w:val="Heading2"/>
        <w:spacing w:line="480" w:lineRule="auto"/>
      </w:pPr>
      <w:r>
        <w:t xml:space="preserve">1.3 The Gap Between the Domain Literature and the Method Literature</w:t>
      </w:r>
    </w:p>
    <w:p>
      <w:pPr>
        <w:pStyle w:val="FirstParagraph"/>
        <w:spacing w:line="480" w:lineRule="auto"/>
      </w:pPr>
      <w:r>
        <w:t xml:space="preserve">The published SDA and space-policy literature has matured along three lines, each productive in isolation, none of which has been joined to the others in the register the deterrence question demands. The first line is technical. Orbit determination, RPO characterization, anomalous-behavior detection, and the photometric corroboration of behavioral indicators are well represented in the AMOS conference and</w:t>
      </w:r>
      <w:r>
        <w:t xml:space="preserve"> </w:t>
      </w:r>
      <w:r>
        <w:rPr>
          <w:i/>
          <w:iCs/>
        </w:rPr>
        <w:t xml:space="preserve">Acta Astronautica</w:t>
      </w:r>
      <w:r>
        <w:t xml:space="preserve"> </w:t>
      </w:r>
      <w:r>
        <w:t xml:space="preserve">record [1, 2, 4, 7, 23, 34, 35, 36]. The Kelecy formulation of intent inferred from real-time rendezvous behavior and the Cunio analysis of orbit residual behavior to determine contact at GEO are the two papers that most cleanly establish that the RPO event itself is technically legible at the cadence the deterrence claim requires [1, 4]. The Lim photometric analysis through the Falcon Telescope Network and the Serrano combined SST and SDA monitoring framework establish that independent observers can corroborate the events at the level of granularity needed for a panel analysis [2, 7]. The Saadat autonomous mission planning for resident space object imaging and the Numerica heterogeneous-sensor work establish the upstream observation infrastructure on which the public catalogs draw [23, 27]. The first line is, in short, the line that proves the events are observable.</w:t>
      </w:r>
    </w:p>
    <w:p>
      <w:pPr>
        <w:pStyle w:val="BodyText"/>
        <w:spacing w:line="480" w:lineRule="auto"/>
        <w:ind w:firstLine="720"/>
      </w:pPr>
      <w:r>
        <w:t xml:space="preserve">The second line is architectural. Borowitz and colleagues have produced the comparative technical assessment of the public SSA services in the United States and the European Union, documenting catalog availability, conjunction data message latency, and coverage envelope on a milestone-by-milestone basis [3, 6, 9, 11]. The companion global coordination paper extends the comparison to the multilateral coordination question and identifies the milestone calendar against which the deterrence claim should be tested [6, 11]. Earlier architectural work on hosted SSA payloads at GEO, search-based versus task-based ground telescope surveillance, open-filter optical SSA, and parallel-computed GEO SSA architectures completes the architectural record [22, 25, 26, 28]. The second line is, in short, the line that proves the treatment vector is identifiable on a public calendar.</w:t>
      </w:r>
    </w:p>
    <w:p>
      <w:pPr>
        <w:pStyle w:val="BodyText"/>
        <w:spacing w:line="480" w:lineRule="auto"/>
        <w:ind w:firstLine="720"/>
      </w:pPr>
      <w:r>
        <w:t xml:space="preserve">The third line is normative. The decision-support architecture for the supervision of commercial in-space servicing, the cislunar and cismartian strategic frameworks, the Secure World Foundation and CSIS counterspace and threat assessments, and the preliminary examination of general deterrence in space during peacetime have established that transparency is treated as a load-bearing instrument in space governance proposals [5, 8, 13, 14, 32]. The Chronopoulos analysis of US-China dynamics in peacetime general deterrence is particularly explicit that strategic narratives interact with the visibility of conduct in shaping deterrent effect</w:t>
      </w:r>
      <w:r>
        <w:t xml:space="preserve"> </w:t>
      </w:r>
      <w:hyperlink w:anchor="ref-32">
        <w:r>
          <w:rPr>
            <w:rStyle w:val="Hyperlink"/>
          </w:rPr>
          <w:t xml:space="preserve">[32]</w:t>
        </w:r>
      </w:hyperlink>
      <w:r>
        <w:t xml:space="preserve">. The Hayden analysis of artificial intelligence and autonomy in space deterrence and escalation control argues a related point in the AI register: the credibility of attribution conditions the credibility of restraint</w:t>
      </w:r>
      <w:r>
        <w:t xml:space="preserve"> </w:t>
      </w:r>
      <w:hyperlink w:anchor="ref-24">
        <w:r>
          <w:rPr>
            <w:rStyle w:val="Hyperlink"/>
          </w:rPr>
          <w:t xml:space="preserve">[24]</w:t>
        </w:r>
      </w:hyperlink>
      <w:r>
        <w:t xml:space="preserve">. The third line is, in short, the line that argues transparency should matter for behavior.</w:t>
      </w:r>
    </w:p>
    <w:p>
      <w:pPr>
        <w:pStyle w:val="BodyText"/>
        <w:spacing w:line="480" w:lineRule="auto"/>
        <w:ind w:firstLine="720"/>
      </w:pPr>
      <w:r>
        <w:t xml:space="preserve">What the three lines have not done is meet. The technical line treats observability as an input to characterization. The architectural line treats coverage and latency as outputs of an investment plan. The normative line treats transparency as a posited instrument of behavioral discipline. None of the three has treated the architectural milestone vector as a treatment, the technical event record as an outcome, and the normative claim as a falsifiable hypothesis to be tested by an estimator drawn from the contemporary econometric method literature on staggered-treatment difference-in-differences. The orbit determination survey literature concedes that the operational consequences of SSA quality remain undertheorized as a behavioral matter</w:t>
      </w:r>
      <w:r>
        <w:t xml:space="preserve"> </w:t>
      </w:r>
      <w:hyperlink w:anchor="ref-34">
        <w:r>
          <w:rPr>
            <w:rStyle w:val="Hyperlink"/>
          </w:rPr>
          <w:t xml:space="preserve">[34]</w:t>
        </w:r>
      </w:hyperlink>
      <w:r>
        <w:t xml:space="preserve">, and the cislunar STM literature explicitly flags the absence of a quantitative test of the transparency-as-instrument premise it nonetheless adopts [5, 31]. The decision-support architecture work flags the same gap from the decision-system side: the architecture presumes a behavioral elasticity of operators to the published picture without estimating it [8, 37].</w:t>
      </w:r>
    </w:p>
    <w:p>
      <w:pPr>
        <w:pStyle w:val="BodyText"/>
        <w:spacing w:line="480" w:lineRule="auto"/>
        <w:ind w:firstLine="720"/>
      </w:pPr>
      <w:r>
        <w:t xml:space="preserve">The method literature exists, and it has not been brought to the domain. The staggered-treatment difference-in-differences estimators now standard in applied econometrics, with the bias-correction methods that follow from the Callaway and Sant’Anna and de Chaisemartin and D’Haultfoeuille corrections to two-way fixed effects, are the natural method match to a treatment vector whose milestones are asynchronous across longitude bands and regimes. The domain literature has not encountered them. The first paper in the dissertation portfolio demonstrated, on a balanced 32 band-quarter panel for 2023, that even a transparent OLS specification returns a statistically detectable negative slope on a composite public SSA coverage index, with the observer footprint control returning a coefficient indistinguishable from zero, supporting the interpretation that the dissemination of the picture rather than the underlying observation capacity is what is moving the event count [1, 2, 3, 4, 6, 7]. The second paper extended the test to a heterogeneity register that distinguishes operators with prior public attribution exposure from operators without it, and found the deterrence sign concentrated where the mechanism is theoretically active [1, 7]. The dissertation’s contribution is to join the domain literature to the staggered-treatment method literature on a multi-year, multi-regime panel that the two foundational papers have prepared the ground for but have not yet executed.</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tests one hypothesis. The hypothesis is restricted to the geosynchronous regime over the 2020 to 2026 window. The null is that public SSA coverage expansion milestones at TraCSS and EU SST are not associated with a statistically detectable change in the rate, minimum range, or duration of observed RPO conduct at GEO, conditional on observer footprint, sensor mix, and operator fixed effects. The alternative is that public SSA coverage expansion milestones are associated with a statistically detectable reduction in the rate, minimum range, or duration of observed RPO conduct at GEO, conditional on the same controls, with effect signs consistent across at least two of the three outcome variables.</w:t>
      </w:r>
    </w:p>
    <w:p>
      <w:pPr>
        <w:pStyle w:val="BodyText"/>
        <w:spacing w:line="480" w:lineRule="auto"/>
        <w:ind w:firstLine="720"/>
      </w:pPr>
      <w:r>
        <w:t xml:space="preserve">The contribution is single and falsifiable in the precise sense the prospectus requires. A failure to reject the null falsifies the strong form of the deterrence-by-detection thesis as applied to the GEO RPO setting, and the failure remains informative even if the weak form, in which deterrence operates through channels not legible at the cadence of the public observation record, retains analytical purchase elsewhere. A rejection of the null in the direction of the alternative, surviving the Callaway and Sant’Anna and the de Chaisemartin and D’Haultfoeuille robustness checks, surviving the one-year placebo lead, and surviving the LEO sham-regime falsification, constitutes the first quantitative support for the thesis and conditions the magnitude of the effect on the specific coverage milestone tested. The substitution corollary, in which the conduct suppressed at GEO migrates to LEO or cislunar regimes [5, 30], is reported as a secondary finding rather than as a primary result. The mechanism corollary, in which the effect concentrates among operators with prior public attribution exposure, is reported as a within-sample falsification check rather than as a primary result [1, 4, 7].</w:t>
      </w:r>
    </w:p>
    <w:p>
      <w:pPr>
        <w:pStyle w:val="BodyText"/>
        <w:spacing w:line="480" w:lineRule="auto"/>
        <w:ind w:firstLine="720"/>
      </w:pPr>
      <w:r>
        <w:t xml:space="preserve">The dissertation explicitly does not test, and does not claim to test, whether the deterrence mechanism operates through the operator’s belief about reputational cost, the operator’s belief about diplomatic cost, the operator’s belief about commercial consequence, or some combination of the three. The black box of the operator’s decision calculus is left closed, and the test is restricted to whether the observable rate, closeness, and duration of conduct shift in the direction the mechanism predicts after a coverage milestone. That restriction is the price of falsifiability at the cadence of the public observation record. The price is paid deliberately.</w:t>
      </w:r>
    </w:p>
    <w:bookmarkEnd w:id="64"/>
    <w:bookmarkStart w:id="65" w:name="roadmap"/>
    <w:p>
      <w:pPr>
        <w:pStyle w:val="Heading2"/>
        <w:spacing w:line="480" w:lineRule="auto"/>
      </w:pPr>
      <w:r>
        <w:t xml:space="preserve">1.5 Roadmap</w:t>
      </w:r>
    </w:p>
    <w:p>
      <w:pPr>
        <w:pStyle w:val="FirstParagraph"/>
        <w:spacing w:line="480" w:lineRule="auto"/>
      </w:pPr>
      <w:r>
        <w:t xml:space="preserve">The dissertation proceeds in six further chapters and the supporting empirical appendices. Chapter 2 develops the theoretical apparatus that joins the technical, architectural, and normative lines of the literature, and it locates the deterrence-by-detection proposition within the broader peacetime general deterrence literature and the cislunar STM frameworks that depend on it [5, 13, 14, 31, 32]. Chapter 2 closes with the formal statement of the structural model and the identifying assumptions that the empirical chapters then test.</w:t>
      </w:r>
    </w:p>
    <w:p>
      <w:pPr>
        <w:pStyle w:val="BodyText"/>
        <w:spacing w:line="480" w:lineRule="auto"/>
        <w:ind w:firstLine="720"/>
      </w:pPr>
      <w:r>
        <w:t xml:space="preserve">Chapter 3 documents the construction of the empirical panel. The chapter walks the construction of the dependent variable from the ExoAnalytic public RPO archive and the Falcon Telescope Network photometric record [2, 4]. It walks the construction of the treatment vector from the TraCSS and EU SST milestone documentation [3, 6, 9, 11]. It walks the construction of the observer footprint covariate from the published Falcon coverage maps and the heterogeneous-sensor architecture record [2, 25, 26, 27, 28]. It walks the construction of the operator attribution exposure indicator from the Kelecy and Serrano analyses and the documented attribution events in the public record [1, 7, 17, 18, 21]. The chapter closes with the construction of the merged panel and with the provenance audit that documents every observation row to a public source.</w:t>
      </w:r>
    </w:p>
    <w:p>
      <w:pPr>
        <w:pStyle w:val="BodyText"/>
        <w:spacing w:line="480" w:lineRule="auto"/>
        <w:ind w:firstLine="720"/>
      </w:pPr>
      <w:r>
        <w:t xml:space="preserve">Chapter 4 reports the baseline staggered-treatment difference-in-differences estimate of the average treatment effect on the treated, with the Callaway and Sant’Anna and de Chaisemartin and D’Haultfoeuille robustness checks against the two-way fixed-effects bias the contemporary method literature has documented. Chapter 4 reports the one-year placebo lead and the LEO sham-regime falsification.</w:t>
      </w:r>
    </w:p>
    <w:p>
      <w:pPr>
        <w:pStyle w:val="BodyText"/>
        <w:spacing w:line="480" w:lineRule="auto"/>
        <w:ind w:firstLine="720"/>
      </w:pPr>
      <w:r>
        <w:t xml:space="preserve">Chapter 5 reports the heterogeneity analysis. The chapter separates the effect by operator attribution exposure, by longitude band, and by milestone category. The chapter reports the within-sample falsification that the effect should be absent in the group for which the deterrence mechanism is theoretically inactive.</w:t>
      </w:r>
    </w:p>
    <w:p>
      <w:pPr>
        <w:pStyle w:val="BodyText"/>
        <w:spacing w:line="480" w:lineRule="auto"/>
        <w:ind w:firstLine="720"/>
      </w:pPr>
      <w:r>
        <w:t xml:space="preserve">Chapter 6 reports the substitution analysis. The chapter constructs the parallel LEO and cislunar panels and asks whether the conduct suppressed at GEO is detected in the parallel panels [5, 30]. The chapter reports the cross-regime substitution coefficient and its standard error, and it interprets the magnitude against the GEO effect estimated in Chapter 4.</w:t>
      </w:r>
    </w:p>
    <w:p>
      <w:pPr>
        <w:pStyle w:val="BodyText"/>
        <w:spacing w:line="480" w:lineRule="auto"/>
        <w:ind w:firstLine="720"/>
      </w:pPr>
      <w:r>
        <w:t xml:space="preserve">Chapter 7 closes. The chapter returns to the NASA and JPL equities articulated in this introduction, draws the operational implications for the conjunction decision-support architecture and for the cislunar STM investment plan, and identifies the three follow-on tests the dissertation has prepared the ground for but has not executed. The chapter closes with the acknowledgment that a falsifiable test that returns a null is as informative as a falsifiable test that returns a sign, and with the corresponding acknowledgment that the dissertation’s primary contribution is the test itself, not its result.</w:t>
      </w:r>
    </w:p>
    <w:bookmarkEnd w:id="65"/>
    <w:bookmarkEnd w:id="66"/>
    <w:bookmarkStart w:id="73" w:name="chapter-2.-literature-review"/>
    <w:p>
      <w:pPr>
        <w:pStyle w:val="Heading1"/>
        <w:spacing w:line="480" w:lineRule="auto"/>
      </w:pPr>
      <w:r>
        <w:t xml:space="preserve">Chapter 2. Literature Review</w:t>
      </w:r>
    </w:p>
    <w:bookmarkStart w:id="67" w:name="orientation-and-scope"/>
    <w:p>
      <w:pPr>
        <w:pStyle w:val="Heading2"/>
        <w:spacing w:line="480" w:lineRule="auto"/>
      </w:pPr>
      <w:r>
        <w:t xml:space="preserve">2.1 Orientation and Scope</w:t>
      </w:r>
    </w:p>
    <w:p>
      <w:pPr>
        <w:pStyle w:val="FirstParagraph"/>
        <w:spacing w:line="480" w:lineRule="auto"/>
      </w:pPr>
      <w:r>
        <w:t xml:space="preserve">The deterrence-by-detection thesis as applied to the space domain stands at the intersection of two substantial but largely unjoined bodies of work. The first is the technical literature on space situational awareness (SSA) and space domain awareness (SDA), which comprises orbit determination, sensor architecture, rendezvous and proximity operations (RPO) characterization, and public service architecture for the dissemination of catalog products. The second is the methodological literature on quasi-experimental and survival inference, broadly the cliometric and econometric tradition that has developed identification strategies for treatment effects when randomization is impossible and treatment is staggered, asynchronous, or right-censored. The thesis of the dissertation is that an observability shock administered by the public SSA commons should alter observable on-orbit conduct, and that proposition can only be tested if the two literatures are brought into the same analytical frame. Neither literature, taken alone, supplies the joint specification. The technical literature is rich in measurement of behavior and in description of sensing architecture but largely silent on identification. The cliometric methodology literature is precise on identification but has not, to date, been applied to the observation cadence of the orbital regime.</w:t>
      </w:r>
    </w:p>
    <w:p>
      <w:pPr>
        <w:pStyle w:val="BodyText"/>
        <w:spacing w:line="480" w:lineRule="auto"/>
        <w:ind w:firstLine="720"/>
      </w:pPr>
      <w:r>
        <w:t xml:space="preserve">This chapter conducts a systematic review of both bodies and concludes by specifying the gap that the dissertation occupies. The review proceeds in five sections. Section 2.2 surveys the SDA technical literature on RPO characterization and intent inference. Section 2.3 surveys the public SSA architecture literature, with attention to the Traffic Coordination System for Space (TraCSS) and the European Union Space Surveillance and Tracking (EU SST) consortium. Section 2.4 turns to the cliometric and econometric methodology literature on staggered difference-in-differences identification and Cox proportional-hazards survival analysis as those methods have been adapted to settings of policy treatment with observational data. Section 2.5 examines the small but growing strategic-deterrence literature that has framed transparency and detection as instruments of restraint. Section 2.6 synthesizes the two unjoined bodies, names the gap with precision, and locates the dissertation’s contribution at the joint.</w:t>
      </w:r>
    </w:p>
    <w:bookmarkEnd w:id="67"/>
    <w:bookmarkStart w:id="68" w:name="X35bfc873d6e001f407dc8769497735b65fbe283"/>
    <w:p>
      <w:pPr>
        <w:pStyle w:val="Heading2"/>
        <w:spacing w:line="480" w:lineRule="auto"/>
      </w:pPr>
      <w:r>
        <w:t xml:space="preserve">2.2 The SDA Technical Literature on RPO Characterization</w:t>
      </w:r>
    </w:p>
    <w:p>
      <w:pPr>
        <w:pStyle w:val="FirstParagraph"/>
        <w:spacing w:line="480" w:lineRule="auto"/>
      </w:pPr>
      <w:r>
        <w:t xml:space="preserve">The technical literature on RPO characterization has matured rapidly over the 2015 to 2025 window. The Kelecy and colleagues paper at the 2022 AMOS conference provides the canonical framing for intent inference from real-time RPO behavior, demonstrating that the kinematic signature of an approach, when combined with the prior trajectory of the inspecting object, can be used to infer the probable intent of the approaching satellite</w:t>
      </w:r>
      <w:r>
        <w:t xml:space="preserve"> </w:t>
      </w:r>
      <w:hyperlink w:anchor="ref-1">
        <w:r>
          <w:rPr>
            <w:rStyle w:val="Hyperlink"/>
          </w:rPr>
          <w:t xml:space="preserve">[1]</w:t>
        </w:r>
      </w:hyperlink>
      <w:r>
        <w:t xml:space="preserve">. The Kelecy framing is important for the present dissertation because it treats the observation of RPO conduct as a fundamentally inferential exercise: the analyst sees the kinematics and infers the purpose. The implication is that any policy lever that alters the probability of being observed must, by transitivity, alter the inferential exposure of the operator, and therefore the operator’s strategic calculation.</w:t>
      </w:r>
    </w:p>
    <w:p>
      <w:pPr>
        <w:pStyle w:val="BodyText"/>
        <w:spacing w:line="480" w:lineRule="auto"/>
        <w:ind w:firstLine="720"/>
      </w:pPr>
      <w:r>
        <w:t xml:space="preserve">The Cunio and colleagues residual-collapse analysis at the same 2022 AMOS conference extends the technical apparatus to the case of physical contact at GEO, demonstrating that orbit residual behavior can be used to determine whether two GEO objects have come into contact</w:t>
      </w:r>
      <w:r>
        <w:t xml:space="preserve"> </w:t>
      </w:r>
      <w:hyperlink w:anchor="ref-4">
        <w:r>
          <w:rPr>
            <w:rStyle w:val="Hyperlink"/>
          </w:rPr>
          <w:t xml:space="preserve">[4]</w:t>
        </w:r>
      </w:hyperlink>
      <w:r>
        <w:t xml:space="preserve">. The Cunio paper is methodologically significant because it pushes the observational instrument well past mere proximity into the inference of operational contact, the highest-stakes RPO outcome short of explicit grappling or co-orbit servicing. The 2022 AMOS proceedings, taken with the Cunio result, establish that the GEO observation environment can sustain rich behavioral inference, which in turn underwrites the dependent variable strategy used in the present dissertation.</w:t>
      </w:r>
    </w:p>
    <w:p>
      <w:pPr>
        <w:pStyle w:val="BodyText"/>
        <w:spacing w:line="480" w:lineRule="auto"/>
        <w:ind w:firstLine="720"/>
      </w:pPr>
      <w:r>
        <w:t xml:space="preserve">The Serrano and colleagues 2024 paper on the combination of space surveillance and tracking (SST) with SDA techniques further refines the characterization apparatus, demonstrating that the joint use of catalog-grade SST data with high-cadence SDA collection yields tighter behavioral inference than either tradition alone</w:t>
      </w:r>
      <w:r>
        <w:t xml:space="preserve"> </w:t>
      </w:r>
      <w:hyperlink w:anchor="ref-7">
        <w:r>
          <w:rPr>
            <w:rStyle w:val="Hyperlink"/>
          </w:rPr>
          <w:t xml:space="preserve">[7]</w:t>
        </w:r>
      </w:hyperlink>
      <w:r>
        <w:t xml:space="preserve">. The Serrano result matters for the dissertation because the dependent variable in the empirical chapters of the dissertation depends on the underlying observational regime continuing to produce comparable inference quality across the panel. The 2024 to 2025 record indicates that this assumption is defensible.</w:t>
      </w:r>
    </w:p>
    <w:p>
      <w:pPr>
        <w:pStyle w:val="BodyText"/>
        <w:spacing w:line="480" w:lineRule="auto"/>
        <w:ind w:firstLine="720"/>
      </w:pPr>
      <w:r>
        <w:t xml:space="preserve">The Lim and colleagues 2025 Falcon Telescope Network paper provides the photometric branch of the dependent-variable record, demonstrating that the United States Air Force Academy Falcon network produces rotational and pointing observables for GEO objects that can be correlated to operationally significant maneuvers and rocket-body behavior</w:t>
      </w:r>
      <w:r>
        <w:t xml:space="preserve"> </w:t>
      </w:r>
      <w:hyperlink w:anchor="ref-2">
        <w:r>
          <w:rPr>
            <w:rStyle w:val="Hyperlink"/>
          </w:rPr>
          <w:t xml:space="preserve">[2]</w:t>
        </w:r>
      </w:hyperlink>
      <w:r>
        <w:t xml:space="preserve">. The Lim result is essential for the dissertation because the Falcon network is one of the two public observer footprints used to bound the observer-mechanical-bias control in the empirical chapters. The Falcon network’s published cadence and longitude coverage provide the engineering basis for treating its footprint as a covariate rather than as an unobserved confound.</w:t>
      </w:r>
    </w:p>
    <w:p>
      <w:pPr>
        <w:pStyle w:val="BodyText"/>
        <w:spacing w:line="480" w:lineRule="auto"/>
        <w:ind w:firstLine="720"/>
      </w:pPr>
      <w:r>
        <w:t xml:space="preserve">Two additional technical contributions widen the architecture. The George and colleagues 2021 PHANTOM ECHOES 2 paper documents a Five Eyes experiment on GEO proximity operations, demonstrating that allied operators can produce coordinated observation campaigns against non-cooperative GEO objects with sufficient cadence and geometric diversity to characterize the inspector behavior in close to operational time</w:t>
      </w:r>
      <w:r>
        <w:t xml:space="preserve"> </w:t>
      </w:r>
      <w:hyperlink w:anchor="ref-15">
        <w:r>
          <w:rPr>
            <w:rStyle w:val="Hyperlink"/>
          </w:rPr>
          <w:t xml:space="preserve">[15]</w:t>
        </w:r>
      </w:hyperlink>
      <w:r>
        <w:t xml:space="preserve">. The PHANTOM ECHOES 2 result is significant because it establishes that the technical means existed, by 2021, to produce the observability that the deterrence-by-detection thesis posits as the causal mechanism. The Aristoff and colleagues 2018 paper on non-traditional data collection and exploitation for improved GEO SSA via a global network of heterogeneous sensors provides the architectural counterpart, showing that the global commercial sensor network had reached the engineering threshold for routine GEO characterization several years before the public SSA services discussed in section 2.3 went live</w:t>
      </w:r>
      <w:r>
        <w:t xml:space="preserve"> </w:t>
      </w:r>
      <w:hyperlink w:anchor="ref-27">
        <w:r>
          <w:rPr>
            <w:rStyle w:val="Hyperlink"/>
          </w:rPr>
          <w:t xml:space="preserve">[27]</w:t>
        </w:r>
      </w:hyperlink>
      <w:r>
        <w:t xml:space="preserve">. The Welsch and colleagues 2014 case for GEO-hosted SSA payloads, while older, deserves mention as the architectural origin of the modern GEO observation paradigm, anticipating the hosted-payload and persistent-stare strategies that now underwrite commercial GEO patrols</w:t>
      </w:r>
      <w:r>
        <w:t xml:space="preserve"> </w:t>
      </w:r>
      <w:hyperlink w:anchor="ref-22">
        <w:r>
          <w:rPr>
            <w:rStyle w:val="Hyperlink"/>
          </w:rPr>
          <w:t xml:space="preserve">[22]</w:t>
        </w:r>
      </w:hyperlink>
      <w:r>
        <w:t xml:space="preserve">.</w:t>
      </w:r>
    </w:p>
    <w:p>
      <w:pPr>
        <w:pStyle w:val="BodyText"/>
        <w:spacing w:line="480" w:lineRule="auto"/>
        <w:ind w:firstLine="720"/>
      </w:pPr>
      <w:r>
        <w:t xml:space="preserve">Three further AMOS papers extend the architectural map. Hertwig and colleagues 2019 compare search-based and task-based GEO surveillance for ground-based telescopes, providing the engineering vocabulary for distinguishing catalog-maintenance observation from event-driven characterization</w:t>
      </w:r>
      <w:r>
        <w:t xml:space="preserve"> </w:t>
      </w:r>
      <w:hyperlink w:anchor="ref-25">
        <w:r>
          <w:rPr>
            <w:rStyle w:val="Hyperlink"/>
          </w:rPr>
          <w:t xml:space="preserve">[25]</w:t>
        </w:r>
      </w:hyperlink>
      <w:r>
        <w:t xml:space="preserve">. Lambert’s 2016 open-filter optical SSA analysis paper provides the photometric calibration baseline that allows commercial optical observers to be compared across vendors and epochs</w:t>
      </w:r>
      <w:r>
        <w:t xml:space="preserve"> </w:t>
      </w:r>
      <w:hyperlink w:anchor="ref-26">
        <w:r>
          <w:rPr>
            <w:rStyle w:val="Hyperlink"/>
          </w:rPr>
          <w:t xml:space="preserve">[26]</w:t>
        </w:r>
      </w:hyperlink>
      <w:r>
        <w:t xml:space="preserve">. Felten and colleagues 2018 optimization of GEO SSA architectures using parallel computation supplies the analytical infrastructure that underwrites the sensor-tasking calculus across the United States Space Force GEO architecture</w:t>
      </w:r>
      <w:r>
        <w:t xml:space="preserve"> </w:t>
      </w:r>
      <w:hyperlink w:anchor="ref-28">
        <w:r>
          <w:rPr>
            <w:rStyle w:val="Hyperlink"/>
          </w:rPr>
          <w:t xml:space="preserve">[28]</w:t>
        </w:r>
      </w:hyperlink>
      <w:r>
        <w:t xml:space="preserve">. The three papers together establish that the engineering apparatus for routine GEO characterization is well documented in the open AMOS record, supporting the dissertation’s claim that the dependent variable can be measured consistently across the panel.</w:t>
      </w:r>
    </w:p>
    <w:p>
      <w:pPr>
        <w:pStyle w:val="BodyText"/>
        <w:spacing w:line="480" w:lineRule="auto"/>
        <w:ind w:firstLine="720"/>
      </w:pPr>
      <w:r>
        <w:t xml:space="preserve">The Saadat and colleagues 2025 paper on end-to-end autonomous mission planning and spacecraft attitude optimization for resident space object imaging extends the architecture into the on-orbit observer regime, indicating that the GEO observation environment is being further densified by on-orbit assets</w:t>
      </w:r>
      <w:r>
        <w:t xml:space="preserve"> </w:t>
      </w:r>
      <w:hyperlink w:anchor="ref-23">
        <w:r>
          <w:rPr>
            <w:rStyle w:val="Hyperlink"/>
          </w:rPr>
          <w:t xml:space="preserve">[23]</w:t>
        </w:r>
      </w:hyperlink>
      <w:r>
        <w:t xml:space="preserve">. The Reed and colleagues 2019 paper on blockchain-enabled space traffic awareness provides an early architectural sketch of a federated dissemination layer over heterogeneous SSA data, anticipating the public service architecture that emerged at TraCSS and EU SST several years later</w:t>
      </w:r>
      <w:r>
        <w:t xml:space="preserve"> </w:t>
      </w:r>
      <w:hyperlink w:anchor="ref-29">
        <w:r>
          <w:rPr>
            <w:rStyle w:val="Hyperlink"/>
          </w:rPr>
          <w:t xml:space="preserve">[29]</w:t>
        </w:r>
      </w:hyperlink>
      <w:r>
        <w:t xml:space="preserve">. The Hayden and colleagues 2020 Sandia paper on artificial intelligence and autonomy in space connects the characterization apparatus to the broader deterrence and escalation control conversation by examining how autonomy in the observed object alters the inferential burden on the observer</w:t>
      </w:r>
      <w:r>
        <w:t xml:space="preserve"> </w:t>
      </w:r>
      <w:hyperlink w:anchor="ref-24">
        <w:r>
          <w:rPr>
            <w:rStyle w:val="Hyperlink"/>
          </w:rPr>
          <w:t xml:space="preserve">[24]</w:t>
        </w:r>
      </w:hyperlink>
      <w:r>
        <w:t xml:space="preserve">. The Gambarotto and colleagues 2025 paper on monitoring cislunar fragmentation events with constellations of space-based observers extends the architectural envelope past GEO into the cislunar regime, an extension the present dissertation does not test but acknowledges as the relevant substitution channel</w:t>
      </w:r>
      <w:r>
        <w:t xml:space="preserve"> </w:t>
      </w:r>
      <w:hyperlink w:anchor="ref-30">
        <w:r>
          <w:rPr>
            <w:rStyle w:val="Hyperlink"/>
          </w:rPr>
          <w:t xml:space="preserve">[30]</w:t>
        </w:r>
      </w:hyperlink>
      <w:r>
        <w:t xml:space="preserve">.</w:t>
      </w:r>
    </w:p>
    <w:p>
      <w:pPr>
        <w:pStyle w:val="BodyText"/>
        <w:spacing w:line="480" w:lineRule="auto"/>
        <w:ind w:firstLine="720"/>
      </w:pPr>
      <w:r>
        <w:t xml:space="preserve">Two further Acta Astronautica contributions characterize the orbital determination state of the art. Kazemi and colleagues 2024 provide a survey of orbit determination for SSA that consolidates the analytical techniques used across the technical literature, supplying the methodological reference for treating the observation record as a measurement of behavior rather than as raw kinematics</w:t>
      </w:r>
      <w:r>
        <w:t xml:space="preserve"> </w:t>
      </w:r>
      <w:hyperlink w:anchor="ref-34">
        <w:r>
          <w:rPr>
            <w:rStyle w:val="Hyperlink"/>
          </w:rPr>
          <w:t xml:space="preserve">[34]</w:t>
        </w:r>
      </w:hyperlink>
      <w:r>
        <w:t xml:space="preserve">. Campiti and colleagues 2023 characterize the orbital kinematics of conjuncting objects in low Earth orbit and identify opportunities for autonomous observations, supplying the cross-regime point of comparison that the dissertation’s substitution check requires</w:t>
      </w:r>
      <w:r>
        <w:t xml:space="preserve"> </w:t>
      </w:r>
      <w:hyperlink w:anchor="ref-35">
        <w:r>
          <w:rPr>
            <w:rStyle w:val="Hyperlink"/>
          </w:rPr>
          <w:t xml:space="preserve">[35]</w:t>
        </w:r>
      </w:hyperlink>
      <w:r>
        <w:t xml:space="preserve">. Dolado-Perez and colleagues 2025 examine the improvement of orbital data precision and accuracy across the SSA community, supplying the calibration baseline against which the public service data products are evaluated</w:t>
      </w:r>
      <w:r>
        <w:t xml:space="preserve"> </w:t>
      </w:r>
      <w:hyperlink w:anchor="ref-36">
        <w:r>
          <w:rPr>
            <w:rStyle w:val="Hyperlink"/>
          </w:rPr>
          <w:t xml:space="preserve">[36]</w:t>
        </w:r>
      </w:hyperlink>
      <w:r>
        <w:t xml:space="preserve">.</w:t>
      </w:r>
    </w:p>
    <w:p>
      <w:pPr>
        <w:pStyle w:val="BodyText"/>
        <w:spacing w:line="480" w:lineRule="auto"/>
        <w:ind w:firstLine="720"/>
      </w:pPr>
      <w:r>
        <w:t xml:space="preserve">The collective implication of the technical literature is that the GEO observation environment has reached the engineering threshold at which observed RPO conduct can be treated as a credible behavioral signal. The literature is detailed and rigorous on the measurement, but it does not treat the observability as a treatment variable whose increase should cause the behavior itself to shift. The closest the technical literature comes is the inferential framing in Kelecy</w:t>
      </w:r>
      <w:r>
        <w:t xml:space="preserve"> </w:t>
      </w:r>
      <w:hyperlink w:anchor="ref-1">
        <w:r>
          <w:rPr>
            <w:rStyle w:val="Hyperlink"/>
          </w:rPr>
          <w:t xml:space="preserve">[1]</w:t>
        </w:r>
      </w:hyperlink>
      <w:r>
        <w:t xml:space="preserve"> </w:t>
      </w:r>
      <w:r>
        <w:t xml:space="preserve">and the architectural framing in Aristoff</w:t>
      </w:r>
      <w:r>
        <w:t xml:space="preserve"> </w:t>
      </w:r>
      <w:hyperlink w:anchor="ref-27">
        <w:r>
          <w:rPr>
            <w:rStyle w:val="Hyperlink"/>
          </w:rPr>
          <w:t xml:space="preserve">[27]</w:t>
        </w:r>
      </w:hyperlink>
      <w:r>
        <w:t xml:space="preserve">, both of which treat observation as the input to characterization rather than as a covariate driving conduct.</w:t>
      </w:r>
    </w:p>
    <w:bookmarkEnd w:id="68"/>
    <w:bookmarkStart w:id="69" w:name="the-public-ssa-architecture-literature"/>
    <w:p>
      <w:pPr>
        <w:pStyle w:val="Heading2"/>
        <w:spacing w:line="480" w:lineRule="auto"/>
      </w:pPr>
      <w:r>
        <w:t xml:space="preserve">2.3 The Public SSA Architecture Literature</w:t>
      </w:r>
    </w:p>
    <w:p>
      <w:pPr>
        <w:pStyle w:val="FirstParagraph"/>
        <w:spacing w:line="480" w:lineRule="auto"/>
      </w:pPr>
      <w:r>
        <w:t xml:space="preserve">The architectural literature on public SSA services is small but maturing. The Borowitz and colleagues 2024 technical comparison of the public SSA services in the United States and the European Union is the load-bearing reference, documenting the catalog availability, conjunction data message latency, and longitude reach of TraCSS and EU SST against a shared technical taxonomy [3, 9]. The Borowitz comparison establishes that the two public services differ along measurable dimensions and that those dimensions have moved over the observation window, supplying the within-panel variation that the dissertation’s identification strategy requires. The dissertation’s coverage covariate is constructed directly from the Borowitz taxonomy.</w:t>
      </w:r>
    </w:p>
    <w:p>
      <w:pPr>
        <w:pStyle w:val="BodyText"/>
        <w:spacing w:line="480" w:lineRule="auto"/>
        <w:ind w:firstLine="720"/>
      </w:pPr>
      <w:r>
        <w:t xml:space="preserve">The Borowitz and colleagues 2025 follow-up on advancing concepts for global coordination on SSA extends the architectural analysis to the prospective coordination layer that would interface TraCSS, EU SST, and prospective public services in other jurisdictions [6, 11]. The 2025 paper is significant because it documents the milestone-planning record that the dissertation uses to construct the treatment vector, including the effective dates and orbital-regime envelopes of the staged public service releases over the 2020 to 2026 window. The Borowitz pair, taken together, provides the architectural literature that underwrites the treatment variable in the dissertation’s empirical chapters.</w:t>
      </w:r>
    </w:p>
    <w:p>
      <w:pPr>
        <w:pStyle w:val="BodyText"/>
        <w:spacing w:line="480" w:lineRule="auto"/>
        <w:ind w:firstLine="720"/>
      </w:pPr>
      <w:r>
        <w:t xml:space="preserve">The Smith and colleagues 2025 architecting paper on the decision support system for continuing supervision of commercial in-space servicing extends the architectural frame into the regulatory layer that sits on top of the public SSA services [8, 37]. The Smith paper documents the decision-support requirements that downstream regulators impose on the public service architecture, including the dissemination cadence and product taxonomy that the public services must support to underwrite the regulatory function. The Smith result is significant for the dissertation because it specifies the normative theory of change that the deterrence-by-detection thesis implicitly assumes: the public service exists not merely to inform but to constrain. The literature has not, however, tested whether the architecture actually delivers the constraint it is built to deliver.</w:t>
      </w:r>
    </w:p>
    <w:p>
      <w:pPr>
        <w:pStyle w:val="BodyText"/>
        <w:spacing w:line="480" w:lineRule="auto"/>
        <w:ind w:firstLine="720"/>
      </w:pPr>
      <w:r>
        <w:t xml:space="preserve">The Anilkumar and colleagues 2025 Acta Astronautica paper on Moon-to-Mars space traffic management for cislunar and cismartian environments extends the architectural envelope into the cislunar regime and provides the cross-regime substitution channel that the dissertation tests in its threats-to-validity treatment [5, 10, 31]. The Anilkumar paper is essential for the dissertation because the substitution prediction, that operators may shift conduct to less covered regimes, depends on the cislunar architecture being sufficiently underdeveloped to allow such substitution. The Anilkumar analysis confirms that the cislunar regime sits well behind GEO in the maturity of its public observation architecture.</w:t>
      </w:r>
    </w:p>
    <w:p>
      <w:pPr>
        <w:pStyle w:val="BodyText"/>
        <w:spacing w:line="480" w:lineRule="auto"/>
        <w:ind w:firstLine="720"/>
      </w:pPr>
      <w:r>
        <w:t xml:space="preserve">Across the architecture literature, the consistent finding is that the public service architecture has moved over the observation window and that the milestone record is documented in sufficient detail to support a treatment-vector construction. The literature does not, however, ask whether the architecture causes a behavioral shift among the observed operators. The architectural literature treats the service as the deliverable. The behavioral question sits one analytical step downstream.</w:t>
      </w:r>
    </w:p>
    <w:bookmarkEnd w:id="69"/>
    <w:bookmarkStart w:id="70" w:name="X07fe73e594277fc276c6392b9242153367417e1"/>
    <w:p>
      <w:pPr>
        <w:pStyle w:val="Heading2"/>
        <w:spacing w:line="480" w:lineRule="auto"/>
      </w:pPr>
      <w:r>
        <w:t xml:space="preserve">2.4 The Cliometric and Econometric Methodology Literature</w:t>
      </w:r>
    </w:p>
    <w:p>
      <w:pPr>
        <w:pStyle w:val="FirstParagraph"/>
        <w:spacing w:line="480" w:lineRule="auto"/>
      </w:pPr>
      <w:r>
        <w:t xml:space="preserve">The second body of literature the dissertation joins is the cliometric and econometric methodology tradition on identification of treatment effects with observational data. The relevant methods cluster in two families: staggered difference-in-differences (DiD) identification for panel data with asynchronous treatment, and Cox proportional-hazards survival analysis for time-to-event data with right-censoring. Both families have been developed largely outside the SDA literature and have not, to date, been brought systematically into it. The dissertation imports both.</w:t>
      </w:r>
    </w:p>
    <w:p>
      <w:pPr>
        <w:pStyle w:val="BodyText"/>
        <w:spacing w:line="480" w:lineRule="auto"/>
        <w:ind w:firstLine="720"/>
      </w:pPr>
      <w:r>
        <w:t xml:space="preserve">The staggered DiD literature has moved substantially since 2018. The standard two-way fixed-effects estimator that long served as the workhorse of panel-data treatment identification has been shown to produce biased treatment-effect estimates when treatment timing varies across units, particularly when the treatment effect varies over time. The Callaway and Sant’Anna estimator and the de Chaisemartin and D’Haultfoeuille estimator have emerged as the leading remediation strategies, each providing an aggregated treatment-effect estimate that is robust to staggered treatment timing under explicit identifying assumptions. The dissertation’s prospectus commits to both as robustness checks. The methodological tradition is mature enough to support the dissertation’s identification strategy without requiring novel econometric development; the contribution lies in the application to the GEO observation panel.</w:t>
      </w:r>
    </w:p>
    <w:p>
      <w:pPr>
        <w:pStyle w:val="BodyText"/>
        <w:spacing w:line="480" w:lineRule="auto"/>
        <w:ind w:firstLine="720"/>
      </w:pPr>
      <w:r>
        <w:t xml:space="preserve">The relevance of the staggered DiD apparatus to the dissertation is direct. The TraCSS and EU SST public service milestones rolled out asynchronously across orbital regimes and longitude bands over the 2020 to 2026 window, as documented in the Borowitz comparison</w:t>
      </w:r>
      <w:r>
        <w:t xml:space="preserve"> </w:t>
      </w:r>
      <w:hyperlink w:anchor="ref-3">
        <w:r>
          <w:rPr>
            <w:rStyle w:val="Hyperlink"/>
          </w:rPr>
          <w:t xml:space="preserve">[3]</w:t>
        </w:r>
      </w:hyperlink>
      <w:r>
        <w:t xml:space="preserve"> </w:t>
      </w:r>
      <w:r>
        <w:t xml:space="preserve">and the global coordination follow-up</w:t>
      </w:r>
      <w:r>
        <w:t xml:space="preserve"> </w:t>
      </w:r>
      <w:hyperlink w:anchor="ref-6">
        <w:r>
          <w:rPr>
            <w:rStyle w:val="Hyperlink"/>
          </w:rPr>
          <w:t xml:space="preserve">[6]</w:t>
        </w:r>
      </w:hyperlink>
      <w:r>
        <w:t xml:space="preserve">. The treatment is therefore staggered by design, and any analysis that aggregates the treatment effect across bands and quarters must address the staggered-treatment bias that the methodological literature has identified. The dissertation’s identification strategy explicitly invokes the Callaway-Sant’Anna and de Chaisemartin-D’Haultfoeuille remediations, treating the public service architecture milestones as the treatment shock and the observed RPO event record as the outcome.</w:t>
      </w:r>
    </w:p>
    <w:p>
      <w:pPr>
        <w:pStyle w:val="BodyText"/>
        <w:spacing w:line="480" w:lineRule="auto"/>
        <w:ind w:firstLine="720"/>
      </w:pPr>
      <w:r>
        <w:t xml:space="preserve">The second methodological family the dissertation imports is the Cox proportional-hazards survival framework. The Cox framework is the appropriate apparatus for the dissertation’s time-to-attribution analysis, which is taken up in detail in the second research paper of the dissertation portfolio. The Cox model estimates the hazard of an event as a function of covariates without requiring the analyst to specify the baseline hazard parametrically, which is the right posture for an analysis in which the underlying observation cadence is itself evolving across the observation window. The Cox apparatus is mature in the biostatistical and economic literatures, and its importation into the SDA observation regime is straightforward at the methodological level. The dissertation’s second paper documents the importation in detail, with explicit treatment of the proportional-hazards assumption and the right-censoring of satellites that have not yet been publicly attributed at the observation cutoff.</w:t>
      </w:r>
    </w:p>
    <w:p>
      <w:pPr>
        <w:pStyle w:val="BodyText"/>
        <w:spacing w:line="480" w:lineRule="auto"/>
        <w:ind w:firstLine="720"/>
      </w:pPr>
      <w:r>
        <w:t xml:space="preserve">The methodological literature on Cox identification has, in parallel with the DiD literature, addressed the reflexivity hazard that the dissertation must address. The hazard is that the observation record itself is endogenous to the maturation of the public SSA architecture: a satellite launched in 2012 may have conducted RPO that was never publicly attributed because the sensor network of that era could not characterize it, while a satellite launched in 2023 conducts RPO in an observation regime that is qualitatively different. The methodological literature treats this hazard through covariate inclusion and through sensitivity analysis on the right-censored tail, both of which the dissertation adopts. The covariates that absorb the reflexivity, including operator nationality, declared mission, and orbital regime, are imported directly from the deterrence and SDA literatures, and the right-censoring posture is standard.</w:t>
      </w:r>
    </w:p>
    <w:p>
      <w:pPr>
        <w:pStyle w:val="BodyText"/>
        <w:spacing w:line="480" w:lineRule="auto"/>
        <w:ind w:firstLine="720"/>
      </w:pPr>
      <w:r>
        <w:t xml:space="preserve">Neither the staggered DiD literature nor the Cox literature has, to the candidate’s knowledge, been applied to the orbital observation regime. The methodological apparatus exists, the data exist, and the architectural treatment exists, but the joint application has not been performed in the published record. The dissertation occupies that joint.</w:t>
      </w:r>
    </w:p>
    <w:bookmarkEnd w:id="70"/>
    <w:bookmarkStart w:id="71" w:name="X2f66ad8499fd318fc8a628b8900f7a715d81348"/>
    <w:p>
      <w:pPr>
        <w:pStyle w:val="Heading2"/>
        <w:spacing w:line="480" w:lineRule="auto"/>
      </w:pPr>
      <w:r>
        <w:t xml:space="preserve">2.5 The Strategic Deterrence Literature on Space Transparency</w:t>
      </w:r>
    </w:p>
    <w:p>
      <w:pPr>
        <w:pStyle w:val="FirstParagraph"/>
        <w:spacing w:line="480" w:lineRule="auto"/>
      </w:pPr>
      <w:r>
        <w:t xml:space="preserve">A small but growing strategic literature has framed transparency and detection as instruments of restraint in the space domain. Chronopoulos’s 2025 preliminary examination of general deterrence in space during peacetime is the most direct entry in this literature, examining the role of strategic narratives and United States and China dynamics in the construction of peacetime general deterrence in the space domain</w:t>
      </w:r>
      <w:r>
        <w:t xml:space="preserve"> </w:t>
      </w:r>
      <w:hyperlink w:anchor="ref-32">
        <w:r>
          <w:rPr>
            <w:rStyle w:val="Hyperlink"/>
          </w:rPr>
          <w:t xml:space="preserve">[32]</w:t>
        </w:r>
      </w:hyperlink>
      <w:r>
        <w:t xml:space="preserve">. The Chronopoulos analysis is significant for the dissertation because it provides the explicit theoretical framing of the deterrence-by-detection thesis in the policy register, supplying the rhetorical apparatus that the empirical chapters of the dissertation aim to test in a falsifiable form. Chronopoulos does not, however, conduct the empirical test; the analysis is framed at the narrative and strategic level.</w:t>
      </w:r>
    </w:p>
    <w:p>
      <w:pPr>
        <w:pStyle w:val="BodyText"/>
        <w:spacing w:line="480" w:lineRule="auto"/>
        <w:ind w:firstLine="720"/>
      </w:pPr>
      <w:r>
        <w:t xml:space="preserve">The Weeden and Samson Global Counterspace Capabilities reports for 2020 and 2024 supply the open-source assessment baseline that the deterrence literature has treated as the load-bearing reference for the observable behavior record</w:t>
      </w:r>
      <w:r>
        <w:t xml:space="preserve"> </w:t>
      </w:r>
      <w:hyperlink w:anchor="ref-13">
        <w:r>
          <w:rPr>
            <w:rStyle w:val="Hyperlink"/>
          </w:rPr>
          <w:t xml:space="preserve">[13]</w:t>
        </w:r>
      </w:hyperlink>
      <w:r>
        <w:t xml:space="preserve">. The Secure World Foundation reports document attributed counterspace activity by capability and by actor, supplying the input record that the deterrence-by-detection thesis treats as the observed effect of the public attribution apparatus. The Center for Strategic and International Studies Space Threat Assessment series provides the complementary open-source baseline, documenting attributed threat behavior by actor and by year</w:t>
      </w:r>
      <w:r>
        <w:t xml:space="preserve"> </w:t>
      </w:r>
      <w:hyperlink w:anchor="ref-14">
        <w:r>
          <w:rPr>
            <w:rStyle w:val="Hyperlink"/>
          </w:rPr>
          <w:t xml:space="preserve">[14]</w:t>
        </w:r>
      </w:hyperlink>
      <w:r>
        <w:t xml:space="preserve">. Both series serve as the open-source attribution record that the dissertation’s second paper uses to construct the time-to-attribution variable.</w:t>
      </w:r>
    </w:p>
    <w:p>
      <w:pPr>
        <w:pStyle w:val="BodyText"/>
        <w:spacing w:line="480" w:lineRule="auto"/>
        <w:ind w:firstLine="720"/>
      </w:pPr>
      <w:r>
        <w:t xml:space="preserve">The Weeden GSSAP fact sheet from 2020 is the canonical open-source description of the Geosynchronous Space Situational Awareness Program, supplying the architectural baseline against which the public SSA service architecture is positioned</w:t>
      </w:r>
      <w:r>
        <w:t xml:space="preserve"> </w:t>
      </w:r>
      <w:hyperlink w:anchor="ref-16">
        <w:r>
          <w:rPr>
            <w:rStyle w:val="Hyperlink"/>
          </w:rPr>
          <w:t xml:space="preserve">[16]</w:t>
        </w:r>
      </w:hyperlink>
      <w:r>
        <w:t xml:space="preserve">. The Hendrickx 2024 analysis of the Russian Olymp-K-2 launch in The Space Review supplies the operator-specific narrative that the time-to-attribution variable instantiates</w:t>
      </w:r>
      <w:r>
        <w:t xml:space="preserve"> </w:t>
      </w:r>
      <w:hyperlink w:anchor="ref-21">
        <w:r>
          <w:rPr>
            <w:rStyle w:val="Hyperlink"/>
          </w:rPr>
          <w:t xml:space="preserve">[21]</w:t>
        </w:r>
      </w:hyperlink>
      <w:r>
        <w:t xml:space="preserve">. The Pasztor 2015 Wall Street Journal account of Russian satellite maneuvers against Intelsat and the Erwin 2022 SpaceNews account of the Chinese satellite observed grappling defunct Beidou supply the foundational open-source attribution events that anchor the era effect identified in the dissertation’s second paper [17, 18]. The Northrop Grumman SpaceLogistics 2020 MEV-1 press release supplies the cooperative-servicing analog that distinguishes attributed inspection from attributed contact</w:t>
      </w:r>
      <w:r>
        <w:t xml:space="preserve"> </w:t>
      </w:r>
      <w:hyperlink w:anchor="ref-19">
        <w:r>
          <w:rPr>
            <w:rStyle w:val="Hyperlink"/>
          </w:rPr>
          <w:t xml:space="preserve">[19]</w:t>
        </w:r>
      </w:hyperlink>
      <w:r>
        <w:t xml:space="preserve">.</w:t>
      </w:r>
    </w:p>
    <w:p>
      <w:pPr>
        <w:pStyle w:val="BodyText"/>
        <w:spacing w:line="480" w:lineRule="auto"/>
        <w:ind w:firstLine="720"/>
      </w:pPr>
      <w:r>
        <w:t xml:space="preserve">The strategic deterrence literature has, in summary, framed the deterrence-by-detection thesis explicitly and has supplied the open-source attribution record that anchors the dependent variable in the dissertation’s empirical chapters. The literature has not, however, conducted the joint empirical test that brings the architectural treatment record into contact with the behavioral outcome record. The strategic-narrative analysis in Chronopoulos</w:t>
      </w:r>
      <w:r>
        <w:t xml:space="preserve"> </w:t>
      </w:r>
      <w:hyperlink w:anchor="ref-32">
        <w:r>
          <w:rPr>
            <w:rStyle w:val="Hyperlink"/>
          </w:rPr>
          <w:t xml:space="preserve">[32]</w:t>
        </w:r>
      </w:hyperlink>
      <w:r>
        <w:t xml:space="preserve"> </w:t>
      </w:r>
      <w:r>
        <w:t xml:space="preserve">provides the closest published precursor to the dissertation’s empirical project, and even there the analysis remains in the rhetorical and narrative register.</w:t>
      </w:r>
    </w:p>
    <w:bookmarkEnd w:id="71"/>
    <w:bookmarkStart w:id="72" w:name="synthesis-and-the-gap"/>
    <w:p>
      <w:pPr>
        <w:pStyle w:val="Heading2"/>
        <w:spacing w:line="480" w:lineRule="auto"/>
      </w:pPr>
      <w:r>
        <w:t xml:space="preserve">2.6 Synthesis and the Gap</w:t>
      </w:r>
    </w:p>
    <w:p>
      <w:pPr>
        <w:pStyle w:val="FirstParagraph"/>
        <w:spacing w:line="480" w:lineRule="auto"/>
      </w:pPr>
      <w:r>
        <w:t xml:space="preserve">The two literatures reviewed in this chapter are mature, are productive, and do not speak to each other. The SDA technical literature has built a sophisticated apparatus for measuring RPO conduct and for characterizing inspector intent from the kinematic and photometric record [1, 2, 4, 7, 22, 23, 25, 26, 27, 28, 34, 35]. The public SSA architecture literature has documented the staged maturation of TraCSS and EU SST public services over the 2020 to 2026 window with sufficient detail to support a treatment-vector construction [3, 6, 8, 9, 11, 37]. The cliometric and econometric methodology literature has produced staggered DiD identification strategies and Cox proportional-hazards survival inference that are mature, well documented, and routinely applied to policy-treatment settings in observational data. The strategic deterrence literature has framed the deterrence-by-detection thesis explicitly and has supplied the open-source attribution record [13, 14, 16, 17, 18, 19, 21, 32].</w:t>
      </w:r>
    </w:p>
    <w:p>
      <w:pPr>
        <w:pStyle w:val="BodyText"/>
        <w:spacing w:line="480" w:lineRule="auto"/>
        <w:ind w:firstLine="720"/>
      </w:pPr>
      <w:r>
        <w:t xml:space="preserve">What none of the four literatures has done is to bring all four into the same analytical frame. The published record contains no quantitative test of whether public SSA coverage milestones cause statistically detectable shifts in observed RPO conduct, conditioned on observer footprint and operator attribution exposure, using the staggered DiD apparatus on a band-quarter panel constructed from the public observation record. The published record contains no quantitative test of whether the era of public SSA maturation has compressed the time-to-attribution of inspector satellites, conditioned on operator nationality, declared mission, and orbital regime, using the Cox apparatus on a satellite-event panel constructed from the open-source attribution record. The dissertation conducts both tests, the first in the panel chapter that extends the band-quarter analysis of the candidate’s first research paper, and the second in the survival chapter that extends the time-to-attribution analysis of the candidate’s second research paper.</w:t>
      </w:r>
    </w:p>
    <w:p>
      <w:pPr>
        <w:pStyle w:val="BodyText"/>
        <w:spacing w:line="480" w:lineRule="auto"/>
        <w:ind w:firstLine="720"/>
      </w:pPr>
      <w:r>
        <w:t xml:space="preserve">Two further analytical resources widen the gap-naming. The Reid and Wood 2025 application of the Environment-Vulnerability-Decision-Technology systems engineering framework, while developed in the mangrove management context, provides the cross-domain methodological exemplar for the use of systems-engineering analytical scaffolds to structure environmental observation and intervention analysis</w:t>
      </w:r>
      <w:r>
        <w:t xml:space="preserve"> </w:t>
      </w:r>
      <w:hyperlink w:anchor="ref-33">
        <w:r>
          <w:rPr>
            <w:rStyle w:val="Hyperlink"/>
          </w:rPr>
          <w:t xml:space="preserve">[33]</w:t>
        </w:r>
      </w:hyperlink>
      <w:r>
        <w:t xml:space="preserve">. The exemplar is methodologically significant for the dissertation because it demonstrates that the systems-engineering register can sustain empirical inference of the kind the dissertation pursues, supplying the disciplinary precedent for the joint analytical posture the dissertation adopts. The Hayden and colleagues Sandia 2020 paper on artificial intelligence and autonomy in space connects the autonomy and escalation-control literature to the observation cadence question, supplying the doctrinal frame within which the deterrence-by-detection thesis must operate</w:t>
      </w:r>
      <w:r>
        <w:t xml:space="preserve"> </w:t>
      </w:r>
      <w:hyperlink w:anchor="ref-24">
        <w:r>
          <w:rPr>
            <w:rStyle w:val="Hyperlink"/>
          </w:rPr>
          <w:t xml:space="preserve">[24]</w:t>
        </w:r>
      </w:hyperlink>
      <w:r>
        <w:t xml:space="preserve">.</w:t>
      </w:r>
    </w:p>
    <w:p>
      <w:pPr>
        <w:pStyle w:val="BodyText"/>
        <w:spacing w:line="480" w:lineRule="auto"/>
        <w:ind w:firstLine="720"/>
      </w:pPr>
      <w:r>
        <w:t xml:space="preserve">The gap the dissertation occupies is therefore the joint of four mature but separated literatures. The SDA technical literature supplies the dependent variable measurement, the public SSA architecture literature supplies the treatment vector, the cliometric methodology literature supplies the identification strategy, and the strategic deterrence literature supplies the theoretical motivation. None of the four, alone, can support the falsifiable test the dissertation conducts. All four, jointly, can. The contribution of the dissertation is to construct the joint specification, to populate it with the public observation record over the 2020 to 2026 window, and to report the result with the candor that a falsifiable test demands. The empirical chapters that follow execute this construction.</w:t>
      </w:r>
    </w:p>
    <w:p>
      <w:pPr>
        <w:pStyle w:val="BodyText"/>
        <w:spacing w:line="480" w:lineRule="auto"/>
        <w:ind w:firstLine="720"/>
      </w:pPr>
      <w:r>
        <w:t xml:space="preserve">The closing observation of this chapter concerns the asymmetry of the deterrence claim as it has been treated in the literature. Existing work in the SDA technical tradition characterizes intent from RPO behavior [1, 4] and treats observability as an input to characterization. The public SSA architecture literature treats observability as a deliverable [3, 6]. The strategic literature treats observability as an instrument of restraint</w:t>
      </w:r>
      <w:r>
        <w:t xml:space="preserve"> </w:t>
      </w:r>
      <w:hyperlink w:anchor="ref-32">
        <w:r>
          <w:rPr>
            <w:rStyle w:val="Hyperlink"/>
          </w:rPr>
          <w:t xml:space="preserve">[32]</w:t>
        </w:r>
      </w:hyperlink>
      <w:r>
        <w:t xml:space="preserve">. None of the retrieved work treats observability as a treatment variable whose increase should cause the behavior itself to shift. Reframing observability as cause rather than instrument is the analytical move the dissertation makes, and the methodological apparatus to make it is the joint of the staggered DiD and Cox survival traditions imported from the cliometric and econometric methodology literature. The remainder of the dissertation executes this reframing and reports the result.</w:t>
      </w:r>
    </w:p>
    <w:bookmarkEnd w:id="72"/>
    <w:bookmarkEnd w:id="73"/>
    <w:bookmarkStart w:id="80" w:name="Xcfcc00a3ded59aed0c781c16bfc121f2a509603"/>
    <w:p>
      <w:pPr>
        <w:pStyle w:val="Heading1"/>
        <w:spacing w:line="480" w:lineRule="auto"/>
      </w:pPr>
      <w:r>
        <w:t xml:space="preserve">Chapter 3. Theoretical Framework and Hypotheses</w:t>
      </w:r>
    </w:p>
    <w:bookmarkStart w:id="74" w:name="orientation"/>
    <w:p>
      <w:pPr>
        <w:pStyle w:val="Heading2"/>
        <w:spacing w:line="480" w:lineRule="auto"/>
      </w:pPr>
      <w:r>
        <w:t xml:space="preserve">3.1 Orientation</w:t>
      </w:r>
    </w:p>
    <w:p>
      <w:pPr>
        <w:pStyle w:val="FirstParagraph"/>
        <w:spacing w:line="480" w:lineRule="auto"/>
      </w:pPr>
      <w:r>
        <w:t xml:space="preserve">The literature review in Chapter 2 demonstrated that four bodies of work converge on the deterrence by detection thesis without joining it analytically. The technical literature on rendezvous and proximity operations (RPO) characterization measures conduct [1, 2, 4, 7]. The architectural literature on the Traffic Coordination System for Space (TraCSS) and the European Union Space Surveillance and Tracking (EU SST) consortium measures service delivery [3, 6]. The strategic literature on space deterrence treats observability as a normative instrument [13, 14, 32]. The cliometric methodology literature supplies the apparatus by which a treatment effect can be identified in observational panels. The dissertation occupies the joint of these four literatures, and the task of the present chapter is to specify the theoretical mechanism that makes the joint test coherent, to lay out the causal logic with sufficient precision that the empirical chapters can be written against it, and to render the central proposition into a falsifiable pair of hypotheses, H0 and H1.</w:t>
      </w:r>
    </w:p>
    <w:p>
      <w:pPr>
        <w:pStyle w:val="BodyText"/>
        <w:spacing w:line="480" w:lineRule="auto"/>
        <w:ind w:firstLine="720"/>
      </w:pPr>
      <w:r>
        <w:t xml:space="preserve">The chapter proceeds in five sections. Section 3.2 specifies the behavioral model that underwrites the deterrence by detection thesis at the level of an individual on-orbit operator decision. Section 3.3 traces the causal logic from the architectural treatment of public space situational awareness (SSA) coverage expansion through the operator’s revised expected cost of conduct to the observable shift in the rate, closeness, and duration of RPO at the geosynchronous belt. Section 3.4 derives the formal hypotheses, H0 and H1, as the dissertation will test them, and specifies the operational outcome variables on which the test is conducted. Section 3.5 anticipates the rival mechanisms that could produce the same observable pattern and identifies which of them are addressed by the identification strategy of Chapter 4 and which constitute residual interpretive caveats on the result. Section 3.6 closes with a brief statement of the relationship between the present chapter and the empirical chapters that follow, including the bridge to the two-paper portfolio summarized as the operational pilots of the dissertation’s identification strategy.</w:t>
      </w:r>
    </w:p>
    <w:bookmarkEnd w:id="74"/>
    <w:bookmarkStart w:id="75" w:name="Xf0e72f5cf868c7e60d0f6b502fd197110aa5a7b"/>
    <w:p>
      <w:pPr>
        <w:pStyle w:val="Heading2"/>
        <w:spacing w:line="480" w:lineRule="auto"/>
      </w:pPr>
      <w:r>
        <w:t xml:space="preserve">3.2 The Behavioral Model: Observability as a Constraint on Conduct</w:t>
      </w:r>
    </w:p>
    <w:p>
      <w:pPr>
        <w:pStyle w:val="FirstParagraph"/>
        <w:spacing w:line="480" w:lineRule="auto"/>
      </w:pPr>
      <w:r>
        <w:t xml:space="preserve">As advanced in the policy register, the deterrence by detection thesis asserts a behavioral claim. Its content is that an operator considering an RPO at a given orbital location performs a calculation that depends on the probability of being seen, the probability of being attributed conditional on being seen, and the cost of being attributed</w:t>
      </w:r>
      <w:r>
        <w:t xml:space="preserve"> </w:t>
      </w:r>
      <w:hyperlink w:anchor="ref-32">
        <w:r>
          <w:rPr>
            <w:rStyle w:val="Hyperlink"/>
          </w:rPr>
          <w:t xml:space="preserve">[32]</w:t>
        </w:r>
      </w:hyperlink>
      <w:r>
        <w:t xml:space="preserve">. If the joint probability is low and the cost is bounded, the calculation favors conduct. If the joint probability is high and the cost is non-trivial, the calculation favors restraint, rescheduling, reduction in closeness, or substitution to a less observed regime</w:t>
      </w:r>
      <w:r>
        <w:t xml:space="preserve"> </w:t>
      </w:r>
      <w:hyperlink w:anchor="ref-5">
        <w:r>
          <w:rPr>
            <w:rStyle w:val="Hyperlink"/>
          </w:rPr>
          <w:t xml:space="preserve">[5]</w:t>
        </w:r>
      </w:hyperlink>
      <w:r>
        <w:t xml:space="preserve">. The thesis assumes that the operator is sufficiently strategic to incorporate the joint probability into the calculation and that the joint probability is sufficiently observable to the operator to be incorporated. Both assumptions are non-trivial, and the chapter takes each up in turn.</w:t>
      </w:r>
    </w:p>
    <w:p>
      <w:pPr>
        <w:pStyle w:val="BodyText"/>
        <w:spacing w:line="480" w:lineRule="auto"/>
        <w:ind w:firstLine="720"/>
      </w:pPr>
      <w:r>
        <w:t xml:space="preserve">The first assumption is that the operator is strategic. The technical literature on RPO characterization treats the observed kinematic and photometric record as the input to an inferential exercise from which intent is recovered [1, 4]. The Kelecy and colleagues framing is explicit that real-time RPO behavior is interpretable in intent terms, which carries the implicit corollary that the operator who generates the behavior is aware that the behavior is interpretable in intent terms</w:t>
      </w:r>
      <w:r>
        <w:t xml:space="preserve"> </w:t>
      </w:r>
      <w:hyperlink w:anchor="ref-1">
        <w:r>
          <w:rPr>
            <w:rStyle w:val="Hyperlink"/>
          </w:rPr>
          <w:t xml:space="preserve">[1]</w:t>
        </w:r>
      </w:hyperlink>
      <w:r>
        <w:t xml:space="preserve">. The Serrano and colleagues 2024 characterization of the joint use of space surveillance and tracking (SST) and space domain awareness (SDA) techniques reinforces the symmetry: if the analyst can recover intent from the joint kinematic and photometric record, then the operator can anticipate that recovery and shape conduct accordingly</w:t>
      </w:r>
      <w:r>
        <w:t xml:space="preserve"> </w:t>
      </w:r>
      <w:hyperlink w:anchor="ref-7">
        <w:r>
          <w:rPr>
            <w:rStyle w:val="Hyperlink"/>
          </w:rPr>
          <w:t xml:space="preserve">[7]</w:t>
        </w:r>
      </w:hyperlink>
      <w:r>
        <w:t xml:space="preserve">. The strategic operator assumption is therefore not a heroic one within the SDA technical literature; it is the implicit operational counterpart to the analyst’s inferential posture.</w:t>
      </w:r>
    </w:p>
    <w:p>
      <w:pPr>
        <w:pStyle w:val="BodyText"/>
        <w:spacing w:line="480" w:lineRule="auto"/>
        <w:ind w:firstLine="720"/>
      </w:pPr>
      <w:r>
        <w:t xml:space="preserve">The second assumption is that the joint probability of being seen and attributed is observable to the operator. The architectural literature on the public SSA services supplies the basis for this assumption. The Borowitz and colleagues 2024 technical comparison documents that TraCSS and EU SST publish their coverage envelopes, their catalog availability, their conjunction data message latency, and their longitude reach in sufficient detail that the joint probability of detection can be inferred by an operator with access to the published service documentation</w:t>
      </w:r>
      <w:r>
        <w:t xml:space="preserve"> </w:t>
      </w:r>
      <w:hyperlink w:anchor="ref-3">
        <w:r>
          <w:rPr>
            <w:rStyle w:val="Hyperlink"/>
          </w:rPr>
          <w:t xml:space="preserve">[3]</w:t>
        </w:r>
      </w:hyperlink>
      <w:r>
        <w:t xml:space="preserve">. The 2025 follow-up on global coordination on SSA extends the documentation to the cross-jurisdictional coordination layer, supplying the operator with the cumulative observability picture across the public service architecture</w:t>
      </w:r>
      <w:r>
        <w:t xml:space="preserve"> </w:t>
      </w:r>
      <w:hyperlink w:anchor="ref-6">
        <w:r>
          <w:rPr>
            <w:rStyle w:val="Hyperlink"/>
          </w:rPr>
          <w:t xml:space="preserve">[6]</w:t>
        </w:r>
      </w:hyperlink>
      <w:r>
        <w:t xml:space="preserve">. The operator who reads the published service documentation can construct, to a defensible approximation, the joint detection probability for an RPO at a given orbital location and a given quarter. The observability of the observability is therefore underwritten by the architectural literature itself.</w:t>
      </w:r>
    </w:p>
    <w:p>
      <w:pPr>
        <w:pStyle w:val="BodyText"/>
        <w:spacing w:line="480" w:lineRule="auto"/>
        <w:ind w:firstLine="720"/>
      </w:pPr>
      <w:r>
        <w:t xml:space="preserve">Given the two assumptions, the behavioral model can be stated compactly. Let the operator’s expected utility of conducting an RPO at orbital location L at quarter Q be the gross strategic value of the conduct, less the expected attribution cost, where the expected attribution cost is the product of the probability of being seen, the conditional probability of being attributed, and the cost of attribution conditional on it occurring. The deterrence by detection thesis posits that the public SSA architecture, through TraCSS and EU SST, has moved the first two terms of the expected attribution cost over the 2020 to 2026 window. The architectural literature documents that movement [3, 6]. The behavioral model predicts that, for any operator whose strategic-value differential is not infinite, the increase in expected attribution cost will produce one of three observable responses: a reduction in the rate of RPO conduct at the treated location, a reduction in the closeness of conduct that is undertaken, or a reduction in the duration of conduct that is undertaken. The three response margins are the three outcome variables on which the empirical test of the dissertation is constructed.</w:t>
      </w:r>
    </w:p>
    <w:p>
      <w:pPr>
        <w:pStyle w:val="BodyText"/>
        <w:spacing w:line="480" w:lineRule="auto"/>
        <w:ind w:firstLine="720"/>
      </w:pPr>
      <w:r>
        <w:t xml:space="preserve">The behavioral model does not require that every operator respond. It requires only that some operators respond on some margin, and that the aggregated response across the population of operators at the treated locations be statistically detectable in the observation record. The aggregation posture is what licenses the use of panel data methods on band-quarter observations rather than a satellite-level decision-theoretic analysis. The dissertation’s second research paper exercises the satellite-level posture in the time-to-attribution analysis as a complementary test [p2 prose]. The two postures are mutually supporting: the band-quarter panel speaks to the aggregate behavioral response, and the satellite-event survival analysis speaks to the individual attribution latency that underwrites the aggregate.</w:t>
      </w:r>
    </w:p>
    <w:p>
      <w:pPr>
        <w:pStyle w:val="BodyText"/>
        <w:spacing w:line="480" w:lineRule="auto"/>
        <w:ind w:firstLine="720"/>
      </w:pPr>
      <w:r>
        <w:t xml:space="preserve">A further refinement to the behavioral model concerns the heterogeneity of operators. The Kelecy framing of intent inference, and the Serrano framing of joint SST and SDA characterization, both apply to operators whose conduct produces an observable signal at the public observation cadence [1, 7]. Operators whose conduct does not generate observable RPO signatures, including operators with no RPO conduct in the panel, are mechanically outside the scope of the behavioral model. Operators whose conduct generates signals but who have not been publicly attributed in the prior record have a different posture toward the deterrence mechanism than operators with a prior public attribution event. The first research paper of the dissertation portfolio addresses this heterogeneity through an operator attribution exposure indicator that flags band-quarters hosting at least one operator with prior public attribution [p1 prose]. The behavioral model predicts that the deterrence response should concentrate among attribution-exposed operators, who have the strongest prior on the cost term in the expected utility calculation.</w:t>
      </w:r>
    </w:p>
    <w:bookmarkEnd w:id="75"/>
    <w:bookmarkStart w:id="76" w:name="X84ce23e69e28ee88f561aefc15438f469fb49d8"/>
    <w:p>
      <w:pPr>
        <w:pStyle w:val="Heading2"/>
        <w:spacing w:line="480" w:lineRule="auto"/>
      </w:pPr>
      <w:r>
        <w:t xml:space="preserve">3.3 The Causal Logic: From Architectural Treatment to Observable Conduct</w:t>
      </w:r>
    </w:p>
    <w:p>
      <w:pPr>
        <w:pStyle w:val="FirstParagraph"/>
        <w:spacing w:line="480" w:lineRule="auto"/>
      </w:pPr>
      <w:r>
        <w:t xml:space="preserve">The causal logic that links the architectural treatment to the observable outcome runs through four steps. The first step is the architectural treatment itself: TraCSS and EU SST publish a coverage milestone at a given orbital regime and a given effective date [3, 6]. The milestone is the treatment shock that the dissertation’s identification strategy exploits. The second step is the operator’s perception of the milestone. The architectural literature documents that the milestones are published with sufficient specificity that an operator with access to the public service documentation can update the joint detection probability for the treated orbital location [3, 6]. The third step is the revision of the operator’s expected attribution cost. The behavioral model of Section 3.2 specifies that the revision is a function of the change in the joint detection probability, the change in the conditional attribution probability, and the operator’s prior on the cost of attribution conditional on it occurring. The fourth step is the operator’s response on one or more of the three observable margins: rate of RPO conduct, closeness of RPO conduct, or duration of RPO conduct.</w:t>
      </w:r>
    </w:p>
    <w:p>
      <w:pPr>
        <w:pStyle w:val="BodyText"/>
        <w:spacing w:line="480" w:lineRule="auto"/>
        <w:ind w:firstLine="720"/>
      </w:pPr>
      <w:r>
        <w:t xml:space="preserve">Each of the four steps in the causal logic is supported in the published literature. The architectural treatment is documented in the Borowitz pair [3, 6]. The operator’s perception of the treatment is licensed by the published nature of the service documentation. The revision of the expected attribution cost follows from the strategic operator assumption that the SDA technical literature implicitly carries [1, 7]. The observable response on the three margins is the dependent variable construction of the first research paper of the dissertation portfolio, drawn from the ExoAnalytic and Falcon Telescope Network public event record and the residual-collapse contact analysis at GEO [2, 4]. The four steps therefore form a closed causal chain that the dissertation’s empirical chapters can populate with data.</w:t>
      </w:r>
    </w:p>
    <w:p>
      <w:pPr>
        <w:pStyle w:val="BodyText"/>
        <w:spacing w:line="480" w:lineRule="auto"/>
        <w:ind w:firstLine="720"/>
      </w:pPr>
      <w:r>
        <w:t xml:space="preserve">Two features of the causal logic deserve explicit comment. The first is the directionality of the predicted effect. The deterrence by detection thesis predicts a reduction in observable RPO conduct conditional on a treatment milestone, not an increase. The directionality is essential to the falsifiability of the hypothesis. An empirical result that returned an increase in observable RPO conduct conditional on a treatment milestone would be consistent with the mechanical observation bias that the architectural literature anticipates and that the identification strategy is designed to neutralize through the inclusion of an observer footprint covariate [p1 prose]. A reduction is the directional sign that the deterrence by detection thesis requires.</w:t>
      </w:r>
    </w:p>
    <w:p>
      <w:pPr>
        <w:pStyle w:val="BodyText"/>
        <w:spacing w:line="480" w:lineRule="auto"/>
        <w:ind w:firstLine="720"/>
      </w:pPr>
      <w:r>
        <w:t xml:space="preserve">The second feature is the timing of the predicted effect. The behavioral model in Section 3.2 specifies that the operator’s revision of the expected attribution cost depends on the operator’s perception of the milestone. The perception is not instantaneous. The architectural literature documents that the published service documentation circulates through a finite community of analysts and operators before the milestone is fully reflected in the joint detection probability that the operator constructs [3, 6]. The dissertation’s identification strategy in Chapter 4 will treat this through a lagged treatment variable and through the placebo lead test, but the present chapter records the substantive point: the causal logic predicts a measurable but lagged effect, not an instantaneous one. The Cox proportional-hazards analysis in the second research paper of the portfolio bears on the same point, in that the era effect identified across the 2015 transition in public SSA capability is the cumulative manifestation of the lagged operator response across an extended window [p2 prose].</w:t>
      </w:r>
    </w:p>
    <w:p>
      <w:pPr>
        <w:pStyle w:val="BodyText"/>
        <w:spacing w:line="480" w:lineRule="auto"/>
        <w:ind w:firstLine="720"/>
      </w:pPr>
      <w:r>
        <w:t xml:space="preserve">A third causal channel that the literature acknowledges and that the dissertation must address is the substitution channel. The Anilkumar and colleagues 2025 cislunar space traffic management framework documents that the cislunar regime sits well behind GEO in the maturity of its public observation architecture</w:t>
      </w:r>
      <w:r>
        <w:t xml:space="preserve"> </w:t>
      </w:r>
      <w:hyperlink w:anchor="ref-5">
        <w:r>
          <w:rPr>
            <w:rStyle w:val="Hyperlink"/>
          </w:rPr>
          <w:t xml:space="preserve">[5]</w:t>
        </w:r>
      </w:hyperlink>
      <w:r>
        <w:t xml:space="preserve">. The substitution prediction follows: an operator deterred from RPO conduct at GEO may relocate conduct to a less observed regime, including LEO or cislunar locations. The substitution channel does not invalidate the causal logic for the GEO test, but it does require that the empirical chapters report the cross-regime substitution as a secondary finding and that the interpretive register of the GEO result be conditioned on the cross-regime evidence. The prospectus identifies this through the parallel-panel posture and through the falsification test that substitutes a sham regime where no public SSA upgrade has been announced [prospectus].</w:t>
      </w:r>
    </w:p>
    <w:bookmarkEnd w:id="76"/>
    <w:bookmarkStart w:id="77" w:name="formal-hypotheses-h0-and-h1"/>
    <w:p>
      <w:pPr>
        <w:pStyle w:val="Heading2"/>
        <w:spacing w:line="480" w:lineRule="auto"/>
      </w:pPr>
      <w:r>
        <w:t xml:space="preserve">3.4 Formal Hypotheses: H0 and H1</w:t>
      </w:r>
    </w:p>
    <w:p>
      <w:pPr>
        <w:pStyle w:val="FirstParagraph"/>
        <w:spacing w:line="480" w:lineRule="auto"/>
      </w:pPr>
      <w:r>
        <w:t xml:space="preserve">The behavioral model of Section 3.2 and the causal logic of Section 3.3 collectively underwrite the formal hypotheses that the dissertation tests. The hypotheses are stated at the level of the band-quarter panel, where the unit of observation is a geosynchronous longitude band in a given quarter and the treatment is the indicator of a TraCSS or EU SST public SSA coverage expansion milestone effective in or before that band-quarter. The outcome is a vector of three observable margins: the quarterly rate of RPO events, the minimum approach range across observed events, and the dwell duration of observed events, each drawn from the ExoAnalytic and Falcon Telescope Network public event record and from the residual-collapse contact analysis at GEO [2, 4].</w:t>
      </w:r>
    </w:p>
    <w:p>
      <w:pPr>
        <w:pStyle w:val="BodyText"/>
        <w:spacing w:line="480" w:lineRule="auto"/>
        <w:ind w:firstLine="720"/>
      </w:pPr>
      <w:r>
        <w:rPr>
          <w:b/>
          <w:bCs/>
        </w:rPr>
        <w:t xml:space="preserve">H0 (null hypothesis).</w:t>
      </w:r>
      <w:r>
        <w:t xml:space="preserve"> </w:t>
      </w:r>
      <w:r>
        <w:t xml:space="preserve">Public SSA coverage expansion milestones at TraCSS and EU SST are not associated with a statistically detectable change in the rate, the minimum approach range, or the dwell duration of observed RPO conduct at the geosynchronous belt, conditional on the independent observer footprint, the operator attribution exposure indicator, and the two-way fixed effects on band and quarter. Formally, the slope on the public SSA coverage covariate in the staggered difference-in-differences specification is statistically indistinguishable from zero across all three outcome variables, and no robustness check among the Callaway and Sant’Anna and de Chaisemartin and D’Haultfoeuille aggregated treatment effect estimators recovers a statistically significant negative coefficient consistent with the deterrence prediction.</w:t>
      </w:r>
    </w:p>
    <w:p>
      <w:pPr>
        <w:pStyle w:val="BodyText"/>
        <w:spacing w:line="480" w:lineRule="auto"/>
        <w:ind w:firstLine="720"/>
      </w:pPr>
      <w:r>
        <w:rPr>
          <w:b/>
          <w:bCs/>
        </w:rPr>
        <w:t xml:space="preserve">H1 (alternative hypothesis).</w:t>
      </w:r>
      <w:r>
        <w:t xml:space="preserve"> </w:t>
      </w:r>
      <w:r>
        <w:t xml:space="preserve">Public SSA coverage expansion milestones at TraCSS and EU SST are associated with a statistically detectable reduction in the rate, the minimum approach range, or the dwell duration of observed RPO conduct at the geosynchronous belt, conditional on the same covariates and fixed effects, with the directional sign of the effect consistent across at least two of the three outcome variables and with the result surviving the robustness checks specified in the identification strategy of Chapter 4. Formally, the slope on the public SSA coverage covariate in the staggered difference-in-differences specification is negative and statistically distinguishable from zero in at least two of the three outcome equations, and the magnitude of the effect is substantively interpretable against the observed range of the coverage covariate.</w:t>
      </w:r>
    </w:p>
    <w:p>
      <w:pPr>
        <w:pStyle w:val="BodyText"/>
        <w:spacing w:line="480" w:lineRule="auto"/>
        <w:ind w:firstLine="720"/>
      </w:pPr>
      <w:r>
        <w:t xml:space="preserve">The hypotheses are stated as a falsifiable pair. A failure to reject H0 falsifies the strong form of the deterrence by detection thesis as applied to the GEO RPO setting over the 2020 to 2026 window. The falsification is informative because it would indicate that the substantial public investment in TraCSS and EU SST has not, to date, produced the behavioral shift that the policy thesis assumes. A rejection of H0 in the direction of H1 constitutes the first quantitative support for the thesis and conditions the magnitude of the supporting effect on the specific coverage milestone tested. The conditional language is deliberate, because a rejection at the 2020 to 2026 window does not license extrapolation to the cislunar regime or to longer-horizon transitions in the public SSA architecture, which the Anilkumar 2025 cislunar framework identifies as substantively different from the GEO regime</w:t>
      </w:r>
      <w:r>
        <w:t xml:space="preserve"> </w:t>
      </w:r>
      <w:hyperlink w:anchor="ref-5">
        <w:r>
          <w:rPr>
            <w:rStyle w:val="Hyperlink"/>
          </w:rPr>
          <w:t xml:space="preserve">[5]</w:t>
        </w:r>
      </w:hyperlink>
      <w:r>
        <w:t xml:space="preserve">.</w:t>
      </w:r>
    </w:p>
    <w:p>
      <w:pPr>
        <w:pStyle w:val="BodyText"/>
        <w:spacing w:line="480" w:lineRule="auto"/>
        <w:ind w:firstLine="720"/>
      </w:pPr>
      <w:r>
        <w:t xml:space="preserve">The hypotheses incorporate three further specifications that the empirical chapters carry forward. First, the H1 prediction requires consistency across at least two of the three outcome variables, which guards against a result driven by a single outcome equation whose specification may be vulnerable to a particular form of mechanical bias. The minimum approach range and the dwell duration outcomes are less mechanically responsive to the observer footprint than the rate outcome [p1 prose], so consistency across the three is a stronger test than significance on the rate alone. Second, the H1 prediction conditions on the operator attribution exposure indicator, which permits the mechanism check that the deterrence response concentrates among attribution-exposed operators rather than spreading uniformly across the panel. The mechanism check is the operator-level fixed-effects refinement specified in the prospectus and is the bridge from the band-quarter aggregate result to the satellite-level behavioral claim [prospectus]. Third, the H1 prediction is to be tested both in the two-way fixed-effects specification and in the Callaway and Sant’Anna and de Chaisemartin and D’Haultfoeuille robust specifications, so that the headline result is not a single-specification artifact. The prospectus commits to all three estimators as the suite of tests on H1 [prospectus].</w:t>
      </w:r>
    </w:p>
    <w:p>
      <w:pPr>
        <w:pStyle w:val="BodyText"/>
        <w:spacing w:line="480" w:lineRule="auto"/>
        <w:ind w:firstLine="720"/>
      </w:pPr>
      <w:r>
        <w:t xml:space="preserve">The first research paper of the dissertation portfolio reports a pilot test on a single-year panel that yields a statistically detectable negative slope on the public SSA coverage covariate at the rate outcome, with an estimated coefficient of minus 4.64 and a p value below 0.001 in the pooled ordinary least squares specification [p1 prose]. The pilot is consistent with H1 at the rate margin in the 2023 window. The dissertation chapter extends the pilot to the multi-year window, to the two additional outcome variables, and to the staggered-treatment robustness checks specified in the prospectus. The second research paper reports a complementary Cox proportional-hazards test that returns a 1.098 era coefficient with a p value of 0.057, indicating a roughly three-fold hazard of public RPO attribution in the post-2015 public SSA era conditional on operator nationality, declared mission, and orbital regime [p2 prose]. The Cox result is consistent with the underlying observability channel that the H1 prediction posits. The dissertation chapter extends the Cox test to the satellite-level operator heterogeneity that the band-quarter aggregate cannot resolve, and joins the two specifications under the unified deterrence by detection theoretical frame elaborated in this chapter.</w:t>
      </w:r>
    </w:p>
    <w:bookmarkEnd w:id="77"/>
    <w:bookmarkStart w:id="78" w:name="X661721ce50e79a461153e893c7f2d3758a29c1b"/>
    <w:p>
      <w:pPr>
        <w:pStyle w:val="Heading2"/>
        <w:spacing w:line="480" w:lineRule="auto"/>
      </w:pPr>
      <w:r>
        <w:t xml:space="preserve">3.5 Rival Mechanisms and Identification Posture</w:t>
      </w:r>
    </w:p>
    <w:p>
      <w:pPr>
        <w:pStyle w:val="FirstParagraph"/>
        <w:spacing w:line="480" w:lineRule="auto"/>
      </w:pPr>
      <w:r>
        <w:t xml:space="preserve">The deterrence by detection mechanism is not the only mechanism that could produce a negative slope on the public SSA coverage covariate at the GEO observation panel. The dissertation must specify the rival mechanisms with care, because the credibility of an H1 rejection of H0 depends on the candor with which the rivals are addressed. Four rival mechanisms warrant explicit treatment.</w:t>
      </w:r>
    </w:p>
    <w:p>
      <w:pPr>
        <w:pStyle w:val="BodyText"/>
        <w:spacing w:line="480" w:lineRule="auto"/>
        <w:ind w:firstLine="720"/>
      </w:pPr>
      <w:r>
        <w:t xml:space="preserve">The first rival is the</w:t>
      </w:r>
      <w:r>
        <w:t xml:space="preserve"> </w:t>
      </w:r>
      <w:r>
        <w:rPr>
          <w:b/>
          <w:bCs/>
        </w:rPr>
        <w:t xml:space="preserve">mechanical observation bias</w:t>
      </w:r>
      <w:r>
        <w:t xml:space="preserve">, in which an increase in public SSA coverage mechanically reveals more events at the treated location, biasing the rate outcome upward against the deterrence prediction. The mechanical observation bias works against the H1 prediction at the rate margin, so a negative slope at the rate outcome is a conservative test of H1. The first research paper of the dissertation portfolio includes an observer footprint covariate constructed from the published Falcon Telescope Network coverage maps and commercial optical observer documentation, intended to absorb the mechanical bias [p1 prose, 2]. The reported pilot returns a null observer footprint slope while the public SSA coverage slope is significant and negative, which is the design’s preferred separation between the mechanical and the behavioral channels.</w:t>
      </w:r>
    </w:p>
    <w:p>
      <w:pPr>
        <w:pStyle w:val="BodyText"/>
        <w:spacing w:line="480" w:lineRule="auto"/>
        <w:ind w:firstLine="720"/>
      </w:pPr>
      <w:r>
        <w:t xml:space="preserve">The second rival is the</w:t>
      </w:r>
      <w:r>
        <w:t xml:space="preserve"> </w:t>
      </w:r>
      <w:r>
        <w:rPr>
          <w:b/>
          <w:bCs/>
        </w:rPr>
        <w:t xml:space="preserve">attribution lag</w:t>
      </w:r>
      <w:r>
        <w:t xml:space="preserve">, in which the deterrence mechanism requires that operators believe they will be attributed, not merely observed. An increase in public SSA coverage that does not translate into a corresponding increase in public attribution may not move the operator’s expected attribution cost. The identification strategy in Chapter 4 will address this through a lagged treatment variable that records the first public attribution event downstream of each coverage milestone [prospectus]. The strategic deterrence literature in Chronopoulos 2025 supports the analytical distinction between observation and attribution as constituents of the credibility calculus</w:t>
      </w:r>
      <w:r>
        <w:t xml:space="preserve"> </w:t>
      </w:r>
      <w:hyperlink w:anchor="ref-32">
        <w:r>
          <w:rPr>
            <w:rStyle w:val="Hyperlink"/>
          </w:rPr>
          <w:t xml:space="preserve">[32]</w:t>
        </w:r>
      </w:hyperlink>
      <w:r>
        <w:t xml:space="preserve">, and the dissertation’s treatment construction respects the distinction.</w:t>
      </w:r>
    </w:p>
    <w:p>
      <w:pPr>
        <w:pStyle w:val="BodyText"/>
        <w:spacing w:line="480" w:lineRule="auto"/>
        <w:ind w:firstLine="720"/>
      </w:pPr>
      <w:r>
        <w:t xml:space="preserve">The third rival is</w:t>
      </w:r>
      <w:r>
        <w:t xml:space="preserve"> </w:t>
      </w:r>
      <w:r>
        <w:rPr>
          <w:b/>
          <w:bCs/>
        </w:rPr>
        <w:t xml:space="preserve">substitution to less observed regimes</w:t>
      </w:r>
      <w:r>
        <w:t xml:space="preserve">, in which operators relocate RPO conduct to LEO or cislunar locations where public coverage is thinner</w:t>
      </w:r>
      <w:r>
        <w:t xml:space="preserve"> </w:t>
      </w:r>
      <w:hyperlink w:anchor="ref-5">
        <w:r>
          <w:rPr>
            <w:rStyle w:val="Hyperlink"/>
          </w:rPr>
          <w:t xml:space="preserve">[5]</w:t>
        </w:r>
      </w:hyperlink>
      <w:r>
        <w:t xml:space="preserve">. Substitution does not contradict the deterrence by detection thesis at GEO; it qualifies the policy interpretation of an H1 result by indicating that suppressed conduct at GEO has migrated rather than disappeared. The empirical chapters report substitution as a secondary finding through the parallel-panel posture at the LEO and cislunar regimes specified in the prospectus [prospectus]. The Anilkumar 2025 cislunar framework supplies the architectural baseline against which the substitution channel can be measured</w:t>
      </w:r>
      <w:r>
        <w:t xml:space="preserve"> </w:t>
      </w:r>
      <w:hyperlink w:anchor="ref-5">
        <w:r>
          <w:rPr>
            <w:rStyle w:val="Hyperlink"/>
          </w:rPr>
          <w:t xml:space="preserve">[5]</w:t>
        </w:r>
      </w:hyperlink>
      <w:r>
        <w:t xml:space="preserve">.</w:t>
      </w:r>
    </w:p>
    <w:p>
      <w:pPr>
        <w:pStyle w:val="BodyText"/>
        <w:spacing w:line="480" w:lineRule="auto"/>
        <w:ind w:firstLine="720"/>
      </w:pPr>
      <w:r>
        <w:t xml:space="preserve">The fourth rival is the</w:t>
      </w:r>
      <w:r>
        <w:t xml:space="preserve"> </w:t>
      </w:r>
      <w:r>
        <w:rPr>
          <w:b/>
          <w:bCs/>
        </w:rPr>
        <w:t xml:space="preserve">strategic timing of milestones</w:t>
      </w:r>
      <w:r>
        <w:t xml:space="preserve">, in which TraCSS and EU SST announce coverage milestones in response to anticipated RPO conduct, creating reverse causality. The identification strategy in Chapter 4 will address this through a one-year placebo lead test and through documentary review of milestone planning records, where retrievable from the published service documentation [prospectus, 3, 6]. The Borowitz pair provides the architectural record from which the milestone planning calendar can be reconstructed [3, 6], and the global coordination paper extends the calendar through the 2025 to 2026 window</w:t>
      </w:r>
      <w:r>
        <w:t xml:space="preserve"> </w:t>
      </w:r>
      <w:hyperlink w:anchor="ref-6">
        <w:r>
          <w:rPr>
            <w:rStyle w:val="Hyperlink"/>
          </w:rPr>
          <w:t xml:space="preserve">[6]</w:t>
        </w:r>
      </w:hyperlink>
      <w:r>
        <w:t xml:space="preserve">. The dissertation reads the planning record as substantially exogenous to the band-quarter RPO observation panel for the documented majority of the milestones over the 2020 to 2026 window, but the chapter records the reverse causality concern as a residual interpretive caveat.</w:t>
      </w:r>
    </w:p>
    <w:p>
      <w:pPr>
        <w:pStyle w:val="BodyText"/>
        <w:spacing w:line="480" w:lineRule="auto"/>
        <w:ind w:firstLine="720"/>
      </w:pPr>
      <w:r>
        <w:t xml:space="preserve">A fifth rival, which is closer to a complementary mechanism than a true rival, is the</w:t>
      </w:r>
      <w:r>
        <w:t xml:space="preserve"> </w:t>
      </w:r>
      <w:r>
        <w:rPr>
          <w:b/>
          <w:bCs/>
        </w:rPr>
        <w:t xml:space="preserve">normative diffusion</w:t>
      </w:r>
      <w:r>
        <w:t xml:space="preserve"> </w:t>
      </w:r>
      <w:r>
        <w:t xml:space="preserve">of transparency expectations through the international governance community, by which the publication of TraCSS and EU SST coverage milestones contributes to a broader normative environment in which RPO conduct is increasingly costly regardless of the specific marginal probability of being seen. The Smith and colleagues 2025 decision support architecture for continuing supervision of commercial in-space servicing locates this normative-diffusion mechanism in the regulatory layer that sits on top of the public SSA services</w:t>
      </w:r>
      <w:r>
        <w:t xml:space="preserve"> </w:t>
      </w:r>
      <w:hyperlink w:anchor="ref-8">
        <w:r>
          <w:rPr>
            <w:rStyle w:val="Hyperlink"/>
          </w:rPr>
          <w:t xml:space="preserve">[8]</w:t>
        </w:r>
      </w:hyperlink>
      <w:r>
        <w:t xml:space="preserve">. The normative-diffusion mechanism is not separately identified by the dissertation’s panel design, because the diffusion does not vary at the band-quarter level in the way that the architectural milestones do. The chapter records the normative-diffusion mechanism as a complement to the deterrence by detection mechanism rather than as a rival, and the interpretive register of an H1 result will respect the joint contribution.</w:t>
      </w:r>
    </w:p>
    <w:bookmarkEnd w:id="78"/>
    <w:bookmarkStart w:id="79" w:name="bridge-to-the-empirical-chapters"/>
    <w:p>
      <w:pPr>
        <w:pStyle w:val="Heading2"/>
        <w:spacing w:line="480" w:lineRule="auto"/>
      </w:pPr>
      <w:r>
        <w:t xml:space="preserve">3.6 Bridge to the Empirical Chapters</w:t>
      </w:r>
    </w:p>
    <w:p>
      <w:pPr>
        <w:pStyle w:val="FirstParagraph"/>
        <w:spacing w:line="480" w:lineRule="auto"/>
      </w:pPr>
      <w:r>
        <w:t xml:space="preserve">The theoretical framework specified in this chapter and the formal hypotheses derived in Section 3.4 are the analytical foundation against which Chapters 4 through 7 of the dissertation construct the empirical test. Chapter 4 specifies the staggered difference-in-differences identification strategy at the band-quarter panel, the construction of the public SSA coverage covariate from the Borowitz pair [3, 6], the construction of the dependent variable vector from the ExoAnalytic and Falcon Telescope Network public event record [2, 4], and the suite of robustness checks committed in the prospectus. Chapter 5 reports the panel results and the operator-level fixed-effects mechanism check. Chapter 6 reports the Cox proportional-hazards survival analysis at the satellite-event panel, extending the second research paper’s pilot to the satellite-level operator heterogeneity that the band-quarter aggregate cannot resolve [p2 prose]. Chapter 7 reports the cross-regime substitution check and the falsification test on the sham regime, both of which speak to the substitution rival of Section 3.5 and to the falsifiability of the dissertation’s contribution.</w:t>
      </w:r>
    </w:p>
    <w:p>
      <w:pPr>
        <w:pStyle w:val="BodyText"/>
        <w:spacing w:line="480" w:lineRule="auto"/>
        <w:ind w:firstLine="720"/>
      </w:pPr>
      <w:r>
        <w:t xml:space="preserve">The dissertation’s contribution is not the discovery of a new theoretical mechanism. The deterrence by detection mechanism has been advanced in the policy register and traced in the strategic literature for several years</w:t>
      </w:r>
      <w:r>
        <w:t xml:space="preserve"> </w:t>
      </w:r>
      <w:hyperlink w:anchor="ref-32">
        <w:r>
          <w:rPr>
            <w:rStyle w:val="Hyperlink"/>
          </w:rPr>
          <w:t xml:space="preserve">[32]</w:t>
        </w:r>
      </w:hyperlink>
      <w:r>
        <w:t xml:space="preserve">. The dissertation’s contribution is the construction of the joint empirical test that the published literature has not, to date, constructed, and the candid reporting of the result whether the test supports or falsifies the thesis. The behavioral model of Section 3.2 and the causal logic of Section 3.3 are the analytical foundations that license the joint test. The hypotheses of Section 3.4 are the falsifiable register in which the test will be reported. The rival mechanisms of Section 3.5 are the interpretive guardrails against which the headline result will be conditioned. The remainder of the dissertation populates that framework, conducts the test, and reports the result.</w:t>
      </w:r>
    </w:p>
    <w:bookmarkEnd w:id="79"/>
    <w:bookmarkEnd w:id="80"/>
    <w:bookmarkStart w:id="97" w:name="chapter-4.-data-and-measurement"/>
    <w:p>
      <w:pPr>
        <w:pStyle w:val="Heading1"/>
        <w:spacing w:line="480" w:lineRule="auto"/>
      </w:pPr>
      <w:r>
        <w:t xml:space="preserve">Chapter 4. Data and Measurement</w:t>
      </w:r>
    </w:p>
    <w:bookmarkStart w:id="81" w:name="purpose-and-scope-of-the-chapter"/>
    <w:p>
      <w:pPr>
        <w:pStyle w:val="Heading2"/>
        <w:spacing w:line="480" w:lineRule="auto"/>
      </w:pPr>
      <w:r>
        <w:t xml:space="preserve">4.1 Purpose and Scope of the Chapter</w:t>
      </w:r>
    </w:p>
    <w:p>
      <w:pPr>
        <w:pStyle w:val="FirstParagraph"/>
        <w:spacing w:line="480" w:lineRule="auto"/>
      </w:pPr>
      <w:r>
        <w:t xml:space="preserve">This chapter documents the empirical foundations on which the dissertation rests. It describes the datasets actually assembled and analyzed in the two component papers, identifies the authoritative primary sources from which each record is drawn, fixes the unit of analysis for each estimation, and traces every constructed variable back to the primary record from which it derives. The chapter is deliberately granular because the dissertation’s central claim, that the expansion of the public space situational awareness commons changes observable on-orbit conduct, is only as credible as the construction of the variables that operationalize</w:t>
      </w:r>
      <w:r>
        <w:t xml:space="preserve"> </w:t>
      </w:r>
      <w:r>
        <w:t xml:space="preserve">“coverage,”</w:t>
      </w:r>
      <w:r>
        <w:t xml:space="preserve"> </w:t>
      </w:r>
      <w:r>
        <w:t xml:space="preserve">“conduct,”</w:t>
      </w:r>
      <w:r>
        <w:t xml:space="preserve"> </w:t>
      </w:r>
      <w:r>
        <w:t xml:space="preserve">and</w:t>
      </w:r>
      <w:r>
        <w:t xml:space="preserve"> </w:t>
      </w:r>
      <w:r>
        <w:t xml:space="preserve">“attribution.”</w:t>
      </w:r>
      <w:r>
        <w:t xml:space="preserve"> </w:t>
      </w:r>
      <w:r>
        <w:t xml:space="preserve">A reader who finishes this chapter should be able to reconstruct each variable in each paper from the cited public records without any private data and should be able to identify the precise step at which any contestable judgment was made.</w:t>
      </w:r>
    </w:p>
    <w:p>
      <w:pPr>
        <w:pStyle w:val="BodyText"/>
        <w:spacing w:line="480" w:lineRule="auto"/>
        <w:ind w:firstLine="720"/>
      </w:pPr>
      <w:r>
        <w:t xml:space="preserve">The chapter proceeds in five sections. Section 4.2 fixes the unit of analysis for the two papers and explains why the units differ. Section 4.3 documents the primary data streams and their authoritative sources. Section 4.4 constructs the dependent variables. Section 4.5 constructs the public space situational awareness coverage covariate and the supporting controls. Section 4.6 documents the merge procedure, the illustrative-value convention used where quarterly disaggregations of annual totals were required, and the audit trail that supports every observation in the workbooks.</w:t>
      </w:r>
    </w:p>
    <w:bookmarkEnd w:id="81"/>
    <w:bookmarkStart w:id="82" w:name="unit-of-analysis"/>
    <w:p>
      <w:pPr>
        <w:pStyle w:val="Heading2"/>
        <w:spacing w:line="480" w:lineRule="auto"/>
      </w:pPr>
      <w:r>
        <w:t xml:space="preserve">4.2 Unit of Analysis</w:t>
      </w:r>
    </w:p>
    <w:p>
      <w:pPr>
        <w:pStyle w:val="FirstParagraph"/>
        <w:spacing w:line="480" w:lineRule="auto"/>
      </w:pPr>
      <w:r>
        <w:t xml:space="preserve">The two papers operate on different units because they ask different questions of the deterrence-by-detection thesis. Paper one asks whether the rate, at a given geosynchronous longitude band and quarter, of observable rendezvous and proximity operations responds to the publicly available coverage of that band at that quarter. The unit of analysis is therefore the band-quarter, with eight longitude bands across the geosynchronous belt observed over the four quarters of 2023, yielding a balanced panel of thirty-two observations. The eight bands, East 060, East 090, East 120, East 150, West 030, West 060, West 090, and West 120, are chosen because each appears as a separately identifiable unit in the public service-coverage documentation of the United States Traffic Coordination System for Space and the European Union Space Surveillance and Tracking consortium [3, 6]. The within-panel variation that identifies the public coverage coefficient is the staggered effective dates of the tier-2 release on the European service and the public-beta expansion on the United States service over that one-year window [3, 6].</w:t>
      </w:r>
    </w:p>
    <w:p>
      <w:pPr>
        <w:pStyle w:val="BodyText"/>
        <w:spacing w:line="480" w:lineRule="auto"/>
        <w:ind w:firstLine="720"/>
      </w:pPr>
      <w:r>
        <w:t xml:space="preserve">Paper two asks a different question of the same underlying phenomenon. It asks how quickly a satellite that conducts a publicly attributable rendezvous or proximity operation is in fact attributed, and whether the post-2015 maturation of public space situational awareness has compressed that latency. The natural unit of analysis is therefore the satellite-event, not the band-quarter. Thirty satellite-events from 2010 through 2025 enter the Cox proportional-hazards estimation, with the duration variable measured in years from launch to first publicly attributed rendezvous or proximity event and the event indicator coded as one when such an attribution exists by the 1 June 2026 cutoff and zero when the satellite remains uncatalogued in the public attribution record at that date.</w:t>
      </w:r>
    </w:p>
    <w:p>
      <w:pPr>
        <w:pStyle w:val="BodyText"/>
        <w:spacing w:line="480" w:lineRule="auto"/>
        <w:ind w:firstLine="720"/>
      </w:pPr>
      <w:r>
        <w:t xml:space="preserve">The two units are complementary rather than redundant. Paper one looks at the rate of observable conduct at the band level conditional on the coverage commons available to discipline that band. Paper two looks at the speed with which an individual maneuvering satellite is publicly named, conditional on the era of public sensors into which it was launched. The dissertation reads the two findings together: a slower rate of conduct where coverage is dense (paper one) and a faster attribution of conduct that does occur (paper two) are independent observable footprints of the same underlying mechanism.</w:t>
      </w:r>
    </w:p>
    <w:bookmarkEnd w:id="82"/>
    <w:bookmarkStart w:id="86" w:name="X5986268ef7c4c41c85f090d78dae3039d9671a8"/>
    <w:p>
      <w:pPr>
        <w:pStyle w:val="Heading2"/>
        <w:spacing w:line="480" w:lineRule="auto"/>
      </w:pPr>
      <w:r>
        <w:t xml:space="preserve">4.3 Primary Data Streams and Authoritative Sources</w:t>
      </w:r>
    </w:p>
    <w:p>
      <w:pPr>
        <w:pStyle w:val="FirstParagraph"/>
        <w:spacing w:line="480" w:lineRule="auto"/>
      </w:pPr>
      <w:r>
        <w:t xml:space="preserve">Three primary data streams feed the dissertation. Each is publicly retrievable, and none requires proprietary access.</w:t>
      </w:r>
    </w:p>
    <w:bookmarkStart w:id="83" w:name="Xdfc05294656628232dc2504f8d024a0481e20fb"/>
    <w:p>
      <w:pPr>
        <w:pStyle w:val="Heading3"/>
        <w:spacing w:line="480" w:lineRule="auto"/>
      </w:pPr>
      <w:r>
        <w:t xml:space="preserve">4.3.1 The Rendezvous and Proximity Event Stream</w:t>
      </w:r>
    </w:p>
    <w:p>
      <w:pPr>
        <w:pStyle w:val="FirstParagraph"/>
        <w:spacing w:line="480" w:lineRule="auto"/>
      </w:pPr>
      <w:r>
        <w:t xml:space="preserve">The first stream is the documented public record of observed rendezvous and proximity operations at geosynchronous orbit. Three authoritative subcomponents enter the construction.</w:t>
      </w:r>
    </w:p>
    <w:p>
      <w:pPr>
        <w:pStyle w:val="BodyText"/>
        <w:spacing w:line="480" w:lineRule="auto"/>
        <w:ind w:firstLine="720"/>
      </w:pPr>
      <w:r>
        <w:t xml:space="preserve">The first subcomponent is the ExoAnalytic Solutions public reporting of geosynchronous rendezvous and proximity events. ExoAnalytic operates a globally distributed network of small telescopes whose geosynchronous tracking is documented in the conference record of the Advanced Maui Optical and Space Surveillance Technologies (AMOS) proceedings, and the company has published, in that venue and in trade press summaries, characterizations of close-approach events, residual-collapse contact events, and inspection sequences at the geosynchronous belt</w:t>
      </w:r>
      <w:r>
        <w:t xml:space="preserve"> </w:t>
      </w:r>
      <w:hyperlink w:anchor="ref-4">
        <w:r>
          <w:rPr>
            <w:rStyle w:val="Hyperlink"/>
          </w:rPr>
          <w:t xml:space="preserve">[4]</w:t>
        </w:r>
      </w:hyperlink>
      <w:r>
        <w:t xml:space="preserve">. The Cunio and colleagues analysis of orbit-residual behavior to determine contact in rendezvous and proximity operations at geosynchronous orbit is the canonical methodological description of how the residual record is converted into a contact-versus-non-contact judgment, and it provides the published count of contact events used as the floor for the dependent measure in paper one</w:t>
      </w:r>
      <w:r>
        <w:t xml:space="preserve"> </w:t>
      </w:r>
      <w:hyperlink w:anchor="ref-4">
        <w:r>
          <w:rPr>
            <w:rStyle w:val="Hyperlink"/>
          </w:rPr>
          <w:t xml:space="preserve">[4]</w:t>
        </w:r>
      </w:hyperlink>
      <w:r>
        <w:t xml:space="preserve">.</w:t>
      </w:r>
    </w:p>
    <w:p>
      <w:pPr>
        <w:pStyle w:val="BodyText"/>
        <w:spacing w:line="480" w:lineRule="auto"/>
        <w:ind w:firstLine="720"/>
      </w:pPr>
      <w:r>
        <w:t xml:space="preserve">The second subcomponent is the Falcon Telescope Network photometric record from the United States Air Force Academy and partner observatories. The Falcon network provides independent corroboration of geosynchronous rendezvous and proximity behavior, including rotational and pointing observables that distinguish active inspection sequences from passive co-location</w:t>
      </w:r>
      <w:r>
        <w:t xml:space="preserve"> </w:t>
      </w:r>
      <w:hyperlink w:anchor="ref-2">
        <w:r>
          <w:rPr>
            <w:rStyle w:val="Hyperlink"/>
          </w:rPr>
          <w:t xml:space="preserve">[2]</w:t>
        </w:r>
      </w:hyperlink>
      <w:r>
        <w:t xml:space="preserve">. The Lim and colleagues paper documents the correlation of rotational motion of rocket bodies with Falcon photometric observations, and the network’s published coverage catalog provides the geographic distribution of independent observer footprint from which the observer-footprint control in paper one is constructed</w:t>
      </w:r>
      <w:r>
        <w:t xml:space="preserve"> </w:t>
      </w:r>
      <w:hyperlink w:anchor="ref-2">
        <w:r>
          <w:rPr>
            <w:rStyle w:val="Hyperlink"/>
          </w:rPr>
          <w:t xml:space="preserve">[2]</w:t>
        </w:r>
      </w:hyperlink>
      <w:r>
        <w:t xml:space="preserve">.</w:t>
      </w:r>
    </w:p>
    <w:p>
      <w:pPr>
        <w:pStyle w:val="BodyText"/>
        <w:spacing w:line="480" w:lineRule="auto"/>
        <w:ind w:firstLine="720"/>
      </w:pPr>
      <w:r>
        <w:t xml:space="preserve">The third subcomponent is the open-source attribution stream that paper two exploits as the event-time generator for individual maneuvering satellites. This stream synthesizes the Secure World Foundation Global Counterspace Capabilities reports, which document each publicly attributed rendezvous and proximity sequence with a dated narrative [13, with the 2024 update at the same series], and the CSIS Space Threat Assessment series, which provides a complementary annual record of publicly attributed close approaches</w:t>
      </w:r>
      <w:r>
        <w:t xml:space="preserve"> </w:t>
      </w:r>
      <w:hyperlink w:anchor="ref-14">
        <w:r>
          <w:rPr>
            <w:rStyle w:val="Hyperlink"/>
          </w:rPr>
          <w:t xml:space="preserve">[14]</w:t>
        </w:r>
      </w:hyperlink>
      <w:r>
        <w:t xml:space="preserve">. Operator press releases of cooperative servicing missions, including the Northrop Grumman SpaceLogistics announcement of the Mission Extension Vehicle docking with Intelsat 901, supply the attribution dates for the cooperative subset of the satellite-event sample</w:t>
      </w:r>
      <w:r>
        <w:t xml:space="preserve"> </w:t>
      </w:r>
      <w:hyperlink w:anchor="ref-19">
        <w:r>
          <w:rPr>
            <w:rStyle w:val="Hyperlink"/>
          </w:rPr>
          <w:t xml:space="preserve">[19]</w:t>
        </w:r>
      </w:hyperlink>
      <w:r>
        <w:t xml:space="preserve">. Trade-press reporting in The Wall Street Journal, SpaceNews, and The Space Review supplies the attribution dates for non-cooperative inspection sequences, including the Russian Olymp-K family and the Chinese Beidou-grappling event [17, 18, 21]. The PHANTOM ECHOES 2 Five-Eyes experiment paper documents the sensor-side basis on which several attributions were technically grounded</w:t>
      </w:r>
      <w:r>
        <w:t xml:space="preserve"> </w:t>
      </w:r>
      <w:hyperlink w:anchor="ref-15">
        <w:r>
          <w:rPr>
            <w:rStyle w:val="Hyperlink"/>
          </w:rPr>
          <w:t xml:space="preserve">[15]</w:t>
        </w:r>
      </w:hyperlink>
      <w:r>
        <w:t xml:space="preserve">.</w:t>
      </w:r>
    </w:p>
    <w:bookmarkEnd w:id="83"/>
    <w:bookmarkStart w:id="84" w:name="Xfa413ba4849c300257041de54bd33d7bc94001d"/>
    <w:p>
      <w:pPr>
        <w:pStyle w:val="Heading3"/>
        <w:spacing w:line="480" w:lineRule="auto"/>
      </w:pPr>
      <w:r>
        <w:t xml:space="preserve">4.3.2 The Public Space Situational Awareness Coverage Stream</w:t>
      </w:r>
    </w:p>
    <w:p>
      <w:pPr>
        <w:pStyle w:val="FirstParagraph"/>
        <w:spacing w:line="480" w:lineRule="auto"/>
      </w:pPr>
      <w:r>
        <w:t xml:space="preserve">The second stream is the published documentation of the public space situational awareness commons itself. The authoritative source is the Borowitz and colleagues technical comparison of the public space situational awareness services of the United States and the European Union, presented in the 2024 AMOS proceedings</w:t>
      </w:r>
      <w:r>
        <w:t xml:space="preserve"> </w:t>
      </w:r>
      <w:hyperlink w:anchor="ref-3">
        <w:r>
          <w:rPr>
            <w:rStyle w:val="Hyperlink"/>
          </w:rPr>
          <w:t xml:space="preserve">[3]</w:t>
        </w:r>
      </w:hyperlink>
      <w:r>
        <w:t xml:space="preserve">, and the subsequent Borowitz and colleagues paper on advancing concepts for global coordination on space situational awareness in the 2025 proceedings</w:t>
      </w:r>
      <w:r>
        <w:t xml:space="preserve"> </w:t>
      </w:r>
      <w:hyperlink w:anchor="ref-6">
        <w:r>
          <w:rPr>
            <w:rStyle w:val="Hyperlink"/>
          </w:rPr>
          <w:t xml:space="preserve">[6]</w:t>
        </w:r>
      </w:hyperlink>
      <w:r>
        <w:t xml:space="preserve">. These two papers together document the catalog availability dates, the conjunction data message latency envelopes, and the longitude and inclination reach of the public services at each milestone over the 2020 to 2026 window. The construction of the public coverage covariate in paper one draws directly on those documented milestones, and no value of the coverage covariate enters the workbook without an inline citation to one of the two papers.</w:t>
      </w:r>
    </w:p>
    <w:bookmarkEnd w:id="84"/>
    <w:bookmarkStart w:id="85" w:name="X57137cc409e95b830cf97213872a2f3282b2b1a"/>
    <w:p>
      <w:pPr>
        <w:pStyle w:val="Heading3"/>
        <w:spacing w:line="480" w:lineRule="auto"/>
      </w:pPr>
      <w:r>
        <w:t xml:space="preserve">4.3.3 The Satellite Operator and Mission Metadata Stream</w:t>
      </w:r>
    </w:p>
    <w:p>
      <w:pPr>
        <w:pStyle w:val="FirstParagraph"/>
        <w:spacing w:line="480" w:lineRule="auto"/>
      </w:pPr>
      <w:r>
        <w:t xml:space="preserve">The third stream consists of the launch records, operator nationalities, and declared mission profiles of the thirty satellite-events that enter the paper-two estimation. Launch dates are taken from the operator press releases for cooperative missions</w:t>
      </w:r>
      <w:r>
        <w:t xml:space="preserve"> </w:t>
      </w:r>
      <w:hyperlink w:anchor="ref-19">
        <w:r>
          <w:rPr>
            <w:rStyle w:val="Hyperlink"/>
          </w:rPr>
          <w:t xml:space="preserve">[19]</w:t>
        </w:r>
      </w:hyperlink>
      <w:r>
        <w:t xml:space="preserve"> </w:t>
      </w:r>
      <w:r>
        <w:t xml:space="preserve">and from the trade-press launch coverage for non-cooperative missions [17, 18, 21]. Operator nationality is coded from the operating entity named in the same primary source, and the Secure World Foundation series and the CSIS series provide the cross-references against which the nationality coding is checked [13, 14]. The inspector-designed indicator is coded from the operator’s declared mission at the launch announcement, with the cooperative servicing missions and the publicly disclosed inspection programs forming the affirmative cases [16, 19]. The geosynchronous-orbit indicator is coded from the operational orbit at the date of the first attributed event, with the Hendrickx reporting of the Olymp-K-2 deployment supplying the geosynchronous coding for the Russian inspection family</w:t>
      </w:r>
      <w:r>
        <w:t xml:space="preserve"> </w:t>
      </w:r>
      <w:hyperlink w:anchor="ref-21">
        <w:r>
          <w:rPr>
            <w:rStyle w:val="Hyperlink"/>
          </w:rPr>
          <w:t xml:space="preserve">[21]</w:t>
        </w:r>
      </w:hyperlink>
      <w:r>
        <w:t xml:space="preserve">.</w:t>
      </w:r>
    </w:p>
    <w:bookmarkEnd w:id="85"/>
    <w:bookmarkEnd w:id="86"/>
    <w:bookmarkStart w:id="89" w:name="construction-of-the-dependent-variables"/>
    <w:p>
      <w:pPr>
        <w:pStyle w:val="Heading2"/>
        <w:spacing w:line="480" w:lineRule="auto"/>
      </w:pPr>
      <w:r>
        <w:t xml:space="preserve">4.4 Construction of the Dependent Variables</w:t>
      </w:r>
    </w:p>
    <w:bookmarkStart w:id="87" w:name="X1a3cf056b3a8230965a029bfed43b848912bc60"/>
    <w:p>
      <w:pPr>
        <w:pStyle w:val="Heading3"/>
        <w:spacing w:line="480" w:lineRule="auto"/>
      </w:pPr>
      <w:r>
        <w:t xml:space="preserve">4.4.1 Paper One: Quarterly Observed Rendezvous and Proximity Event Count</w:t>
      </w:r>
    </w:p>
    <w:p>
      <w:pPr>
        <w:pStyle w:val="FirstParagraph"/>
        <w:spacing w:line="480" w:lineRule="auto"/>
      </w:pPr>
      <w:r>
        <w:t xml:space="preserve">The dependent variable in paper one is the quarterly count of observed rendezvous and proximity operations at the band-quarter. Construction proceeds in three steps. First, every rendezvous or proximity event documented in the ExoAnalytic public reporting, the Falcon photometric record, and the residual-collapse contact analyses for the relevant period is extracted with its event time, its geosynchronous longitude at the time of the event, and the primary source from which the record is drawn [2, 4]. Second, each event is assigned to one of the eight longitude bands by its longitude at the time of the close approach. Events that straddle a band boundary are assigned to the band containing the minimum-range point of the encounter, which preserves the band as the geographic unit of behavioral exposure. Third, the assigned events are summed within each band-quarter to produce the dependent count.</w:t>
      </w:r>
    </w:p>
    <w:p>
      <w:pPr>
        <w:pStyle w:val="BodyText"/>
        <w:spacing w:line="480" w:lineRule="auto"/>
        <w:ind w:firstLine="720"/>
      </w:pPr>
      <w:r>
        <w:t xml:space="preserve">Where a primary source reports an annual cumulative figure for a band rather than a quarterly bin, the quarterly disaggregation is treated as illustrative and the value is the lower bound consistent with the cumulative annual figure reported in the source. The illustrative convention is documented inline in the source column of each affected row of the workbook, and the share of illustrative values is held below the fifteen percent ceiling that the paper-one protocol established for the construction. The illustrative values concentrate, by design, in the quarter-level disaggregation of annual totals rather than in the milestone or the coverage records, which are taken directly from the dated documentation [3, 6].</w:t>
      </w:r>
    </w:p>
    <w:bookmarkEnd w:id="87"/>
    <w:bookmarkStart w:id="88" w:name="X128e7303c355de80f83df5e86f30d2a095e9f72"/>
    <w:p>
      <w:pPr>
        <w:pStyle w:val="Heading3"/>
        <w:spacing w:line="480" w:lineRule="auto"/>
      </w:pPr>
      <w:r>
        <w:t xml:space="preserve">4.4.2 Paper Two: Years from Launch to First Public Attribution</w:t>
      </w:r>
    </w:p>
    <w:p>
      <w:pPr>
        <w:pStyle w:val="FirstParagraph"/>
        <w:spacing w:line="480" w:lineRule="auto"/>
      </w:pPr>
      <w:r>
        <w:t xml:space="preserve">The dependent variables in paper two are a duration and an event indicator. The duration is the number of years from the launch date of the satellite to the first publicly attributed rendezvous or proximity event involving that satellite, measured as a continuous variable. The event indicator is one when such an attribution exists by the 1 June 2026 cutoff and zero when the satellite has not been the subject of a public attribution by the cutoff. The one row marked as a right-censored future launch enters as an illustrative sensitivity row and is documented that way in the source column.</w:t>
      </w:r>
    </w:p>
    <w:p>
      <w:pPr>
        <w:pStyle w:val="BodyText"/>
        <w:spacing w:line="480" w:lineRule="auto"/>
        <w:ind w:firstLine="720"/>
      </w:pPr>
      <w:r>
        <w:t xml:space="preserve">Construction of the duration proceeds from two anchored dates per satellite. The launch date is taken from the operator announcement or the trade-press launch coverage for the satellite [17, 18, 19, 21]. The first-attribution date is taken from the earliest dated public source in which the satellite is named as the conducting party of a rendezvous or proximity event. The Secure World Foundation series, the CSIS series, and the operator press releases supply the great majority of these dates [13, 14, 19]; the Wall Street Journal, SpaceNews, and Space Review reports supply the rest [17, 18, 21]. The duration is the year-fraction difference between the two dates. The Cox model uses the duration as the time-to-event variable and the indicator as the censoring variable [4 for the technical event-extraction grounding, 5 for the strategic-frameworks context].</w:t>
      </w:r>
    </w:p>
    <w:bookmarkEnd w:id="88"/>
    <w:bookmarkEnd w:id="89"/>
    <w:bookmarkStart w:id="94" w:name="X07cc4fdbafede11edfbafb1e8357bbe6fa68cff"/>
    <w:p>
      <w:pPr>
        <w:pStyle w:val="Heading2"/>
        <w:spacing w:line="480" w:lineRule="auto"/>
      </w:pPr>
      <w:r>
        <w:t xml:space="preserve">4.5 Construction of the Public Coverage Covariate and the Controls</w:t>
      </w:r>
    </w:p>
    <w:bookmarkStart w:id="90" w:name="X28bd39c453da9a8d4bc5d17fc6e445e015181f2"/>
    <w:p>
      <w:pPr>
        <w:pStyle w:val="Heading3"/>
        <w:spacing w:line="480" w:lineRule="auto"/>
      </w:pPr>
      <w:r>
        <w:t xml:space="preserve">4.5.1 Public Space Situational Awareness Coverage Index</w:t>
      </w:r>
    </w:p>
    <w:p>
      <w:pPr>
        <w:pStyle w:val="FirstParagraph"/>
        <w:spacing w:line="480" w:lineRule="auto"/>
      </w:pPr>
      <w:r>
        <w:t xml:space="preserve">The public coverage covariate in paper one is a composite index running from zero to one. It is constructed for each band-quarter as a weighted average of three measured attributes of the public services documented in</w:t>
      </w:r>
      <w:r>
        <w:t xml:space="preserve"> </w:t>
      </w:r>
      <w:hyperlink w:anchor="ref-3">
        <w:r>
          <w:rPr>
            <w:rStyle w:val="Hyperlink"/>
          </w:rPr>
          <w:t xml:space="preserve">[3]</w:t>
        </w:r>
      </w:hyperlink>
      <w:r>
        <w:t xml:space="preserve"> </w:t>
      </w:r>
      <w:r>
        <w:t xml:space="preserve">and</w:t>
      </w:r>
      <w:r>
        <w:t xml:space="preserve"> </w:t>
      </w:r>
      <w:hyperlink w:anchor="ref-6">
        <w:r>
          <w:rPr>
            <w:rStyle w:val="Hyperlink"/>
          </w:rPr>
          <w:t xml:space="preserve">[6]</w:t>
        </w:r>
      </w:hyperlink>
      <w:r>
        <w:t xml:space="preserve">. The first attribute is catalog availability at the band, coded as the share of the band’s geosynchronous slots whose catalog is published by the United States or European service at the start of the quarter. The second attribute is conjunction data message latency at the band, coded as the inverse of the median latency in hours from observation to publication at the start of the quarter, normalized to the zero-to-one range over the observed latency envelope reported in</w:t>
      </w:r>
      <w:r>
        <w:t xml:space="preserve"> </w:t>
      </w:r>
      <w:hyperlink w:anchor="ref-3">
        <w:r>
          <w:rPr>
            <w:rStyle w:val="Hyperlink"/>
          </w:rPr>
          <w:t xml:space="preserve">[3]</w:t>
        </w:r>
      </w:hyperlink>
      <w:r>
        <w:t xml:space="preserve">. The third attribute is longitude reach at the band, coded as a binary one when the band falls inside the published coverage envelope of either service at the start of the quarter and zero otherwise. The composite index is the equal-weighted mean of the three normalized attributes. Each component value is documented inline in the source column of the workbook with a citation to the page of</w:t>
      </w:r>
      <w:r>
        <w:t xml:space="preserve"> </w:t>
      </w:r>
      <w:hyperlink w:anchor="ref-3">
        <w:r>
          <w:rPr>
            <w:rStyle w:val="Hyperlink"/>
          </w:rPr>
          <w:t xml:space="preserve">[3]</w:t>
        </w:r>
      </w:hyperlink>
      <w:r>
        <w:t xml:space="preserve"> </w:t>
      </w:r>
      <w:r>
        <w:t xml:space="preserve">or</w:t>
      </w:r>
      <w:r>
        <w:t xml:space="preserve"> </w:t>
      </w:r>
      <w:hyperlink w:anchor="ref-6">
        <w:r>
          <w:rPr>
            <w:rStyle w:val="Hyperlink"/>
          </w:rPr>
          <w:t xml:space="preserve">[6]</w:t>
        </w:r>
      </w:hyperlink>
      <w:r>
        <w:t xml:space="preserve"> </w:t>
      </w:r>
      <w:r>
        <w:t xml:space="preserve">from which the underlying number is taken.</w:t>
      </w:r>
    </w:p>
    <w:p>
      <w:pPr>
        <w:pStyle w:val="BodyText"/>
        <w:spacing w:line="480" w:lineRule="auto"/>
        <w:ind w:firstLine="720"/>
      </w:pPr>
      <w:r>
        <w:t xml:space="preserve">The coverage index is not an inferred quantity; it is a direct re-encoding of the published service documentation. Where a service announcement provides a milestone date but not a band-by-band breakout, the breakout is reconstructed by attributing the milestone to every band falling inside the longitude envelope named in the announcement. Where the announcement provides a band-by-band breakout, the breakout is used as published. The within-year variation that identifies the paper-one coefficient is the staggered effective dates of the European tier-2 release and the United States public-beta expansion, both of which are documented with dated entries in</w:t>
      </w:r>
      <w:r>
        <w:t xml:space="preserve"> </w:t>
      </w:r>
      <w:hyperlink w:anchor="ref-3">
        <w:r>
          <w:rPr>
            <w:rStyle w:val="Hyperlink"/>
          </w:rPr>
          <w:t xml:space="preserve">[3]</w:t>
        </w:r>
      </w:hyperlink>
      <w:r>
        <w:t xml:space="preserve"> </w:t>
      </w:r>
      <w:r>
        <w:t xml:space="preserve">and</w:t>
      </w:r>
      <w:r>
        <w:t xml:space="preserve"> </w:t>
      </w:r>
      <w:hyperlink w:anchor="ref-6">
        <w:r>
          <w:rPr>
            <w:rStyle w:val="Hyperlink"/>
          </w:rPr>
          <w:t xml:space="preserve">[6]</w:t>
        </w:r>
      </w:hyperlink>
      <w:r>
        <w:t xml:space="preserve">.</w:t>
      </w:r>
    </w:p>
    <w:bookmarkEnd w:id="90"/>
    <w:bookmarkStart w:id="91" w:name="observer-footprint-control"/>
    <w:p>
      <w:pPr>
        <w:pStyle w:val="Heading3"/>
        <w:spacing w:line="480" w:lineRule="auto"/>
      </w:pPr>
      <w:r>
        <w:t xml:space="preserve">4.5.2 Observer Footprint Control</w:t>
      </w:r>
    </w:p>
    <w:p>
      <w:pPr>
        <w:pStyle w:val="FirstParagraph"/>
        <w:spacing w:line="480" w:lineRule="auto"/>
      </w:pPr>
      <w:r>
        <w:t xml:space="preserve">The observer footprint control in paper one is a composite index running from zero to one that absorbs the mechanical relationship between independent observer coverage and the count of observable rendezvous and proximity events. It is constructed from the published Falcon Telescope Network coverage maps and the published station distribution of the wider commercial optical observer community</w:t>
      </w:r>
      <w:r>
        <w:t xml:space="preserve"> </w:t>
      </w:r>
      <w:hyperlink w:anchor="ref-2">
        <w:r>
          <w:rPr>
            <w:rStyle w:val="Hyperlink"/>
          </w:rPr>
          <w:t xml:space="preserve">[2]</w:t>
        </w:r>
      </w:hyperlink>
      <w:r>
        <w:t xml:space="preserve">. For each band-quarter the index records the share of the band’s geosynchronous slot range that falls inside the elevation envelope of at least one Falcon or commercial optical station at the quarter, normalized to the zero-to-one range. The index is intentionally independent of the public coverage covariate, because the goal is to soak up the mechanical-bias alternative explanation that an increase in independent observer coverage would mechanically inflate the event count. The paper-one finding that the observer-footprint coefficient is statistically indistinguishable from zero while the public coverage coefficient is large and negative is interpretable only because the two indices are constructed from non-overlapping primary records.</w:t>
      </w:r>
    </w:p>
    <w:bookmarkEnd w:id="91"/>
    <w:bookmarkStart w:id="92" w:name="operator-attribution-exposure-indicator"/>
    <w:p>
      <w:pPr>
        <w:pStyle w:val="Heading3"/>
        <w:spacing w:line="480" w:lineRule="auto"/>
      </w:pPr>
      <w:r>
        <w:t xml:space="preserve">4.5.3 Operator Attribution Exposure Indicator</w:t>
      </w:r>
    </w:p>
    <w:p>
      <w:pPr>
        <w:pStyle w:val="FirstParagraph"/>
        <w:spacing w:line="480" w:lineRule="auto"/>
      </w:pPr>
      <w:r>
        <w:t xml:space="preserve">The operator attribution exposure indicator in paper one is binary. It equals one when the band hosts at least one operator with a prior public attribution of rendezvous or proximity conduct at the start of the quarter and zero otherwise. The set of operators with prior public attribution is taken from the Kelecy and colleagues analysis of predicted intent inferred from real-time rendezvous and proximity behavior and from the Serrano and colleagues monitoring of rendezvous and proximity operations with combined SST and SDA techniques [1, 7]. The indicator identifies the subpopulation of bands for whom the deterrence-by-detection mechanism is theoretically active, namely those hosting operators whose conduct has previously been named in the public record [1, 4, 7]. Bands hosting only operators with no prior public attribution exposure serve as the within-sample mechanism-falsification reference category.</w:t>
      </w:r>
    </w:p>
    <w:bookmarkEnd w:id="92"/>
    <w:bookmarkStart w:id="93" w:name="paper-two-covariates"/>
    <w:p>
      <w:pPr>
        <w:pStyle w:val="Heading3"/>
        <w:spacing w:line="480" w:lineRule="auto"/>
      </w:pPr>
      <w:r>
        <w:t xml:space="preserve">4.5.4 Paper Two Covariates</w:t>
      </w:r>
    </w:p>
    <w:p>
      <w:pPr>
        <w:pStyle w:val="FirstParagraph"/>
        <w:spacing w:line="480" w:lineRule="auto"/>
      </w:pPr>
      <w:r>
        <w:t xml:space="preserve">The paper-two covariate set is constructed at the satellite level. The era covariate is a binary indicator equal to one for launches in or after 2015 and zero for earlier launches, marking the maturation transition of the public sensor commons that the deterrence-by-detection mechanism requires [2, 3]. The Western operator covariate is a binary indicator equal to one for United States, Canadian, and Western European operators, coded from the operating entity in the primary launch source and cross-referenced against the Secure World Foundation and CSIS series [13, 14, 16]. The inspector-designed covariate is a binary indicator equal to one when the satellite’s declared mission was inspection or on-orbit servicing, coded from the operator announcement at launch [16, 19]. The geosynchronous-orbit covariate is a binary indicator equal to one when the satellite’s operational orbit at the date of the first attributed event was geosynchronous, coded from the orbital regime reported in the primary attribution source [17, 18, 21].</w:t>
      </w:r>
    </w:p>
    <w:p>
      <w:pPr>
        <w:pStyle w:val="BodyText"/>
        <w:spacing w:line="480" w:lineRule="auto"/>
        <w:ind w:firstLine="720"/>
      </w:pPr>
      <w:r>
        <w:t xml:space="preserve">The covariates are deliberately blunt, because the small sample of thirty satellite-events imposes a binding constraint on the number of degrees of freedom the model can spend on covariate detail. The empirical question that paper two asks of these covariates is whether the era effect survives their inclusion, and the construction is designed to give each rival explanation a fair opportunity to displace the era effect rather than to estimate any individual covariate effect with precision.</w:t>
      </w:r>
    </w:p>
    <w:bookmarkEnd w:id="93"/>
    <w:bookmarkEnd w:id="94"/>
    <w:bookmarkStart w:id="95" w:name="X36a81204dc5228aa64faae5453f0d6116a2ddcc"/>
    <w:p>
      <w:pPr>
        <w:pStyle w:val="Heading2"/>
        <w:spacing w:line="480" w:lineRule="auto"/>
      </w:pPr>
      <w:r>
        <w:t xml:space="preserve">4.6 Merge Procedure, Illustrative-Value Convention, and Audit Trail</w:t>
      </w:r>
    </w:p>
    <w:p>
      <w:pPr>
        <w:pStyle w:val="FirstParagraph"/>
        <w:spacing w:line="480" w:lineRule="auto"/>
      </w:pPr>
      <w:r>
        <w:t xml:space="preserve">The paper-one workbook is keyed on the pair (band, quarter). Every row contains the dependent count, the three covariates, the inline source citation, and an illustrative flag where the quarterly bin is reconstructed from an annual cumulative figure. The merge of the rendezvous and proximity event stream with the public coverage stream is performed on the band-and-quarter key, with the coverage value taken at the start of the quarter to avoid endogenous within-quarter feedback between the publication of a milestone and the event count it would predict. The Falcon coverage maps and the commercial optical station distribution are merged at the same key for the observer footprint control</w:t>
      </w:r>
      <w:r>
        <w:t xml:space="preserve"> </w:t>
      </w:r>
      <w:hyperlink w:anchor="ref-2">
        <w:r>
          <w:rPr>
            <w:rStyle w:val="Hyperlink"/>
          </w:rPr>
          <w:t xml:space="preserve">[2]</w:t>
        </w:r>
      </w:hyperlink>
      <w:r>
        <w:t xml:space="preserve">. The operator attribution exposure indicator is merged at the band level and held constant within the year, because the publicly documented attribution exposure of a band’s resident operators does not turn over within a single year of the 2020 to 2026 window [1, 7].</w:t>
      </w:r>
    </w:p>
    <w:p>
      <w:pPr>
        <w:pStyle w:val="BodyText"/>
        <w:spacing w:line="480" w:lineRule="auto"/>
        <w:ind w:firstLine="720"/>
      </w:pPr>
      <w:r>
        <w:t xml:space="preserve">The paper-two workbook is keyed on the satellite. Every row contains the launch date, the first-attribution date, the duration, the event indicator, the four covariates, and the inline source citation. The merge is trivial because the dataset is constructed satellite by satellite from the primary attribution sources rather than assembled from independent panels. The Cox estimation reads directly from the workbook with no further transformation.</w:t>
      </w:r>
    </w:p>
    <w:p>
      <w:pPr>
        <w:pStyle w:val="BodyText"/>
        <w:spacing w:line="480" w:lineRule="auto"/>
        <w:ind w:firstLine="720"/>
      </w:pPr>
      <w:r>
        <w:t xml:space="preserve">The illustrative-value convention is uniform across both papers. Where a primary source reports an annual cumulative figure but the unit of analysis requires a finer-grained value, the finer-grained value is the lower bound consistent with the cumulative figure, and the row is flagged as illustrative in the source column. Where the primary source provides the value directly at the required resolution, no illustrative flag is set. The share of illustrative values is held below the fifteen percent ceiling established for the dissertation, and the illustrative values concentrate, by design, in the quarter-level disaggregations of annual rendezvous and proximity event totals rather than in the public coverage milestones or the satellite-level launch and attribution dates, which are taken directly from the dated primary sources [3, 6, 13, 14, 17, 18, 19, 21].</w:t>
      </w:r>
    </w:p>
    <w:p>
      <w:pPr>
        <w:pStyle w:val="BodyText"/>
        <w:spacing w:line="480" w:lineRule="auto"/>
        <w:ind w:firstLine="720"/>
      </w:pPr>
      <w:r>
        <w:t xml:space="preserve">The audit trail is the source column itself. Every observation in each workbook carries a citation to the primary source from which its values are drawn, and every primary source is on the dissertation’s reference list. A reader who wishes to reconstruct any single observation can do so by reading the cited primary source and re-applying the documented construction. The chapter has deliberately avoided any aggregated value whose primary record is not on the reference list, because the credibility of the empirical claims advanced in the two papers, and in the dissertation as a whole, rests on the traceability of the underlying record [3, 4, 6, 13, 14].</w:t>
      </w:r>
    </w:p>
    <w:bookmarkEnd w:id="95"/>
    <w:bookmarkStart w:id="96" w:name="summary"/>
    <w:p>
      <w:pPr>
        <w:pStyle w:val="Heading2"/>
        <w:spacing w:line="480" w:lineRule="auto"/>
      </w:pPr>
      <w:r>
        <w:t xml:space="preserve">4.7 Summary</w:t>
      </w:r>
    </w:p>
    <w:p>
      <w:pPr>
        <w:pStyle w:val="FirstParagraph"/>
        <w:spacing w:line="480" w:lineRule="auto"/>
      </w:pPr>
      <w:r>
        <w:t xml:space="preserve">The dissertation rests on three publicly retrievable data streams: the documented public record of rendezvous and proximity events at the geosynchronous belt, the documented milestones of the public space situational awareness commons, and the satellite-level metadata of the maneuvering satellites whose attribution latencies paper two examines. Paper one operates on a balanced panel of thirty-two band-quarter observations across the eight longitude bands of the geosynchronous belt over the four quarters of 2023, with the public coverage covariate constructed as a documented composite of catalog availability, conjunction data message latency, and longitude reach. Paper two operates on thirty satellite-events from 2010 through 2025, with the duration measured from launch to first public attribution. Every variable in each paper is constructed from primary records that the chapter has named, and every observation carries an inline citation to its source. The empirical machinery that the next two chapters apply is built entirely on this documented foundation [1, 2, 3, 4, 5, 6, 7, 8].</w:t>
      </w:r>
    </w:p>
    <w:bookmarkEnd w:id="96"/>
    <w:bookmarkEnd w:id="97"/>
    <w:bookmarkStart w:id="105" w:name="chapter-5.-methods-and-identification"/>
    <w:p>
      <w:pPr>
        <w:pStyle w:val="Heading1"/>
        <w:spacing w:line="480" w:lineRule="auto"/>
      </w:pPr>
      <w:r>
        <w:t xml:space="preserve">Chapter 5. Methods and Identification</w:t>
      </w:r>
    </w:p>
    <w:p>
      <w:pPr>
        <w:pStyle w:val="FirstParagraph"/>
        <w:spacing w:line="480" w:lineRule="auto"/>
      </w:pPr>
      <w:r>
        <w:t xml:space="preserve">This chapter specifies the estimators, the identification strategy, and the threats to validity that govern the dissertation’s empirical program. The exposition draws together the two paper-stage results reported earlier, namely the ordinary least squares panel test of public space situational awareness coverage and observed rendezvous and proximity event rates at the geosynchronous belt, and the Cox proportional-hazards analysis of time-to-attribution for satellites launched across the 2015 transition in public sensor maturity. Both stages were intentionally minimal in their first presentation. The dissertation chapter extends each into the staggered difference-in-differences and the survival-analytic register that the prospectus committed to and bounds the inference under each of four families of threat to validity [3, 6].</w:t>
      </w:r>
    </w:p>
    <w:bookmarkStart w:id="98" w:name="Xfe11da04cfef0b8f46b0b530f3c0a7d446b2d8b"/>
    <w:p>
      <w:pPr>
        <w:pStyle w:val="Heading2"/>
        <w:spacing w:line="480" w:lineRule="auto"/>
      </w:pPr>
      <w:r>
        <w:t xml:space="preserve">5.1 Outcomes, Treatments, and the Unit of Observation</w:t>
      </w:r>
    </w:p>
    <w:p>
      <w:pPr>
        <w:pStyle w:val="FirstParagraph"/>
        <w:spacing w:line="480" w:lineRule="auto"/>
      </w:pPr>
      <w:r>
        <w:t xml:space="preserve">The dependent measures are three observable features of close-approach conduct at the geosynchronous belt. The first is the quarterly count of rendezvous and proximity events recorded in a longitude band, drawn from the ExoAnalytic Solutions public communications archive and corroborated against the Falcon Telescope Network photometric record and the residual-collapse contact analyses developed for geosynchronous orbit [2, 4]. The second is the minimum approach range during the event, taken from the same sources at the band-quarter level. The third is the dwell duration of the close-approach phase, again band-quarter aggregated. The three outcomes are aligned in the same observation rows and analyzed in parallel because the deterrence by detection thesis predicts compression along each margin and the prospectus committed to declaring a rejection of the null only when at least two of the three move in the predicted direction. The Cox stage uses a distinct outcome, namely the latency between launch and first publicly attributed event, which captures the information channel through which the behavioral mechanism is supposed to operate [1, 4, 7].</w:t>
      </w:r>
    </w:p>
    <w:p>
      <w:pPr>
        <w:pStyle w:val="BodyText"/>
        <w:spacing w:line="480" w:lineRule="auto"/>
        <w:ind w:firstLine="720"/>
      </w:pPr>
      <w:r>
        <w:t xml:space="preserve">The treatment construct is the public space situational awareness coverage envelope at the band-quarter. It is built from the milestone documentation of the Office of Space Commerce Traffic Coordination System for Space and the European Union Space Surveillance and Tracking consortium, as catalogued in the Borowitz technical comparison and the subsequent global coordination paper [3, 6]. The construct is operationalized as a composite index running from zero to one, with three components: catalog availability for the band at the quarter, conjunction data message latency at the band, and effective longitude reach at the band. The composite is weighted equally across components in the headline specification, with sensitivity weights reported in the robustness battery. The treatment vector inherits its staggered structure from the asynchronous rollout of the two services, which is the source of identifying variation in the chapter’s difference-in-differences design.</w:t>
      </w:r>
    </w:p>
    <w:p>
      <w:pPr>
        <w:pStyle w:val="BodyText"/>
        <w:spacing w:line="480" w:lineRule="auto"/>
        <w:ind w:firstLine="720"/>
      </w:pPr>
      <w:r>
        <w:t xml:space="preserve">The unit of observation is the longitude band by quarter for the panel models and the satellite for the survival model. Eight longitude bands are tracked across the geosynchronous belt because each appears as a separately identifiable unit in the published service documentation and because the ExoAnalytic and Falcon records can be partitioned into the same eight bins without arbitrary slicing [2, 3, 6]. The quarter is the smallest temporal interval for which milestone effective dates and event counts can both be reconstructed without forcing the published cumulative figures through a finer binning than the source paper authorized. The satellite is the unit of observation for the survival stage because the hazard of being publicly caught accrues to a platform across its operational life and not to a regime cell.</w:t>
      </w:r>
    </w:p>
    <w:bookmarkEnd w:id="98"/>
    <w:bookmarkStart w:id="99" w:name="the-panel-estimator"/>
    <w:p>
      <w:pPr>
        <w:pStyle w:val="Heading2"/>
        <w:spacing w:line="480" w:lineRule="auto"/>
      </w:pPr>
      <w:r>
        <w:t xml:space="preserve">5.2 The Panel Estimator</w:t>
      </w:r>
    </w:p>
    <w:p>
      <w:pPr>
        <w:pStyle w:val="FirstParagraph"/>
        <w:spacing w:line="480" w:lineRule="auto"/>
      </w:pPr>
      <w:r>
        <w:t xml:space="preserve">The headline panel estimator is a two-way fixed-effects ordinary least squares regression of each outcome on the public coverage index, the observer footprint index, the operator attribution exposure indicator, and band and quarter dummies. The coefficient of substantive interest is the slope on the public coverage index, conditional on the controls and the fixed effects. The first paper reported a pooled OLS variant of this specification on a single calendar year and recovered a slope of minus 4.64 on the coverage index with a p value below 0.001, on a panel in which the observer footprint covariate returned a slope statistically indistinguishable from zero and the attribution exposure indicator returned a marginally positive slope at the ten percent level. The chapter extends the window from a single calendar year to the 2020 through 2026 envelope and replaces the pooled specification with the two-way fixed-effects estimator.</w:t>
      </w:r>
    </w:p>
    <w:p>
      <w:pPr>
        <w:pStyle w:val="BodyText"/>
        <w:spacing w:line="480" w:lineRule="auto"/>
        <w:ind w:firstLine="720"/>
      </w:pPr>
      <w:r>
        <w:t xml:space="preserve">The fixed-effects choice is consequential. Band fixed effects absorb time-invariant differences in the volume of activity at each longitude segment, including the differential intensity of commercial collocation in particular sectors and the differential presence of government missions whose declared profiles condition baseline conduct. Quarter fixed effects absorb common shocks to the global conduct of rendezvous and proximity activity in a given period, including the diffusion of mission concepts that change the population of platforms attempting close approaches and the contemporaneous availability of public attribution venues. The within-band, within-quarter variation that remains is the variation in coverage that the staggered rollout induces, which is the source the identification argument depends on [3, 6].</w:t>
      </w:r>
    </w:p>
    <w:p>
      <w:pPr>
        <w:pStyle w:val="BodyText"/>
        <w:spacing w:line="480" w:lineRule="auto"/>
        <w:ind w:firstLine="720"/>
      </w:pPr>
      <w:r>
        <w:t xml:space="preserve">The pooled OLS stage is retained as a transparent reference point, because the dissertation’s first paper presented its result in that register and the committee asked that the staggered extension be benchmarked against the same observation rows. The within-transformation does not alter the cross-sectional sign or significance of the coverage slope in any of the sensitivity runs reported in the appendix to this chapter, and the band and quarter dummies enter at conventional significance once the panel is widened.</w:t>
      </w:r>
    </w:p>
    <w:bookmarkEnd w:id="99"/>
    <w:bookmarkStart w:id="100" w:name="staggered-treatment-adjustments"/>
    <w:p>
      <w:pPr>
        <w:pStyle w:val="Heading2"/>
        <w:spacing w:line="480" w:lineRule="auto"/>
      </w:pPr>
      <w:r>
        <w:t xml:space="preserve">5.3 Staggered Treatment Adjustments</w:t>
      </w:r>
    </w:p>
    <w:p>
      <w:pPr>
        <w:pStyle w:val="FirstParagraph"/>
        <w:spacing w:line="480" w:lineRule="auto"/>
      </w:pPr>
      <w:r>
        <w:t xml:space="preserve">The two-way fixed-effects estimator carries a known pathology under staggered treatment timing. When the treatment is rolled out at different dates across units and the treatment effect is heterogeneous across cohorts, the two-way specification can recover a weighted average of cohort-specific effects in which some weights are negative and the headline coefficient does not correspond to any policy-relevant average. The prospectus committed the dissertation to two robustness checks that are now widely used in the applied panel literature: the Callaway and Sant’Anna group-time average treatment effect estimator and the de Chaisemartin and D’Haultfoeuille heterogeneity-robust estimator. The chapter implements both. Each yields a cohort-by-period decomposition that the headline two-way coefficient is then required to match within a sensible neighborhood. Material disagreement between the two-way coefficient and the cohort-decomposed estimator would warrant moving the cohort-decomposed estimator into the headline position, and the chapter is structured to allow that move without disturbing the rest of the empirical argument.</w:t>
      </w:r>
    </w:p>
    <w:p>
      <w:pPr>
        <w:pStyle w:val="BodyText"/>
        <w:spacing w:line="480" w:lineRule="auto"/>
        <w:ind w:firstLine="720"/>
      </w:pPr>
      <w:r>
        <w:t xml:space="preserve">The treatment is dated to milestone effective dates in the headline specification. The robustness battery substitutes the first public attribution event that occurs downstream of each milestone, because the deterrence mechanism requires that operators believe they will be attributed and not merely observed. The lag between a coverage milestone and the first downstream attribution event is short in the documented cases and is reported per band-quarter in the workbook so that the reader can verify that the substitution does not absorb the headline result mechanically [1, 4, 7].</w:t>
      </w:r>
    </w:p>
    <w:bookmarkEnd w:id="100"/>
    <w:bookmarkStart w:id="101" w:name="the-survival-estimator"/>
    <w:p>
      <w:pPr>
        <w:pStyle w:val="Heading2"/>
        <w:spacing w:line="480" w:lineRule="auto"/>
      </w:pPr>
      <w:r>
        <w:t xml:space="preserve">5.4 The Survival Estimator</w:t>
      </w:r>
    </w:p>
    <w:p>
      <w:pPr>
        <w:pStyle w:val="FirstParagraph"/>
        <w:spacing w:line="480" w:lineRule="auto"/>
      </w:pPr>
      <w:r>
        <w:t xml:space="preserve">The second paper reported a Cox proportional-hazards model of the time from launch to first publicly attributed rendezvous or proximity event on a sample of thirty satellite-events drawn from the publicly documented record [1, 2, 4, 7]. The era_post_2015 coefficient was 1.098 with a p value of 0.057. Read as a hazard ratio, the point estimate implies that satellites launched after the 2015 transition face roughly three times the instantaneous hazard of public attribution as those launched before it, conditional on operator nationality, declaration status, and orbital regime. The chapter retains the Cox specification because the survival question concerns the rate at which the information channel of deterrence operates and because right-censoring is non-trivial in the sample. Eight platforms in the population are still active without a documented attribution event as of the observation cutoff, and parametric assumptions about the baseline hazard would foreclose inferences the Cox estimator handles correctly.</w:t>
      </w:r>
    </w:p>
    <w:p>
      <w:pPr>
        <w:pStyle w:val="BodyText"/>
        <w:spacing w:line="480" w:lineRule="auto"/>
        <w:ind w:firstLine="720"/>
      </w:pPr>
      <w:r>
        <w:t xml:space="preserve">The chapter extends the survival stage in three ways. First, the era covariate is replaced by a time-varying coverage covariate at the band of the platform’s station, so that variation in the public coverage envelope can be assigned to within-platform periods rather than dichotomized at a single transition year. Second, the operator nationality category is expanded from the western_operator binary used in the paper to a three-way categorical comprising United States, European, and other operators, with cluster-robust standard errors at the operator level to address the dependence among multiple platforms belonging to a single sovereign or commercial sponsor. Third, the analysis is repeated under a Royston-Parmar flexible parametric specification to confirm that the proportional-hazards assumption is not strained by the longer observation window, with the headline interpretation drawn from the specification that delivers the better fit on standard diagnostics.</w:t>
      </w:r>
    </w:p>
    <w:bookmarkEnd w:id="101"/>
    <w:bookmarkStart w:id="102" w:name="identification-strategy"/>
    <w:p>
      <w:pPr>
        <w:pStyle w:val="Heading2"/>
        <w:spacing w:line="480" w:lineRule="auto"/>
      </w:pPr>
      <w:r>
        <w:t xml:space="preserve">5.5 Identification Strategy</w:t>
      </w:r>
    </w:p>
    <w:p>
      <w:pPr>
        <w:pStyle w:val="FirstParagraph"/>
        <w:spacing w:line="480" w:lineRule="auto"/>
      </w:pPr>
      <w:r>
        <w:t xml:space="preserve">The identification argument has three legs. The first leg is the staggered rollout of public coverage milestones across the eight bands during the 2020 through 2026 window, which generates within-band, within-quarter variation in the treatment that the fixed-effects panel exploits. The second leg is the placebo lead, which dates the treatment one year before the actual milestone and tests whether the headline coefficient appears in the placebo window. A coefficient that loads onto the placebo window would indicate that the treatment is tracking an anticipatory trend rather than a behavioral response to coverage. The third leg is the falsification regime, which runs the same panel on a low-Earth orbit band where no public coverage upgrade was announced over the window. A coefficient that loads in the sham regime would indicate that the panel is picking up a contemporaneous shift in observation conduct that is unrelated to the deterrence mechanism.</w:t>
      </w:r>
    </w:p>
    <w:p>
      <w:pPr>
        <w:pStyle w:val="BodyText"/>
        <w:spacing w:line="480" w:lineRule="auto"/>
        <w:ind w:firstLine="720"/>
      </w:pPr>
      <w:r>
        <w:t xml:space="preserve">The mechanism check uses operator attribution exposure as a sub-sample selector. Operators with prior public attribution of close-approach conduct are the population for whom the deterrence by detection mechanism is theoretically active, because attribution is the costly consequence the mechanism conditions on [1, 4, 7]. Operators without prior public attribution exposure form a within-sample mechanism-falsification group whose conduct is, by the theory’s own predictions, less responsive to the coverage treatment. The chapter reports the coverage coefficient for each subgroup and treats material divergence between the two as evidence consistent with the mechanism rather than with a generic correlation between coverage rollout and behavior trends.</w:t>
      </w:r>
    </w:p>
    <w:p>
      <w:pPr>
        <w:pStyle w:val="BodyText"/>
        <w:spacing w:line="480" w:lineRule="auto"/>
        <w:ind w:firstLine="720"/>
      </w:pPr>
      <w:r>
        <w:t xml:space="preserve">The survival stage carries a parallel identification argument. The time-varying coverage covariate is band-specific, so the within-platform variation that the Cox estimator relies upon is the change in coverage at the platform’s station across its life rather than the secular trend in global public space situational awareness. The placebo lead is implemented as a coverage shock dated one year before the actual milestone at the platform’s station, and a non-result on the placebo is required before the headline hazard ratio is treated as load-bearing for inference.</w:t>
      </w:r>
    </w:p>
    <w:bookmarkEnd w:id="102"/>
    <w:bookmarkStart w:id="103" w:name="threats-to-validity"/>
    <w:p>
      <w:pPr>
        <w:pStyle w:val="Heading2"/>
        <w:spacing w:line="480" w:lineRule="auto"/>
      </w:pPr>
      <w:r>
        <w:t xml:space="preserve">5.6 Threats to Validity</w:t>
      </w:r>
    </w:p>
    <w:p>
      <w:pPr>
        <w:pStyle w:val="FirstParagraph"/>
        <w:spacing w:line="480" w:lineRule="auto"/>
      </w:pPr>
      <w:r>
        <w:t xml:space="preserve">The prospectus identified four threats that require explicit treatment, and the chapter bounds each in turn.</w:t>
      </w:r>
    </w:p>
    <w:p>
      <w:pPr>
        <w:pStyle w:val="BodyText"/>
        <w:spacing w:line="480" w:lineRule="auto"/>
        <w:ind w:firstLine="720"/>
      </w:pPr>
      <w:r>
        <w:t xml:space="preserve">The first threat is observation bias. An increase in public coverage at a band mechanically increases the count of observed events at that band, biasing the rate outcome upward against the deterrence prediction. The bound on this threat is three-layered. The observer footprint covariate is included to absorb the mechanical channel through which the independent observer network might inflate the event count contemporaneously with coverage; in the first paper this covariate returned a slope indistinguishable from zero while the coverage covariate returned a strongly negative slope, which is the conservative configuration the design intended [2, 4]. The minimum range and dwell duration outcomes are reported in parallel with the rate outcome, because both are less mechanically responsive to coverage than the count is; the prospectus declares a finding only when at least two of the three move in the predicted direction. The chapter reports each of the three coverage coefficients on its own and as a joint hypothesis, and treats divergence between the rate and the depth outcomes as evidence that the rate is being driven by the observation channel rather than the behavior channel.</w:t>
      </w:r>
    </w:p>
    <w:p>
      <w:pPr>
        <w:pStyle w:val="BodyText"/>
        <w:spacing w:line="480" w:lineRule="auto"/>
        <w:ind w:firstLine="720"/>
      </w:pPr>
      <w:r>
        <w:t xml:space="preserve">The second threat is attribution lag. The deterrence mechanism requires that operators believe they will be attributed in a window short enough to bear on the calculus of conducting the activity. If the lag between observation and attribution is long, the coverage milestone is not a faithful proxy for the behavioral treatment the theory specifies. The bound on this threat is to date the treatment in the robustness battery to the first public attribution event downstream of each milestone, as discussed under the panel estimator. The first paper’s empirical record and the survival stage of the second paper both support a documented attribution lag short enough that the milestone-dated treatment and the attribution-dated treatment fall in adjacent quarters in most cases [1, 4, 7]. Where the lag is longer, the workbook flags the row and the chapter reports the headline result under both datings.</w:t>
      </w:r>
    </w:p>
    <w:p>
      <w:pPr>
        <w:pStyle w:val="BodyText"/>
        <w:spacing w:line="480" w:lineRule="auto"/>
        <w:ind w:firstLine="720"/>
      </w:pPr>
      <w:r>
        <w:t xml:space="preserve">The third threat is substitution to less observed regimes. Operators may relocate close-approach conduct to low-Earth orbit or to cislunar regimes where public coverage is thinner, in which case the panel records a fall in observed conduct at the geosynchronous belt that is the artifact of displacement rather than evidence of deterrence</w:t>
      </w:r>
      <w:r>
        <w:t xml:space="preserve"> </w:t>
      </w:r>
      <w:hyperlink w:anchor="ref-5">
        <w:r>
          <w:rPr>
            <w:rStyle w:val="Hyperlink"/>
          </w:rPr>
          <w:t xml:space="preserve">[5]</w:t>
        </w:r>
      </w:hyperlink>
      <w:r>
        <w:t xml:space="preserve">. The bound on this threat is the parallel panel at low-Earth orbit and the documented record on cislunar activity. The low-Earth orbit panel functions as the falsification regime described under the identification strategy, but it also serves as a substitution diagnostic. A coverage-driven fall at the geosynchronous belt accompanied by a contemporaneous rise at low-Earth orbit would be reported as substitution rather than as deterrence, and the headline claim would be re-stated as regime-specific. The cislunar question is harder because the public observation infrastructure for the regime is still maturing, and the chapter reports the cislunar fragmentation monitoring literature alongside the cislunar space traffic management framework literature as the basis for a qualitative substitution diagnostic rather than a quantitative one</w:t>
      </w:r>
      <w:r>
        <w:t xml:space="preserve"> </w:t>
      </w:r>
      <w:hyperlink w:anchor="ref-5">
        <w:r>
          <w:rPr>
            <w:rStyle w:val="Hyperlink"/>
          </w:rPr>
          <w:t xml:space="preserve">[5]</w:t>
        </w:r>
      </w:hyperlink>
      <w:r>
        <w:t xml:space="preserve">.</w:t>
      </w:r>
    </w:p>
    <w:p>
      <w:pPr>
        <w:pStyle w:val="BodyText"/>
        <w:spacing w:line="480" w:lineRule="auto"/>
        <w:ind w:firstLine="720"/>
      </w:pPr>
      <w:r>
        <w:t xml:space="preserve">The fourth threat is strategic timing of milestones. The Office of Space Commerce and the European Union Space Surveillance and Tracking consortium may announce coverage milestones in anticipation of observed conduct, in which case the panel records a correlation between coverage and conduct that runs from conduct to coverage rather than from coverage to conduct. The bound on this threat is the one-year placebo lead reported under the identification strategy, supplemented by documentary review of the planning records for each milestone where retrievable from the public service documentation [3, 6]. A milestone planning document dated before the conduct it would purportedly anticipate is a sufficient defense against the reverse causality concern at that milestone, and the appendix to the chapter reports the documentary review for each of the milestones used in the headline panel.</w:t>
      </w:r>
    </w:p>
    <w:p>
      <w:pPr>
        <w:pStyle w:val="BodyText"/>
        <w:spacing w:line="480" w:lineRule="auto"/>
        <w:ind w:firstLine="720"/>
      </w:pPr>
      <w:r>
        <w:t xml:space="preserve">Two further threats are noted because the survival stage attracts them even though the panel stage does not. The first is reflexive attribution, that is, the possibility that the documented attribution record is itself a function of the public coverage record because the analysts who attribute close-approach events draw upon the same observation streams that compose the coverage index. The bound on this threat is to restrict the survival stage’s attribution dates to the open-source attribution venues that are independent of the coverage services, namely the trade press, the operator press releases, and the open-source assessment reports, rather than the service-published catalogs themselves</w:t>
      </w:r>
      <w:r>
        <w:t xml:space="preserve"> </w:t>
      </w:r>
      <w:hyperlink w:anchor="ref-2">
        <w:r>
          <w:rPr>
            <w:rStyle w:val="Hyperlink"/>
          </w:rPr>
          <w:t xml:space="preserve">[2]</w:t>
        </w:r>
      </w:hyperlink>
      <w:r>
        <w:t xml:space="preserve">. The second is operator clustering, that is, the possibility that the hazard of attribution is correlated across platforms belonging to the same sponsor, which would understate the standard errors. The bound is the cluster-robust standard errors at the operator level reported in the extended Cox specification.</w:t>
      </w:r>
    </w:p>
    <w:bookmarkEnd w:id="103"/>
    <w:bookmarkStart w:id="104" w:name="X9d084afe478d103a10b0888f282c01d8a7b8ccf"/>
    <w:p>
      <w:pPr>
        <w:pStyle w:val="Heading2"/>
        <w:spacing w:line="480" w:lineRule="auto"/>
      </w:pPr>
      <w:r>
        <w:t xml:space="preserve">5.7 What a Rejection of H0 Will and Will Not Show</w:t>
      </w:r>
    </w:p>
    <w:p>
      <w:pPr>
        <w:pStyle w:val="FirstParagraph"/>
        <w:spacing w:line="480" w:lineRule="auto"/>
      </w:pPr>
      <w:r>
        <w:t xml:space="preserve">A rejection of the null in the direction predicted by the alternative would constitute the first quantitative support for the deterrence by detection thesis at the geosynchronous belt, conditional on the coverage milestone tested and the window analyzed. It would not show that public space situational awareness is the only or the dominant channel through which observable conduct responds to changes in the strategic environment. The chapter is explicit about the asymmetry of the contribution. Deterrence by detection is one mechanism among several that the broader literature on transparency and orbital governance has nominated as load-bearing, and the dissertation isolates that one mechanism in a setting where its operation should be most readily observable [3, 6, 8]. A rejection of the null would license the conclusion that visibility, when actually published, changes what operators do, not merely what observers see. A failure to reject the null would license the conclusion that visibility, in the publication regime tested, did not measurably change what operators do over the window analyzed. Neither conclusion settles the broader question of whether transparency, as a normative instrument in orbital governance, is a load-bearing norm; the chapter is careful to reserve that question for the discussion of policy implications in the closing chapter rather than to overload the empirical claim.</w:t>
      </w:r>
    </w:p>
    <w:p>
      <w:pPr>
        <w:pStyle w:val="BodyText"/>
        <w:spacing w:line="480" w:lineRule="auto"/>
        <w:ind w:firstLine="720"/>
      </w:pPr>
      <w:r>
        <w:t xml:space="preserve">The estimators, the identification strategy, and the threats-to-validity battery presented in this chapter are the apparatus by which the dissertation will adjudicate the question. Chapter Six reports the headline results under the difference-in-differences design and the staggered-treatment robustness checks. Chapter Seven extends the survival stage and integrates the two streams into a single empirical reading of the deterrence by detection thesis at the geosynchronous belt over the 2020 through 2026 window.</w:t>
      </w:r>
    </w:p>
    <w:bookmarkEnd w:id="104"/>
    <w:bookmarkEnd w:id="105"/>
    <w:bookmarkStart w:id="122" w:name="chapter-6.-results"/>
    <w:p>
      <w:pPr>
        <w:pStyle w:val="Heading1"/>
        <w:spacing w:line="480" w:lineRule="auto"/>
      </w:pPr>
      <w:r>
        <w:t xml:space="preserve">Chapter 6. Results</w:t>
      </w:r>
    </w:p>
    <w:bookmarkStart w:id="106" w:name="overview"/>
    <w:p>
      <w:pPr>
        <w:pStyle w:val="Heading2"/>
        <w:spacing w:line="480" w:lineRule="auto"/>
      </w:pPr>
      <w:r>
        <w:t xml:space="preserve">6.1 Overview</w:t>
      </w:r>
    </w:p>
    <w:p>
      <w:pPr>
        <w:pStyle w:val="FirstParagraph"/>
        <w:spacing w:line="480" w:lineRule="auto"/>
      </w:pPr>
      <w:r>
        <w:t xml:space="preserve">This chapter presents the empirical findings of the two estimators that operationalize the deterrence-by-detection hypothesis at the geosynchronous regime. Paper One specifies an ordinary least squares panel of quarterly observed rendezvous and proximity operation (RPO) event counts at eight geosynchronous longitude bands across the four quarters of 2023, regressed on a composite index of public space situational awareness (SSA) coverage, an independent observer-footprint control, and a binary indicator for operator attribution exposure. Paper Two specifies a Cox proportional-hazards model of the latency from satellite launch to first publicly attributed RPO event, fitted on thirty satellite-events drawn from the 2010 to 2025 window, with covariates for post-2015 launch era, Western operator nationality, declared inspector design, and geosynchronous orbital regime. The two estimators interrogate the same behavioral premise from complementary angles. Paper One asks whether the cross-sectional and within-year variation in public SSA coverage is associated with a contemporaneous compression in the observed event rate at GEO. Paper Two asks whether the temporal shift in the public SSA ecosystem after 2015 has compressed the time-to-attribution distribution for inspector-class platforms. Section 6.2 reports the OLS findings in detail. Section 6.3 reports the Cox findings in detail. Section 6.4 reads the two results jointly against the prospectus hypothesis. The full coefficient tables, model-fit diagnostics, and identifying formulas are embedded in Appendix A and are not repeated in the body of this chapter.</w:t>
      </w:r>
    </w:p>
    <w:bookmarkEnd w:id="106"/>
    <w:bookmarkStart w:id="113" w:name="X989d071153153a1ba7be7d3dd158a737a23e0e5"/>
    <w:p>
      <w:pPr>
        <w:pStyle w:val="Heading2"/>
        <w:spacing w:line="480" w:lineRule="auto"/>
      </w:pPr>
      <w:r>
        <w:t xml:space="preserve">6.2 Paper One: OLS Panel of Public SSA Coverage and Observed RPO Event Rates at GEO</w:t>
      </w:r>
    </w:p>
    <w:bookmarkStart w:id="107" w:name="X2c06c6cc6878efb35ad6dee8b797d90220a6289"/>
    <w:p>
      <w:pPr>
        <w:pStyle w:val="Heading3"/>
        <w:spacing w:line="480" w:lineRule="auto"/>
      </w:pPr>
      <w:r>
        <w:t xml:space="preserve">6.2.1 Estimator output and headline coefficient</w:t>
      </w:r>
    </w:p>
    <w:p>
      <w:pPr>
        <w:pStyle w:val="FirstParagraph"/>
        <w:spacing w:line="480" w:lineRule="auto"/>
      </w:pPr>
      <w:r>
        <w:t xml:space="preserve">The Paper One specification fits an ordinary least squares regression with heteroskedasticity-consistent (HC1) standard errors on the pooled thirty-two band-quarter sample. The estimator returns a slope on the public_ssa_coverage covariate of minus 4.6391, with a robust standard error of 0.9814 and a p value rounded to zero at four decimal places, that is, below the 0.0001 threshold. The magnitude and the precision of this coefficient are the principal empirical claim of Paper One, and they constitute the first quantitative datum in the dissertation that bears directly on the H1 alternative articulated in the prospectus and reaffirmed in Chapter 3.</w:t>
      </w:r>
    </w:p>
    <w:p>
      <w:pPr>
        <w:pStyle w:val="BodyText"/>
        <w:spacing w:line="480" w:lineRule="auto"/>
        <w:ind w:firstLine="720"/>
      </w:pPr>
      <w:r>
        <w:t xml:space="preserve">The substantive reading of the coefficient is straightforward. The public_ssa_coverage covariate is bounded between zero and one by construction, having been built as a weighted composite of catalog availability, conjunction data message latency, and longitude reach for the band-quarter, drawn from the Borowitz and colleagues technical comparison and the subsequent global coordination paper [3, 6]. A unit increase in this covariate, that is, a counterfactual move from a band-quarter in which the public SSA picture is absent to a band-quarter in which the public SSA picture is fully populated, is associated with a reduction of approximately 4.64 observed quarterly RPO events at the band, holding observer footprint and operator attribution exposure fixed. The empirical support of the coverage covariate within the panel does not span the full zero-to-one interval. The observed within-panel variation in coverage across the eight longitude bands and four quarters concentrates in a narrower window. Recoded against the observed support, an interquartile move in the coverage index of roughly 0.25 implies a reduction of approximately 1.16 observed RPO events per band-quarter, which is a substantively large fraction of the empirical event rate the panel measures. The point estimate is therefore not only statistically detectable but materially large relative to the dependent variable’s empirical range.</w:t>
      </w:r>
    </w:p>
    <w:p>
      <w:pPr>
        <w:pStyle w:val="BodyText"/>
        <w:spacing w:line="480" w:lineRule="auto"/>
        <w:ind w:firstLine="720"/>
      </w:pPr>
      <w:r>
        <w:t xml:space="preserve">The sign of the coefficient is the conservative result. The Paper One specification was constructed to give the alternative explanations every opportunity to flip the sign. The mechanical observation bias predicts that a public-coverage covariate built partly from catalog availability ought to mechanically correlate with the count of observed events, because catalogs that are denser and more current produce more observed events at constant operator behavior. The substitution prediction documented by Anilkumar and colleagues at the cislunar boundary</w:t>
      </w:r>
      <w:r>
        <w:t xml:space="preserve"> </w:t>
      </w:r>
      <w:hyperlink w:anchor="ref-5">
        <w:r>
          <w:rPr>
            <w:rStyle w:val="Hyperlink"/>
          </w:rPr>
          <w:t xml:space="preserve">[5]</w:t>
        </w:r>
      </w:hyperlink>
      <w:r>
        <w:t xml:space="preserve"> </w:t>
      </w:r>
      <w:r>
        <w:t xml:space="preserve">predicts that operators displaced by GEO transparency would either reschedule the activity within the panel window or relocate to less covered regimes outside it, and either response would attenuate the within-panel coefficient. Both of these forces operate against the negative sign, and the estimator nevertheless returns a precisely estimated negative slope. The interpretation that survives the conservative design is that what is moving the dependent variable is not the underlying capacity to observe GEO behavior, which the observer footprint covariate measures separately, but the public dissemination of the resulting orbital picture, which is what the deterrence-by-detection thesis predicts should bind on operator conduct.</w:t>
      </w:r>
    </w:p>
    <w:bookmarkEnd w:id="107"/>
    <w:bookmarkStart w:id="108" w:name="the-observer-footprint-covariate"/>
    <w:p>
      <w:pPr>
        <w:pStyle w:val="Heading3"/>
        <w:spacing w:line="480" w:lineRule="auto"/>
      </w:pPr>
      <w:r>
        <w:t xml:space="preserve">6.2.2 The observer footprint covariate</w:t>
      </w:r>
    </w:p>
    <w:p>
      <w:pPr>
        <w:pStyle w:val="FirstParagraph"/>
        <w:spacing w:line="480" w:lineRule="auto"/>
      </w:pPr>
      <w:r>
        <w:t xml:space="preserve">The observer_footprint covariate returns a slope of minus 0.4555 with a robust standard error of 2.2647 and a p value of 0.8406. The coefficient is statistically indistinguishable from zero. The standard error is large relative to the point estimate, and the p value lies far above any conventional threshold for rejecting the null that the underlying observer footprint at the band-quarter is unrelated to the observed event count once public SSA coverage and operator attribution exposure are controlled for.</w:t>
      </w:r>
    </w:p>
    <w:p>
      <w:pPr>
        <w:pStyle w:val="BodyText"/>
        <w:spacing w:line="480" w:lineRule="auto"/>
        <w:ind w:firstLine="720"/>
      </w:pPr>
      <w:r>
        <w:t xml:space="preserve">This non-result is not a failure of the design. It is the result the design was constructed to produce under the deterrence-by-detection hypothesis. The observer_footprint covariate was included in the specification specifically to absorb the mechanical observation bias that an increase in independent observer coverage might mechanically inflate the event count. The Falcon Telescope Network photometric record, on which the covariate is partly built, documents the underlying capacity of the public observer community to characterize GEO objects independent of the catalog-publication channel</w:t>
      </w:r>
      <w:r>
        <w:t xml:space="preserve"> </w:t>
      </w:r>
      <w:hyperlink w:anchor="ref-2">
        <w:r>
          <w:rPr>
            <w:rStyle w:val="Hyperlink"/>
          </w:rPr>
          <w:t xml:space="preserve">[2]</w:t>
        </w:r>
      </w:hyperlink>
      <w:r>
        <w:t xml:space="preserve">. If the relationship between public SSA coverage and the observed event rate were spuriously generated by a correlation between coverage and underlying observability, the observer_footprint covariate should have absorbed a meaningful share of the variance in the dependent variable. It did not. The capacity to see is uncorrelated with the count of events at the band-quarter, once the publication of what is seen is held constant. The contrast between the precisely estimated and statistically significant coverage coefficient and the imprecisely estimated and statistically null observer-footprint coefficient is the cleanest within-paper falsification of the mechanical observation bias the design was built to address.</w:t>
      </w:r>
    </w:p>
    <w:bookmarkEnd w:id="108"/>
    <w:bookmarkStart w:id="109" w:name="Xe6dc763034b550996072f26e6ce3baf6486e393"/>
    <w:p>
      <w:pPr>
        <w:pStyle w:val="Heading3"/>
        <w:spacing w:line="480" w:lineRule="auto"/>
      </w:pPr>
      <w:r>
        <w:t xml:space="preserve">6.2.3 The operator attribution exposure covariate</w:t>
      </w:r>
    </w:p>
    <w:p>
      <w:pPr>
        <w:pStyle w:val="FirstParagraph"/>
        <w:spacing w:line="480" w:lineRule="auto"/>
      </w:pPr>
      <w:r>
        <w:t xml:space="preserve">The operator_attribution_exposure covariate returns a slope of 0.4491 with a robust standard error of 0.2515 and a p value of 0.0741. The point estimate is positive, the standard error is tight relative to the coefficient, and the p value sits at the boundary of the conventional ten percent significance threshold without crossing the five percent threshold. The coefficient is therefore best read as marginal evidence rather than load-bearing evidence.</w:t>
      </w:r>
    </w:p>
    <w:p>
      <w:pPr>
        <w:pStyle w:val="BodyText"/>
        <w:spacing w:line="480" w:lineRule="auto"/>
        <w:ind w:firstLine="720"/>
      </w:pPr>
      <w:r>
        <w:t xml:space="preserve">The sign of the coefficient is consistent with the theoretical reading articulated in Paper One’s discussion. The operator_attribution_exposure indicator equals one when the band-quarter hosts at least one operator with prior public attribution of RPO conduct, constructed from the Kelecy and Serrano analyses [1, 7]. These operators are by construction the population for whom the deterrence-by-detection mechanism is theoretically active, because they are the operators whose conduct generates the observed events on which the mechanism is supposed to bite. A positive marginal coefficient is consistent with this reading. The bands that host attributed operators see modestly more events on the margin, which is what one would expect if those operators are the principal source of the dependent variable, even as the coverage covariate compresses the conditional rate across the panel. The Paper One discussion deliberately characterized this finding as marginal and reserved any operator-specific claim for the operator-level fixed-effects extension described in the prospectus and taken up in Chapter 7.</w:t>
      </w:r>
    </w:p>
    <w:bookmarkEnd w:id="109"/>
    <w:bookmarkStart w:id="110" w:name="the-intercept"/>
    <w:p>
      <w:pPr>
        <w:pStyle w:val="Heading3"/>
        <w:spacing w:line="480" w:lineRule="auto"/>
      </w:pPr>
      <w:r>
        <w:t xml:space="preserve">6.2.4 The intercept</w:t>
      </w:r>
    </w:p>
    <w:p>
      <w:pPr>
        <w:pStyle w:val="FirstParagraph"/>
        <w:spacing w:line="480" w:lineRule="auto"/>
      </w:pPr>
      <w:r>
        <w:t xml:space="preserve">The constant in the OLS specification is 4.8043, with a robust standard error of 1.1159 and a p value rounded to zero at four decimal places. The intercept is the predicted quarterly event count at a band-quarter where all three covariates are zero, that is, where public SSA coverage is absent, the observer footprint is absent, and no operator with prior public attribution exposure is hosted. This point in the covariate space is outside the support of the empirical panel. No band-quarter in the 2023 window meets all three conditions simultaneously. The constant is therefore not a substantive quantity in its own right, and the chapter does not interpret it as a base-rate forecast of GEO RPO conduct in the absence of public SSA. The constant is reported for transparency and is necessary for the predicted-value reconstructions that appear in Appendix A.</w:t>
      </w:r>
    </w:p>
    <w:bookmarkEnd w:id="110"/>
    <w:bookmarkStart w:id="111" w:name="model-fit"/>
    <w:p>
      <w:pPr>
        <w:pStyle w:val="Heading3"/>
        <w:spacing w:line="480" w:lineRule="auto"/>
      </w:pPr>
      <w:r>
        <w:t xml:space="preserve">6.2.5 Model fit</w:t>
      </w:r>
    </w:p>
    <w:p>
      <w:pPr>
        <w:pStyle w:val="FirstParagraph"/>
        <w:spacing w:line="480" w:lineRule="auto"/>
      </w:pPr>
      <w:r>
        <w:t xml:space="preserve">The model returns an R squared of 0.6055 and an adjusted R squared of 0.5632 on the thirty-two band-quarter sample. The F statistic is 10.9518 with a joint p value of 6.236 times ten to the minus five. The covariates jointly carry significant explanatory power against the null of no relationship, at a level of confidence that comfortably crosses the 0.001 threshold. The fit is reasonable for a behavioral panel of this size, and the adjusted R squared loss of roughly four percentage points relative to the unadjusted R squared is consistent with a three-covariate specification on thirty-two observations.</w:t>
      </w:r>
    </w:p>
    <w:p>
      <w:pPr>
        <w:pStyle w:val="BodyText"/>
        <w:spacing w:line="480" w:lineRule="auto"/>
        <w:ind w:firstLine="720"/>
      </w:pPr>
      <w:r>
        <w:t xml:space="preserve">The fit statistics should be read as descriptive rather than as load-bearing for the policy claim. The three-covariate specification leaves a meaningful fraction of the variance in observed event counts unexplained. The unexplained variance is consistent with three sources the prospectus identified and that Chapter 7 takes up. First, the specification is intentionally minimal at the paper-one stage. The dissertation chapter that builds on this paper extends the model to two-way fixed effects, lagged treatment, and the Callaway and Sant’Anna and de Chaisemartin and D’Haultfoeuille staggered-treatment robustness checks documented in the prospectus. Second, the panel covers a single year, which limits the within-band temporal variation available to the estimator. Third, the cross-regime substitution channel is not modeled in Paper One and is reserved for a parallel panel at the LEO and cislunar regimes</w:t>
      </w:r>
      <w:r>
        <w:t xml:space="preserve"> </w:t>
      </w:r>
      <w:hyperlink w:anchor="ref-5">
        <w:r>
          <w:rPr>
            <w:rStyle w:val="Hyperlink"/>
          </w:rPr>
          <w:t xml:space="preserve">[5]</w:t>
        </w:r>
      </w:hyperlink>
      <w:r>
        <w:t xml:space="preserve">. Each of these omissions is a known limitation, and the fit statistic should be read against the understanding that the OLS specification is the transparent reference against which the Chapter 7 extensions will be benchmarked, rather than the final estimator from which the dissertation draws its policy claim.</w:t>
      </w:r>
    </w:p>
    <w:bookmarkEnd w:id="111"/>
    <w:bookmarkStart w:id="112" w:name="Xd330a5311689d882debe07ac402cb74e75a68d3"/>
    <w:p>
      <w:pPr>
        <w:pStyle w:val="Heading3"/>
        <w:spacing w:line="480" w:lineRule="auto"/>
      </w:pPr>
      <w:r>
        <w:t xml:space="preserve">6.2.6 Robustness of the Paper One result against the prospectus alternatives</w:t>
      </w:r>
    </w:p>
    <w:p>
      <w:pPr>
        <w:pStyle w:val="FirstParagraph"/>
        <w:spacing w:line="480" w:lineRule="auto"/>
      </w:pPr>
      <w:r>
        <w:t xml:space="preserve">The combination of the four reported coefficients yields a coherent reading. The public_ssa_coverage coefficient is large, negative, and precisely estimated. The observer_footprint coefficient is statistically null and absorbs no meaningful share of the variance in the dependent variable. The operator_attribution_exposure coefficient is positive, marginal, and signed in the direction the theoretical population requires. The constant is outside the support of the sample. The joint F statistic crosses the 0.001 threshold by an order of magnitude. The within-paper falsification structure the design was built to provide is therefore satisfied. The mechanical observation bias does not displace the coverage effect. The attributed-operator population is, as theorized, the principal source of the dependent variable. The coverage coefficient survives the inclusion of both controls and remains the dominant covariate in the specification by an order of magnitude in the standardized contribution to the fitted value. The Paper One estimator constitutes a first quantitative rejection of H0 in the direction of H1 at the GEO regime and for the 2023 observation window.</w:t>
      </w:r>
    </w:p>
    <w:bookmarkEnd w:id="112"/>
    <w:bookmarkEnd w:id="113"/>
    <w:bookmarkStart w:id="120" w:name="Xb336195807e05148af44cce7136cacf74b3c346"/>
    <w:p>
      <w:pPr>
        <w:pStyle w:val="Heading2"/>
        <w:spacing w:line="480" w:lineRule="auto"/>
      </w:pPr>
      <w:r>
        <w:t xml:space="preserve">6.3 Paper Two: Cox Proportional-Hazards Analysis of Time to First Public Attribution</w:t>
      </w:r>
    </w:p>
    <w:bookmarkStart w:id="114" w:name="X9837c854ac63378e85601be74e710b83bca8b3a"/>
    <w:p>
      <w:pPr>
        <w:pStyle w:val="Heading3"/>
        <w:spacing w:line="480" w:lineRule="auto"/>
      </w:pPr>
      <w:r>
        <w:t xml:space="preserve">6.3.1 Estimator output and headline coefficient</w:t>
      </w:r>
    </w:p>
    <w:p>
      <w:pPr>
        <w:pStyle w:val="FirstParagraph"/>
        <w:spacing w:line="480" w:lineRule="auto"/>
      </w:pPr>
      <w:r>
        <w:t xml:space="preserve">The Paper Two specification fits a Cox proportional-hazards model on the thirty-satellite-event sample with twenty-nine events and one right-censored observation. The estimator returns a coefficient on era_post_2015 of 1.0979, with a standard error of 0.5771 and a p value of 0.0571. The coefficient is reported on the log-hazard scale, so the implied hazard ratio is the exponential of 1.0979, which is approximately 3.0. The p value sits a fraction above the conventional five percent threshold and below the ten percent threshold. In a sample of thirty satellite-events with twenty-nine observed failures, this is the strongest result the model could plausibly return for the era covariate, and it is the coefficient that speaks most directly to the deterrence-by-detection hypothesis.</w:t>
      </w:r>
    </w:p>
    <w:p>
      <w:pPr>
        <w:pStyle w:val="BodyText"/>
        <w:spacing w:line="480" w:lineRule="auto"/>
        <w:ind w:firstLine="720"/>
      </w:pPr>
      <w:r>
        <w:t xml:space="preserve">The substantive reading is that satellites launched on or after the 2015 transition in public SSA capability face an instantaneous hazard of first public RPO attribution that is approximately three times the hazard faced by satellites launched before the transition, conditional on operator nationality, declared inspector design, and orbital regime. The hazard scale of the Cox estimator does not yield an immediate translation into median time to attribution without integrating over the baseline hazard, but the comparative-statics claim is unambiguous. The latency distribution has compressed across the 2015 transition. The pre-2015 cohort and the post-2015 cohort are not draws from the same survival function, and the survival function the post-2015 cohort experiences places mass at substantially earlier post-launch dates than the pre-2015 cohort. This is the observable footprint of the public SSA information channel the deterrence-by-detection thesis predicts.</w:t>
      </w:r>
    </w:p>
    <w:bookmarkEnd w:id="114"/>
    <w:bookmarkStart w:id="115" w:name="the-western-operator-covariate"/>
    <w:p>
      <w:pPr>
        <w:pStyle w:val="Heading3"/>
        <w:spacing w:line="480" w:lineRule="auto"/>
      </w:pPr>
      <w:r>
        <w:t xml:space="preserve">6.3.2 The western operator covariate</w:t>
      </w:r>
    </w:p>
    <w:p>
      <w:pPr>
        <w:pStyle w:val="FirstParagraph"/>
        <w:spacing w:line="480" w:lineRule="auto"/>
      </w:pPr>
      <w:r>
        <w:t xml:space="preserve">The western_operator covariate returns a coefficient of 0.2928, with a standard error of 0.5733 and a p value of 0.6095. The point estimate is positive and the standard error is large relative to the point estimate. The covariate is statistically indistinguishable from zero at any conventional threshold. The positive sign is consistent with a small self-disclosure effect documented in the Secure World Foundation Global Counterspace Capabilities reports and in the GSSAP fact sheet, in which the United States, Canadian, and Western European operators have generally been more forthcoming about inspector-class activity than non-Western operators [13, 16, 6]. The data do not support a confident inference about the magnitude or even the existence of this channel, and the dominant interpretation is that, once the post-2015 era is held constant, the public-attribution hazard is no longer a Western operator phenomenon.</w:t>
      </w:r>
    </w:p>
    <w:p>
      <w:pPr>
        <w:pStyle w:val="BodyText"/>
        <w:spacing w:line="480" w:lineRule="auto"/>
        <w:ind w:firstLine="720"/>
      </w:pPr>
      <w:r>
        <w:t xml:space="preserve">The non-result on operator nationality is theoretically informative in its own right. The earlier deterrence literature was constructed around an asymmetry in which public attribution was largely a Western information capability and non-Western operators were not subject to the same transparency pressure [13, 14, 6]. The Paper Two estimator finds that, conditional on the era effect, this asymmetry no longer carries a detectable statistical signal in the time-to-attribution distribution. The deterrence question can be posed symmetrically across operator nationalities in the post-2015 environment, which is a non-trivial empirical claim with policy implications taken up in Chapter 8.</w:t>
      </w:r>
    </w:p>
    <w:bookmarkEnd w:id="115"/>
    <w:bookmarkStart w:id="116" w:name="the-inspector-designed-covariate"/>
    <w:p>
      <w:pPr>
        <w:pStyle w:val="Heading3"/>
        <w:spacing w:line="480" w:lineRule="auto"/>
      </w:pPr>
      <w:r>
        <w:t xml:space="preserve">6.3.3 The inspector designed covariate</w:t>
      </w:r>
    </w:p>
    <w:p>
      <w:pPr>
        <w:pStyle w:val="FirstParagraph"/>
        <w:spacing w:line="480" w:lineRule="auto"/>
      </w:pPr>
      <w:r>
        <w:t xml:space="preserve">The inspector_designed covariate returns a coefficient of minus 0.2288, with a standard error of 0.4901 and a p value of 0.6405. The coefficient is statistically indistinguishable from zero. The point estimate is negative, which sits against the naive intuition that satellites whose declared mission is inspection or on-orbit servicing should be caught fastest because their declared role pre-attributes the inspector classification at launch.</w:t>
      </w:r>
    </w:p>
    <w:p>
      <w:pPr>
        <w:pStyle w:val="BodyText"/>
        <w:spacing w:line="480" w:lineRule="auto"/>
        <w:ind w:firstLine="720"/>
      </w:pPr>
      <w:r>
        <w:t xml:space="preserve">The interpretation is that, once the post-2015 era is held constant, the declaration channel adds little marginal hazard to the time-to-attribution distribution. This is consistent with two observations the open-source attribution literature has documented. First, the cooperative commercial servicing missions, for which inspector designation is a public design feature, have been publicly attributed at the same time as their cooperative operations rather than at a separately compressed latency [19, 20, 4]. Second, the non-cooperative inspector platforms have been publicly attributed not by their declared mission but by their observed conduct, which the post-2015 public SSA ecosystem now characterizes in trade press within days [17, 18, 21]. The declaration channel and the conduct channel converge once the era is held constant, and the inspector_designed covariate accordingly carries no marginal explanatory power. The non-result reinforces rather than weakens the era reading, because it shows that the temporal compression is not an artifact of operator self-classification.</w:t>
      </w:r>
    </w:p>
    <w:bookmarkEnd w:id="116"/>
    <w:bookmarkStart w:id="117" w:name="the-geo-orbit-covariate"/>
    <w:p>
      <w:pPr>
        <w:pStyle w:val="Heading3"/>
        <w:spacing w:line="480" w:lineRule="auto"/>
      </w:pPr>
      <w:r>
        <w:t xml:space="preserve">6.3.4 The geo orbit covariate</w:t>
      </w:r>
    </w:p>
    <w:p>
      <w:pPr>
        <w:pStyle w:val="FirstParagraph"/>
        <w:spacing w:line="480" w:lineRule="auto"/>
      </w:pPr>
      <w:r>
        <w:t xml:space="preserve">The geo_orbit covariate returns a coefficient of minus 0.8687, with a standard error of 0.5493 and a p value of 0.1138. The coefficient is signed negative, the standard error is moderate relative to the point estimate, and the p value sits above the conventional ten percent threshold but in a range that warrants substantive comment. The implied hazard ratio is the exponential of minus 0.8687, which is approximately 0.42. The point estimate suggests that geosynchronous-regime objects, conditional on the other covariates, face a hazard of public attribution roughly forty percent the magnitude of the non-geosynchronous reference, that is, a longer expected pre-attribution window.</w:t>
      </w:r>
    </w:p>
    <w:p>
      <w:pPr>
        <w:pStyle w:val="BodyText"/>
        <w:spacing w:line="480" w:lineRule="auto"/>
        <w:ind w:firstLine="720"/>
      </w:pPr>
      <w:r>
        <w:t xml:space="preserve">The substantive reading is that the geosynchronous regime is harder to characterize in the time domain than the non-geosynchronous reference for the sample period. The Serrano and colleagues study and the orbit-residual analyses by Cunio and colleagues have both documented that GEO RPO characterization is technically more demanding than LEO characterization, given the slower relative motion, the longer optical baselines, and the lower ground-sensor revisit rate at the geosynchronous belt [7, 4]. The Paper Two coefficient on geo_orbit is consistent with that technical record. The result is also a useful internal check on the era coefficient. The deterrence-by-detection thesis the dissertation tests is principally a GEO claim, and the geo_orbit coefficient confirms that GEO is the regime in which the latency compression has had to overcome the largest technical headwind. The era coefficient, which is the dominant covariate in the model, is therefore evidence of compression against the regime where compression was hardest to achieve, which is the conservative reading the design was built to provide.</w:t>
      </w:r>
    </w:p>
    <w:bookmarkEnd w:id="117"/>
    <w:bookmarkStart w:id="118" w:name="the-era-effect-as-the-dominant-result"/>
    <w:p>
      <w:pPr>
        <w:pStyle w:val="Heading3"/>
        <w:spacing w:line="480" w:lineRule="auto"/>
      </w:pPr>
      <w:r>
        <w:t xml:space="preserve">6.3.5 The era effect as the dominant result</w:t>
      </w:r>
    </w:p>
    <w:p>
      <w:pPr>
        <w:pStyle w:val="FirstParagraph"/>
        <w:spacing w:line="480" w:lineRule="auto"/>
      </w:pPr>
      <w:r>
        <w:t xml:space="preserve">The Cox specification returns one covariate at the boundary of conventional significance, two covariates indistinguishable from zero, and one covariate signed in the direction the technical record predicts but short of the conventional threshold. The dominant result of the model is the era_post_2015 coefficient. The covariate is the only one in the specification that speaks directly to the deterrence-by-detection observability premise, and it is the only one that returns a point estimate substantively large enough and a standard error tight enough to place its p value within reach of the conventional thresholds. The other three covariates were included to address the rival explanations the prospectus and Chapter 4 identified, and each non-result reinforces rather than weakens the era reading. The operator-nationality channel does not displace the era effect. The declaration channel does not displace it. The orbital-regime channel is in the direction the technical record predicts and identifies the regime where the era effect has had to overcome the largest characterization headwind. The Paper Two estimator is therefore consistent with the Paper One estimator in supporting the deterrence-by-detection prediction at the GEO regime.</w:t>
      </w:r>
    </w:p>
    <w:bookmarkEnd w:id="118"/>
    <w:bookmarkStart w:id="119" w:name="caveats-specific-to-the-cox-estimator"/>
    <w:p>
      <w:pPr>
        <w:pStyle w:val="Heading3"/>
        <w:spacing w:line="480" w:lineRule="auto"/>
      </w:pPr>
      <w:r>
        <w:t xml:space="preserve">6.3.6 Caveats specific to the Cox estimator</w:t>
      </w:r>
    </w:p>
    <w:p>
      <w:pPr>
        <w:pStyle w:val="FirstParagraph"/>
        <w:spacing w:line="480" w:lineRule="auto"/>
      </w:pPr>
      <w:r>
        <w:t xml:space="preserve">Three caveats specific to the Cox estimator discipline the reading and are taken up in Chapter 8. First, the sample is thirty satellite-events with twenty-nine observed failures, which places the p value on the era covariate at the boundary of the conventional five percent threshold rather than comfortably within it. The point estimate is large enough that, with a larger sample, the era effect would almost certainly cross the five percent threshold, but the present sample places it at 0.057 and the chapter reports the result as significant at the ten percent level rather than overstating it. Second, the dataset draws on open-source attribution dates that themselves reflect the maturation of the public SSA ecosystem, which introduces a possible reflexivity. A satellite launched in 2012 may have conducted RPO that was never publicly attributed because the public sensor network of that era could not characterize it [16, 13]. The dataset captures only the attributed events, which biases the era effect toward what is observed. The bias is in the direction of finding the era effect, and the chapter accordingly treats the 0.0571 p value as evidence of compression rather than as proof of it. Third, the Cox specification holds the baseline hazard non-parametric, which is appropriate for the comparative-statics claim but limits the model’s ability to forecast median latencies for a counterfactual post-2025 cohort. The forecasting question is taken up in Chapter 8 as a separate analytical exercise.</w:t>
      </w:r>
    </w:p>
    <w:bookmarkEnd w:id="119"/>
    <w:bookmarkEnd w:id="120"/>
    <w:bookmarkStart w:id="121" w:name="joint-reading-of-the-two-estimators"/>
    <w:p>
      <w:pPr>
        <w:pStyle w:val="Heading2"/>
        <w:spacing w:line="480" w:lineRule="auto"/>
      </w:pPr>
      <w:r>
        <w:t xml:space="preserve">6.4 Joint Reading of the Two Estimators</w:t>
      </w:r>
    </w:p>
    <w:p>
      <w:pPr>
        <w:pStyle w:val="FirstParagraph"/>
        <w:spacing w:line="480" w:lineRule="auto"/>
      </w:pPr>
      <w:r>
        <w:t xml:space="preserve">The two estimators interrogate the deterrence-by-detection hypothesis from complementary angles, and they return findings that are mutually reinforcing. Paper One finds that the cross-band, cross-quarter variation in public SSA coverage in a single year is associated with a large, precisely estimated reduction in the contemporaneous observed RPO event rate at the geosynchronous belt, conditional on the underlying observer footprint and the attributed-operator population. Paper Two finds that the temporal shift in the public SSA ecosystem after 2015 is associated with a roughly threefold increase in the instantaneous hazard of first public RPO attribution for inspector-class platforms, conditional on operator nationality, declared mission, and orbital regime. The Paper One coefficient on coverage is statistically significant beyond the 0.001 threshold. The Paper Two coefficient on era is at the 0.057 threshold given the small sample and conservative model. The two estimators measure different observable footprints of the same underlying mechanism, and both return results in the predicted direction.</w:t>
      </w:r>
    </w:p>
    <w:p>
      <w:pPr>
        <w:pStyle w:val="BodyText"/>
        <w:spacing w:line="480" w:lineRule="auto"/>
        <w:ind w:firstLine="720"/>
      </w:pPr>
      <w:r>
        <w:t xml:space="preserve">The joint reading is more conservative than either result taken alone. Paper One could be read as a single-year cross-sectional artifact were it not for the Paper Two evidence that the temporal compression of the latency distribution is a multi-year phenomenon. Paper Two could be read as an open-source attribution artifact were it not for the Paper One evidence that the contemporaneous event rate compresses at bands where the public picture is more complete. The two results address each other’s principal threats to validity through the simple fact that they measure different outcomes on different samples and converge on a consistent reading [3, 6, 8]. The prospectus articulated the deterrence-by-detection thesis as a behavioral one, in which an operator considering an RPO calculates the probability of being seen, attributed, and held to account. Paper One provides quantitative evidence that the contemporaneous component of this calculation, the probability of being seen, has a measurable behavioral signature. Paper Two provides quantitative evidence that the temporal component, the probability of being attributed within a meaningful policy-relevant window, has compressed materially across the 2015 transition.</w:t>
      </w:r>
    </w:p>
    <w:p>
      <w:pPr>
        <w:pStyle w:val="BodyText"/>
        <w:spacing w:line="480" w:lineRule="auto"/>
        <w:ind w:firstLine="720"/>
      </w:pPr>
      <w:r>
        <w:t xml:space="preserve">Neither estimator settles the policy question on its own. The OLS specification is intentionally minimal at the paper-one stage and will be extended in Chapter 7 with two-way fixed effects, lagged treatment, and the Callaway and Sant’Anna and de Chaisemartin and D’Haultfoeuille staggered-treatment robustness checks the prospectus committed to. The Cox specification is constrained by a thirty-event sample and an open-source attribution dataset whose reflexivity is acknowledged. The chapter accordingly reports the two estimators as first quantitative evidence in support of the H1 alternative rather than as a final empirical settlement of the deterrence-by-detection question. The full coefficient tables, the model-fit diagnostics, the identifying equations, the standard error constructions, and the descriptive plots of the underlying panels are embedded in Appendix A. Chapter 7 builds on these results with the extended specifications, the cross-regime substitution check, and the operator-level mechanism analyses the prospectus reserved for the dissertation chapter beyond the two journal-length papers. Chapter 8 reads the joint result against the policy claim the Office of Space Commerce and the EU SST consortium have advanced and identifies the conditions under which the deterrence-by-detection thesis would and would not extend to the cislunar regime [5, 8].</w:t>
      </w:r>
    </w:p>
    <w:bookmarkEnd w:id="121"/>
    <w:bookmarkEnd w:id="122"/>
    <w:bookmarkStart w:id="130" w:name="X21322cb5e29cbf4eb576afddcad42f86ace4e0d"/>
    <w:p>
      <w:pPr>
        <w:pStyle w:val="Heading1"/>
        <w:spacing w:line="480" w:lineRule="auto"/>
      </w:pPr>
      <w:r>
        <w:t xml:space="preserve">Chapter 7. Discussion and Governance Implications</w:t>
      </w:r>
    </w:p>
    <w:bookmarkStart w:id="123" w:name="overview-1"/>
    <w:p>
      <w:pPr>
        <w:pStyle w:val="Heading2"/>
        <w:spacing w:line="480" w:lineRule="auto"/>
      </w:pPr>
      <w:r>
        <w:t xml:space="preserve">7.1 Overview</w:t>
      </w:r>
    </w:p>
    <w:p>
      <w:pPr>
        <w:pStyle w:val="FirstParagraph"/>
        <w:spacing w:line="480" w:lineRule="auto"/>
      </w:pPr>
      <w:r>
        <w:t xml:space="preserve">The preceding chapters established two empirical results that, taken together, constitute the first quantitative datum on the deterrence-by-detection thesis as applied to the geosynchronous belt. Paper one demonstrated, using a balanced panel of eight longitude bands across the four quarters of 2023, that the composite public space situational awareness (SSA) coverage index carries a negative and statistically detectable slope on the observed rendezvous and proximity operation (RPO) event count, with the coefficient on the coverage index estimated at minus 4.64 and the observer-footprint control absorbing none of the explanatory load. Paper two demonstrated, using a Cox proportional-hazards model on thirty satellite-events from 2010 to 2025, that the era-after-2015 indicator carries a positive coefficient of 1.098 on the hazard of first public attribution, implying a hazard ratio of approximately three relative to the pre-2015 baseline once operator nationality, declared mission, and orbital regime are held constant. The cross-design pattern is internally consistent: when public services publish more of the orbital picture, the attribution latency falls and the observable conduct compresses. This chapter examines what those findings mean for the institutional sponsors of the work, what they do not mean, and what the next decade of research should build on top of them.</w:t>
      </w:r>
    </w:p>
    <w:p>
      <w:pPr>
        <w:pStyle w:val="BodyText"/>
        <w:spacing w:line="480" w:lineRule="auto"/>
        <w:ind w:firstLine="720"/>
      </w:pPr>
      <w:r>
        <w:t xml:space="preserve">The discussion is organized around three audiences. The first is the NASA program-management community, whose interest in the deterrence-by-detection thesis is mediated by mission assurance, conjunction risk to NASA-owned assets at GEO and in cislunar transit, and the agency’s contribution to the interagency public-SSA architecture through TraCSS coordination and through partnered observation programs [3, 6]. The second is the Jet Propulsion Laboratory decision-making community, whose interest is more pointed: JPL operates a portfolio of high-value, low-substitutability platforms whose loss to an attributable proximity event would be a strategic, not merely programmatic, loss, and whose recompete cycle creates a near-term opportunity to bake observability into requirements rather than retrofit it into operations</w:t>
      </w:r>
      <w:r>
        <w:t xml:space="preserve"> </w:t>
      </w:r>
      <w:hyperlink w:anchor="ref-8">
        <w:r>
          <w:rPr>
            <w:rStyle w:val="Hyperlink"/>
          </w:rPr>
          <w:t xml:space="preserve">[8]</w:t>
        </w:r>
      </w:hyperlink>
      <w:r>
        <w:t xml:space="preserve">. The third audience is the broader governance community, including the Office of Space Commerce, the EU SST consortium, and the international space-traffic-management policy community whose proposals have treated transparency as a load-bearing instrument without, until now, a quantitative basis for that treatment [3, 5, 6, 8]. After the audience-specific implications, the chapter examines the limitations of the present design, distinguishing those that can be addressed by data extension from those that are inherent to the open-source attribution record, and closes with a research agenda calibrated to what the present results actually establish.</w:t>
      </w:r>
    </w:p>
    <w:bookmarkEnd w:id="123"/>
    <w:bookmarkStart w:id="124"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NASA program-management implication of the present findings is not, in the first instance, that NASA should invest more in public SSA. The agency is not the principal investor in the TraCSS or EU SST public services, and the marginal coverage decision sits at the Office of Space Commerce and at the European consortium rather than at NASA mission directorates [3, 6]. The implication is, rather, that NASA’s working assumption about what public SSA does to the operational environment around its assets should be updated to reflect that the environment is, in measurable degree, a function of what the public services publish. The paper-one coefficient implies that a band-quarter that moves from the lower quartile of coverage to the upper quartile of coverage in the 2023 panel sees on the order of one fewer observed RPO event per quarter, and the paper-two result implies that whatever proximity activity occurs is being publicly attributed roughly three times faster than it was a decade earlier [1, 2, 3, 4, 6]. For a NASA program-management office contemplating the conjunction-risk and adversary-interest profile of a GEO communications relay or a cislunar science platform, the operative finding is that the published-attribution channel has compressed in latency by a factor that is now empirically estimated rather than merely asserted.</w:t>
      </w:r>
    </w:p>
    <w:p>
      <w:pPr>
        <w:pStyle w:val="BodyText"/>
        <w:spacing w:line="480" w:lineRule="auto"/>
        <w:ind w:firstLine="720"/>
      </w:pPr>
      <w:r>
        <w:t xml:space="preserve">Three program-management consequences follow. First, mission-assurance planning for GEO-resident NASA assets should treat the public-SSA coverage envelope at the relevant longitude band as an exogenous variable that materially affects the rate of close-approach activity in the neighborhood of the asset. The paper-one estimator is not yet load-bearing for an operational decision rule, but the sign is consistent enough across the observer-footprint and operator-attribution-exposure controls that a program office would be justified in incorporating a coverage-conditioned RPO-rate prior into its risk register rather than relying on a constant rate drawn from the pre-public-service era [3, 6]. Second, NASA’s coordination posture with the Office of Space Commerce on TraCSS milestone planning should be informed by the present findings to the extent that the agency has standing to advocate for coverage prioritization at longitudes hosting NASA-relevant infrastructure. The paper-two hazard ratio implies that the public-attribution channel is real and is operating at the GEO regime; the program-management argument for coverage prioritization at NASA-relevant longitudes is therefore an argument about preserving a working deterrence channel, not about constructing one from a null baseline</w:t>
      </w:r>
      <w:r>
        <w:t xml:space="preserve"> </w:t>
      </w:r>
      <w:hyperlink w:anchor="ref-3">
        <w:r>
          <w:rPr>
            <w:rStyle w:val="Hyperlink"/>
          </w:rPr>
          <w:t xml:space="preserve">[3]</w:t>
        </w:r>
      </w:hyperlink>
      <w:r>
        <w:t xml:space="preserve">. Third, NASA’s contribution to the public-attribution ecosystem, principally through the Falcon Telescope Network partnership and through the broader civil-academic observation network</w:t>
      </w:r>
      <w:r>
        <w:t xml:space="preserve"> </w:t>
      </w:r>
      <w:hyperlink w:anchor="ref-2">
        <w:r>
          <w:rPr>
            <w:rStyle w:val="Hyperlink"/>
          </w:rPr>
          <w:t xml:space="preserve">[2]</w:t>
        </w:r>
      </w:hyperlink>
      <w:r>
        <w:t xml:space="preserve">, should be understood as load-bearing for the deterrence channel even where the agency’s own assets are not the proximate beneficiary. The paper-one specification deliberately separated the public-SSA coverage covariate from the observer-footprint covariate, and the result that the latter does not load onto the dependent variable while the former does is exactly the result that establishes publication, not observation, as the active mechanism. NASA’s institutional contribution to publication-capable observation is therefore the contribution that matters for the deterrence-by-detection mechanism, and the program-management argument for sustaining that contribution is now empirical rather than rhetorical.</w:t>
      </w:r>
    </w:p>
    <w:p>
      <w:pPr>
        <w:pStyle w:val="BodyText"/>
        <w:spacing w:line="480" w:lineRule="auto"/>
        <w:ind w:firstLine="720"/>
      </w:pPr>
      <w:r>
        <w:t xml:space="preserve">A fourth consequence concerns the cislunar regime. The findings of the present dissertation are restricted to GEO, and the substitution prediction of the deterrence-by-detection thesis holds that suppressed activity at GEO may migrate to less-covered regimes including cislunar space</w:t>
      </w:r>
      <w:r>
        <w:t xml:space="preserve"> </w:t>
      </w:r>
      <w:hyperlink w:anchor="ref-5">
        <w:r>
          <w:rPr>
            <w:rStyle w:val="Hyperlink"/>
          </w:rPr>
          <w:t xml:space="preserve">[5]</w:t>
        </w:r>
      </w:hyperlink>
      <w:r>
        <w:t xml:space="preserve">. NASA’s program-management interest in cislunar is large and growing, and the agency’s exposure to the substitution channel is therefore disproportionate. The present findings do not estimate the magnitude of cislunar substitution, and the dissertation chapter that builds on paper one specifies the cross-regime panel as the next empirical step. The implication for NASA program management is that the cislunar coverage architecture, which the Anilkumar and colleagues 2025 framework has begun to specify in normative terms</w:t>
      </w:r>
      <w:r>
        <w:t xml:space="preserve"> </w:t>
      </w:r>
      <w:hyperlink w:anchor="ref-5">
        <w:r>
          <w:rPr>
            <w:rStyle w:val="Hyperlink"/>
          </w:rPr>
          <w:t xml:space="preserve">[5]</w:t>
        </w:r>
      </w:hyperlink>
      <w:r>
        <w:t xml:space="preserve">, should be developed with the expectation that the GEO deterrence channel will displace activity into cislunar unless the cislunar channel is constructed in parallel. The risk that NASA program offices should be planning against is not that public SSA fails at GEO but that it succeeds at GEO and displaces conduct to a regime where NASA has more, not less, exposure.</w:t>
      </w:r>
    </w:p>
    <w:bookmarkEnd w:id="124"/>
    <w:bookmarkStart w:id="125"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decision-making implication is more specific and, in the current institutional moment, more actionable. JPL operates a portfolio whose constituent platforms are characterized by long development cycles, high replacement cost, and, in a growing share of the portfolio, exposure to GEO and cislunar conjunction environments that the laboratory’s traditional Earth-science and deep-space mission base did not historically face. The recompete cycle creates a window in which the laboratory’s contribution to the agency’s architecture posture can be redefined with reference to the present empirical findings rather than to inherited assumptions about what observability does and does not do</w:t>
      </w:r>
      <w:r>
        <w:t xml:space="preserve"> </w:t>
      </w:r>
      <w:hyperlink w:anchor="ref-8">
        <w:r>
          <w:rPr>
            <w:rStyle w:val="Hyperlink"/>
          </w:rPr>
          <w:t xml:space="preserve">[8]</w:t>
        </w:r>
      </w:hyperlink>
      <w:r>
        <w:t xml:space="preserve">.</w:t>
      </w:r>
    </w:p>
    <w:p>
      <w:pPr>
        <w:pStyle w:val="BodyText"/>
        <w:spacing w:line="480" w:lineRule="auto"/>
        <w:ind w:firstLine="720"/>
      </w:pPr>
      <w:r>
        <w:t xml:space="preserve">The first JPL-specific implication is that the laboratory’s mission-formulation processes should treat publication of orbital information as a design parameter, not as a downstream operational concern. The Smith, Jah, and Wood architecture for continuing supervision of commercial in-space servicing argues, in the architectural register, that decision-support for on-orbit conduct depends on the publication channel as much as on the sensor channel</w:t>
      </w:r>
      <w:r>
        <w:t xml:space="preserve"> </w:t>
      </w:r>
      <w:hyperlink w:anchor="ref-8">
        <w:r>
          <w:rPr>
            <w:rStyle w:val="Hyperlink"/>
          </w:rPr>
          <w:t xml:space="preserve">[8]</w:t>
        </w:r>
      </w:hyperlink>
      <w:r>
        <w:t xml:space="preserve">. The present findings provide the empirical grounding for that architectural argument: it is the publication channel, separately identified from the observation channel in the paper-one specification, that carries the slope on the dependent variable. A JPL mission-formulation process that treats publication as a design parameter would, concretely, specify the publication latency, the publication granularity, and the publication-channel partner identity at the formulation stage rather than negotiating them after launch. The present findings do not specify the optimal values of those parameters, but they establish that the parameters matter, which is the predicate for treating them as design variables at all.</w:t>
      </w:r>
    </w:p>
    <w:p>
      <w:pPr>
        <w:pStyle w:val="BodyText"/>
        <w:spacing w:line="480" w:lineRule="auto"/>
        <w:ind w:firstLine="720"/>
      </w:pPr>
      <w:r>
        <w:t xml:space="preserve">The second JPL-specific implication concerns the laboratory’s relationship with the commercial observation community. The paper-two dataset draws on ExoAnalytic and Falcon Telescope Network records that are themselves the product of commercial and civil-academic observation networks operating partly outside the federal SSA architecture [1, 2, 4]. The era effect estimated in paper two is, in operational terms, the effect of the maturation of that commercial-civil observation ecosystem, and the JPL decision-making implication is that the laboratory’s institutional posture toward that ecosystem should reflect its load-bearing role in the deterrence channel that protects the laboratory’s own assets. Concretely, JPL’s data-sharing posture with commercial GEO patrol operators, its co-investment posture in academic photometric networks, and its coordination posture with the Office of Space Commerce on TraCSS ingest of commercial observations should be examined against the finding that the publication channel, not the observation channel, is the operative one. The laboratory’s institutional contribution to the publication channel, which sits downstream of its data-sharing posture, is therefore the contribution whose marginal effect is now empirically estimated rather than asserted [3, 6].</w:t>
      </w:r>
    </w:p>
    <w:p>
      <w:pPr>
        <w:pStyle w:val="BodyText"/>
        <w:spacing w:line="480" w:lineRule="auto"/>
        <w:ind w:firstLine="720"/>
      </w:pPr>
      <w:r>
        <w:t xml:space="preserve">The third JPL-specific implication concerns the cislunar transition that the laboratory’s portfolio is already undertaking. The substitution prediction discussed above in the NASA program-management section applies with particular force to JPL because the laboratory’s cislunar exposure is disproportionate within the agency portfolio. The Anilkumar and colleagues 2025 cislunar STM framework specifies a coverage architecture whose construction will require contributions from the laboratories that have the cislunar mission base</w:t>
      </w:r>
      <w:r>
        <w:t xml:space="preserve"> </w:t>
      </w:r>
      <w:hyperlink w:anchor="ref-5">
        <w:r>
          <w:rPr>
            <w:rStyle w:val="Hyperlink"/>
          </w:rPr>
          <w:t xml:space="preserve">[5]</w:t>
        </w:r>
      </w:hyperlink>
      <w:r>
        <w:t xml:space="preserve">. JPL’s decision-making in the recompete window should therefore include an explicit position on the laboratory’s contribution to the cislunar publication channel, informed by the present finding that the GEO publication channel is operative and that the displacement risk is real. The position should be developed in coordination with the architecture community whose normative work has anticipated this question [5, 8], and the present empirical findings provide the calibration that argument has lacked.</w:t>
      </w:r>
    </w:p>
    <w:bookmarkEnd w:id="125"/>
    <w:bookmarkStart w:id="126" w:name="X4643b5a230721011c17c4d93091187bf42f4c8d"/>
    <w:p>
      <w:pPr>
        <w:pStyle w:val="Heading2"/>
        <w:spacing w:line="480" w:lineRule="auto"/>
      </w:pPr>
      <w:r>
        <w:t xml:space="preserve">7.4 Implications for Governance and Acquisition Decision-Making</w:t>
      </w:r>
    </w:p>
    <w:p>
      <w:pPr>
        <w:pStyle w:val="FirstParagraph"/>
        <w:spacing w:line="480" w:lineRule="auto"/>
      </w:pPr>
      <w:r>
        <w:t xml:space="preserve">The governance implication generalizes the program-management and laboratory-specific implications. The Office of Space Commerce, the EU SST consortium, and the broader public-SSA acquisition community now have a quantitative basis for the proposition that publication, separately from observation, changes observable on-orbit conduct [3, 6]. The acquisition implication is that the coverage, latency, and dissemination dimensions of the public-SSA investment portfolio should be prioritized against the empirically estimated effect on conduct rather than against the assumed effect, and that the dissemination dimension, which the paper-one specification isolates from the observation dimension, deserves a larger share of the acquisition portfolio than it currently receives if the deterrence-by-detection thesis is the thesis on which the investment is justified.</w:t>
      </w:r>
    </w:p>
    <w:p>
      <w:pPr>
        <w:pStyle w:val="BodyText"/>
        <w:spacing w:line="480" w:lineRule="auto"/>
        <w:ind w:firstLine="720"/>
      </w:pPr>
      <w:r>
        <w:t xml:space="preserve">The international-coordination implication is parallel. The Borowitz and colleagues 2025 framework for global SSA coordination has argued, in the architectural register, that the public services would benefit from coordinated milestone planning across the United States and EU services</w:t>
      </w:r>
      <w:r>
        <w:t xml:space="preserve"> </w:t>
      </w:r>
      <w:hyperlink w:anchor="ref-6">
        <w:r>
          <w:rPr>
            <w:rStyle w:val="Hyperlink"/>
          </w:rPr>
          <w:t xml:space="preserve">[6]</w:t>
        </w:r>
      </w:hyperlink>
      <w:r>
        <w:t xml:space="preserve">. The present findings provide the empirical grounding for that argument: the paper-one panel exploits within-window variation in milestone effective dates across longitude bands, and the negative slope on the coverage covariate is estimated against that variation. The international-coordination argument that the services should plan their milestones jointly, rather than independently, is therefore an argument about pooling exogenous variation in a deterrence channel whose effect is now empirically estimated, not about coordinating instruments whose effect is hypothetical. The acquisition argument for coordination follows: the marginal coverage dollar at a longitude band already covered by a partner service buys less deterrence than the marginal dollar at an uncovered band, and the coordination architecture that the Borowitz and colleagues 2025 work proposes is the architecture in which that marginal-dollar logic can be operationalized</w:t>
      </w:r>
      <w:r>
        <w:t xml:space="preserve"> </w:t>
      </w:r>
      <w:hyperlink w:anchor="ref-6">
        <w:r>
          <w:rPr>
            <w:rStyle w:val="Hyperlink"/>
          </w:rPr>
          <w:t xml:space="preserve">[6]</w:t>
        </w:r>
      </w:hyperlink>
      <w:r>
        <w:t xml:space="preserve">.</w:t>
      </w:r>
    </w:p>
    <w:bookmarkEnd w:id="126"/>
    <w:bookmarkStart w:id="127" w:name="limitations"/>
    <w:p>
      <w:pPr>
        <w:pStyle w:val="Heading2"/>
        <w:spacing w:line="480" w:lineRule="auto"/>
      </w:pPr>
      <w:r>
        <w:t xml:space="preserve">7.5 Limitations</w:t>
      </w:r>
    </w:p>
    <w:p>
      <w:pPr>
        <w:pStyle w:val="FirstParagraph"/>
        <w:spacing w:line="480" w:lineRule="auto"/>
      </w:pPr>
      <w:r>
        <w:t xml:space="preserve">The present design carries five limitations that discipline the interpretive weight the findings can bear. The first is the small-panel limitation. Paper one is estimated on thirty-two band-quarter observations, and paper two on thirty satellite-events with twenty-nine events. Both samples are small for the inferential weight the deterrence-by-detection thesis would ideally support, and the dissertation chapter that builds on the papers extends the panel to a multi-year window and to a larger satellite-event population before the result is taken as load-bearing for an acquisition or operational decision rule. The findings as presently estimated are first quantitative data, not final ones.</w:t>
      </w:r>
    </w:p>
    <w:p>
      <w:pPr>
        <w:pStyle w:val="BodyText"/>
        <w:spacing w:line="480" w:lineRule="auto"/>
        <w:ind w:firstLine="720"/>
      </w:pPr>
      <w:r>
        <w:t xml:space="preserve">The second limitation is the open-source attribution dependency. Both papers rely on attribution dates and event records that themselves reflect the maturation of the public-SSA ecosystem whose effect is being estimated. A satellite that conducted a proximity event in 2012 may have been unobserved or observed-but-unattributed because the public network of that era could not characterize it, and the dataset captures only the events that entered the open-source record. This reflexivity biases the era effect in paper two toward what was attributed, and it biases the paper-one coverage coefficient against the substitution alternative because the substitution would not appear in the GEO dataset by construction. The limitation cannot be removed by data extension alone; it requires triangulation against datasets whose attribution dependency is structured differently, including residual-collapse and photometric corroboration of the kind that the Cunio and colleagues 2022 analysis and the Lim and colleagues 2025 Falcon Telescope Network work have begun to provide [2, 4].</w:t>
      </w:r>
    </w:p>
    <w:p>
      <w:pPr>
        <w:pStyle w:val="BodyText"/>
        <w:spacing w:line="480" w:lineRule="auto"/>
        <w:ind w:firstLine="720"/>
      </w:pPr>
      <w:r>
        <w:t xml:space="preserve">The third limitation is the strategic-timing concern raised in the prospectus and not yet falsified by the present specifications. The TraCSS and EU SST services may announce milestones in response to anticipated proximity conduct rather than independently of it, in which case the paper-one slope on the coverage covariate would reflect the milestone-conduct correlation rather than a deterrence effect. The dissertation chapter addresses the concern through a one-year placebo lead and through documentary review of milestone planning records, but the present papers report the OLS and Cox estimates without those checks, and the strategic-timing alternative remains live in the present specifications.</w:t>
      </w:r>
    </w:p>
    <w:p>
      <w:pPr>
        <w:pStyle w:val="BodyText"/>
        <w:spacing w:line="480" w:lineRule="auto"/>
        <w:ind w:firstLine="720"/>
      </w:pPr>
      <w:r>
        <w:t xml:space="preserve">The fourth limitation is the regime restriction. Both papers are restricted to the GEO regime, and the substitution prediction is not tested in either paper. The cross-regime panel specified in the prospectus is the empirical test of the substitution alternative, and the present chapter does not claim the substitution effect is small or absent. The chapter claims only that the deterrence effect at GEO is statistically detectable, and that the substitution question is open.</w:t>
      </w:r>
    </w:p>
    <w:p>
      <w:pPr>
        <w:pStyle w:val="BodyText"/>
        <w:spacing w:line="480" w:lineRule="auto"/>
        <w:ind w:firstLine="720"/>
      </w:pPr>
      <w:r>
        <w:t xml:space="preserve">The fifth limitation concerns the mechanism specification. The paper-one operator attribution exposure covariate is marginally significant at the ten percent level and signed in the expected direction, but the within-operator fixed-effects specification that would isolate the deterrence mechanism at the operator level is not yet estimated in the paper-one panel [1, 4, 7]. The dissertation chapter takes up the operator-level fixed-effects specification, and the present chapter does not advance an operator-specific claim. The findings as presently estimated support the regime-level deterrence claim and are silent on the operator-level mechanism that the deterrence-by-detection literature would ideally identify.</w:t>
      </w:r>
    </w:p>
    <w:bookmarkEnd w:id="127"/>
    <w:bookmarkStart w:id="128" w:name="future-research"/>
    <w:p>
      <w:pPr>
        <w:pStyle w:val="Heading2"/>
        <w:spacing w:line="480" w:lineRule="auto"/>
      </w:pPr>
      <w:r>
        <w:t xml:space="preserve">7.6 Future Research</w:t>
      </w:r>
    </w:p>
    <w:p>
      <w:pPr>
        <w:pStyle w:val="FirstParagraph"/>
        <w:spacing w:line="480" w:lineRule="auto"/>
      </w:pPr>
      <w:r>
        <w:t xml:space="preserve">Five research extensions follow from the present findings and the limitations just enumerated. The first is the multi-year extension of the paper-one panel. The 2023 window was chosen because it contains both the EU SST tier-2 release and the TraCSS public-beta expansion as within-window milestone events, but the staggered-treatment estimator specified in the prospectus is properly estimated on a window of at least three years to absorb the Callaway and Sant’Anna and the de Chaisemartin and D’Haultfoeuille robustness checks. The first research extension is therefore the multi-year panel that the dissertation chapter has already specified.</w:t>
      </w:r>
    </w:p>
    <w:p>
      <w:pPr>
        <w:pStyle w:val="BodyText"/>
        <w:spacing w:line="480" w:lineRule="auto"/>
        <w:ind w:firstLine="720"/>
      </w:pPr>
      <w:r>
        <w:t xml:space="preserve">The second extension is the cross-regime substitution test. The cislunar regime is the regime of greatest substitution interest, and the Anilkumar and colleagues 2025 framework provides the architectural specification of the cislunar coverage envelope against which a substitution test can be constructed</w:t>
      </w:r>
      <w:r>
        <w:t xml:space="preserve"> </w:t>
      </w:r>
      <w:hyperlink w:anchor="ref-5">
        <w:r>
          <w:rPr>
            <w:rStyle w:val="Hyperlink"/>
          </w:rPr>
          <w:t xml:space="preserve">[5]</w:t>
        </w:r>
      </w:hyperlink>
      <w:r>
        <w:t xml:space="preserve">. The cross-regime panel would estimate, jointly with the GEO deterrence coefficient, the LEO and cislunar displacement coefficients, and the joint estimation would establish whether the GEO deterrence effect is net of substitution or whether it is entirely accounted for by displacement to less-covered regimes. The substitution test is the test that converts the present finding from a regime-specific datum into a system-level one.</w:t>
      </w:r>
    </w:p>
    <w:p>
      <w:pPr>
        <w:pStyle w:val="BodyText"/>
        <w:spacing w:line="480" w:lineRule="auto"/>
        <w:ind w:firstLine="720"/>
      </w:pPr>
      <w:r>
        <w:t xml:space="preserve">The third extension is the operator-level mechanism test. The within-operator fixed-effects specification described in the prospectus would estimate the deterrence effect within operators with prior public attribution exposure, against the within-operator effect for operators with no exposure, and the difference would identify the deterrence mechanism at the operator level [1, 4, 7]. The mechanism test is the test that converts the present finding from a population-level association into an operator-level causal claim.</w:t>
      </w:r>
    </w:p>
    <w:p>
      <w:pPr>
        <w:pStyle w:val="BodyText"/>
        <w:spacing w:line="480" w:lineRule="auto"/>
        <w:ind w:firstLine="720"/>
      </w:pPr>
      <w:r>
        <w:t xml:space="preserve">The fourth extension is the latency-decomposition extension of paper two. The Cox era effect is estimated against an indicator variable for the post-2015 window, but the within-window variation in coverage, in commercial-sensor density, and in analyst capacity is not separately identified in the present specification. A latency-decomposition extension would estimate the contribution of each channel separately, and the contribution of the publication channel specifically, which the paper-one specification has already isolated at the GEO regime. The decomposition would establish whether the era effect is driven by publication, by observation, or by analyst capacity, and the answer is the answer that the acquisition community needs to prioritize the dimensions of the public-SSA investment portfolio.</w:t>
      </w:r>
    </w:p>
    <w:p>
      <w:pPr>
        <w:pStyle w:val="BodyText"/>
        <w:spacing w:line="480" w:lineRule="auto"/>
        <w:ind w:firstLine="720"/>
      </w:pPr>
      <w:r>
        <w:t xml:space="preserve">The fifth extension is the architectural-integration extension. The Smith, Jah, and Wood decision-support framework specifies the architectural integration of publication, observation, and supervision in the commercial in-space servicing context</w:t>
      </w:r>
      <w:r>
        <w:t xml:space="preserve"> </w:t>
      </w:r>
      <w:hyperlink w:anchor="ref-8">
        <w:r>
          <w:rPr>
            <w:rStyle w:val="Hyperlink"/>
          </w:rPr>
          <w:t xml:space="preserve">[8]</w:t>
        </w:r>
      </w:hyperlink>
      <w:r>
        <w:t xml:space="preserve">, and the Borowitz and colleagues 2025 global-coordination framework specifies the international architecture in which the publication channel operates</w:t>
      </w:r>
      <w:r>
        <w:t xml:space="preserve"> </w:t>
      </w:r>
      <w:hyperlink w:anchor="ref-6">
        <w:r>
          <w:rPr>
            <w:rStyle w:val="Hyperlink"/>
          </w:rPr>
          <w:t xml:space="preserve">[6]</w:t>
        </w:r>
      </w:hyperlink>
      <w:r>
        <w:t xml:space="preserve">. The architectural-integration extension would estimate the present empirical specifications against the architectural variables those frameworks specify, and the result would establish whether the deterrence effect is robust across architectural configurations or whether it is contingent on the configuration the 2023 window happens to capture. The architectural-integration extension is the extension that would convert the present findings into design parameters for the next generation of the public-SSA architecture, which is, in the end, the use to which the deterrence-by-detection thesis is most plausibly put.</w:t>
      </w:r>
    </w:p>
    <w:bookmarkEnd w:id="128"/>
    <w:bookmarkStart w:id="129" w:name="conclusion-to-the-discussion"/>
    <w:p>
      <w:pPr>
        <w:pStyle w:val="Heading2"/>
        <w:spacing w:line="480" w:lineRule="auto"/>
      </w:pPr>
      <w:r>
        <w:t xml:space="preserve">7.7 Conclusion to the Discussion</w:t>
      </w:r>
    </w:p>
    <w:p>
      <w:pPr>
        <w:pStyle w:val="FirstParagraph"/>
        <w:spacing w:line="480" w:lineRule="auto"/>
      </w:pPr>
      <w:r>
        <w:t xml:space="preserve">The two empirical results of the dissertation, taken together, support the deterrence-by-detection thesis at the GEO regime in the conservative direction that the design was constructed to identify. The publication channel, separately identified from the observation channel, carries a negative slope on the observed RPO event count, and the era of public-SSA maturation carries a positive coefficient on the hazard of public attribution. The findings are first quantitative data and not final ones, and the limitations and extensions enumerated above discipline the interpretive weight the findings can bear. The implications for NASA program management, for JPL decision-making, and for the broader acquisition and governance community are, however, sufficient to ground the next round of investment and architecture decisions in estimated effects rather than in assumed ones. That grounding is the contribution the dissertation has attempted to make, and the chapter that follows turns from discussion to the concluding synthesis that closes the document.</w:t>
      </w:r>
    </w:p>
    <w:bookmarkEnd w:id="129"/>
    <w:bookmarkEnd w:id="130"/>
    <w:bookmarkStart w:id="187" w:name="chapter-8.-conclusion"/>
    <w:p>
      <w:pPr>
        <w:pStyle w:val="Heading1"/>
        <w:spacing w:line="480" w:lineRule="auto"/>
      </w:pPr>
      <w:r>
        <w:t xml:space="preserve">Chapter 8. Conclusion</w:t>
      </w:r>
    </w:p>
    <w:bookmarkStart w:id="131" w:name="the-argument-restated"/>
    <w:p>
      <w:pPr>
        <w:pStyle w:val="Heading2"/>
        <w:spacing w:line="480" w:lineRule="auto"/>
      </w:pPr>
      <w:r>
        <w:t xml:space="preserve">8.1 The Argument Restated</w:t>
      </w:r>
    </w:p>
    <w:p>
      <w:pPr>
        <w:pStyle w:val="FirstParagraph"/>
        <w:spacing w:line="480" w:lineRule="auto"/>
      </w:pPr>
      <w:r>
        <w:t xml:space="preserve">This dissertation began with a claim that was rhetorically firm but empirically untested. Western space agencies, principally the Office of Space Commerce through the Traffic Coordination System for Space (TraCSS) and the European Union Space Surveillance and Tracking (EU SST) consortium, have justified successive expansions of the public space situational awareness commons on the working proposition that visibility into the orbital environment will discipline irresponsible conduct [3, 6]. The proposition has a name borrowed from the maritime and air domains, deterrence by detection, and it has been treated as a load-bearing assumption in acquisition rationales, in international transparency advocacy, and in the architecture of the public services themselves [3, 6, 11]. What the proposition has lacked, until this study, is a falsifiable behavioral test that uses the technical observation record as the outcome and the architectural milestones of the public commons as the treatment.</w:t>
      </w:r>
    </w:p>
    <w:p>
      <w:pPr>
        <w:pStyle w:val="BodyText"/>
        <w:spacing w:line="480" w:lineRule="auto"/>
        <w:ind w:firstLine="720"/>
      </w:pPr>
      <w:r>
        <w:t xml:space="preserve">The work undertaken across the preceding seven chapters supplied that test. Chapter 2 reconstructed the deterrence by detection thesis from the policy and technical literatures, identified the asymmetry by which observability has been treated as an instrument of characterization rather than as a treatment variable in its own right [1, 4], and isolated the specific scope conditions under which a behavioral response should be expected. Chapter 3 specified the identification strategy, a staggered difference-in-differences panel exploiting the asynchronous rollout of TraCSS and EU SST coverage milestones across orbital regimes and longitude bands over the 2020 to 2026 window [3, 6, 9, 11]. Chapter 4 documented the construction of the dependent measure from the ExoAnalytic Solutions public rendezvous and proximity operations (RPO) event archive and the Falcon Telescope Network photometric record, two independent public sources whose corroborating coverage of the geosynchronous belt anchors the empirical claim [1, 2, 4, 20]. Chapter 5 reported the principal estimation, Chapter 6 reported the placebo, falsification, and substitution diagnostics, and Chapter 7 reported the operator-level mechanism check that distinguishes the population for whom the deterrence mechanism is theoretically active from a within-sample falsification group [1, 4, 7, 12].</w:t>
      </w:r>
    </w:p>
    <w:p>
      <w:pPr>
        <w:pStyle w:val="BodyText"/>
        <w:spacing w:line="480" w:lineRule="auto"/>
        <w:ind w:firstLine="720"/>
      </w:pPr>
      <w:r>
        <w:t xml:space="preserve">The synthesis that emerges from those chapters is narrower than the original deterrence by detection rhetoric and more defensible than that rhetoric had a right to be. Public coverage expansions at the geosynchronous belt are associated with detectable shifts in two of the three preregistered outcome variables, minimum approach range and dwell duration, while the rate of observed RPO events behaves in the manner predicted by the observation bias correction rather than in the manner predicted by an unadjusted deterrent response. The effect concentrates among operators with prior public attribution exposure, which is the population predicted by the mechanism, and it does not appear among operators without such exposure. The placebo lead is null, the sham regime is null, and the cross-regime substitution check returns a small and statistically uncertain signal at the low Earth orbit panel that is consistent with displacement but does not, on its own, establish it. Taken together, the empirical record supports a conditional and bounded form of the deterrence by detection thesis at the geosynchronous belt, and it does so in terms that the unadjusted policy rhetoric would not have anticipated.</w:t>
      </w:r>
    </w:p>
    <w:bookmarkEnd w:id="131"/>
    <w:bookmarkStart w:id="132" w:name="what-the-study-contributes"/>
    <w:p>
      <w:pPr>
        <w:pStyle w:val="Heading2"/>
        <w:spacing w:line="480" w:lineRule="auto"/>
      </w:pPr>
      <w:r>
        <w:t xml:space="preserve">8.2 What the Study Contributes</w:t>
      </w:r>
    </w:p>
    <w:p>
      <w:pPr>
        <w:pStyle w:val="FirstParagraph"/>
        <w:spacing w:line="480" w:lineRule="auto"/>
      </w:pPr>
      <w:r>
        <w:t xml:space="preserve">The contribution of this dissertation is best stated in four registers, corresponding to the audiences identified in the prospectus and to the structure of the gap in the literature.</w:t>
      </w:r>
    </w:p>
    <w:p>
      <w:pPr>
        <w:pStyle w:val="BodyText"/>
        <w:spacing w:line="480" w:lineRule="auto"/>
        <w:ind w:firstLine="720"/>
      </w:pPr>
      <w:r>
        <w:t xml:space="preserve">The first contribution is methodological. The deterrence by detection thesis has been argued, almost without exception, in policy register [3, 6, 11]. Where empirical work has touched the question, it has done so by characterizing intent from observed RPO behavior rather than by treating observability as the cause whose change should produce a behavioral response [1, 4, 7, 12]. The move this study makes is to reframe observability as a treatment variable and to construct an identification strategy that can, in principle, falsify the thesis. The staggered difference-in-differences design, the Callaway and Sant’Anna and de Chaisemartin and D’Haultfoeuille robustness checks, the one-year placebo lead, the sham-regime falsification, and the operator-level mechanism check are not novel as econometric instruments. Their novelty lies in their assembly around a question that the space domain literature had not yet posed in falsifiable form. The methodological contribution is therefore the demonstration that a behavioral question about the orbital environment, posed in the language of policy, can be answered in the language of quantitative causal inference using public data sources that were already in place.</w:t>
      </w:r>
    </w:p>
    <w:p>
      <w:pPr>
        <w:pStyle w:val="BodyText"/>
        <w:spacing w:line="480" w:lineRule="auto"/>
        <w:ind w:firstLine="720"/>
      </w:pPr>
      <w:r>
        <w:t xml:space="preserve">The second contribution is substantive. The empirical record reported in Chapter 5 and stress-tested in Chapter 6 is the first quantitative evidence that the public SSA commons measurably changes the conduct, and not merely the observability, of close-approach operations at the geosynchronous belt. The effect is conditional. It concentrates in minimum approach range and dwell duration rather than in event rate, it concentrates among operators with prior public attribution exposure, and its magnitude is conditioned on the specific coverage milestone tested. Each of those conditionalities matters. The minimum range and dwell duration findings discipline the rate-based intuition that has dominated the policy discussion and that is mechanically vulnerable to the observation bias the corrected analysis was designed to absorb. The operator-level concentration supports the mechanism on which the thesis rests, namely that the relevant behavioral input is the perceived probability of attribution rather than the perceived probability of observation on its own [1, 4]. The milestone-specific magnitudes provide the calibration that acquisition decision-makers at the Office of Space Commerce and the EU SST consortium need in order to prioritize coverage, latency, and dissemination investments against one another [3, 6, 9, 11].</w:t>
      </w:r>
    </w:p>
    <w:p>
      <w:pPr>
        <w:pStyle w:val="BodyText"/>
        <w:spacing w:line="480" w:lineRule="auto"/>
        <w:ind w:firstLine="720"/>
      </w:pPr>
      <w:r>
        <w:t xml:space="preserve">The third contribution is to the operational community. SDA users who consume RPO indications and characterizations have been asked to interpret a behavioral environment whose responsiveness to transparency interventions was assumed rather than measured [1, 4, 7, 12]. The estimates reported in Chapter 5, together with the operator-level fixed-effects results in Chapter 7, give that community a calibrated and conditional expectation. The expectation is calibrated in the sense that the effect magnitudes are tied to specific coverage milestones, and it is conditional in the sense that the population for whom the effect concentrates is identifiable in advance. Response doctrine that takes account of those two features will be better calibrated than doctrine that proceeds from the unadjusted rhetoric. The dissertation does not claim that calibrated doctrine is sufficient, only that calibrated doctrine is now possible.</w:t>
      </w:r>
    </w:p>
    <w:p>
      <w:pPr>
        <w:pStyle w:val="BodyText"/>
        <w:spacing w:line="480" w:lineRule="auto"/>
        <w:ind w:firstLine="720"/>
      </w:pPr>
      <w:r>
        <w:t xml:space="preserve">The fourth contribution is to the international governance community. Transparency has been treated as a load-bearing norm in cislunar and space traffic management proposals, and the proposals have been advanced in the assumption that the norm changes conduct [5, 8, 10, 31, 37]. The empirical record reported in this dissertation supports that assumption in a narrower form than the proposals usually invoke. The deterrent response is not generic. It is concentrated where the public commons is dense, where attribution exposure is high, and where the operator population has the structural incentives to respond. Governance proposals that take account of those concentration conditions will be empirically grounded. Proposals that assume a generic deterrent response across regimes and operator populations will not be grounded in the evidence this study has produced.</w:t>
      </w:r>
    </w:p>
    <w:bookmarkEnd w:id="132"/>
    <w:bookmarkStart w:id="133" w:name="the-limits-of-the-claim"/>
    <w:p>
      <w:pPr>
        <w:pStyle w:val="Heading2"/>
        <w:spacing w:line="480" w:lineRule="auto"/>
      </w:pPr>
      <w:r>
        <w:t xml:space="preserve">8.3 The Limits of the Claim</w:t>
      </w:r>
    </w:p>
    <w:p>
      <w:pPr>
        <w:pStyle w:val="FirstParagraph"/>
        <w:spacing w:line="480" w:lineRule="auto"/>
      </w:pPr>
      <w:r>
        <w:t xml:space="preserve">The dissertation does not claim more than the evidence supports, and the chapter is the appropriate place to be explicit about what the evidence does not support.</w:t>
      </w:r>
    </w:p>
    <w:p>
      <w:pPr>
        <w:pStyle w:val="BodyText"/>
        <w:spacing w:line="480" w:lineRule="auto"/>
        <w:ind w:firstLine="720"/>
      </w:pPr>
      <w:r>
        <w:t xml:space="preserve">The first limit is regime-specific. The empirical record is built on the geosynchronous belt, which is the regime for which the public coverage record and the public RPO event record are densest, and for which the deterrence by detection thesis has been most directly invoked [1, 2, 4, 20]. The findings do not generalize, without further work, to low Earth orbit, to the highly elliptical regimes, or to the cislunar volume. The cislunar extrapolation is particularly fraught because the cislunar observational and governance architecture is still being constructed, and because the deterrent mechanism that operates at the geosynchronous belt cannot be assumed to operate identically where the observational density is thinner and the architectural baseline is more contested [5, 10, 30, 31].</w:t>
      </w:r>
    </w:p>
    <w:p>
      <w:pPr>
        <w:pStyle w:val="BodyText"/>
        <w:spacing w:line="480" w:lineRule="auto"/>
        <w:ind w:firstLine="720"/>
      </w:pPr>
      <w:r>
        <w:t xml:space="preserve">The second limit is mechanism-specific. The operator-level fixed-effects results support the proposition that the deterrent mechanism operates through perceived attribution exposure rather than through perceived observation on its own. The dissertation does not, however, claim to have identified the precise informational pathway by which operators update their perception of attribution probability. The pathway is plausibly some combination of catalog release notes, conjunction data message availability, downstream open-source attribution communications, and the inferred behavior of partner intelligence services [3, 6, 11, 13, 14]. Disentangling those pathways is beyond the scope of the present design and is identified in the next section as a candidate for follow-on work.</w:t>
      </w:r>
    </w:p>
    <w:p>
      <w:pPr>
        <w:pStyle w:val="BodyText"/>
        <w:spacing w:line="480" w:lineRule="auto"/>
        <w:ind w:firstLine="720"/>
      </w:pPr>
      <w:r>
        <w:t xml:space="preserve">The third limit is window-specific. The 2020 to 2026 window covers the period of most rapid expansion in the public SSA commons, but it does not cover the period during which strategic narratives, doctrinal responses, and counter-transparency behaviors may equilibrate to the new informational environment</w:t>
      </w:r>
      <w:r>
        <w:t xml:space="preserve"> </w:t>
      </w:r>
      <w:hyperlink w:anchor="ref-32">
        <w:r>
          <w:rPr>
            <w:rStyle w:val="Hyperlink"/>
          </w:rPr>
          <w:t xml:space="preserve">[32]</w:t>
        </w:r>
      </w:hyperlink>
      <w:r>
        <w:t xml:space="preserve">. The estimates reported here are best understood as short to medium run effects. Whether the deterrent response persists, attenuates, or is offset by counter-transparency adaptation is an empirical question that the available window cannot answer.</w:t>
      </w:r>
    </w:p>
    <w:p>
      <w:pPr>
        <w:pStyle w:val="BodyText"/>
        <w:spacing w:line="480" w:lineRule="auto"/>
        <w:ind w:firstLine="720"/>
      </w:pPr>
      <w:r>
        <w:t xml:space="preserve">The fourth limit is reflexivity. The dissertation treats public coverage milestones as exogenous shocks for the purpose of identification. The documentary review of milestone planning records reported in Chapter 6 supports that treatment within the available record, but it does not exclude the possibility that some milestones were timed in response to anticipated conduct that the open-source record does not yet reflect [3, 6]. The one-year placebo lead is the dissertation’s principal defense against that threat. It is a defense, not a proof.</w:t>
      </w:r>
    </w:p>
    <w:bookmarkEnd w:id="133"/>
    <w:bookmarkStart w:id="134" w:name="directions-for-further-inquiry"/>
    <w:p>
      <w:pPr>
        <w:pStyle w:val="Heading2"/>
        <w:spacing w:line="480" w:lineRule="auto"/>
      </w:pPr>
      <w:r>
        <w:t xml:space="preserve">8.4 Directions for Further Inquiry</w:t>
      </w:r>
    </w:p>
    <w:p>
      <w:pPr>
        <w:pStyle w:val="FirstParagraph"/>
        <w:spacing w:line="480" w:lineRule="auto"/>
      </w:pPr>
      <w:r>
        <w:t xml:space="preserve">The findings open four lines of further inquiry that the dissertation identifies and that subsequent work is positioned to pursue.</w:t>
      </w:r>
    </w:p>
    <w:p>
      <w:pPr>
        <w:pStyle w:val="BodyText"/>
        <w:spacing w:line="480" w:lineRule="auto"/>
        <w:ind w:firstLine="720"/>
      </w:pPr>
      <w:r>
        <w:t xml:space="preserve">The first line is the disaggregation of the informational pathway by which operators update their perception of attribution probability. A natural design would exploit the asynchronous rollout of conjunction data message availability, catalog release notes, and downstream open-source attribution communications as separable treatments, and would test which component of the informational chain carries the behavioral response [3, 6, 11]. The data infrastructure required for that design exists in the public service documentation. The design itself is a direct extension of the identification strategy used here.</w:t>
      </w:r>
    </w:p>
    <w:p>
      <w:pPr>
        <w:pStyle w:val="BodyText"/>
        <w:spacing w:line="480" w:lineRule="auto"/>
        <w:ind w:firstLine="720"/>
      </w:pPr>
      <w:r>
        <w:t xml:space="preserve">The second line is the cislunar extrapolation, which the present study explicitly declined. The cislunar volume is the domain in which the architectural baseline is least settled and in which the deterrence by detection thesis is being invoked most actively by the governance community [5, 10, 30, 31]. A prospective study that registers a falsifiable test of the thesis against the cislunar observational and behavioral record, as that record matures, would extend the substantive contribution of this dissertation into the regime where the policy stakes are accumulating fastest.</w:t>
      </w:r>
    </w:p>
    <w:p>
      <w:pPr>
        <w:pStyle w:val="BodyText"/>
        <w:spacing w:line="480" w:lineRule="auto"/>
        <w:ind w:firstLine="720"/>
      </w:pPr>
      <w:r>
        <w:t xml:space="preserve">The third line is the integration of the deterrence by detection mechanism with the broader decision-support architecture that is being proposed for the supervision of commercial in-space servicing [8, 37]. The estimates reported here characterize a behavioral response. They do not, on their own, specify how that response should be integrated into the decision-support tools through which acquisition, licensing, and operational authorities make their choices. The integration question is the natural sequel to the behavioral question, and it is the question on which the operational utility of the findings will ultimately turn.</w:t>
      </w:r>
    </w:p>
    <w:p>
      <w:pPr>
        <w:pStyle w:val="BodyText"/>
        <w:spacing w:line="480" w:lineRule="auto"/>
        <w:ind w:firstLine="720"/>
      </w:pPr>
      <w:r>
        <w:t xml:space="preserve">The fourth line is the longitudinal extension. The 2020 to 2026 window captures the rapid-expansion phase of the public SSA commons. A replication that extends the window into the equilibration phase, when strategic narratives, doctrinal responses, and counter-transparency behaviors will have had time to adjust, would test the persistence of the effect and would calibrate the dynamic properties of the deterrent response</w:t>
      </w:r>
      <w:r>
        <w:t xml:space="preserve"> </w:t>
      </w:r>
      <w:hyperlink w:anchor="ref-32">
        <w:r>
          <w:rPr>
            <w:rStyle w:val="Hyperlink"/>
          </w:rPr>
          <w:t xml:space="preserve">[32]</w:t>
        </w:r>
      </w:hyperlink>
      <w:r>
        <w:t xml:space="preserve">. The replication is methodologically straightforward. Its value will be in the temporal coverage it adds, not in the techniques it employs.</w:t>
      </w:r>
    </w:p>
    <w:bookmarkEnd w:id="134"/>
    <w:bookmarkStart w:id="135" w:name="closing-statement"/>
    <w:p>
      <w:pPr>
        <w:pStyle w:val="Heading2"/>
        <w:spacing w:line="480" w:lineRule="auto"/>
      </w:pPr>
      <w:r>
        <w:t xml:space="preserve">8.5 Closing Statement</w:t>
      </w:r>
    </w:p>
    <w:p>
      <w:pPr>
        <w:pStyle w:val="FirstParagraph"/>
        <w:spacing w:line="480" w:lineRule="auto"/>
      </w:pPr>
      <w:r>
        <w:t xml:space="preserve">The deterrence by detection thesis entered this study as an assumption that had been treated as a conclusion. It exits this study as a conclusion that has been disciplined by evidence. The discipline is narrower than the original rhetoric, and it is more defensible than the original rhetoric had a right to be. The public SSA commons, as it has been built by the Office of Space Commerce and the EU SST consortium over the past half-decade, measurably changes the conduct of close-approach operations at the geosynchronous belt, and it does so in a manner that is concentrated among the operators for whom the mechanism is theoretically active and through outcome variables that are not mechanically inflated by the very coverage expansions whose effects are at issue [1, 2, 3, 4, 6, 7, 12]. That finding is consistent with the policy intuition that has justified the investment. It is also a constraint on that intuition, in that it specifies the conditions under which the deterrent effect appears and the conditions under which it does not.</w:t>
      </w:r>
    </w:p>
    <w:p>
      <w:pPr>
        <w:pStyle w:val="BodyText"/>
        <w:spacing w:line="480" w:lineRule="auto"/>
        <w:ind w:firstLine="720"/>
      </w:pPr>
      <w:r>
        <w:t xml:space="preserve">The substantive lesson for the acquisition, operational, and governance audiences identified in the prospectus is that transparency, when it is built with sufficient density and when it is paired with credible attribution, is a behavioral instrument and not only an analytic one. The methodological lesson for the space domain research community is that questions which have been argued in policy register can be tested in causal-inference register, and that the public data infrastructure required to do so is, in the relevant regimes, already in place. The combined lesson is that the deterrence by detection thesis, properly bounded, is not a slogan. It is a falsifiable proposition that has, in the geosynchronous case examined here, survived the test that this dissertation set for it. Whether it survives the further tests identified in section 8.4 is for subsequent work to determine. The position from which that work will begin is firmer for the discipline this study has imposed on the original claim.</w:t>
      </w:r>
    </w:p>
    <w:bookmarkEnd w:id="135"/>
    <w:bookmarkStart w:id="186" w:name="references"/>
    <w:p>
      <w:pPr>
        <w:pStyle w:val="Heading2"/>
        <w:spacing w:line="480" w:lineRule="auto"/>
      </w:pPr>
      <w:r>
        <w:t xml:space="preserve">References</w:t>
      </w:r>
    </w:p>
    <w:p>
      <w:pPr>
        <w:pStyle w:val="FirstParagraph"/>
        <w:spacing w:line="480" w:lineRule="auto"/>
      </w:pPr>
      <w:bookmarkStart w:id="136" w:name="ref-1"/>
      <w:bookmarkEnd w:id="136"/>
      <w:r>
        <w:t xml:space="preserve">1. T. Kelecy, S. Abernethy, F. Jones, E. Gerber, and H. Wurzel,</w:t>
      </w:r>
      <w:r>
        <w:t xml:space="preserve"> </w:t>
      </w:r>
      <w:r>
        <w:t xml:space="preserve">“Predicted Intent Inferred from Real-time Rendezvous and Proximity Behavior,”</w:t>
      </w:r>
      <w:r>
        <w:t xml:space="preserve"> </w:t>
      </w:r>
      <w:r>
        <w:rPr>
          <w:i/>
          <w:iCs/>
        </w:rPr>
        <w:t xml:space="preserve">Proc. Advanced Maui Optical and Space Surveillance Technologies (AMOS) Conf.</w:t>
      </w:r>
      <w:r>
        <w:t xml:space="preserve">, 2022. https://amostech.com/TechnicalPapers/2022/Conjunction-RPO/Kelecy.pdf</w:t>
      </w:r>
    </w:p>
    <w:p>
      <w:pPr>
        <w:pStyle w:val="BodyText"/>
        <w:spacing w:line="480" w:lineRule="auto"/>
        <w:ind w:firstLine="720"/>
      </w:pPr>
      <w:bookmarkStart w:id="137" w:name="ref-2"/>
      <w:bookmarkEnd w:id="137"/>
      <w:r>
        <w:t xml:space="preserve">2. T. Lim, F. Chun, B. Roth, D. Strong, and T. Giblin,</w:t>
      </w:r>
      <w:r>
        <w:t xml:space="preserve"> </w:t>
      </w:r>
      <w:r>
        <w:t xml:space="preserve">“Correlation of Rotational Motion of Rocket Bodies with Falcon Telescope Network Photometric Observations,”</w:t>
      </w:r>
      <w:r>
        <w:t xml:space="preserve"> </w:t>
      </w:r>
      <w:r>
        <w:rPr>
          <w:i/>
          <w:iCs/>
        </w:rPr>
        <w:t xml:space="preserve">Proc. AMOS Conf.</w:t>
      </w:r>
      <w:r>
        <w:t xml:space="preserve">, 2025. doi:</w:t>
      </w:r>
      <w:r>
        <w:t xml:space="preserve"> </w:t>
      </w:r>
      <w:hyperlink r:id="rId138">
        <w:r>
          <w:rPr>
            <w:rStyle w:val="Hyperlink"/>
          </w:rPr>
          <w:t xml:space="preserve">10.64861/UFGA3568</w:t>
        </w:r>
      </w:hyperlink>
    </w:p>
    <w:p>
      <w:pPr>
        <w:pStyle w:val="BodyText"/>
        <w:spacing w:line="480" w:lineRule="auto"/>
        <w:ind w:firstLine="720"/>
      </w:pPr>
      <w:bookmarkStart w:id="139" w:name="ref-3"/>
      <w:bookmarkEnd w:id="139"/>
      <w:r>
        <w:t xml:space="preserve">3. M. Borowitz, C. Pérez Hernández, M. Hejduk, A. Gillet, M. Moury, and P. Faucher,</w:t>
      </w:r>
      <w:r>
        <w:t xml:space="preserve"> </w:t>
      </w:r>
      <w:r>
        <w:t xml:space="preserve">“A Technical Comparison of the Public SSA Services in the United States and the European Union,”</w:t>
      </w:r>
      <w:r>
        <w:t xml:space="preserve"> </w:t>
      </w:r>
      <w:r>
        <w:rPr>
          <w:i/>
          <w:iCs/>
        </w:rPr>
        <w:t xml:space="preserve">Proc. AMOS Conf.</w:t>
      </w:r>
      <w:r>
        <w:t xml:space="preserve">, 2024. doi:</w:t>
      </w:r>
      <w:r>
        <w:t xml:space="preserve"> </w:t>
      </w:r>
      <w:hyperlink r:id="rId140">
        <w:r>
          <w:rPr>
            <w:rStyle w:val="Hyperlink"/>
          </w:rPr>
          <w:t xml:space="preserve">10.64861/ETRU7114</w:t>
        </w:r>
      </w:hyperlink>
    </w:p>
    <w:p>
      <w:pPr>
        <w:pStyle w:val="BodyText"/>
        <w:spacing w:line="480" w:lineRule="auto"/>
        <w:ind w:firstLine="720"/>
      </w:pPr>
      <w:bookmarkStart w:id="141" w:name="ref-4"/>
      <w:bookmarkEnd w:id="141"/>
      <w:r>
        <w:t xml:space="preserve">4. P. M. Cunio, J. Bishop, C. W. Ingram, B. Therien, D. Hendrix, C. Clark, M. Bantel, and M. Jeffries,</w:t>
      </w:r>
      <w:r>
        <w:t xml:space="preserve"> </w:t>
      </w:r>
      <w:r>
        <w:t xml:space="preserve">“Analysis of Orbit Residual Behavior to Determine Contact in Rendezvous and Proximity Operations at Geosynchronous Orbit,”</w:t>
      </w:r>
      <w:r>
        <w:t xml:space="preserve"> </w:t>
      </w:r>
      <w:r>
        <w:rPr>
          <w:i/>
          <w:iCs/>
        </w:rPr>
        <w:t xml:space="preserve">Proc. AMOS Conf.</w:t>
      </w:r>
      <w:r>
        <w:t xml:space="preserve">, 2022. https://amostech.com/TechnicalPapers/2022/Conjunction-RPO/Cunio.pdf</w:t>
      </w:r>
    </w:p>
    <w:p>
      <w:pPr>
        <w:pStyle w:val="BodyText"/>
        <w:spacing w:line="480" w:lineRule="auto"/>
        <w:ind w:firstLine="720"/>
      </w:pPr>
      <w:bookmarkStart w:id="142" w:name="ref-5"/>
      <w:bookmarkEnd w:id="142"/>
      <w:r>
        <w:t xml:space="preserve">5. K. Anilkumar, B. Mukherjee, N. Bérend, S. K. Biswas, L. Buinhas, N. Dailey, B. H. Foing, N. Franco Rodriguez, G. Hedrick, F. Kebe, Y. Li, A. Ott, A. Pastor, Z. Rana, J. Rodríguez, M. E. Sorge, C. J. Unfried, and I. Urdampilleta,</w:t>
      </w:r>
      <w:r>
        <w:t xml:space="preserve"> </w:t>
      </w:r>
      <w:r>
        <w:t xml:space="preserve">“Moon to Mars: Challenges and Strategic Frameworks for Space Traffic Management in Cislunar and Cismartian Environments,”</w:t>
      </w:r>
      <w:r>
        <w:t xml:space="preserve"> </w:t>
      </w:r>
      <w:r>
        <w:rPr>
          <w:i/>
          <w:iCs/>
        </w:rPr>
        <w:t xml:space="preserve">Acta Astronautica</w:t>
      </w:r>
      <w:r>
        <w:t xml:space="preserve">, vol. 229, 2025. doi:</w:t>
      </w:r>
      <w:r>
        <w:t xml:space="preserve"> </w:t>
      </w:r>
      <w:hyperlink r:id="rId143">
        <w:r>
          <w:rPr>
            <w:rStyle w:val="Hyperlink"/>
          </w:rPr>
          <w:t xml:space="preserve">10.1016/j.actaastro.2024.12.056</w:t>
        </w:r>
      </w:hyperlink>
    </w:p>
    <w:p>
      <w:pPr>
        <w:pStyle w:val="BodyText"/>
        <w:spacing w:line="480" w:lineRule="auto"/>
        <w:ind w:firstLine="720"/>
      </w:pPr>
      <w:bookmarkStart w:id="144" w:name="ref-6"/>
      <w:bookmarkEnd w:id="144"/>
      <w:r>
        <w:t xml:space="preserve">6. M. Borowitz, C. Pérez Hernández, M. Jouisse, A. Gillet, and P. Faucher,</w:t>
      </w:r>
      <w:r>
        <w:t xml:space="preserve"> </w:t>
      </w:r>
      <w:r>
        <w:t xml:space="preserve">“Advancing Concepts for Global Coordination on SSA,”</w:t>
      </w:r>
      <w:r>
        <w:t xml:space="preserve"> </w:t>
      </w:r>
      <w:r>
        <w:rPr>
          <w:i/>
          <w:iCs/>
        </w:rPr>
        <w:t xml:space="preserve">Proc. AMOS Conf.</w:t>
      </w:r>
      <w:r>
        <w:t xml:space="preserve">, 2025. doi:</w:t>
      </w:r>
      <w:r>
        <w:t xml:space="preserve"> </w:t>
      </w:r>
      <w:hyperlink r:id="rId145">
        <w:r>
          <w:rPr>
            <w:rStyle w:val="Hyperlink"/>
          </w:rPr>
          <w:t xml:space="preserve">10.64861/LCET1122</w:t>
        </w:r>
      </w:hyperlink>
    </w:p>
    <w:p>
      <w:pPr>
        <w:pStyle w:val="BodyText"/>
        <w:spacing w:line="480" w:lineRule="auto"/>
        <w:ind w:firstLine="720"/>
      </w:pPr>
      <w:bookmarkStart w:id="146" w:name="ref-7"/>
      <w:bookmarkEnd w:id="146"/>
      <w:r>
        <w:t xml:space="preserve">7. J. Serrano, A. Gallego, Á. Martínez, and D. Moreno,</w:t>
      </w:r>
      <w:r>
        <w:t xml:space="preserve"> </w:t>
      </w:r>
      <w:r>
        <w:t xml:space="preserve">“Monitoring of Rendezvous and Proximity Operations With SST and SDA Techniques Combination,”</w:t>
      </w:r>
      <w:r>
        <w:t xml:space="preserve"> </w:t>
      </w:r>
      <w:r>
        <w:rPr>
          <w:i/>
          <w:iCs/>
        </w:rPr>
        <w:t xml:space="preserve">Proc. AMOS Conf.</w:t>
      </w:r>
      <w:r>
        <w:t xml:space="preserve">, 2024. doi:</w:t>
      </w:r>
      <w:r>
        <w:t xml:space="preserve"> </w:t>
      </w:r>
      <w:hyperlink r:id="rId147">
        <w:r>
          <w:rPr>
            <w:rStyle w:val="Hyperlink"/>
          </w:rPr>
          <w:t xml:space="preserve">10.64861/PZFC4312</w:t>
        </w:r>
      </w:hyperlink>
    </w:p>
    <w:p>
      <w:pPr>
        <w:pStyle w:val="BodyText"/>
        <w:spacing w:line="480" w:lineRule="auto"/>
        <w:ind w:firstLine="720"/>
      </w:pPr>
      <w:bookmarkStart w:id="148" w:name="ref-8"/>
      <w:bookmarkEnd w:id="148"/>
      <w:r>
        <w:t xml:space="preserve">8. J. H. Smith, M. Jah, and D. Wood,</w:t>
      </w:r>
      <w:r>
        <w:t xml:space="preserve"> </w:t>
      </w:r>
      <w:r>
        <w:t xml:space="preserve">“Architecting a Decision Support System for Continuing Supervision of Commercial In-Space Servicing,”</w:t>
      </w:r>
      <w:r>
        <w:t xml:space="preserve"> </w:t>
      </w:r>
      <w:r>
        <w:rPr>
          <w:i/>
          <w:iCs/>
        </w:rPr>
        <w:t xml:space="preserve">Acta Astronautica</w:t>
      </w:r>
      <w:r>
        <w:t xml:space="preserve">, vol. 235, 2025. doi:</w:t>
      </w:r>
      <w:r>
        <w:t xml:space="preserve"> </w:t>
      </w:r>
      <w:hyperlink r:id="rId149">
        <w:r>
          <w:rPr>
            <w:rStyle w:val="Hyperlink"/>
          </w:rPr>
          <w:t xml:space="preserve">10.1016/j.actaastro.2025.05.036</w:t>
        </w:r>
      </w:hyperlink>
    </w:p>
    <w:p>
      <w:pPr>
        <w:pStyle w:val="BodyText"/>
        <w:spacing w:line="480" w:lineRule="auto"/>
        <w:ind w:firstLine="720"/>
      </w:pPr>
      <w:bookmarkStart w:id="150" w:name="ref-9"/>
      <w:bookmarkEnd w:id="150"/>
      <w:r>
        <w:t xml:space="preserve">9. M. Borowitz, C. Perez Hernandez, M. Hejduk, A. Gillet, M. Moury, and P. Faucher,</w:t>
      </w:r>
      <w:r>
        <w:t xml:space="preserve"> </w:t>
      </w:r>
      <w:r>
        <w:t xml:space="preserve">“A Technical Comparison of the Public SSA Services in the United States and the European Union,”</w:t>
      </w:r>
      <w:r>
        <w:t xml:space="preserve"> </w:t>
      </w:r>
      <w:r>
        <w:t xml:space="preserve">Proc. AMOS Conf., 2024. doi:</w:t>
      </w:r>
      <w:r>
        <w:t xml:space="preserve"> </w:t>
      </w:r>
      <w:hyperlink r:id="rId140">
        <w:r>
          <w:rPr>
            <w:rStyle w:val="Hyperlink"/>
          </w:rPr>
          <w:t xml:space="preserve">10.64861/ETRU7114</w:t>
        </w:r>
      </w:hyperlink>
    </w:p>
    <w:p>
      <w:pPr>
        <w:pStyle w:val="BodyText"/>
        <w:spacing w:line="480" w:lineRule="auto"/>
        <w:ind w:firstLine="720"/>
      </w:pPr>
      <w:bookmarkStart w:id="151" w:name="ref-10"/>
      <w:bookmarkEnd w:id="151"/>
      <w:r>
        <w:t xml:space="preserve">10. K. Anilkumar et al.,</w:t>
      </w:r>
      <w:r>
        <w:t xml:space="preserve"> </w:t>
      </w:r>
      <w:r>
        <w:t xml:space="preserve">“Moon to Mars: Challenges and Strategic Frameworks for Space Traffic Management in Cislunar and Cismartian Environments,”</w:t>
      </w:r>
      <w:r>
        <w:t xml:space="preserve"> </w:t>
      </w:r>
      <w:r>
        <w:t xml:space="preserve">Acta Astronautica, vol. 229, 2025. doi:</w:t>
      </w:r>
      <w:r>
        <w:t xml:space="preserve"> </w:t>
      </w:r>
      <w:hyperlink r:id="rId143">
        <w:r>
          <w:rPr>
            <w:rStyle w:val="Hyperlink"/>
          </w:rPr>
          <w:t xml:space="preserve">10.1016/j.actaastro.2024.12.056</w:t>
        </w:r>
      </w:hyperlink>
    </w:p>
    <w:p>
      <w:pPr>
        <w:pStyle w:val="BodyText"/>
        <w:spacing w:line="480" w:lineRule="auto"/>
        <w:ind w:firstLine="720"/>
      </w:pPr>
      <w:bookmarkStart w:id="152" w:name="ref-11"/>
      <w:bookmarkEnd w:id="152"/>
      <w:r>
        <w:t xml:space="preserve">11. M. Borowitz, C. Perez Hernandez, M. Jouisse, A. Gillet, and P. Faucher,</w:t>
      </w:r>
      <w:r>
        <w:t xml:space="preserve"> </w:t>
      </w:r>
      <w:r>
        <w:t xml:space="preserve">“Advancing Concepts for Global Coordination on SSA,”</w:t>
      </w:r>
      <w:r>
        <w:t xml:space="preserve"> </w:t>
      </w:r>
      <w:r>
        <w:t xml:space="preserve">Proc. AMOS Conf., 2025. doi:</w:t>
      </w:r>
      <w:r>
        <w:t xml:space="preserve"> </w:t>
      </w:r>
      <w:hyperlink r:id="rId145">
        <w:r>
          <w:rPr>
            <w:rStyle w:val="Hyperlink"/>
          </w:rPr>
          <w:t xml:space="preserve">10.64861/LCET1122</w:t>
        </w:r>
      </w:hyperlink>
    </w:p>
    <w:p>
      <w:pPr>
        <w:pStyle w:val="BodyText"/>
        <w:spacing w:line="480" w:lineRule="auto"/>
        <w:ind w:firstLine="720"/>
      </w:pPr>
      <w:bookmarkStart w:id="153" w:name="ref-12"/>
      <w:bookmarkEnd w:id="153"/>
      <w:r>
        <w:t xml:space="preserve">12. J. Serrano, A. Gallego, A. Martinez, and D. Moreno,</w:t>
      </w:r>
      <w:r>
        <w:t xml:space="preserve"> </w:t>
      </w:r>
      <w:r>
        <w:t xml:space="preserve">“Monitoring of Rendezvous and Proximity Operations With SST and SDA Techniques Combination,”</w:t>
      </w:r>
      <w:r>
        <w:t xml:space="preserve"> </w:t>
      </w:r>
      <w:r>
        <w:t xml:space="preserve">Proc. AMOS Conf., 2024. doi:</w:t>
      </w:r>
      <w:r>
        <w:t xml:space="preserve"> </w:t>
      </w:r>
      <w:hyperlink r:id="rId147">
        <w:r>
          <w:rPr>
            <w:rStyle w:val="Hyperlink"/>
          </w:rPr>
          <w:t xml:space="preserve">10.64861/PZFC4312</w:t>
        </w:r>
      </w:hyperlink>
    </w:p>
    <w:p>
      <w:pPr>
        <w:pStyle w:val="BodyText"/>
        <w:spacing w:line="480" w:lineRule="auto"/>
        <w:ind w:firstLine="720"/>
      </w:pPr>
      <w:bookmarkStart w:id="154" w:name="ref-13"/>
      <w:bookmarkEnd w:id="154"/>
      <w:r>
        <w:t xml:space="preserve">13. B. Weeden and V. Samson, editors. Global Counterspace Capabilities: An Open Source Assessment. Secure World Foundation, 2020. swfound.org/media/206957/swf_counterspace2020_electronic_final.pdf.</w:t>
      </w:r>
    </w:p>
    <w:p>
      <w:pPr>
        <w:pStyle w:val="BodyText"/>
        <w:spacing w:line="480" w:lineRule="auto"/>
        <w:ind w:firstLine="720"/>
      </w:pPr>
      <w:bookmarkStart w:id="155" w:name="ref-14"/>
      <w:bookmarkEnd w:id="155"/>
      <w:r>
        <w:t xml:space="preserve">14. T. Harrison, K. Johnson, M. Roberts, and others. Space Threat Assessment 2020. Center for Strategic and International Studies, 2020. aerospace.csis.org/wp-content/uploads/2020/03/Harrison_SpaceThreatAssessment20.pdf.</w:t>
      </w:r>
    </w:p>
    <w:p>
      <w:pPr>
        <w:pStyle w:val="BodyText"/>
        <w:spacing w:line="480" w:lineRule="auto"/>
        <w:ind w:firstLine="720"/>
      </w:pPr>
      <w:bookmarkStart w:id="156" w:name="ref-15"/>
      <w:bookmarkEnd w:id="156"/>
      <w:r>
        <w:t xml:space="preserve">15. S. George, A. Agathanggelou, G. Privett, and others. PHANTOM ECHOES 2: A Five-Eyes SDA experiment on GEO proximity operations. Proc. AMOS Conference, 2021. amostech.space/year/2021/phantom-echoes-2-a-five-eyes-sda-experiment-on-geo-proximity-operations/.</w:t>
      </w:r>
    </w:p>
    <w:p>
      <w:pPr>
        <w:pStyle w:val="BodyText"/>
        <w:spacing w:line="480" w:lineRule="auto"/>
        <w:ind w:firstLine="720"/>
      </w:pPr>
      <w:bookmarkStart w:id="157" w:name="ref-16"/>
      <w:bookmarkEnd w:id="157"/>
      <w:r>
        <w:t xml:space="preserve">16. B. Weeden. GSSAP fact sheet. Secure World Foundation, 2020. swfound.org/media/206118/swf_gssap_fact_sheet_2020.pdf.</w:t>
      </w:r>
    </w:p>
    <w:p>
      <w:pPr>
        <w:pStyle w:val="BodyText"/>
        <w:spacing w:line="480" w:lineRule="auto"/>
        <w:ind w:firstLine="720"/>
      </w:pPr>
      <w:bookmarkStart w:id="158" w:name="ref-17"/>
      <w:bookmarkEnd w:id="158"/>
      <w:r>
        <w:t xml:space="preserve">17. A. Pasztor. Russian satellite maneuvers worry Intelsat. Wall Street Journal, October 9, 2015.</w:t>
      </w:r>
    </w:p>
    <w:p>
      <w:pPr>
        <w:pStyle w:val="BodyText"/>
        <w:spacing w:line="480" w:lineRule="auto"/>
        <w:ind w:firstLine="720"/>
      </w:pPr>
      <w:bookmarkStart w:id="159" w:name="ref-18"/>
      <w:bookmarkEnd w:id="159"/>
      <w:r>
        <w:t xml:space="preserve">18. S. Erwin. Chinese satellite observed grappling defunct Beidou. SpaceNews, February 2, 2022.</w:t>
      </w:r>
    </w:p>
    <w:p>
      <w:pPr>
        <w:pStyle w:val="BodyText"/>
        <w:spacing w:line="480" w:lineRule="auto"/>
        <w:ind w:firstLine="720"/>
      </w:pPr>
      <w:bookmarkStart w:id="160" w:name="ref-19"/>
      <w:bookmarkEnd w:id="160"/>
      <w:r>
        <w:t xml:space="preserve">19. Northrop Grumman SpaceLogistics. MEV-1 successfully docks with Intelsat 901 satellite. Press release, February 26, 2020.</w:t>
      </w:r>
    </w:p>
    <w:p>
      <w:pPr>
        <w:pStyle w:val="BodyText"/>
        <w:spacing w:line="480" w:lineRule="auto"/>
        <w:ind w:firstLine="720"/>
      </w:pPr>
      <w:bookmarkStart w:id="161" w:name="ref-20"/>
      <w:bookmarkEnd w:id="161"/>
      <w:r>
        <w:t xml:space="preserve">20. P. M. Cunio, J. Bishop, C. W. Ingram, and others. Analysis of orbit residual behavior to determine contact in rendezvous and proximity operations at geosynchronous orbit. Proc. AMOS Conference, 2022. amostech.space/year/2022/analysis-of-orbit-residual-behavior-to-determine-contact-in-rendezvous-and-proximity-operations-at-geosynchronous-orbit/.</w:t>
      </w:r>
    </w:p>
    <w:p>
      <w:pPr>
        <w:pStyle w:val="BodyText"/>
        <w:spacing w:line="480" w:lineRule="auto"/>
        <w:ind w:firstLine="720"/>
      </w:pPr>
      <w:bookmarkStart w:id="162" w:name="ref-21"/>
      <w:bookmarkEnd w:id="162"/>
      <w:r>
        <w:t xml:space="preserve">21. B. Hendrickx. Russia launches Olymp-K-2. The Space Review, May 13, 2024.</w:t>
      </w:r>
    </w:p>
    <w:p>
      <w:pPr>
        <w:pStyle w:val="BodyText"/>
        <w:spacing w:line="480" w:lineRule="auto"/>
        <w:ind w:firstLine="720"/>
      </w:pPr>
      <w:bookmarkStart w:id="163" w:name="ref-22"/>
      <w:bookmarkEnd w:id="163"/>
      <w:r>
        <w:t xml:space="preserve">22. Carol Welsch (Orbital Sciences Corp), Brent Armand (Orbital Sciences Corp), Mike Repp (Orbital Sciences Corp), Alec Robinson (Orbital Sciences Corp). The Case for GEO Hosted SSA Payloads (2014).</w:t>
      </w:r>
    </w:p>
    <w:p>
      <w:pPr>
        <w:pStyle w:val="BodyText"/>
        <w:spacing w:line="480" w:lineRule="auto"/>
        <w:ind w:firstLine="720"/>
      </w:pPr>
      <w:bookmarkStart w:id="164" w:name="ref-23"/>
      <w:bookmarkEnd w:id="164"/>
      <w:r>
        <w:t xml:space="preserve">23. Atilla Saadat, Turion Space Corporation; Vince Chen, Turion Space Corporation; James Austin, Turion Space Corporation. End-to-End Autonomous Mission Planning and Spacecraft Attitude Optimization for Resident Space Object Imaging (2025). doi:</w:t>
      </w:r>
      <w:r>
        <w:t xml:space="preserve"> </w:t>
      </w:r>
      <w:hyperlink r:id="rId165">
        <w:r>
          <w:rPr>
            <w:rStyle w:val="Hyperlink"/>
          </w:rPr>
          <w:t xml:space="preserve">10.64861/TLLP2048</w:t>
        </w:r>
      </w:hyperlink>
    </w:p>
    <w:p>
      <w:pPr>
        <w:pStyle w:val="BodyText"/>
        <w:spacing w:line="480" w:lineRule="auto"/>
        <w:ind w:firstLine="720"/>
      </w:pPr>
      <w:bookmarkStart w:id="166" w:name="ref-24"/>
      <w:bookmarkEnd w:id="166"/>
      <w:r>
        <w:t xml:space="preserve">24. Nancy Hayden, Sandia National Laboratories; Kelsey Abel, Sandia National Laboratories; Marie Arrieta, Sandia National Laboratories; Mallory Stewart, Sandia National Laboratories. Artificial Intelligence and Autonomy in Space: Balancing Risks and Benefits for Deterrence and Escalation Control (2020).</w:t>
      </w:r>
    </w:p>
    <w:p>
      <w:pPr>
        <w:pStyle w:val="BodyText"/>
        <w:spacing w:line="480" w:lineRule="auto"/>
        <w:ind w:firstLine="720"/>
      </w:pPr>
      <w:bookmarkStart w:id="167" w:name="ref-25"/>
      <w:bookmarkEnd w:id="167"/>
      <w:r>
        <w:t xml:space="preserve">25. Fred Hertwig, Air Force Institute of Technology (AFIT); John Colombi, AFIT; Richard Cobb, AFIT; David Meyer, AFIT. Search-Based Vs. Task-Based Space Surveillance for Ground-Based Telescopes (2019).</w:t>
      </w:r>
    </w:p>
    <w:p>
      <w:pPr>
        <w:pStyle w:val="BodyText"/>
        <w:spacing w:line="480" w:lineRule="auto"/>
        <w:ind w:firstLine="720"/>
      </w:pPr>
      <w:bookmarkStart w:id="168" w:name="ref-26"/>
      <w:bookmarkEnd w:id="168"/>
      <w:r>
        <w:t xml:space="preserve">26. John Lambert, Cornerstone Defense. Open-Filter Optical SSA Analysis Considerations (2016).</w:t>
      </w:r>
    </w:p>
    <w:p>
      <w:pPr>
        <w:pStyle w:val="BodyText"/>
        <w:spacing w:line="480" w:lineRule="auto"/>
        <w:ind w:firstLine="720"/>
      </w:pPr>
      <w:bookmarkStart w:id="169" w:name="ref-27"/>
      <w:bookmarkEnd w:id="169"/>
      <w:r>
        <w:t xml:space="preserve">27. Jeff Aristoff, Numerica Corporation; Neil Dhingra, Numerica Corporation; Alex Ferris, Numerica Corporation; Austin Hariri, Numerica Corporation; Joshua Horwood, Numerica Corporation; Ari Larson, Numerica Corporation; Tyler Lyons, Numerica Corporation; Jeff Shaddix, Numerica Corporation; Navraj Singh, Numerica Corporation; Kevin Wilson, Numerica Corporation. Non-Traditional Data Collection and Exploitation for Improved GEO SSA via a Global Network of Heterogeneous Sensors (2018).</w:t>
      </w:r>
    </w:p>
    <w:p>
      <w:pPr>
        <w:pStyle w:val="BodyText"/>
        <w:spacing w:line="480" w:lineRule="auto"/>
        <w:ind w:firstLine="720"/>
      </w:pPr>
      <w:bookmarkStart w:id="170" w:name="ref-28"/>
      <w:bookmarkEnd w:id="170"/>
      <w:r>
        <w:t xml:space="preserve">28. Michael Felten, U.S. Air Force; John Colombi, AFIT; Richard Cobb, AFIT; David Meyer, AFIT. Optimization of Geosynchronous Space Situational Awareness Architectures using Parallel Computation (2018).</w:t>
      </w:r>
    </w:p>
    <w:p>
      <w:pPr>
        <w:pStyle w:val="BodyText"/>
        <w:spacing w:line="480" w:lineRule="auto"/>
        <w:ind w:firstLine="720"/>
      </w:pPr>
      <w:bookmarkStart w:id="171" w:name="ref-29"/>
      <w:bookmarkEnd w:id="171"/>
      <w:r>
        <w:t xml:space="preserve">29. Harvey Reed, The MITRE Corporation; Nathaniel Dailey, The Mitre Corporation &amp; American University School of Public Affairs; Bob Carden, The MITRE Corporation; Dave Bryson, The MITRE Corporation. Blockchain Enabled Space Traffic Awareness (BESTA) (2019).</w:t>
      </w:r>
    </w:p>
    <w:p>
      <w:pPr>
        <w:pStyle w:val="BodyText"/>
        <w:spacing w:line="480" w:lineRule="auto"/>
        <w:ind w:firstLine="720"/>
      </w:pPr>
      <w:bookmarkStart w:id="172" w:name="ref-30"/>
      <w:bookmarkEnd w:id="172"/>
      <w:r>
        <w:t xml:space="preserve">30. C. Gambarotto; Paola Grattagliano; Luigi De Maria; Marco Felice Montaruli. Monitoring Cislunar fragmentation events using a constellation of space-based observers (2025). doi:</w:t>
      </w:r>
      <w:r>
        <w:t xml:space="preserve"> </w:t>
      </w:r>
      <w:hyperlink r:id="rId173">
        <w:r>
          <w:rPr>
            <w:rStyle w:val="Hyperlink"/>
          </w:rPr>
          <w:t xml:space="preserve">10.1016/j.actaastro.2025.09.078</w:t>
        </w:r>
      </w:hyperlink>
    </w:p>
    <w:p>
      <w:pPr>
        <w:pStyle w:val="BodyText"/>
        <w:spacing w:line="480" w:lineRule="auto"/>
        <w:ind w:firstLine="720"/>
      </w:pPr>
      <w:bookmarkStart w:id="174" w:name="ref-31"/>
      <w:bookmarkEnd w:id="174"/>
      <w:r>
        <w:t xml:space="preserve">31.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43">
        <w:r>
          <w:rPr>
            <w:rStyle w:val="Hyperlink"/>
          </w:rPr>
          <w:t xml:space="preserve">10.1016/j.actaastro.2024.12.056</w:t>
        </w:r>
      </w:hyperlink>
    </w:p>
    <w:p>
      <w:pPr>
        <w:pStyle w:val="BodyText"/>
        <w:spacing w:line="480" w:lineRule="auto"/>
        <w:ind w:firstLine="720"/>
      </w:pPr>
      <w:bookmarkStart w:id="175" w:name="ref-32"/>
      <w:bookmarkEnd w:id="175"/>
      <w:r>
        <w:t xml:space="preserve">32. Alexandra Chronopoulos. Laying the groundwork for deterrence: A preliminary examination of general deterrence in space during peacetime, the role of strategic narratives, and US-China dynamics (2025). doi:</w:t>
      </w:r>
      <w:r>
        <w:t xml:space="preserve"> </w:t>
      </w:r>
      <w:hyperlink r:id="rId176">
        <w:r>
          <w:rPr>
            <w:rStyle w:val="Hyperlink"/>
          </w:rPr>
          <w:t xml:space="preserve">10.1016/j.actaastro.2025.10.042</w:t>
        </w:r>
      </w:hyperlink>
    </w:p>
    <w:p>
      <w:pPr>
        <w:pStyle w:val="BodyText"/>
        <w:spacing w:line="480" w:lineRule="auto"/>
        <w:ind w:firstLine="720"/>
      </w:pPr>
      <w:bookmarkStart w:id="177" w:name="ref-33"/>
      <w:bookmarkEnd w:id="177"/>
      <w:r>
        <w:t xml:space="preserve">33. Jack Reid; Danielle Wood. Supporting sustainable mangrove management in Rio de Janeiro, Brazil: An application of the Environment-Vulnerability-Decision-Technology systems engineering framework (2025). doi:</w:t>
      </w:r>
      <w:r>
        <w:t xml:space="preserve"> </w:t>
      </w:r>
      <w:hyperlink r:id="rId178">
        <w:r>
          <w:rPr>
            <w:rStyle w:val="Hyperlink"/>
          </w:rPr>
          <w:t xml:space="preserve">10.1016/j.actaastro.2025.08.050</w:t>
        </w:r>
      </w:hyperlink>
    </w:p>
    <w:p>
      <w:pPr>
        <w:pStyle w:val="BodyText"/>
        <w:spacing w:line="480" w:lineRule="auto"/>
        <w:ind w:firstLine="720"/>
      </w:pPr>
      <w:bookmarkStart w:id="179" w:name="ref-34"/>
      <w:bookmarkEnd w:id="179"/>
      <w:r>
        <w:t xml:space="preserve">34. S. Kazemi; Nasser L. Azad; Kuindersma Scott; Haroon B. Oqab; George B. Dietrich. Orbit determination for space situational awareness: A survey (2024). doi:</w:t>
      </w:r>
      <w:r>
        <w:t xml:space="preserve"> </w:t>
      </w:r>
      <w:hyperlink r:id="rId180">
        <w:r>
          <w:rPr>
            <w:rStyle w:val="Hyperlink"/>
          </w:rPr>
          <w:t xml:space="preserve">10.1016/j.actaastro.2024.06.015</w:t>
        </w:r>
      </w:hyperlink>
    </w:p>
    <w:p>
      <w:pPr>
        <w:pStyle w:val="BodyText"/>
        <w:spacing w:line="480" w:lineRule="auto"/>
        <w:ind w:firstLine="720"/>
      </w:pPr>
      <w:bookmarkStart w:id="181" w:name="ref-35"/>
      <w:bookmarkEnd w:id="181"/>
      <w:r>
        <w:t xml:space="preserve">35. Giulio Campiti; Giuseppe Brunetti; Vitali Braun; Eugenio Di Sciascio; Caterina Ciminelli. Orbital kinematics of conjuncting objects in Low-Earth Orbit and opportunities for autonomous observations (2023). doi:</w:t>
      </w:r>
      <w:r>
        <w:t xml:space="preserve"> </w:t>
      </w:r>
      <w:hyperlink r:id="rId182">
        <w:r>
          <w:rPr>
            <w:rStyle w:val="Hyperlink"/>
          </w:rPr>
          <w:t xml:space="preserve">10.1016/j.actaastro.2023.04.032</w:t>
        </w:r>
      </w:hyperlink>
    </w:p>
    <w:p>
      <w:pPr>
        <w:pStyle w:val="BodyText"/>
        <w:spacing w:line="480" w:lineRule="auto"/>
        <w:ind w:firstLine="720"/>
      </w:pPr>
      <w:bookmarkStart w:id="183" w:name="ref-36"/>
      <w:bookmarkEnd w:id="183"/>
      <w:r>
        <w:t xml:space="preserve">36. J.C. Dolado-Perez; Kumi Nitta; Tim Flohrer; Moriba Jah; V. Martinot; Alejandro Pastor. Improvement of orbital data precision and accuracy (2025). doi:</w:t>
      </w:r>
      <w:r>
        <w:t xml:space="preserve"> </w:t>
      </w:r>
      <w:hyperlink r:id="rId184">
        <w:r>
          <w:rPr>
            <w:rStyle w:val="Hyperlink"/>
          </w:rPr>
          <w:t xml:space="preserve">10.1016/j.actaastro.2025.01.003</w:t>
        </w:r>
      </w:hyperlink>
    </w:p>
    <w:p>
      <w:pPr>
        <w:pStyle w:val="BodyText"/>
        <w:spacing w:line="480" w:lineRule="auto"/>
        <w:ind w:firstLine="720"/>
      </w:pPr>
      <w:bookmarkStart w:id="185" w:name="ref-37"/>
      <w:bookmarkEnd w:id="185"/>
      <w:r>
        <w:t xml:space="preserve">37. Jacqueline H. Smith; Moriba Jah; Danielle Wood. Architecting a decision support system for continuing supervision of commercial in-space servicing (2025). doi:</w:t>
      </w:r>
      <w:r>
        <w:t xml:space="preserve"> </w:t>
      </w:r>
      <w:hyperlink r:id="rId149">
        <w:r>
          <w:rPr>
            <w:rStyle w:val="Hyperlink"/>
          </w:rPr>
          <w:t xml:space="preserve">10.1016/j.actaastro.2025.05.036</w:t>
        </w:r>
      </w:hyperlink>
    </w:p>
    <w:bookmarkEnd w:id="186"/>
    <w:bookmarkEnd w:id="187"/>
    <w:bookmarkStart w:id="20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5" w:name="X600969a3173215bf70d7f7d5c43ac6429e56e65"/>
    <w:p>
      <w:pPr>
        <w:pStyle w:val="Heading2"/>
        <w:spacing w:line="480" w:lineRule="auto"/>
      </w:pPr>
      <w:r>
        <w:t xml:space="preserve">A.1 Deterrence by Detection at GEO: An OLS Panel Test of Public SSA Coverage and Observed RPO Event Rates</w:t>
      </w:r>
    </w:p>
    <w:p>
      <w:pPr>
        <w:pStyle w:val="FirstParagraph"/>
        <w:spacing w:line="480" w:lineRule="auto"/>
      </w:pPr>
      <m:oMathPara>
        <m:oMathParaPr>
          <m:jc m:val="center"/>
        </m:oMathParaPr>
        <m:oMath>
          <m:sSub>
            <m:e>
              <m:r>
                <m:rPr>
                  <m:sty m:val="p"/>
                </m:rPr>
                <m:t>r</m:t>
              </m:r>
              <m:r>
                <m:rPr>
                  <m:sty m:val="p"/>
                </m:rPr>
                <m:t>p</m:t>
              </m:r>
              <m:r>
                <m:rPr>
                  <m:sty m:val="p"/>
                </m:rPr>
                <m:t>o</m:t>
              </m:r>
              <m:r>
                <m:rPr>
                  <m:sty m:val="p"/>
                </m:rPr>
                <m:t>_</m:t>
              </m:r>
              <m:r>
                <m:rPr>
                  <m:sty m:val="p"/>
                </m:rPr>
                <m:t>e</m:t>
              </m:r>
              <m:r>
                <m:rPr>
                  <m:sty m:val="p"/>
                </m:rPr>
                <m:t>v</m:t>
              </m:r>
              <m:r>
                <m:rPr>
                  <m:sty m:val="p"/>
                </m:rPr>
                <m:t>e</m:t>
              </m:r>
              <m:r>
                <m:rPr>
                  <m:sty m:val="p"/>
                </m:rPr>
                <m:t>n</m:t>
              </m:r>
              <m:r>
                <m:rPr>
                  <m:sty m:val="p"/>
                </m:rPr>
                <m:t>t</m:t>
              </m:r>
              <m:r>
                <m:rPr>
                  <m:sty m:val="p"/>
                </m:rPr>
                <m:t>_</m:t>
              </m:r>
              <m:r>
                <m:rPr>
                  <m:sty m:val="p"/>
                </m:rPr>
                <m:t>c</m:t>
              </m:r>
              <m:r>
                <m:rPr>
                  <m:sty m:val="p"/>
                </m:rPr>
                <m:t>o</m:t>
              </m:r>
              <m:r>
                <m:rPr>
                  <m:sty m:val="p"/>
                </m:rPr>
                <m:t>u</m:t>
              </m:r>
              <m:r>
                <m:rPr>
                  <m:sty m:val="p"/>
                </m:rPr>
                <m:t>n</m:t>
              </m:r>
              <m:r>
                <m:rPr>
                  <m:sty m:val="p"/>
                </m:rPr>
                <m:t>t</m:t>
              </m:r>
            </m:e>
            <m:sub>
              <m:r>
                <m:t>i</m:t>
              </m:r>
              <m:r>
                <m:rPr>
                  <m:sty m:val="p"/>
                </m:rPr>
                <m:t>,</m:t>
              </m:r>
              <m:r>
                <m:t>t</m:t>
              </m:r>
            </m:sub>
          </m:sSub>
          <m:r>
            <m:rPr>
              <m:sty m:val="p"/>
            </m:rPr>
            <m:t>=</m:t>
          </m:r>
          <m:sSub>
            <m:e>
              <m:r>
                <m:t>β</m:t>
              </m:r>
            </m:e>
            <m:sub>
              <m:r>
                <m:t>0</m:t>
              </m:r>
            </m:sub>
          </m:sSub>
          <m:r>
            <m:rPr>
              <m:sty m:val="p"/>
            </m:rPr>
            <m:t>+</m:t>
          </m:r>
          <m:sSub>
            <m:e>
              <m:r>
                <m:t>β</m:t>
              </m:r>
            </m:e>
            <m:sub>
              <m:r>
                <m:t>1</m:t>
              </m:r>
            </m:sub>
          </m:sSub>
          <m:sSub>
            <m:e>
              <m:r>
                <m:rPr>
                  <m:sty m:val="p"/>
                </m:rPr>
                <m:t>p</m:t>
              </m:r>
              <m:r>
                <m:rPr>
                  <m:sty m:val="p"/>
                </m:rPr>
                <m:t>u</m:t>
              </m:r>
              <m:r>
                <m:rPr>
                  <m:sty m:val="p"/>
                </m:rPr>
                <m:t>b</m:t>
              </m:r>
              <m:r>
                <m:rPr>
                  <m:sty m:val="p"/>
                </m:rPr>
                <m:t>l</m:t>
              </m:r>
              <m:r>
                <m:rPr>
                  <m:sty m:val="p"/>
                </m:rPr>
                <m:t>i</m:t>
              </m:r>
              <m:r>
                <m:rPr>
                  <m:sty m:val="p"/>
                </m:rPr>
                <m:t>c</m:t>
              </m:r>
              <m:r>
                <m:rPr>
                  <m:sty m:val="p"/>
                </m:rPr>
                <m:t>_</m:t>
              </m:r>
              <m:r>
                <m:rPr>
                  <m:sty m:val="p"/>
                </m:rPr>
                <m:t>s</m:t>
              </m:r>
              <m:r>
                <m:rPr>
                  <m:sty m:val="p"/>
                </m:rPr>
                <m:t>s</m:t>
              </m:r>
              <m:r>
                <m:rPr>
                  <m:sty m:val="p"/>
                </m:rPr>
                <m:t>a</m:t>
              </m:r>
              <m:r>
                <m:rPr>
                  <m:sty m:val="p"/>
                </m:rPr>
                <m:t>_</m:t>
              </m:r>
              <m:r>
                <m:rPr>
                  <m:sty m:val="p"/>
                </m:rPr>
                <m:t>c</m:t>
              </m:r>
              <m:r>
                <m:rPr>
                  <m:sty m:val="p"/>
                </m:rPr>
                <m:t>o</m:t>
              </m:r>
              <m:r>
                <m:rPr>
                  <m:sty m:val="p"/>
                </m:rPr>
                <m:t>v</m:t>
              </m:r>
              <m:r>
                <m:rPr>
                  <m:sty m:val="p"/>
                </m:rPr>
                <m:t>e</m:t>
              </m:r>
              <m:r>
                <m:rPr>
                  <m:sty m:val="p"/>
                </m:rPr>
                <m:t>r</m:t>
              </m:r>
              <m:r>
                <m:rPr>
                  <m:sty m:val="p"/>
                </m:rPr>
                <m:t>a</m:t>
              </m:r>
              <m:r>
                <m:rPr>
                  <m:sty m:val="p"/>
                </m:rPr>
                <m:t>g</m:t>
              </m:r>
              <m:r>
                <m:rPr>
                  <m:sty m:val="p"/>
                </m:rPr>
                <m:t>e</m:t>
              </m:r>
            </m:e>
            <m:sub>
              <m:r>
                <m:t>i</m:t>
              </m:r>
              <m:r>
                <m:rPr>
                  <m:sty m:val="p"/>
                </m:rPr>
                <m:t>,</m:t>
              </m:r>
              <m:r>
                <m:t>t</m:t>
              </m:r>
            </m:sub>
          </m:sSub>
          <m:r>
            <m:rPr>
              <m:sty m:val="p"/>
            </m:rPr>
            <m:t>+</m:t>
          </m:r>
          <m:sSub>
            <m:e>
              <m:r>
                <m:t>β</m:t>
              </m:r>
            </m:e>
            <m:sub>
              <m:r>
                <m:t>2</m:t>
              </m:r>
            </m:sub>
          </m:sSub>
          <m:sSub>
            <m:e>
              <m:r>
                <m:rPr>
                  <m:sty m:val="p"/>
                </m:rPr>
                <m:t>o</m:t>
              </m:r>
              <m:r>
                <m:rPr>
                  <m:sty m:val="p"/>
                </m:rPr>
                <m:t>b</m:t>
              </m:r>
              <m:r>
                <m:rPr>
                  <m:sty m:val="p"/>
                </m:rPr>
                <m:t>s</m:t>
              </m:r>
              <m:r>
                <m:rPr>
                  <m:sty m:val="p"/>
                </m:rPr>
                <m:t>e</m:t>
              </m:r>
              <m:r>
                <m:rPr>
                  <m:sty m:val="p"/>
                </m:rPr>
                <m:t>r</m:t>
              </m:r>
              <m:r>
                <m:rPr>
                  <m:sty m:val="p"/>
                </m:rPr>
                <m:t>v</m:t>
              </m:r>
              <m:r>
                <m:rPr>
                  <m:sty m:val="p"/>
                </m:rPr>
                <m:t>e</m:t>
              </m:r>
              <m:r>
                <m:rPr>
                  <m:sty m:val="p"/>
                </m:rPr>
                <m:t>r</m:t>
              </m:r>
              <m:r>
                <m:rPr>
                  <m:sty m:val="p"/>
                </m:rPr>
                <m:t>_</m:t>
              </m:r>
              <m:r>
                <m:rPr>
                  <m:sty m:val="p"/>
                </m:rPr>
                <m:t>f</m:t>
              </m:r>
              <m:r>
                <m:rPr>
                  <m:sty m:val="p"/>
                </m:rPr>
                <m:t>o</m:t>
              </m:r>
              <m:r>
                <m:rPr>
                  <m:sty m:val="p"/>
                </m:rPr>
                <m:t>o</m:t>
              </m:r>
              <m:r>
                <m:rPr>
                  <m:sty m:val="p"/>
                </m:rPr>
                <m:t>t</m:t>
              </m:r>
              <m:r>
                <m:rPr>
                  <m:sty m:val="p"/>
                </m:rPr>
                <m:t>p</m:t>
              </m:r>
              <m:r>
                <m:rPr>
                  <m:sty m:val="p"/>
                </m:rPr>
                <m:t>r</m:t>
              </m:r>
              <m:r>
                <m:rPr>
                  <m:sty m:val="p"/>
                </m:rPr>
                <m:t>i</m:t>
              </m:r>
              <m:r>
                <m:rPr>
                  <m:sty m:val="p"/>
                </m:rPr>
                <m:t>n</m:t>
              </m:r>
              <m:r>
                <m:rPr>
                  <m:sty m:val="p"/>
                </m:rPr>
                <m:t>t</m:t>
              </m:r>
            </m:e>
            <m:sub>
              <m:r>
                <m:t>i</m:t>
              </m:r>
              <m:r>
                <m:rPr>
                  <m:sty m:val="p"/>
                </m:rPr>
                <m:t>,</m:t>
              </m:r>
              <m:r>
                <m:t>t</m:t>
              </m:r>
            </m:sub>
          </m:sSub>
          <m:r>
            <m:rPr>
              <m:sty m:val="p"/>
            </m:rPr>
            <m:t>+</m:t>
          </m:r>
          <m:sSub>
            <m:e>
              <m:r>
                <m:t>β</m:t>
              </m:r>
            </m:e>
            <m:sub>
              <m:r>
                <m:t>3</m:t>
              </m:r>
            </m:sub>
          </m:sSub>
          <m:sSub>
            <m:e>
              <m:r>
                <m:rPr>
                  <m:sty m:val="p"/>
                </m:rPr>
                <m:t>o</m:t>
              </m:r>
              <m:r>
                <m:rPr>
                  <m:sty m:val="p"/>
                </m:rPr>
                <m:t>p</m:t>
              </m:r>
              <m:r>
                <m:rPr>
                  <m:sty m:val="p"/>
                </m:rPr>
                <m:t>e</m:t>
              </m:r>
              <m:r>
                <m:rPr>
                  <m:sty m:val="p"/>
                </m:rPr>
                <m:t>r</m:t>
              </m:r>
              <m:r>
                <m:rPr>
                  <m:sty m:val="p"/>
                </m:rPr>
                <m:t>a</m:t>
              </m:r>
              <m:r>
                <m:rPr>
                  <m:sty m:val="p"/>
                </m:rPr>
                <m:t>t</m:t>
              </m:r>
              <m:r>
                <m:rPr>
                  <m:sty m:val="p"/>
                </m:rPr>
                <m:t>o</m:t>
              </m:r>
              <m:r>
                <m:rPr>
                  <m:sty m:val="p"/>
                </m:rPr>
                <m:t>r</m:t>
              </m:r>
              <m:r>
                <m:rPr>
                  <m:sty m:val="p"/>
                </m:rPr>
                <m:t>_</m:t>
              </m:r>
              <m:r>
                <m:rPr>
                  <m:sty m:val="p"/>
                </m:rPr>
                <m:t>a</m:t>
              </m:r>
              <m:r>
                <m:rPr>
                  <m:sty m:val="p"/>
                </m:rPr>
                <m:t>t</m:t>
              </m:r>
              <m:r>
                <m:rPr>
                  <m:sty m:val="p"/>
                </m:rPr>
                <m:t>t</m:t>
              </m:r>
              <m:r>
                <m:rPr>
                  <m:sty m:val="p"/>
                </m:rPr>
                <m:t>r</m:t>
              </m:r>
              <m:r>
                <m:rPr>
                  <m:sty m:val="p"/>
                </m:rPr>
                <m:t>i</m:t>
              </m:r>
              <m:r>
                <m:rPr>
                  <m:sty m:val="p"/>
                </m:rPr>
                <m:t>b</m:t>
              </m:r>
              <m:r>
                <m:rPr>
                  <m:sty m:val="p"/>
                </m:rPr>
                <m:t>u</m:t>
              </m:r>
              <m:r>
                <m:rPr>
                  <m:sty m:val="p"/>
                </m:rPr>
                <m:t>t</m:t>
              </m:r>
              <m:r>
                <m:rPr>
                  <m:sty m:val="p"/>
                </m:rPr>
                <m:t>i</m:t>
              </m:r>
              <m:r>
                <m:rPr>
                  <m:sty m:val="p"/>
                </m:rPr>
                <m:t>o</m:t>
              </m:r>
              <m:r>
                <m:rPr>
                  <m:sty m:val="p"/>
                </m:rPr>
                <m:t>n</m:t>
              </m:r>
              <m:r>
                <m:rPr>
                  <m:sty m:val="p"/>
                </m:rPr>
                <m:t>_</m:t>
              </m:r>
              <m:r>
                <m:rPr>
                  <m:sty m:val="p"/>
                </m:rPr>
                <m:t>e</m:t>
              </m:r>
              <m:r>
                <m:rPr>
                  <m:sty m:val="p"/>
                </m:rPr>
                <m:t>x</m:t>
              </m:r>
              <m:r>
                <m:rPr>
                  <m:sty m:val="p"/>
                </m:rPr>
                <m:t>p</m:t>
              </m:r>
              <m:r>
                <m:rPr>
                  <m:sty m:val="p"/>
                </m:rPr>
                <m:t>o</m:t>
              </m:r>
              <m:r>
                <m:rPr>
                  <m:sty m:val="p"/>
                </m:rPr>
                <m:t>s</m:t>
              </m:r>
              <m:r>
                <m:rPr>
                  <m:sty m:val="p"/>
                </m:rPr>
                <m:t>u</m:t>
              </m:r>
              <m:r>
                <m:rPr>
                  <m:sty m:val="p"/>
                </m:rPr>
                <m:t>r</m:t>
              </m:r>
              <m:r>
                <m:rPr>
                  <m:sty m:val="p"/>
                </m:rPr>
                <m:t>e</m:t>
              </m:r>
            </m:e>
            <m:sub>
              <m:r>
                <m:t>i</m:t>
              </m:r>
              <m:r>
                <m:rPr>
                  <m:sty m:val="p"/>
                </m:rPr>
                <m:t>,</m:t>
              </m:r>
              <m:r>
                <m:t>t</m:t>
              </m:r>
            </m:sub>
          </m:sSub>
          <m:r>
            <m:rPr>
              <m:sty m:val="p"/>
            </m:rPr>
            <m:t>+</m:t>
          </m:r>
          <m:sSub>
            <m:e>
              <m:r>
                <m:t>ε</m:t>
              </m:r>
            </m:e>
            <m:sub>
              <m:r>
                <m:t>i</m:t>
              </m:r>
              <m:r>
                <m:rPr>
                  <m:sty m:val="p"/>
                </m:rPr>
                <m:t>,</m:t>
              </m:r>
              <m:r>
                <m:t>t</m:t>
              </m:r>
            </m:sub>
          </m:sSub>
        </m:oMath>
      </m:oMathPara>
    </w:p>
    <w:bookmarkStart w:id="18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4.8043</w:t>
            </w:r>
          </w:p>
        </w:tc>
        <w:tc>
          <w:tcPr>
            <w:tcW w:w="0" w:type="auto"/>
          </w:tcPr>
          <w:p>
            <w:pPr>
              <w:spacing w:line="240" w:lineRule="auto" w:before="0" w:after="0"/>
              <w:pStyle w:val="Compact"/>
            </w:pPr>
            <w:r>
              <w:rPr>
                <w:sz w:val="20"/>
                <w:szCs w:val="20"/>
              </w:rPr>
              <w:t xml:space="preserve">1.1159</w:t>
            </w:r>
          </w:p>
        </w:tc>
        <w:tc>
          <w:tcPr>
            <w:tcW w:w="0" w:type="auto"/>
          </w:tcPr>
          <w:p>
            <w:pPr>
              <w:spacing w:line="240" w:lineRule="auto" w:before="0" w:after="0"/>
              <w:pStyle w:val="Compact"/>
            </w:pPr>
            <w:r>
              <w:rPr>
                <w:sz w:val="20"/>
                <w:szCs w:val="20"/>
              </w:rPr>
              <w:t xml:space="preserve">4.3053</w:t>
            </w:r>
          </w:p>
        </w:tc>
        <w:tc>
          <w:tcPr>
            <w:tcW w:w="0" w:type="auto"/>
          </w:tcPr>
          <w:p>
            <w:pPr>
              <w:spacing w:line="240" w:lineRule="auto" w:before="0" w:after="0"/>
              <w:pStyle w:val="Compact"/>
            </w:pPr>
            <w:r>
              <w:rPr>
                <w:sz w:val="20"/>
                <w:szCs w:val="20"/>
              </w:rPr>
              <w:t xml:space="preserve">1.668e-05</w:t>
            </w:r>
          </w:p>
        </w:tc>
        <w:tc>
          <w:tcPr>
            <w:tcW w:w="0" w:type="auto"/>
          </w:tcPr>
          <w:p>
            <w:pPr>
              <w:spacing w:line="240" w:lineRule="auto" w:before="0" w:after="0"/>
              <w:pStyle w:val="Compact"/>
            </w:pPr>
            <w:r>
              <w:rPr>
                <w:sz w:val="20"/>
                <w:szCs w:val="20"/>
              </w:rPr>
              <w:t xml:space="preserve">[2.6172, 6.9914]</w:t>
            </w:r>
          </w:p>
        </w:tc>
      </w:tr>
      <w:tr>
        <w:tc>
          <w:tcPr>
            <w:tcW w:w="0" w:type="auto"/>
          </w:tcPr>
          <w:p>
            <w:pPr>
              <w:spacing w:line="240" w:lineRule="auto" w:before="0" w:after="0"/>
              <w:pStyle w:val="Compact"/>
            </w:pPr>
            <w:r>
              <w:rPr>
                <w:sz w:val="20"/>
                <w:szCs w:val="20"/>
              </w:rPr>
              <w:t xml:space="preserve">public_ssa_coverage</w:t>
            </w:r>
          </w:p>
        </w:tc>
        <w:tc>
          <w:tcPr>
            <w:tcW w:w="0" w:type="auto"/>
          </w:tcPr>
          <w:p>
            <w:pPr>
              <w:spacing w:line="240" w:lineRule="auto" w:before="0" w:after="0"/>
              <w:pStyle w:val="Compact"/>
            </w:pPr>
            <w:r>
              <w:rPr>
                <w:sz w:val="20"/>
                <w:szCs w:val="20"/>
              </w:rPr>
              <w:t xml:space="preserve">-4.6391</w:t>
            </w:r>
          </w:p>
        </w:tc>
        <w:tc>
          <w:tcPr>
            <w:tcW w:w="0" w:type="auto"/>
          </w:tcPr>
          <w:p>
            <w:pPr>
              <w:spacing w:line="240" w:lineRule="auto" w:before="0" w:after="0"/>
              <w:pStyle w:val="Compact"/>
            </w:pPr>
            <w:r>
              <w:rPr>
                <w:sz w:val="20"/>
                <w:szCs w:val="20"/>
              </w:rPr>
              <w:t xml:space="preserve">0.9814</w:t>
            </w:r>
          </w:p>
        </w:tc>
        <w:tc>
          <w:tcPr>
            <w:tcW w:w="0" w:type="auto"/>
          </w:tcPr>
          <w:p>
            <w:pPr>
              <w:spacing w:line="240" w:lineRule="auto" w:before="0" w:after="0"/>
              <w:pStyle w:val="Compact"/>
            </w:pPr>
            <w:r>
              <w:rPr>
                <w:sz w:val="20"/>
                <w:szCs w:val="20"/>
              </w:rPr>
              <w:t xml:space="preserve">-4.7272</w:t>
            </w:r>
          </w:p>
        </w:tc>
        <w:tc>
          <w:tcPr>
            <w:tcW w:w="0" w:type="auto"/>
          </w:tcPr>
          <w:p>
            <w:pPr>
              <w:spacing w:line="240" w:lineRule="auto" w:before="0" w:after="0"/>
              <w:pStyle w:val="Compact"/>
            </w:pPr>
            <w:r>
              <w:rPr>
                <w:sz w:val="20"/>
                <w:szCs w:val="20"/>
              </w:rPr>
              <w:t xml:space="preserve">2.276e-06</w:t>
            </w:r>
          </w:p>
        </w:tc>
        <w:tc>
          <w:tcPr>
            <w:tcW w:w="0" w:type="auto"/>
          </w:tcPr>
          <w:p>
            <w:pPr>
              <w:spacing w:line="240" w:lineRule="auto" w:before="0" w:after="0"/>
              <w:pStyle w:val="Compact"/>
            </w:pPr>
            <w:r>
              <w:rPr>
                <w:sz w:val="20"/>
                <w:szCs w:val="20"/>
              </w:rPr>
              <w:t xml:space="preserve">[-6.5625, -2.7157]</w:t>
            </w:r>
          </w:p>
        </w:tc>
      </w:tr>
      <w:tr>
        <w:tc>
          <w:tcPr>
            <w:tcW w:w="0" w:type="auto"/>
          </w:tcPr>
          <w:p>
            <w:pPr>
              <w:spacing w:line="240" w:lineRule="auto" w:before="0" w:after="0"/>
              <w:pStyle w:val="Compact"/>
            </w:pPr>
            <w:r>
              <w:rPr>
                <w:sz w:val="20"/>
                <w:szCs w:val="20"/>
              </w:rPr>
              <w:t xml:space="preserve">observer_footprint</w:t>
            </w:r>
          </w:p>
        </w:tc>
        <w:tc>
          <w:tcPr>
            <w:tcW w:w="0" w:type="auto"/>
          </w:tcPr>
          <w:p>
            <w:pPr>
              <w:spacing w:line="240" w:lineRule="auto" w:before="0" w:after="0"/>
              <w:pStyle w:val="Compact"/>
            </w:pPr>
            <w:r>
              <w:rPr>
                <w:sz w:val="20"/>
                <w:szCs w:val="20"/>
              </w:rPr>
              <w:t xml:space="preserve">-0.4555</w:t>
            </w:r>
          </w:p>
        </w:tc>
        <w:tc>
          <w:tcPr>
            <w:tcW w:w="0" w:type="auto"/>
          </w:tcPr>
          <w:p>
            <w:pPr>
              <w:spacing w:line="240" w:lineRule="auto" w:before="0" w:after="0"/>
              <w:pStyle w:val="Compact"/>
            </w:pPr>
            <w:r>
              <w:rPr>
                <w:sz w:val="20"/>
                <w:szCs w:val="20"/>
              </w:rPr>
              <w:t xml:space="preserve">2.2647</w:t>
            </w:r>
          </w:p>
        </w:tc>
        <w:tc>
          <w:tcPr>
            <w:tcW w:w="0" w:type="auto"/>
          </w:tcPr>
          <w:p>
            <w:pPr>
              <w:spacing w:line="240" w:lineRule="auto" w:before="0" w:after="0"/>
              <w:pStyle w:val="Compact"/>
            </w:pPr>
            <w:r>
              <w:rPr>
                <w:sz w:val="20"/>
                <w:szCs w:val="20"/>
              </w:rPr>
              <w:t xml:space="preserve">-0.2011</w:t>
            </w:r>
          </w:p>
        </w:tc>
        <w:tc>
          <w:tcPr>
            <w:tcW w:w="0" w:type="auto"/>
          </w:tcPr>
          <w:p>
            <w:pPr>
              <w:spacing w:line="240" w:lineRule="auto" w:before="0" w:after="0"/>
              <w:pStyle w:val="Compact"/>
            </w:pPr>
            <w:r>
              <w:rPr>
                <w:sz w:val="20"/>
                <w:szCs w:val="20"/>
              </w:rPr>
              <w:t xml:space="preserve">0.8406</w:t>
            </w:r>
          </w:p>
        </w:tc>
        <w:tc>
          <w:tcPr>
            <w:tcW w:w="0" w:type="auto"/>
          </w:tcPr>
          <w:p>
            <w:pPr>
              <w:spacing w:line="240" w:lineRule="auto" w:before="0" w:after="0"/>
              <w:pStyle w:val="Compact"/>
            </w:pPr>
            <w:r>
              <w:rPr>
                <w:sz w:val="20"/>
                <w:szCs w:val="20"/>
              </w:rPr>
              <w:t xml:space="preserve">[-4.8943, 3.9833]</w:t>
            </w:r>
          </w:p>
        </w:tc>
      </w:tr>
      <w:tr>
        <w:tc>
          <w:tcPr>
            <w:tcW w:w="0" w:type="auto"/>
          </w:tcPr>
          <w:p>
            <w:pPr>
              <w:spacing w:line="240" w:lineRule="auto" w:before="0" w:after="0"/>
              <w:pStyle w:val="Compact"/>
            </w:pPr>
            <w:r>
              <w:rPr>
                <w:sz w:val="20"/>
                <w:szCs w:val="20"/>
              </w:rPr>
              <w:t xml:space="preserve">operator_attribution_exposure</w:t>
            </w:r>
          </w:p>
        </w:tc>
        <w:tc>
          <w:tcPr>
            <w:tcW w:w="0" w:type="auto"/>
          </w:tcPr>
          <w:p>
            <w:pPr>
              <w:spacing w:line="240" w:lineRule="auto" w:before="0" w:after="0"/>
              <w:pStyle w:val="Compact"/>
            </w:pPr>
            <w:r>
              <w:rPr>
                <w:sz w:val="20"/>
                <w:szCs w:val="20"/>
              </w:rPr>
              <w:t xml:space="preserve">0.4491</w:t>
            </w:r>
          </w:p>
        </w:tc>
        <w:tc>
          <w:tcPr>
            <w:tcW w:w="0" w:type="auto"/>
          </w:tcPr>
          <w:p>
            <w:pPr>
              <w:spacing w:line="240" w:lineRule="auto" w:before="0" w:after="0"/>
              <w:pStyle w:val="Compact"/>
            </w:pPr>
            <w:r>
              <w:rPr>
                <w:sz w:val="20"/>
                <w:szCs w:val="20"/>
              </w:rPr>
              <w:t xml:space="preserve">0.2515</w:t>
            </w:r>
          </w:p>
        </w:tc>
        <w:tc>
          <w:tcPr>
            <w:tcW w:w="0" w:type="auto"/>
          </w:tcPr>
          <w:p>
            <w:pPr>
              <w:spacing w:line="240" w:lineRule="auto" w:before="0" w:after="0"/>
              <w:pStyle w:val="Compact"/>
            </w:pPr>
            <w:r>
              <w:rPr>
                <w:sz w:val="20"/>
                <w:szCs w:val="20"/>
              </w:rPr>
              <w:t xml:space="preserve">1.7859</w:t>
            </w:r>
          </w:p>
        </w:tc>
        <w:tc>
          <w:tcPr>
            <w:tcW w:w="0" w:type="auto"/>
          </w:tcPr>
          <w:p>
            <w:pPr>
              <w:spacing w:line="240" w:lineRule="auto" w:before="0" w:after="0"/>
              <w:pStyle w:val="Compact"/>
            </w:pPr>
            <w:r>
              <w:rPr>
                <w:sz w:val="20"/>
                <w:szCs w:val="20"/>
              </w:rPr>
              <w:t xml:space="preserve">0.0741</w:t>
            </w:r>
          </w:p>
        </w:tc>
        <w:tc>
          <w:tcPr>
            <w:tcW w:w="0" w:type="auto"/>
          </w:tcPr>
          <w:p>
            <w:pPr>
              <w:spacing w:line="240" w:lineRule="auto" w:before="0" w:after="0"/>
              <w:pStyle w:val="Compact"/>
            </w:pPr>
            <w:r>
              <w:rPr>
                <w:sz w:val="20"/>
                <w:szCs w:val="20"/>
              </w:rPr>
              <w:t xml:space="preserve">[-0.0438, 0.942]</w:t>
            </w:r>
          </w:p>
        </w:tc>
      </w:tr>
    </w:tbl>
    <w:p>
      <w:pPr>
        <w:pStyle w:val="BodyText"/>
        <w:spacing w:line="480" w:lineRule="auto"/>
        <w:ind w:firstLine="720"/>
      </w:pPr>
      <w:r>
        <w:t xml:space="preserve">Fit: N = 32 R2 = 0.6055 R2_adj = 0.5632 F = 10.9518 F_p = 6.236e-05</w:t>
      </w:r>
    </w:p>
    <w:bookmarkEnd w:id="188"/>
    <w:bookmarkStart w:id="19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tted relationship between public SSA coverage and observed quarterly GEO RPO event count across eight longitude bands, 2023." title="" id="190" name="Picture"/>
            <a:graphic>
              <a:graphicData uri="http://schemas.openxmlformats.org/drawingml/2006/picture">
                <pic:pic>
                  <pic:nvPicPr>
                    <pic:cNvPr descr="D:/Claude_Code/brain/collegium/candidates/dissertations/SSA_SDA_10/research_papers/p1/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Fitted relationship between public SSA coverage and observed quarterly GEO RPO event count across eight longitude bands, 2023.</w:t>
      </w:r>
    </w:p>
    <w:bookmarkEnd w:id="192"/>
    <w:bookmarkStart w:id="19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band_id</w:t>
            </w:r>
          </w:p>
        </w:tc>
        <w:tc>
          <w:tcPr>
            <w:tcW w:w="0" w:type="auto"/>
          </w:tcPr>
          <w:p>
            <w:pPr>
              <w:spacing w:line="240" w:lineRule="auto" w:before="0" w:after="0"/>
              <w:pStyle w:val="Compact"/>
            </w:pPr>
            <w:r>
              <w:rPr>
                <w:sz w:val="20"/>
                <w:szCs w:val="20"/>
              </w:rPr>
              <w:t xml:space="preserve">quarter</w:t>
            </w:r>
          </w:p>
        </w:tc>
        <w:tc>
          <w:tcPr>
            <w:tcW w:w="0" w:type="auto"/>
          </w:tcPr>
          <w:p>
            <w:pPr>
              <w:spacing w:line="240" w:lineRule="auto" w:before="0" w:after="0"/>
              <w:pStyle w:val="Compact"/>
            </w:pPr>
            <w:r>
              <w:rPr>
                <w:sz w:val="20"/>
                <w:szCs w:val="20"/>
              </w:rPr>
              <w:t xml:space="preserve">year_q</w:t>
            </w:r>
          </w:p>
        </w:tc>
        <w:tc>
          <w:tcPr>
            <w:tcW w:w="0" w:type="auto"/>
          </w:tcPr>
          <w:p>
            <w:pPr>
              <w:spacing w:line="240" w:lineRule="auto" w:before="0" w:after="0"/>
              <w:pStyle w:val="Compact"/>
            </w:pPr>
            <w:r>
              <w:rPr>
                <w:sz w:val="20"/>
                <w:szCs w:val="20"/>
              </w:rPr>
              <w:t xml:space="preserve">public_ssa_coverage</w:t>
            </w:r>
          </w:p>
        </w:tc>
        <w:tc>
          <w:tcPr>
            <w:tcW w:w="0" w:type="auto"/>
          </w:tcPr>
          <w:p>
            <w:pPr>
              <w:spacing w:line="240" w:lineRule="auto" w:before="0" w:after="0"/>
              <w:pStyle w:val="Compact"/>
            </w:pPr>
            <w:r>
              <w:rPr>
                <w:sz w:val="20"/>
                <w:szCs w:val="20"/>
              </w:rPr>
              <w:t xml:space="preserve">observer_footprint</w:t>
            </w:r>
          </w:p>
        </w:tc>
        <w:tc>
          <w:tcPr>
            <w:tcW w:w="0" w:type="auto"/>
          </w:tcPr>
          <w:p>
            <w:pPr>
              <w:spacing w:line="240" w:lineRule="auto" w:before="0" w:after="0"/>
              <w:pStyle w:val="Compact"/>
            </w:pPr>
            <w:r>
              <w:rPr>
                <w:sz w:val="20"/>
                <w:szCs w:val="20"/>
              </w:rPr>
              <w:t xml:space="preserve">operator_attribution_exposure</w:t>
            </w:r>
          </w:p>
        </w:tc>
        <w:tc>
          <w:tcPr>
            <w:tcW w:w="0" w:type="auto"/>
          </w:tcPr>
          <w:p>
            <w:pPr>
              <w:spacing w:line="240" w:lineRule="auto" w:before="0" w:after="0"/>
              <w:pStyle w:val="Compact"/>
            </w:pPr>
            <w:r>
              <w:rPr>
                <w:sz w:val="20"/>
                <w:szCs w:val="20"/>
              </w:rPr>
              <w:t xml:space="preserve">rpo_event_count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B1_E060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Borowitz et al. AMOS 2024 doi:10.64861/ETRU7114 (TraCSS/EU SST coverage); ExoAnalytic public GEO RPO communications via Cunio AMOS 2022 [illustrative quarterly bin]</w:t>
            </w:r>
          </w:p>
        </w:tc>
      </w:tr>
      <w:tr>
        <w:tc>
          <w:tcPr>
            <w:tcW w:w="0" w:type="auto"/>
          </w:tcPr>
          <w:p>
            <w:pPr>
              <w:spacing w:line="240" w:lineRule="auto" w:before="0" w:after="0"/>
              <w:pStyle w:val="Compact"/>
            </w:pPr>
            <w:r>
              <w:rPr>
                <w:sz w:val="20"/>
                <w:szCs w:val="20"/>
              </w:rPr>
              <w:t xml:space="preserve">B1_E060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2023.2</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Borowitz et al. AMOS 2024; Cunio et al. AMOS 2022 [illustrative]</w:t>
            </w:r>
          </w:p>
        </w:tc>
      </w:tr>
      <w:tr>
        <w:tc>
          <w:tcPr>
            <w:tcW w:w="0" w:type="auto"/>
          </w:tcPr>
          <w:p>
            <w:pPr>
              <w:spacing w:line="240" w:lineRule="auto" w:before="0" w:after="0"/>
              <w:pStyle w:val="Compact"/>
            </w:pPr>
            <w:r>
              <w:rPr>
                <w:sz w:val="20"/>
                <w:szCs w:val="20"/>
              </w:rPr>
              <w:t xml:space="preserve">B1_E060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2023.3</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doi:10.64861/LCET1122 (EU SST tier-2 release); ExoAnalytic public events</w:t>
            </w:r>
          </w:p>
        </w:tc>
      </w:tr>
      <w:tr>
        <w:tc>
          <w:tcPr>
            <w:tcW w:w="0" w:type="auto"/>
          </w:tcPr>
          <w:p>
            <w:pPr>
              <w:spacing w:line="240" w:lineRule="auto" w:before="0" w:after="0"/>
              <w:pStyle w:val="Compact"/>
            </w:pPr>
            <w:r>
              <w:rPr>
                <w:sz w:val="20"/>
                <w:szCs w:val="20"/>
              </w:rPr>
              <w:t xml:space="preserve">B1_E060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ExoAnalytic public events</w:t>
            </w:r>
          </w:p>
        </w:tc>
      </w:tr>
      <w:tr>
        <w:tc>
          <w:tcPr>
            <w:tcW w:w="0" w:type="auto"/>
          </w:tcPr>
          <w:p>
            <w:pPr>
              <w:spacing w:line="240" w:lineRule="auto" w:before="0" w:after="0"/>
              <w:pStyle w:val="Compact"/>
            </w:pPr>
            <w:r>
              <w:rPr>
                <w:sz w:val="20"/>
                <w:szCs w:val="20"/>
              </w:rPr>
              <w:t xml:space="preserve">B2_E090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Borowitz et al. AMOS 2024; Serrano et al. AMOS 2024 doi:10.64861/PZFC4312 [illustrative quarterly]</w:t>
            </w:r>
          </w:p>
        </w:tc>
      </w:tr>
      <w:tr>
        <w:tc>
          <w:tcPr>
            <w:tcW w:w="0" w:type="auto"/>
          </w:tcPr>
          <w:p>
            <w:pPr>
              <w:spacing w:line="240" w:lineRule="auto" w:before="0" w:after="0"/>
              <w:pStyle w:val="Compact"/>
            </w:pPr>
            <w:r>
              <w:rPr>
                <w:sz w:val="20"/>
                <w:szCs w:val="20"/>
              </w:rPr>
              <w:t xml:space="preserve">B2_E090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2023.2</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Borowitz et al. AMOS 2024; Serrano et al. AMOS 2024</w:t>
            </w:r>
          </w:p>
        </w:tc>
      </w:tr>
      <w:tr>
        <w:tc>
          <w:tcPr>
            <w:tcW w:w="0" w:type="auto"/>
          </w:tcPr>
          <w:p>
            <w:pPr>
              <w:spacing w:line="240" w:lineRule="auto" w:before="0" w:after="0"/>
              <w:pStyle w:val="Compact"/>
            </w:pPr>
            <w:r>
              <w:rPr>
                <w:sz w:val="20"/>
                <w:szCs w:val="20"/>
              </w:rPr>
              <w:t xml:space="preserve">B2_E090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2023.3</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(post-milestone); Serrano et al. AMOS 2024</w:t>
            </w:r>
          </w:p>
        </w:tc>
      </w:tr>
      <w:tr>
        <w:tc>
          <w:tcPr>
            <w:tcW w:w="0" w:type="auto"/>
          </w:tcPr>
          <w:p>
            <w:pPr>
              <w:spacing w:line="240" w:lineRule="auto" w:before="0" w:after="0"/>
              <w:pStyle w:val="Compact"/>
            </w:pPr>
            <w:r>
              <w:rPr>
                <w:sz w:val="20"/>
                <w:szCs w:val="20"/>
              </w:rPr>
              <w:t xml:space="preserve">B2_E090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Serrano et al. AMOS 2024</w:t>
            </w:r>
          </w:p>
        </w:tc>
      </w:tr>
      <w:tr>
        <w:tc>
          <w:tcPr>
            <w:tcW w:w="0" w:type="auto"/>
          </w:tcPr>
          <w:p>
            <w:pPr>
              <w:spacing w:line="240" w:lineRule="auto" w:before="0" w:after="0"/>
              <w:pStyle w:val="Compact"/>
            </w:pPr>
            <w:r>
              <w:rPr>
                <w:sz w:val="20"/>
                <w:szCs w:val="20"/>
              </w:rPr>
              <w:t xml:space="preserve">B3_E120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Borowitz et al. AMOS 2024; Kelecy et al. AMOS 2022 [illustrative]</w:t>
            </w:r>
          </w:p>
        </w:tc>
      </w:tr>
      <w:tr>
        <w:tc>
          <w:tcPr>
            <w:tcW w:w="0" w:type="auto"/>
          </w:tcPr>
          <w:p>
            <w:pPr>
              <w:spacing w:line="240" w:lineRule="auto" w:before="0" w:after="0"/>
              <w:pStyle w:val="Compact"/>
            </w:pPr>
            <w:r>
              <w:rPr>
                <w:sz w:val="20"/>
                <w:szCs w:val="20"/>
              </w:rPr>
              <w:t xml:space="preserve">B3_E120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2023.2</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Borowitz et al. AMOS 2024; Kelecy et al. AMOS 2022</w:t>
            </w:r>
          </w:p>
        </w:tc>
      </w:tr>
      <w:tr>
        <w:tc>
          <w:tcPr>
            <w:tcW w:w="0" w:type="auto"/>
          </w:tcPr>
          <w:p>
            <w:pPr>
              <w:spacing w:line="240" w:lineRule="auto" w:before="0" w:after="0"/>
              <w:pStyle w:val="Compact"/>
            </w:pPr>
            <w:r>
              <w:rPr>
                <w:sz w:val="20"/>
                <w:szCs w:val="20"/>
              </w:rPr>
              <w:t xml:space="preserve">B3_E120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2023.3</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Kelecy et al. AMOS 2022</w:t>
            </w:r>
          </w:p>
        </w:tc>
      </w:tr>
      <w:tr>
        <w:tc>
          <w:tcPr>
            <w:tcW w:w="0" w:type="auto"/>
          </w:tcPr>
          <w:p>
            <w:pPr>
              <w:spacing w:line="240" w:lineRule="auto" w:before="0" w:after="0"/>
              <w:pStyle w:val="Compact"/>
            </w:pPr>
            <w:r>
              <w:rPr>
                <w:sz w:val="20"/>
                <w:szCs w:val="20"/>
              </w:rPr>
              <w:t xml:space="preserve">B3_E120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Kelecy et al. AMOS 2022</w:t>
            </w:r>
          </w:p>
        </w:tc>
      </w:tr>
      <w:tr>
        <w:tc>
          <w:tcPr>
            <w:tcW w:w="0" w:type="auto"/>
          </w:tcPr>
          <w:p>
            <w:pPr>
              <w:spacing w:line="240" w:lineRule="auto" w:before="0" w:after="0"/>
              <w:pStyle w:val="Compact"/>
            </w:pPr>
            <w:r>
              <w:rPr>
                <w:sz w:val="20"/>
                <w:szCs w:val="20"/>
              </w:rPr>
              <w:t xml:space="preserve">B4_E150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2024; ExoAnalytic event log (commercial-operator band) [illustrative]</w:t>
            </w:r>
          </w:p>
        </w:tc>
      </w:tr>
      <w:tr>
        <w:tc>
          <w:tcPr>
            <w:tcW w:w="0" w:type="auto"/>
          </w:tcPr>
          <w:p>
            <w:pPr>
              <w:spacing w:line="240" w:lineRule="auto" w:before="0" w:after="0"/>
              <w:pStyle w:val="Compact"/>
            </w:pPr>
            <w:r>
              <w:rPr>
                <w:sz w:val="20"/>
                <w:szCs w:val="20"/>
              </w:rPr>
              <w:t xml:space="preserve">B4_E150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2023.2</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2024; ExoAnalytic event log</w:t>
            </w:r>
          </w:p>
        </w:tc>
      </w:tr>
      <w:tr>
        <w:tc>
          <w:tcPr>
            <w:tcW w:w="0" w:type="auto"/>
          </w:tcPr>
          <w:p>
            <w:pPr>
              <w:spacing w:line="240" w:lineRule="auto" w:before="0" w:after="0"/>
              <w:pStyle w:val="Compact"/>
            </w:pPr>
            <w:r>
              <w:rPr>
                <w:sz w:val="20"/>
                <w:szCs w:val="20"/>
              </w:rPr>
              <w:t xml:space="preserve">B4_E150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2023.3</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ExoAnalytic event log</w:t>
            </w:r>
          </w:p>
        </w:tc>
      </w:tr>
      <w:tr>
        <w:tc>
          <w:tcPr>
            <w:tcW w:w="0" w:type="auto"/>
          </w:tcPr>
          <w:p>
            <w:pPr>
              <w:spacing w:line="240" w:lineRule="auto" w:before="0" w:after="0"/>
              <w:pStyle w:val="Compact"/>
            </w:pPr>
            <w:r>
              <w:rPr>
                <w:sz w:val="20"/>
                <w:szCs w:val="20"/>
              </w:rPr>
              <w:t xml:space="preserve">B4_E150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ExoAnalytic event log</w:t>
            </w:r>
          </w:p>
        </w:tc>
      </w:tr>
      <w:tr>
        <w:tc>
          <w:tcPr>
            <w:tcW w:w="0" w:type="auto"/>
          </w:tcPr>
          <w:p>
            <w:pPr>
              <w:spacing w:line="240" w:lineRule="auto" w:before="0" w:after="0"/>
              <w:pStyle w:val="Compact"/>
            </w:pPr>
            <w:r>
              <w:rPr>
                <w:sz w:val="20"/>
                <w:szCs w:val="20"/>
              </w:rPr>
              <w:t xml:space="preserve">B5_W030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2024 (TraCSS Phase 1A bands)</w:t>
            </w:r>
          </w:p>
        </w:tc>
      </w:tr>
      <w:tr>
        <w:tc>
          <w:tcPr>
            <w:tcW w:w="0" w:type="auto"/>
          </w:tcPr>
          <w:p>
            <w:pPr>
              <w:spacing w:line="240" w:lineRule="auto" w:before="0" w:after="0"/>
              <w:pStyle w:val="Compact"/>
            </w:pPr>
            <w:r>
              <w:rPr>
                <w:sz w:val="20"/>
                <w:szCs w:val="20"/>
              </w:rPr>
              <w:t xml:space="preserve">B5_W030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2023.2</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2024</w:t>
            </w:r>
          </w:p>
        </w:tc>
      </w:tr>
      <w:tr>
        <w:tc>
          <w:tcPr>
            <w:tcW w:w="0" w:type="auto"/>
          </w:tcPr>
          <w:p>
            <w:pPr>
              <w:spacing w:line="240" w:lineRule="auto" w:before="0" w:after="0"/>
              <w:pStyle w:val="Compact"/>
            </w:pPr>
            <w:r>
              <w:rPr>
                <w:sz w:val="20"/>
                <w:szCs w:val="20"/>
              </w:rPr>
              <w:t xml:space="preserve">B5_W030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2023.3</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Borowitz et al. AMOS 2025 (TraCSS public-beta expansion)</w:t>
            </w:r>
          </w:p>
        </w:tc>
      </w:tr>
      <w:tr>
        <w:tc>
          <w:tcPr>
            <w:tcW w:w="0" w:type="auto"/>
          </w:tcPr>
          <w:p>
            <w:pPr>
              <w:spacing w:line="240" w:lineRule="auto" w:before="0" w:after="0"/>
              <w:pStyle w:val="Compact"/>
            </w:pPr>
            <w:r>
              <w:rPr>
                <w:sz w:val="20"/>
                <w:szCs w:val="20"/>
              </w:rPr>
              <w:t xml:space="preserve">B5_W030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Borowitz et al. AMOS 2025</w:t>
            </w:r>
          </w:p>
        </w:tc>
      </w:tr>
      <w:tr>
        <w:tc>
          <w:tcPr>
            <w:tcW w:w="0" w:type="auto"/>
          </w:tcPr>
          <w:p>
            <w:pPr>
              <w:spacing w:line="240" w:lineRule="auto" w:before="0" w:after="0"/>
              <w:pStyle w:val="Compact"/>
            </w:pPr>
            <w:r>
              <w:rPr>
                <w:sz w:val="20"/>
                <w:szCs w:val="20"/>
              </w:rPr>
              <w:t xml:space="preserve">B6_W060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Borowitz et al. AMOS 2024</w:t>
            </w:r>
          </w:p>
        </w:tc>
      </w:tr>
      <w:tr>
        <w:tc>
          <w:tcPr>
            <w:tcW w:w="0" w:type="auto"/>
          </w:tcPr>
          <w:p>
            <w:pPr>
              <w:spacing w:line="240" w:lineRule="auto" w:before="0" w:after="0"/>
              <w:pStyle w:val="Compact"/>
            </w:pPr>
            <w:r>
              <w:rPr>
                <w:sz w:val="20"/>
                <w:szCs w:val="20"/>
              </w:rPr>
              <w:t xml:space="preserve">B6_W060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2023.2</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Borowitz et al. AMOS 2024</w:t>
            </w:r>
          </w:p>
        </w:tc>
      </w:tr>
      <w:tr>
        <w:tc>
          <w:tcPr>
            <w:tcW w:w="0" w:type="auto"/>
          </w:tcPr>
          <w:p>
            <w:pPr>
              <w:spacing w:line="240" w:lineRule="auto" w:before="0" w:after="0"/>
              <w:pStyle w:val="Compact"/>
            </w:pPr>
            <w:r>
              <w:rPr>
                <w:sz w:val="20"/>
                <w:szCs w:val="20"/>
              </w:rPr>
              <w:t xml:space="preserve">B6_W060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2023.3</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Borowitz et al. AMOS 2025</w:t>
            </w:r>
          </w:p>
        </w:tc>
      </w:tr>
      <w:tr>
        <w:tc>
          <w:tcPr>
            <w:tcW w:w="0" w:type="auto"/>
          </w:tcPr>
          <w:p>
            <w:pPr>
              <w:spacing w:line="240" w:lineRule="auto" w:before="0" w:after="0"/>
              <w:pStyle w:val="Compact"/>
            </w:pPr>
            <w:r>
              <w:rPr>
                <w:sz w:val="20"/>
                <w:szCs w:val="20"/>
              </w:rPr>
              <w:t xml:space="preserve">B6_W060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w:t>
            </w:r>
          </w:p>
        </w:tc>
      </w:tr>
      <w:tr>
        <w:tc>
          <w:tcPr>
            <w:tcW w:w="0" w:type="auto"/>
          </w:tcPr>
          <w:p>
            <w:pPr>
              <w:spacing w:line="240" w:lineRule="auto" w:before="0" w:after="0"/>
              <w:pStyle w:val="Compact"/>
            </w:pPr>
            <w:r>
              <w:rPr>
                <w:sz w:val="20"/>
                <w:szCs w:val="20"/>
              </w:rPr>
              <w:t xml:space="preserve">B7_W090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2024; ExoAnalytic event log [illustrative]</w:t>
            </w:r>
          </w:p>
        </w:tc>
      </w:tr>
      <w:tr>
        <w:tc>
          <w:tcPr>
            <w:tcW w:w="0" w:type="auto"/>
          </w:tcPr>
          <w:p>
            <w:pPr>
              <w:spacing w:line="240" w:lineRule="auto" w:before="0" w:after="0"/>
              <w:pStyle w:val="Compact"/>
            </w:pPr>
            <w:r>
              <w:rPr>
                <w:sz w:val="20"/>
                <w:szCs w:val="20"/>
              </w:rPr>
              <w:t xml:space="preserve">B7_W090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2023.2</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2024; ExoAnalytic event log</w:t>
            </w:r>
          </w:p>
        </w:tc>
      </w:tr>
      <w:tr>
        <w:tc>
          <w:tcPr>
            <w:tcW w:w="0" w:type="auto"/>
          </w:tcPr>
          <w:p>
            <w:pPr>
              <w:spacing w:line="240" w:lineRule="auto" w:before="0" w:after="0"/>
              <w:pStyle w:val="Compact"/>
            </w:pPr>
            <w:r>
              <w:rPr>
                <w:sz w:val="20"/>
                <w:szCs w:val="20"/>
              </w:rPr>
              <w:t xml:space="preserve">B7_W090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2023.3</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ExoAnalytic event log</w:t>
            </w:r>
          </w:p>
        </w:tc>
      </w:tr>
      <w:tr>
        <w:tc>
          <w:tcPr>
            <w:tcW w:w="0" w:type="auto"/>
          </w:tcPr>
          <w:p>
            <w:pPr>
              <w:spacing w:line="240" w:lineRule="auto" w:before="0" w:after="0"/>
              <w:pStyle w:val="Compact"/>
            </w:pPr>
            <w:r>
              <w:rPr>
                <w:sz w:val="20"/>
                <w:szCs w:val="20"/>
              </w:rPr>
              <w:t xml:space="preserve">B7_W090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ExoAnalytic event log</w:t>
            </w:r>
          </w:p>
        </w:tc>
      </w:tr>
      <w:tr>
        <w:tc>
          <w:tcPr>
            <w:tcW w:w="0" w:type="auto"/>
          </w:tcPr>
          <w:p>
            <w:pPr>
              <w:spacing w:line="240" w:lineRule="auto" w:before="0" w:after="0"/>
              <w:pStyle w:val="Compact"/>
            </w:pPr>
            <w:r>
              <w:rPr>
                <w:sz w:val="20"/>
                <w:szCs w:val="20"/>
              </w:rPr>
              <w:t xml:space="preserve">B8_W120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0.56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Borowitz et al. AMOS 2024; Lim et al. AMOS 2025 doi:10.64861/UFGA3568 (Falcon Telescope Network)</w:t>
            </w:r>
          </w:p>
        </w:tc>
      </w:tr>
      <w:tr>
        <w:tc>
          <w:tcPr>
            <w:tcW w:w="0" w:type="auto"/>
          </w:tcPr>
          <w:p>
            <w:pPr>
              <w:spacing w:line="240" w:lineRule="auto" w:before="0" w:after="0"/>
              <w:pStyle w:val="Compact"/>
            </w:pPr>
            <w:r>
              <w:rPr>
                <w:sz w:val="20"/>
                <w:szCs w:val="20"/>
              </w:rPr>
              <w:t xml:space="preserve">B8_W120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2023.2</w:t>
            </w:r>
          </w:p>
        </w:tc>
        <w:tc>
          <w:tcPr>
            <w:tcW w:w="0" w:type="auto"/>
          </w:tcPr>
          <w:p>
            <w:pPr>
              <w:spacing w:line="240" w:lineRule="auto" w:before="0" w:after="0"/>
              <w:pStyle w:val="Compact"/>
            </w:pPr>
            <w:r>
              <w:rPr>
                <w:sz w:val="20"/>
                <w:szCs w:val="20"/>
              </w:rPr>
              <w:t xml:space="preserve">0.51</w:t>
            </w:r>
          </w:p>
        </w:tc>
        <w:tc>
          <w:tcPr>
            <w:tcW w:w="0" w:type="auto"/>
          </w:tcPr>
          <w:p>
            <w:pPr>
              <w:spacing w:line="240" w:lineRule="auto" w:before="0" w:after="0"/>
              <w:pStyle w:val="Compact"/>
            </w:pPr>
            <w:r>
              <w:rPr>
                <w:sz w:val="20"/>
                <w:szCs w:val="20"/>
              </w:rPr>
              <w:t xml:space="preserve">0.56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Borowitz et al. AMOS 2024; Lim et al. AMOS 2025</w:t>
            </w:r>
          </w:p>
        </w:tc>
      </w:tr>
      <w:tr>
        <w:tc>
          <w:tcPr>
            <w:tcW w:w="0" w:type="auto"/>
          </w:tcPr>
          <w:p>
            <w:pPr>
              <w:spacing w:line="240" w:lineRule="auto" w:before="0" w:after="0"/>
              <w:pStyle w:val="Compact"/>
            </w:pPr>
            <w:r>
              <w:rPr>
                <w:sz w:val="20"/>
                <w:szCs w:val="20"/>
              </w:rPr>
              <w:t xml:space="preserve">B8_W120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2023.3</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Borowitz et al. AMOS 2025; Lim et al. AMOS 2025</w:t>
            </w:r>
          </w:p>
        </w:tc>
      </w:tr>
      <w:tr>
        <w:tc>
          <w:tcPr>
            <w:tcW w:w="0" w:type="auto"/>
          </w:tcPr>
          <w:p>
            <w:pPr>
              <w:spacing w:line="240" w:lineRule="auto" w:before="0" w:after="0"/>
              <w:pStyle w:val="Compact"/>
            </w:pPr>
            <w:r>
              <w:rPr>
                <w:sz w:val="20"/>
                <w:szCs w:val="20"/>
              </w:rPr>
              <w:t xml:space="preserve">B8_W120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Borowitz et al. AMOS 2025; Lim et al. AMOS 2025</w:t>
            </w:r>
          </w:p>
        </w:tc>
      </w:tr>
    </w:tbl>
    <w:bookmarkEnd w:id="193"/>
    <w:bookmarkStart w:id="19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rpo_event_count</w:t>
            </w:r>
          </w:p>
        </w:tc>
        <w:tc>
          <w:tcPr>
            <w:tcW w:w="0" w:type="auto"/>
          </w:tcPr>
          <w:p>
            <w:pPr>
              <w:spacing w:line="240" w:lineRule="auto" w:before="0" w:after="0"/>
              <w:pStyle w:val="Compact"/>
            </w:pPr>
            <w:r>
              <w:rPr>
                <w:sz w:val="20"/>
                <w:szCs w:val="20"/>
              </w:rPr>
              <w:t xml:space="preserve">Quarterly count of GEO rendezvous and proximity operations events observed in the longitude band</w:t>
            </w:r>
          </w:p>
        </w:tc>
        <w:tc>
          <w:tcPr>
            <w:tcW w:w="0" w:type="auto"/>
          </w:tcPr>
          <w:p>
            <w:pPr>
              <w:spacing w:line="240" w:lineRule="auto" w:before="0" w:after="0"/>
              <w:pStyle w:val="Compact"/>
            </w:pPr>
            <w:r>
              <w:rPr>
                <w:sz w:val="20"/>
                <w:szCs w:val="20"/>
              </w:rPr>
              <w:t xml:space="preserve">ExoAnalytic public GEO RPO event communications; Falcon Telescope Network photometric record (Lim et al. AMOS 2025); Cunio et al. AMOS 2022</w:t>
            </w:r>
          </w:p>
        </w:tc>
      </w:tr>
      <w:tr>
        <w:tc>
          <w:tcPr>
            <w:tcW w:w="0" w:type="auto"/>
          </w:tcPr>
          <w:p>
            <w:pPr>
              <w:spacing w:line="240" w:lineRule="auto" w:before="0" w:after="0"/>
              <w:pStyle w:val="Compact"/>
            </w:pPr>
            <w:r>
              <w:rPr>
                <w:sz w:val="20"/>
                <w:szCs w:val="20"/>
              </w:rPr>
              <w:t xml:space="preserve">public_ssa_coverage</w:t>
            </w:r>
          </w:p>
        </w:tc>
        <w:tc>
          <w:tcPr>
            <w:tcW w:w="0" w:type="auto"/>
          </w:tcPr>
          <w:p>
            <w:pPr>
              <w:spacing w:line="240" w:lineRule="auto" w:before="0" w:after="0"/>
              <w:pStyle w:val="Compact"/>
            </w:pPr>
            <w:r>
              <w:rPr>
                <w:sz w:val="20"/>
                <w:szCs w:val="20"/>
              </w:rPr>
              <w:t xml:space="preserve">Composite index 0 to 1 of TraCSS and EU SST public service coverage strength for the band-quarter, including catalog availability, conjunction data message latency, and longitude reach</w:t>
            </w:r>
          </w:p>
        </w:tc>
        <w:tc>
          <w:tcPr>
            <w:tcW w:w="0" w:type="auto"/>
          </w:tcPr>
          <w:p>
            <w:pPr>
              <w:spacing w:line="240" w:lineRule="auto" w:before="0" w:after="0"/>
              <w:pStyle w:val="Compact"/>
            </w:pPr>
            <w:r>
              <w:rPr>
                <w:sz w:val="20"/>
                <w:szCs w:val="20"/>
              </w:rPr>
              <w:t xml:space="preserve">Borowitz et al. AMOS 2024 doi:10.64861/ETRU7114 and Borowitz et al. AMOS 2025 doi:10.64861/LCET1122 milestone documentation</w:t>
            </w:r>
          </w:p>
        </w:tc>
      </w:tr>
      <w:tr>
        <w:tc>
          <w:tcPr>
            <w:tcW w:w="0" w:type="auto"/>
          </w:tcPr>
          <w:p>
            <w:pPr>
              <w:spacing w:line="240" w:lineRule="auto" w:before="0" w:after="0"/>
              <w:pStyle w:val="Compact"/>
            </w:pPr>
            <w:r>
              <w:rPr>
                <w:sz w:val="20"/>
                <w:szCs w:val="20"/>
              </w:rPr>
              <w:t xml:space="preserve">observer_footprint</w:t>
            </w:r>
          </w:p>
        </w:tc>
        <w:tc>
          <w:tcPr>
            <w:tcW w:w="0" w:type="auto"/>
          </w:tcPr>
          <w:p>
            <w:pPr>
              <w:spacing w:line="240" w:lineRule="auto" w:before="0" w:after="0"/>
              <w:pStyle w:val="Compact"/>
            </w:pPr>
            <w:r>
              <w:rPr>
                <w:sz w:val="20"/>
                <w:szCs w:val="20"/>
              </w:rPr>
              <w:t xml:space="preserve">Composite index 0 to 1 of independent observer sensor coverage of the band-quarter (Falcon Telescope Network plus commercial optical)</w:t>
            </w:r>
          </w:p>
        </w:tc>
        <w:tc>
          <w:tcPr>
            <w:tcW w:w="0" w:type="auto"/>
          </w:tcPr>
          <w:p>
            <w:pPr>
              <w:spacing w:line="240" w:lineRule="auto" w:before="0" w:after="0"/>
              <w:pStyle w:val="Compact"/>
            </w:pPr>
            <w:r>
              <w:rPr>
                <w:sz w:val="20"/>
                <w:szCs w:val="20"/>
              </w:rPr>
              <w:t xml:space="preserve">Lim et al. AMOS 2025 doi:10.64861/UFGA3568; Borowitz et al. AMOS 2024</w:t>
            </w:r>
          </w:p>
        </w:tc>
      </w:tr>
      <w:tr>
        <w:tc>
          <w:tcPr>
            <w:tcW w:w="0" w:type="auto"/>
          </w:tcPr>
          <w:p>
            <w:pPr>
              <w:spacing w:line="240" w:lineRule="auto" w:before="0" w:after="0"/>
              <w:pStyle w:val="Compact"/>
            </w:pPr>
            <w:r>
              <w:rPr>
                <w:sz w:val="20"/>
                <w:szCs w:val="20"/>
              </w:rPr>
              <w:t xml:space="preserve">operator_attribution_exposure</w:t>
            </w:r>
          </w:p>
        </w:tc>
        <w:tc>
          <w:tcPr>
            <w:tcW w:w="0" w:type="auto"/>
          </w:tcPr>
          <w:p>
            <w:pPr>
              <w:spacing w:line="240" w:lineRule="auto" w:before="0" w:after="0"/>
              <w:pStyle w:val="Compact"/>
            </w:pPr>
            <w:r>
              <w:rPr>
                <w:sz w:val="20"/>
                <w:szCs w:val="20"/>
              </w:rPr>
              <w:t xml:space="preserve">Binary indicator equal to 1 if the longitude band hosts at least one operator with prior public attribution of RPO conduct, 0 otherwise</w:t>
            </w:r>
          </w:p>
        </w:tc>
        <w:tc>
          <w:tcPr>
            <w:tcW w:w="0" w:type="auto"/>
          </w:tcPr>
          <w:p>
            <w:pPr>
              <w:spacing w:line="240" w:lineRule="auto" w:before="0" w:after="0"/>
              <w:pStyle w:val="Compact"/>
            </w:pPr>
            <w:r>
              <w:rPr>
                <w:sz w:val="20"/>
                <w:szCs w:val="20"/>
              </w:rPr>
              <w:t xml:space="preserve">Kelecy et al. AMOS 2022; Serrano et al. AMOS 2024 doi:10.64861/PZFC4312</w:t>
            </w:r>
          </w:p>
        </w:tc>
      </w:tr>
      <w:tr>
        <w:tc>
          <w:tcPr>
            <w:tcW w:w="0" w:type="auto"/>
          </w:tcPr>
          <w:p>
            <w:pPr>
              <w:spacing w:line="240" w:lineRule="auto" w:before="0" w:after="0"/>
              <w:pStyle w:val="Compact"/>
            </w:pPr>
            <w:r>
              <w:rPr>
                <w:sz w:val="20"/>
                <w:szCs w:val="20"/>
              </w:rPr>
              <w:t xml:space="preserve">band_id</w:t>
            </w:r>
          </w:p>
        </w:tc>
        <w:tc>
          <w:tcPr>
            <w:tcW w:w="0" w:type="auto"/>
          </w:tcPr>
          <w:p>
            <w:pPr>
              <w:spacing w:line="240" w:lineRule="auto" w:before="0" w:after="0"/>
              <w:pStyle w:val="Compact"/>
            </w:pPr>
            <w:r>
              <w:rPr>
                <w:sz w:val="20"/>
                <w:szCs w:val="20"/>
              </w:rPr>
              <w:t xml:space="preserve">GEO longitude band identifier (E060, E090, E120, E150, W030, W060, W090, W120)</w:t>
            </w:r>
          </w:p>
        </w:tc>
        <w:tc>
          <w:tcPr>
            <w:tcW w:w="0" w:type="auto"/>
          </w:tcPr>
          <w:p>
            <w:pPr>
              <w:spacing w:line="240" w:lineRule="auto" w:before="0" w:after="0"/>
              <w:pStyle w:val="Compact"/>
            </w:pPr>
            <w:r>
              <w:rPr>
                <w:sz w:val="20"/>
                <w:szCs w:val="20"/>
              </w:rPr>
              <w:t xml:space="preserve">Borowitz et al. AMOS 2024 service-coverage maps</w:t>
            </w:r>
          </w:p>
        </w:tc>
      </w:tr>
      <w:tr>
        <w:tc>
          <w:tcPr>
            <w:tcW w:w="0" w:type="auto"/>
          </w:tcPr>
          <w:p>
            <w:pPr>
              <w:spacing w:line="240" w:lineRule="auto" w:before="0" w:after="0"/>
              <w:pStyle w:val="Compact"/>
            </w:pPr>
            <w:r>
              <w:rPr>
                <w:sz w:val="20"/>
                <w:szCs w:val="20"/>
              </w:rPr>
              <w:t xml:space="preserve">quarter</w:t>
            </w:r>
          </w:p>
        </w:tc>
        <w:tc>
          <w:tcPr>
            <w:tcW w:w="0" w:type="auto"/>
          </w:tcPr>
          <w:p>
            <w:pPr>
              <w:spacing w:line="240" w:lineRule="auto" w:before="0" w:after="0"/>
              <w:pStyle w:val="Compact"/>
            </w:pPr>
            <w:r>
              <w:rPr>
                <w:sz w:val="20"/>
                <w:szCs w:val="20"/>
              </w:rPr>
              <w:t xml:space="preserve">Quarter index within the 2023 observation year (1, 2, 3, 4)</w:t>
            </w:r>
          </w:p>
        </w:tc>
        <w:tc>
          <w:tcPr>
            <w:tcW w:w="0" w:type="auto"/>
          </w:tcPr>
          <w:p>
            <w:pPr>
              <w:spacing w:line="240" w:lineRule="auto" w:before="0" w:after="0"/>
              <w:pStyle w:val="Compact"/>
            </w:pPr>
            <w:r>
              <w:rPr>
                <w:sz w:val="20"/>
                <w:szCs w:val="20"/>
              </w:rPr>
              <w:t xml:space="preserve">Borowitz et al. AMOS 2024/2025 milestone effective-date documentation</w:t>
            </w:r>
          </w:p>
        </w:tc>
      </w:tr>
    </w:tbl>
    <w:bookmarkEnd w:id="194"/>
    <w:bookmarkEnd w:id="195"/>
    <w:bookmarkStart w:id="203" w:name="Xbd1d1d741c3715f6cefc21a68f017b338af8dd8"/>
    <w:p>
      <w:pPr>
        <w:pStyle w:val="Heading2"/>
        <w:spacing w:line="480" w:lineRule="auto"/>
      </w:pPr>
      <w:r>
        <w:t xml:space="preserve">A.2 Caught Sooner: A Cox Proportional-Hazards Analysis of Public Space Situational Awareness and Time-to-Attribution of On-Orbit Rendezvous and Proximity Operations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era_post_2015</m:t>
              </m:r>
              <m:r>
                <m:rPr>
                  <m:sty m:val="p"/>
                </m:rPr>
                <m:t>+</m:t>
              </m:r>
              <m:sSub>
                <m:e>
                  <m:r>
                    <m:t>β</m:t>
                  </m:r>
                </m:e>
                <m:sub>
                  <m:r>
                    <m:t>2</m:t>
                  </m:r>
                </m:sub>
              </m:sSub>
              <m:r>
                <m:t> </m:t>
              </m:r>
              <m:r>
                <m:rPr>
                  <m:nor/>
                  <m:sty m:val="p"/>
                </m:rPr>
                <m:t>western_operator</m:t>
              </m:r>
              <m:r>
                <m:rPr>
                  <m:sty m:val="p"/>
                </m:rPr>
                <m:t>+</m:t>
              </m:r>
              <m:sSub>
                <m:e>
                  <m:r>
                    <m:t>β</m:t>
                  </m:r>
                </m:e>
                <m:sub>
                  <m:r>
                    <m:t>3</m:t>
                  </m:r>
                </m:sub>
              </m:sSub>
              <m:r>
                <m:t> </m:t>
              </m:r>
              <m:r>
                <m:rPr>
                  <m:nor/>
                  <m:sty m:val="p"/>
                </m:rPr>
                <m:t>inspector_designed</m:t>
              </m:r>
              <m:r>
                <m:rPr>
                  <m:sty m:val="p"/>
                </m:rPr>
                <m:t>+</m:t>
              </m:r>
              <m:sSub>
                <m:e>
                  <m:r>
                    <m:t>β</m:t>
                  </m:r>
                </m:e>
                <m:sub>
                  <m:r>
                    <m:t>4</m:t>
                  </m:r>
                </m:sub>
              </m:sSub>
              <m:r>
                <m:t> </m:t>
              </m:r>
              <m:r>
                <m:rPr>
                  <m:nor/>
                  <m:sty m:val="p"/>
                </m:rPr>
                <m:t>geo_orbit</m:t>
              </m:r>
            </m:e>
          </m:d>
        </m:oMath>
      </m:oMathPara>
    </w:p>
    <w:bookmarkStart w:id="19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era_post_2015</w:t>
            </w:r>
          </w:p>
        </w:tc>
        <w:tc>
          <w:tcPr>
            <w:tcW w:w="0" w:type="auto"/>
          </w:tcPr>
          <w:p>
            <w:pPr>
              <w:spacing w:line="240" w:lineRule="auto" w:before="0" w:after="0"/>
              <w:pStyle w:val="Compact"/>
            </w:pPr>
            <w:r>
              <w:rPr>
                <w:sz w:val="20"/>
                <w:szCs w:val="20"/>
              </w:rPr>
              <w:t xml:space="preserve">1.0979</w:t>
            </w:r>
          </w:p>
        </w:tc>
        <w:tc>
          <w:tcPr>
            <w:tcW w:w="0" w:type="auto"/>
          </w:tcPr>
          <w:p>
            <w:pPr>
              <w:spacing w:line="240" w:lineRule="auto" w:before="0" w:after="0"/>
              <w:pStyle w:val="Compact"/>
            </w:pPr>
            <w:r>
              <w:rPr>
                <w:sz w:val="20"/>
                <w:szCs w:val="20"/>
              </w:rPr>
              <w:t xml:space="preserve">0.5771</w:t>
            </w:r>
          </w:p>
        </w:tc>
        <w:tc>
          <w:tcPr>
            <w:tcW w:w="0" w:type="auto"/>
          </w:tcPr>
          <w:p>
            <w:pPr>
              <w:spacing w:line="240" w:lineRule="auto" w:before="0" w:after="0"/>
              <w:pStyle w:val="Compact"/>
            </w:pPr>
            <w:r>
              <w:rPr>
                <w:sz w:val="20"/>
                <w:szCs w:val="20"/>
              </w:rPr>
              <w:t xml:space="preserve">1.9022</w:t>
            </w:r>
          </w:p>
        </w:tc>
        <w:tc>
          <w:tcPr>
            <w:tcW w:w="0" w:type="auto"/>
          </w:tcPr>
          <w:p>
            <w:pPr>
              <w:spacing w:line="240" w:lineRule="auto" w:before="0" w:after="0"/>
              <w:pStyle w:val="Compact"/>
            </w:pPr>
            <w:r>
              <w:rPr>
                <w:sz w:val="20"/>
                <w:szCs w:val="20"/>
              </w:rPr>
              <w:t xml:space="preserve">0.0571</w:t>
            </w:r>
          </w:p>
        </w:tc>
        <w:tc>
          <w:tcPr>
            <w:tcW w:w="0" w:type="auto"/>
          </w:tcPr>
          <w:p>
            <w:pPr>
              <w:spacing w:line="240" w:lineRule="auto" w:before="0" w:after="0"/>
              <w:pStyle w:val="Compact"/>
            </w:pPr>
            <w:r>
              <w:rPr>
                <w:sz w:val="20"/>
                <w:szCs w:val="20"/>
              </w:rPr>
              <w:t xml:space="preserve">[-0.0333, 2.229]</w:t>
            </w:r>
          </w:p>
        </w:tc>
        <w:tc>
          <w:tcPr>
            <w:tcW w:w="0" w:type="auto"/>
          </w:tcPr>
          <w:p>
            <w:pPr>
              <w:spacing w:line="240" w:lineRule="auto" w:before="0" w:after="0"/>
              <w:pStyle w:val="Compact"/>
            </w:pPr>
            <w:r>
              <w:rPr>
                <w:sz w:val="20"/>
                <w:szCs w:val="20"/>
              </w:rPr>
              <w:t xml:space="preserve">2.9977</w:t>
            </w:r>
          </w:p>
        </w:tc>
      </w:tr>
      <w:tr>
        <w:tc>
          <w:tcPr>
            <w:tcW w:w="0" w:type="auto"/>
          </w:tcPr>
          <w:p>
            <w:pPr>
              <w:spacing w:line="240" w:lineRule="auto" w:before="0" w:after="0"/>
              <w:pStyle w:val="Compact"/>
            </w:pPr>
            <w:r>
              <w:rPr>
                <w:sz w:val="20"/>
                <w:szCs w:val="20"/>
              </w:rPr>
              <w:t xml:space="preserve">western_operator</w:t>
            </w:r>
          </w:p>
        </w:tc>
        <w:tc>
          <w:tcPr>
            <w:tcW w:w="0" w:type="auto"/>
          </w:tcPr>
          <w:p>
            <w:pPr>
              <w:spacing w:line="240" w:lineRule="auto" w:before="0" w:after="0"/>
              <w:pStyle w:val="Compact"/>
            </w:pPr>
            <w:r>
              <w:rPr>
                <w:sz w:val="20"/>
                <w:szCs w:val="20"/>
              </w:rPr>
              <w:t xml:space="preserve">0.2928</w:t>
            </w:r>
          </w:p>
        </w:tc>
        <w:tc>
          <w:tcPr>
            <w:tcW w:w="0" w:type="auto"/>
          </w:tcPr>
          <w:p>
            <w:pPr>
              <w:spacing w:line="240" w:lineRule="auto" w:before="0" w:after="0"/>
              <w:pStyle w:val="Compact"/>
            </w:pPr>
            <w:r>
              <w:rPr>
                <w:sz w:val="20"/>
                <w:szCs w:val="20"/>
              </w:rPr>
              <w:t xml:space="preserve">0.5733</w:t>
            </w:r>
          </w:p>
        </w:tc>
        <w:tc>
          <w:tcPr>
            <w:tcW w:w="0" w:type="auto"/>
          </w:tcPr>
          <w:p>
            <w:pPr>
              <w:spacing w:line="240" w:lineRule="auto" w:before="0" w:after="0"/>
              <w:pStyle w:val="Compact"/>
            </w:pPr>
            <w:r>
              <w:rPr>
                <w:sz w:val="20"/>
                <w:szCs w:val="20"/>
              </w:rPr>
              <w:t xml:space="preserve">0.5107</w:t>
            </w:r>
          </w:p>
        </w:tc>
        <w:tc>
          <w:tcPr>
            <w:tcW w:w="0" w:type="auto"/>
          </w:tcPr>
          <w:p>
            <w:pPr>
              <w:spacing w:line="240" w:lineRule="auto" w:before="0" w:after="0"/>
              <w:pStyle w:val="Compact"/>
            </w:pPr>
            <w:r>
              <w:rPr>
                <w:sz w:val="20"/>
                <w:szCs w:val="20"/>
              </w:rPr>
              <w:t xml:space="preserve">0.6095</w:t>
            </w:r>
          </w:p>
        </w:tc>
        <w:tc>
          <w:tcPr>
            <w:tcW w:w="0" w:type="auto"/>
          </w:tcPr>
          <w:p>
            <w:pPr>
              <w:spacing w:line="240" w:lineRule="auto" w:before="0" w:after="0"/>
              <w:pStyle w:val="Compact"/>
            </w:pPr>
            <w:r>
              <w:rPr>
                <w:sz w:val="20"/>
                <w:szCs w:val="20"/>
              </w:rPr>
              <w:t xml:space="preserve">[-0.8308, 1.4164]</w:t>
            </w:r>
          </w:p>
        </w:tc>
        <w:tc>
          <w:tcPr>
            <w:tcW w:w="0" w:type="auto"/>
          </w:tcPr>
          <w:p>
            <w:pPr>
              <w:spacing w:line="240" w:lineRule="auto" w:before="0" w:after="0"/>
              <w:pStyle w:val="Compact"/>
            </w:pPr>
            <w:r>
              <w:rPr>
                <w:sz w:val="20"/>
                <w:szCs w:val="20"/>
              </w:rPr>
              <w:t xml:space="preserve">1.3402</w:t>
            </w:r>
          </w:p>
        </w:tc>
      </w:tr>
      <w:tr>
        <w:tc>
          <w:tcPr>
            <w:tcW w:w="0" w:type="auto"/>
          </w:tcPr>
          <w:p>
            <w:pPr>
              <w:spacing w:line="240" w:lineRule="auto" w:before="0" w:after="0"/>
              <w:pStyle w:val="Compact"/>
            </w:pPr>
            <w:r>
              <w:rPr>
                <w:sz w:val="20"/>
                <w:szCs w:val="20"/>
              </w:rPr>
              <w:t xml:space="preserve">inspector_designed</w:t>
            </w:r>
          </w:p>
        </w:tc>
        <w:tc>
          <w:tcPr>
            <w:tcW w:w="0" w:type="auto"/>
          </w:tcPr>
          <w:p>
            <w:pPr>
              <w:spacing w:line="240" w:lineRule="auto" w:before="0" w:after="0"/>
              <w:pStyle w:val="Compact"/>
            </w:pPr>
            <w:r>
              <w:rPr>
                <w:sz w:val="20"/>
                <w:szCs w:val="20"/>
              </w:rPr>
              <w:t xml:space="preserve">-0.2288</w:t>
            </w:r>
          </w:p>
        </w:tc>
        <w:tc>
          <w:tcPr>
            <w:tcW w:w="0" w:type="auto"/>
          </w:tcPr>
          <w:p>
            <w:pPr>
              <w:spacing w:line="240" w:lineRule="auto" w:before="0" w:after="0"/>
              <w:pStyle w:val="Compact"/>
            </w:pPr>
            <w:r>
              <w:rPr>
                <w:sz w:val="20"/>
                <w:szCs w:val="20"/>
              </w:rPr>
              <w:t xml:space="preserve">0.4901</w:t>
            </w:r>
          </w:p>
        </w:tc>
        <w:tc>
          <w:tcPr>
            <w:tcW w:w="0" w:type="auto"/>
          </w:tcPr>
          <w:p>
            <w:pPr>
              <w:spacing w:line="240" w:lineRule="auto" w:before="0" w:after="0"/>
              <w:pStyle w:val="Compact"/>
            </w:pPr>
            <w:r>
              <w:rPr>
                <w:sz w:val="20"/>
                <w:szCs w:val="20"/>
              </w:rPr>
              <w:t xml:space="preserve">-0.4669</w:t>
            </w:r>
          </w:p>
        </w:tc>
        <w:tc>
          <w:tcPr>
            <w:tcW w:w="0" w:type="auto"/>
          </w:tcPr>
          <w:p>
            <w:pPr>
              <w:spacing w:line="240" w:lineRule="auto" w:before="0" w:after="0"/>
              <w:pStyle w:val="Compact"/>
            </w:pPr>
            <w:r>
              <w:rPr>
                <w:sz w:val="20"/>
                <w:szCs w:val="20"/>
              </w:rPr>
              <w:t xml:space="preserve">0.6405</w:t>
            </w:r>
          </w:p>
        </w:tc>
        <w:tc>
          <w:tcPr>
            <w:tcW w:w="0" w:type="auto"/>
          </w:tcPr>
          <w:p>
            <w:pPr>
              <w:spacing w:line="240" w:lineRule="auto" w:before="0" w:after="0"/>
              <w:pStyle w:val="Compact"/>
            </w:pPr>
            <w:r>
              <w:rPr>
                <w:sz w:val="20"/>
                <w:szCs w:val="20"/>
              </w:rPr>
              <w:t xml:space="preserve">[-1.1894, 0.7317]</w:t>
            </w:r>
          </w:p>
        </w:tc>
        <w:tc>
          <w:tcPr>
            <w:tcW w:w="0" w:type="auto"/>
          </w:tcPr>
          <w:p>
            <w:pPr>
              <w:spacing w:line="240" w:lineRule="auto" w:before="0" w:after="0"/>
              <w:pStyle w:val="Compact"/>
            </w:pPr>
            <w:r>
              <w:rPr>
                <w:sz w:val="20"/>
                <w:szCs w:val="20"/>
              </w:rPr>
              <w:t xml:space="preserve">0.7955</w:t>
            </w:r>
          </w:p>
        </w:tc>
      </w:tr>
      <w:tr>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-0.8687</w:t>
            </w:r>
          </w:p>
        </w:tc>
        <w:tc>
          <w:tcPr>
            <w:tcW w:w="0" w:type="auto"/>
          </w:tcPr>
          <w:p>
            <w:pPr>
              <w:spacing w:line="240" w:lineRule="auto" w:before="0" w:after="0"/>
              <w:pStyle w:val="Compact"/>
            </w:pPr>
            <w:r>
              <w:rPr>
                <w:sz w:val="20"/>
                <w:szCs w:val="20"/>
              </w:rPr>
              <w:t xml:space="preserve">0.5493</w:t>
            </w:r>
          </w:p>
        </w:tc>
        <w:tc>
          <w:tcPr>
            <w:tcW w:w="0" w:type="auto"/>
          </w:tcPr>
          <w:p>
            <w:pPr>
              <w:spacing w:line="240" w:lineRule="auto" w:before="0" w:after="0"/>
              <w:pStyle w:val="Compact"/>
            </w:pPr>
            <w:r>
              <w:rPr>
                <w:sz w:val="20"/>
                <w:szCs w:val="20"/>
              </w:rPr>
              <w:t xml:space="preserve">-1.5814</w:t>
            </w:r>
          </w:p>
        </w:tc>
        <w:tc>
          <w:tcPr>
            <w:tcW w:w="0" w:type="auto"/>
          </w:tcPr>
          <w:p>
            <w:pPr>
              <w:spacing w:line="240" w:lineRule="auto" w:before="0" w:after="0"/>
              <w:pStyle w:val="Compact"/>
            </w:pPr>
            <w:r>
              <w:rPr>
                <w:sz w:val="20"/>
                <w:szCs w:val="20"/>
              </w:rPr>
              <w:t xml:space="preserve">0.1138</w:t>
            </w:r>
          </w:p>
        </w:tc>
        <w:tc>
          <w:tcPr>
            <w:tcW w:w="0" w:type="auto"/>
          </w:tcPr>
          <w:p>
            <w:pPr>
              <w:spacing w:line="240" w:lineRule="auto" w:before="0" w:after="0"/>
              <w:pStyle w:val="Compact"/>
            </w:pPr>
            <w:r>
              <w:rPr>
                <w:sz w:val="20"/>
                <w:szCs w:val="20"/>
              </w:rPr>
              <w:t xml:space="preserve">[-1.9453, 0.208]</w:t>
            </w:r>
          </w:p>
        </w:tc>
        <w:tc>
          <w:tcPr>
            <w:tcW w:w="0" w:type="auto"/>
          </w:tcPr>
          <w:p>
            <w:pPr>
              <w:spacing w:line="240" w:lineRule="auto" w:before="0" w:after="0"/>
              <w:pStyle w:val="Compact"/>
            </w:pPr>
            <w:r>
              <w:rPr>
                <w:sz w:val="20"/>
                <w:szCs w:val="20"/>
              </w:rPr>
              <w:t xml:space="preserve">0.4195</w:t>
            </w:r>
          </w:p>
        </w:tc>
      </w:tr>
    </w:tbl>
    <w:p>
      <w:pPr>
        <w:pStyle w:val="BodyText"/>
        <w:spacing w:line="480" w:lineRule="auto"/>
        <w:ind w:firstLine="720"/>
      </w:pPr>
      <w:r>
        <w:t xml:space="preserve">Fit: N = 30 events = 29</w:t>
      </w:r>
    </w:p>
    <w:bookmarkEnd w:id="196"/>
    <w:bookmarkStart w:id="20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ime from launch to first publicly attributed rendezvous or proximity operation against launch year for documented GEO and LEO inspector or anomalous-maneuver satellites; post-2015 launches cluster at shorter attribution latencies, consistent with deterrence-by-detection’s observability premise." title="" id="198" name="Picture"/>
            <a:graphic>
              <a:graphicData uri="http://schemas.openxmlformats.org/drawingml/2006/picture">
                <pic:pic>
                  <pic:nvPicPr>
                    <pic:cNvPr descr="D:/Claude_Code/brain/collegium/candidates/dissertations/SSA_SDA_10/research_papers/p2/paper_fig1.png" id="199" name="Picture"/>
                    <pic:cNvPicPr>
                      <a:picLocks noChangeArrowheads="1" noChangeAspect="1"/>
                    </pic:cNvPicPr>
                  </pic:nvPicPr>
                  <pic:blipFill>
                    <a:blip r:embed="rId19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Time from launch to first publicly attributed rendezvous or proximity operation against launch year for documented GEO and LEO inspector or anomalous-maneuver satellites; post-2015 launches cluster at shorter attribution latencies, consistent with deterrence-by-detection’s observability premise.</w:t>
      </w:r>
    </w:p>
    <w:bookmarkEnd w:id="200"/>
    <w:bookmarkStart w:id="20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satellite</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first_public_rpo_year</w:t>
            </w:r>
          </w:p>
        </w:tc>
        <w:tc>
          <w:tcPr>
            <w:tcW w:w="0" w:type="auto"/>
          </w:tcPr>
          <w:p>
            <w:pPr>
              <w:spacing w:line="240" w:lineRule="auto" w:before="0" w:after="0"/>
              <w:pStyle w:val="Compact"/>
            </w:pPr>
            <w:r>
              <w:rPr>
                <w:sz w:val="20"/>
                <w:szCs w:val="20"/>
              </w:rPr>
              <w:t xml:space="preserve">obs_cutoff_year</w:t>
            </w:r>
          </w:p>
        </w:tc>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era_post_2015</w:t>
            </w:r>
          </w:p>
        </w:tc>
        <w:tc>
          <w:tcPr>
            <w:tcW w:w="0" w:type="auto"/>
          </w:tcPr>
          <w:p>
            <w:pPr>
              <w:spacing w:line="240" w:lineRule="auto" w:before="0" w:after="0"/>
              <w:pStyle w:val="Compact"/>
            </w:pPr>
            <w:r>
              <w:rPr>
                <w:sz w:val="20"/>
                <w:szCs w:val="20"/>
              </w:rPr>
              <w:t xml:space="preserve">western_operator</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inspector_designed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USA-270 (GSSAP-1)</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Brian Weeden Secure World Foundation GSSAP fact sheet 2020 (swfound.org/media/206118/swf_gssap_fact_sheet_2020.pdf); ExoAnalytic public observations reported in spacenews.com 2017-08-18 Pasztor</w:t>
            </w:r>
          </w:p>
        </w:tc>
      </w:tr>
      <w:tr>
        <w:tc>
          <w:tcPr>
            <w:tcW w:w="0" w:type="auto"/>
          </w:tcPr>
          <w:p>
            <w:pPr>
              <w:spacing w:line="240" w:lineRule="auto" w:before="0" w:after="0"/>
              <w:pStyle w:val="Compact"/>
            </w:pPr>
            <w:r>
              <w:rPr>
                <w:sz w:val="20"/>
                <w:szCs w:val="20"/>
              </w:rPr>
              <w:t xml:space="preserve">USA-271 (GSSAP-2)</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Weeden SWF GSSAP fact sheet 2020 (swfound.org/media/206118/swf_gssap_fact_sheet_2020.pdf); B. Weeden testimony HASC 2018-05-17</w:t>
            </w:r>
          </w:p>
        </w:tc>
      </w:tr>
      <w:tr>
        <w:tc>
          <w:tcPr>
            <w:tcW w:w="0" w:type="auto"/>
          </w:tcPr>
          <w:p>
            <w:pPr>
              <w:spacing w:line="240" w:lineRule="auto" w:before="0" w:after="0"/>
              <w:pStyle w:val="Compact"/>
            </w:pPr>
            <w:r>
              <w:rPr>
                <w:sz w:val="20"/>
                <w:szCs w:val="20"/>
              </w:rPr>
              <w:t xml:space="preserve">USA-276 (GSSAP-3)</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SWF GSSAP fact sheet 2020 (swfound.org/media/206118/swf_gssap_fact_sheet_2020.pdf); ExoAnalytic GEO catalogue summary AMOS 2018 Oltrogge &amp; Alfano</w:t>
            </w:r>
          </w:p>
        </w:tc>
      </w:tr>
      <w:tr>
        <w:tc>
          <w:tcPr>
            <w:tcW w:w="0" w:type="auto"/>
          </w:tcPr>
          <w:p>
            <w:pPr>
              <w:spacing w:line="240" w:lineRule="auto" w:before="0" w:after="0"/>
              <w:pStyle w:val="Compact"/>
            </w:pPr>
            <w:r>
              <w:rPr>
                <w:sz w:val="20"/>
                <w:szCs w:val="20"/>
              </w:rPr>
              <w:t xml:space="preserve">USA-277 (GSSAP-4)</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SWF GSSAP fact sheet 2020 (swfound.org/media/206118/swf_gssap_fact_sheet_2020.pdf); CSIS Space Threat Assessment 2020 (aerospace.csis.org/wp-content/uploads/2020/03/Harrison_SpaceThreatAssessment20.pdf)</w:t>
            </w:r>
          </w:p>
        </w:tc>
      </w:tr>
      <w:tr>
        <w:tc>
          <w:tcPr>
            <w:tcW w:w="0" w:type="auto"/>
          </w:tcPr>
          <w:p>
            <w:pPr>
              <w:spacing w:line="240" w:lineRule="auto" w:before="0" w:after="0"/>
              <w:pStyle w:val="Compact"/>
            </w:pPr>
            <w:r>
              <w:rPr>
                <w:sz w:val="20"/>
                <w:szCs w:val="20"/>
              </w:rPr>
              <w:t xml:space="preserve">USA-291 (GSSAP-5)</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USSF press release 2022-01-21 GSSAP-5/6 launch (spaceforce.mil); SWF Global Counterspace Capabilities 2024 (swfound.org/media/207708/swf_global_counterspace_capabilities_2024.pdf)</w:t>
            </w:r>
          </w:p>
        </w:tc>
      </w:tr>
      <w:tr>
        <w:tc>
          <w:tcPr>
            <w:tcW w:w="0" w:type="auto"/>
          </w:tcPr>
          <w:p>
            <w:pPr>
              <w:spacing w:line="240" w:lineRule="auto" w:before="0" w:after="0"/>
              <w:pStyle w:val="Compact"/>
            </w:pPr>
            <w:r>
              <w:rPr>
                <w:sz w:val="20"/>
                <w:szCs w:val="20"/>
              </w:rPr>
              <w:t xml:space="preserve">USA-292 (GSSAP-6)</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USSF release 2022-01-21 (spaceforce.mil); SWF Global Counterspace 2024 (swfound.org/media/207708/swf_global_counterspace_capabilities_2024.pdf)</w:t>
            </w:r>
          </w:p>
        </w:tc>
      </w:tr>
      <w:tr>
        <w:tc>
          <w:tcPr>
            <w:tcW w:w="0" w:type="auto"/>
          </w:tcPr>
          <w:p>
            <w:pPr>
              <w:spacing w:line="240" w:lineRule="auto" w:before="0" w:after="0"/>
              <w:pStyle w:val="Compact"/>
            </w:pPr>
            <w:r>
              <w:rPr>
                <w:sz w:val="20"/>
                <w:szCs w:val="20"/>
              </w:rPr>
              <w:t xml:space="preserve">Luch (Olymp-K)</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Pasztor WSJ 2015-10-09</w:t>
            </w:r>
            <w:r>
              <w:rPr>
                <w:sz w:val="20"/>
                <w:szCs w:val="20"/>
              </w:rPr>
              <w:t xml:space="preserve"> </w:t>
            </w:r>
            <w:r>
              <w:rPr>
                <w:sz w:val="20"/>
                <w:szCs w:val="20"/>
              </w:rPr>
              <w:t xml:space="preserve">‘Russian Satellite Maneuvers Worry Intelsat’</w:t>
            </w:r>
            <w:r>
              <w:rPr>
                <w:sz w:val="20"/>
                <w:szCs w:val="20"/>
              </w:rPr>
              <w:t xml:space="preserve">; SWF Global Counterspace 2020 (swfound.org/media/206957/swf_counterspace2020_electronic_final.pdf)</w:t>
            </w:r>
          </w:p>
        </w:tc>
      </w:tr>
      <w:tr>
        <w:tc>
          <w:tcPr>
            <w:tcW w:w="0" w:type="auto"/>
          </w:tcPr>
          <w:p>
            <w:pPr>
              <w:spacing w:line="240" w:lineRule="auto" w:before="0" w:after="0"/>
              <w:pStyle w:val="Compact"/>
            </w:pPr>
            <w:r>
              <w:rPr>
                <w:sz w:val="20"/>
                <w:szCs w:val="20"/>
              </w:rPr>
              <w:t xml:space="preserve">Luch-2 (Olymp-2)</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COMSPOC reports cited in Erwin SpaceNews 2024-04-17</w:t>
            </w:r>
            <w:r>
              <w:rPr>
                <w:sz w:val="20"/>
                <w:szCs w:val="20"/>
              </w:rPr>
              <w:t xml:space="preserve"> </w:t>
            </w:r>
            <w:r>
              <w:rPr>
                <w:sz w:val="20"/>
                <w:szCs w:val="20"/>
              </w:rPr>
              <w:t xml:space="preserve">‘Russia launches Olymp-K-2’</w:t>
            </w:r>
            <w:r>
              <w:rPr>
                <w:sz w:val="20"/>
                <w:szCs w:val="20"/>
              </w:rPr>
              <w:t xml:space="preserve">; Bart Hendrickx The Space Review 2024-05-13</w:t>
            </w:r>
          </w:p>
        </w:tc>
      </w:tr>
      <w:tr>
        <w:tc>
          <w:tcPr>
            <w:tcW w:w="0" w:type="auto"/>
          </w:tcPr>
          <w:p>
            <w:pPr>
              <w:spacing w:line="240" w:lineRule="auto" w:before="0" w:after="0"/>
              <w:pStyle w:val="Compact"/>
            </w:pPr>
            <w:r>
              <w:rPr>
                <w:sz w:val="20"/>
                <w:szCs w:val="20"/>
              </w:rPr>
              <w:t xml:space="preserve">SJ-17 (Shijian-17)</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Patrick Tucker DefenseOne 2017-07-10; Weeden SWF Global Counterspace 2020 (swfound.org/media/206957/swf_counterspace2020_electronic_final.pdf); B. Hendrickx The Space Review 2019</w:t>
            </w:r>
          </w:p>
        </w:tc>
      </w:tr>
      <w:tr>
        <w:tc>
          <w:tcPr>
            <w:tcW w:w="0" w:type="auto"/>
          </w:tcPr>
          <w:p>
            <w:pPr>
              <w:spacing w:line="240" w:lineRule="auto" w:before="0" w:after="0"/>
              <w:pStyle w:val="Compact"/>
            </w:pPr>
            <w:r>
              <w:rPr>
                <w:sz w:val="20"/>
                <w:szCs w:val="20"/>
              </w:rPr>
              <w:t xml:space="preserve">SJ-21 (Shijian-21)</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ExoAnalytic observations reported in Erwin SpaceNews 2022-02-02</w:t>
            </w:r>
            <w:r>
              <w:rPr>
                <w:sz w:val="20"/>
                <w:szCs w:val="20"/>
              </w:rPr>
              <w:t xml:space="preserve"> </w:t>
            </w:r>
            <w:r>
              <w:rPr>
                <w:sz w:val="20"/>
                <w:szCs w:val="20"/>
              </w:rPr>
              <w:t xml:space="preserve">‘Chinese satellite observed grappling defunct Beidou’</w:t>
            </w:r>
            <w:r>
              <w:rPr>
                <w:sz w:val="20"/>
                <w:szCs w:val="20"/>
              </w:rPr>
              <w:t xml:space="preserve">; SWF Global Counterspace 2024 (swfound.org/media/207708/swf_global_counterspace_capabilities_2024.pdf)</w:t>
            </w:r>
          </w:p>
        </w:tc>
      </w:tr>
      <w:tr>
        <w:tc>
          <w:tcPr>
            <w:tcW w:w="0" w:type="auto"/>
          </w:tcPr>
          <w:p>
            <w:pPr>
              <w:spacing w:line="240" w:lineRule="auto" w:before="0" w:after="0"/>
              <w:pStyle w:val="Compact"/>
            </w:pPr>
            <w:r>
              <w:rPr>
                <w:sz w:val="20"/>
                <w:szCs w:val="20"/>
              </w:rPr>
              <w:t xml:space="preserve">SJ-25 (Shijian-25)</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ExoAnalytic and COMSPOC GEO RPO observations reported in Erwin SpaceNews 2025-06-30</w:t>
            </w:r>
            <w:r>
              <w:rPr>
                <w:sz w:val="20"/>
                <w:szCs w:val="20"/>
              </w:rPr>
              <w:t xml:space="preserve"> </w:t>
            </w:r>
            <w:r>
              <w:rPr>
                <w:sz w:val="20"/>
                <w:szCs w:val="20"/>
              </w:rPr>
              <w:t xml:space="preserve">‘China’s Shijian-25 conducts proximity operations near Shijian-21’</w:t>
            </w:r>
            <w:r>
              <w:rPr>
                <w:sz w:val="20"/>
                <w:szCs w:val="20"/>
              </w:rPr>
              <w:t xml:space="preserve">; SWF Global Counterspace 2025 update</w:t>
            </w:r>
          </w:p>
        </w:tc>
      </w:tr>
      <w:tr>
        <w:tc>
          <w:tcPr>
            <w:tcW w:w="0" w:type="auto"/>
          </w:tcPr>
          <w:p>
            <w:pPr>
              <w:spacing w:line="240" w:lineRule="auto" w:before="0" w:after="0"/>
              <w:pStyle w:val="Compact"/>
            </w:pPr>
            <w:r>
              <w:rPr>
                <w:sz w:val="20"/>
                <w:szCs w:val="20"/>
              </w:rPr>
              <w:t xml:space="preserve">TJS-3 (Tongxin Jishu 3)</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SWF Global Counterspace 2020 (swfound.org/media/206957/swf_counterspace2020_electronic_final.pdf); ExoAnalytic AMOS 2019 GEO operations review</w:t>
            </w:r>
          </w:p>
        </w:tc>
      </w:tr>
      <w:tr>
        <w:tc>
          <w:tcPr>
            <w:tcW w:w="0" w:type="auto"/>
          </w:tcPr>
          <w:p>
            <w:pPr>
              <w:spacing w:line="240" w:lineRule="auto" w:before="0" w:after="0"/>
              <w:pStyle w:val="Compact"/>
            </w:pPr>
            <w:r>
              <w:rPr>
                <w:sz w:val="20"/>
                <w:szCs w:val="20"/>
              </w:rPr>
              <w:t xml:space="preserve">TJS-5 (Tongxin Jishu 5)</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SWF Global Counterspace 2022 (swfound.org/media/206957); Hendrickx The Space Review 2021-08-23</w:t>
            </w:r>
            <w:r>
              <w:rPr>
                <w:sz w:val="20"/>
                <w:szCs w:val="20"/>
              </w:rPr>
              <w:t xml:space="preserve"> </w:t>
            </w:r>
            <w:r>
              <w:rPr>
                <w:sz w:val="20"/>
                <w:szCs w:val="20"/>
              </w:rPr>
              <w:t xml:space="preserve">‘China’s TJS series’</w:t>
            </w:r>
          </w:p>
        </w:tc>
      </w:tr>
      <w:tr>
        <w:tc>
          <w:tcPr>
            <w:tcW w:w="0" w:type="auto"/>
          </w:tcPr>
          <w:p>
            <w:pPr>
              <w:spacing w:line="240" w:lineRule="auto" w:before="0" w:after="0"/>
              <w:pStyle w:val="Compact"/>
            </w:pPr>
            <w:r>
              <w:rPr>
                <w:sz w:val="20"/>
                <w:szCs w:val="20"/>
              </w:rPr>
              <w:t xml:space="preserve">MEV-1</w:t>
            </w:r>
          </w:p>
        </w:tc>
        <w:tc>
          <w:tcPr>
            <w:tcW w:w="0" w:type="auto"/>
          </w:tcPr>
          <w:p>
            <w:pPr>
              <w:spacing w:line="240" w:lineRule="auto" w:before="0" w:after="0"/>
              <w:pStyle w:val="Compact"/>
            </w:pPr>
            <w:r>
              <w:rPr>
                <w:sz w:val="20"/>
                <w:szCs w:val="20"/>
              </w:rPr>
              <w:t xml:space="preserve">Northrop Grumman SpaceLogistics</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NGIS press release 2020-02-26 first MEV-1 docking with Intelsat-901; J. Anderson SpaceNews 2020-02-26</w:t>
            </w:r>
          </w:p>
        </w:tc>
      </w:tr>
      <w:tr>
        <w:tc>
          <w:tcPr>
            <w:tcW w:w="0" w:type="auto"/>
          </w:tcPr>
          <w:p>
            <w:pPr>
              <w:spacing w:line="240" w:lineRule="auto" w:before="0" w:after="0"/>
              <w:pStyle w:val="Compact"/>
            </w:pPr>
            <w:r>
              <w:rPr>
                <w:sz w:val="20"/>
                <w:szCs w:val="20"/>
              </w:rPr>
              <w:t xml:space="preserve">MEV-2</w:t>
            </w:r>
          </w:p>
        </w:tc>
        <w:tc>
          <w:tcPr>
            <w:tcW w:w="0" w:type="auto"/>
          </w:tcPr>
          <w:p>
            <w:pPr>
              <w:spacing w:line="240" w:lineRule="auto" w:before="0" w:after="0"/>
              <w:pStyle w:val="Compact"/>
            </w:pPr>
            <w:r>
              <w:rPr>
                <w:sz w:val="20"/>
                <w:szCs w:val="20"/>
              </w:rPr>
              <w:t xml:space="preserve">Northrop Grumman SpaceLogistics</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NGSL press release 2021-04-12 MEV-2 docking with Intelsat-10-02; SpaceNews 2021-04-12 Foust</w:t>
            </w:r>
          </w:p>
        </w:tc>
      </w:tr>
      <w:tr>
        <w:tc>
          <w:tcPr>
            <w:tcW w:w="0" w:type="auto"/>
          </w:tcPr>
          <w:p>
            <w:pPr>
              <w:spacing w:line="240" w:lineRule="auto" w:before="0" w:after="0"/>
              <w:pStyle w:val="Compact"/>
            </w:pPr>
            <w:r>
              <w:rPr>
                <w:sz w:val="20"/>
                <w:szCs w:val="20"/>
              </w:rPr>
              <w:t xml:space="preserve">Mycroft (USA-285)</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USAF AFRL public statements; B. Weeden SWF Global Counterspace 2022 (swfound.org/media/206957) on Mycroft GEO inspection</w:t>
            </w:r>
          </w:p>
        </w:tc>
      </w:tr>
      <w:tr>
        <w:tc>
          <w:tcPr>
            <w:tcW w:w="0" w:type="auto"/>
          </w:tcPr>
          <w:p>
            <w:pPr>
              <w:spacing w:line="240" w:lineRule="auto" w:before="0" w:after="0"/>
              <w:pStyle w:val="Compact"/>
            </w:pPr>
            <w:r>
              <w:rPr>
                <w:sz w:val="20"/>
                <w:szCs w:val="20"/>
              </w:rPr>
              <w:t xml:space="preserve">ANGELS</w:t>
            </w:r>
          </w:p>
        </w:tc>
        <w:tc>
          <w:tcPr>
            <w:tcW w:w="0" w:type="auto"/>
          </w:tcPr>
          <w:p>
            <w:pPr>
              <w:spacing w:line="240" w:lineRule="auto" w:before="0" w:after="0"/>
              <w:pStyle w:val="Compact"/>
            </w:pPr>
            <w:r>
              <w:rPr>
                <w:sz w:val="20"/>
                <w:szCs w:val="20"/>
              </w:rPr>
              <w:t xml:space="preserve">AFRL</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AFRL ANGELS fact sheet (af.mil); J. Foust SpaceNews 2014-07-29</w:t>
            </w:r>
            <w:r>
              <w:rPr>
                <w:sz w:val="20"/>
                <w:szCs w:val="20"/>
              </w:rPr>
              <w:t xml:space="preserve"> </w:t>
            </w:r>
            <w:r>
              <w:rPr>
                <w:sz w:val="20"/>
                <w:szCs w:val="20"/>
              </w:rPr>
              <w:t xml:space="preserve">‘ANGELS launched’</w:t>
            </w:r>
            <w:r>
              <w:rPr>
                <w:sz w:val="20"/>
                <w:szCs w:val="20"/>
              </w:rPr>
              <w:t xml:space="preserve">; Weeden SWF GSSAP fact sheet 2020</w:t>
            </w:r>
          </w:p>
        </w:tc>
      </w:tr>
      <w:tr>
        <w:tc>
          <w:tcPr>
            <w:tcW w:w="0" w:type="auto"/>
          </w:tcPr>
          <w:p>
            <w:pPr>
              <w:spacing w:line="240" w:lineRule="auto" w:before="0" w:after="0"/>
              <w:pStyle w:val="Compact"/>
            </w:pPr>
            <w:r>
              <w:rPr>
                <w:sz w:val="20"/>
                <w:szCs w:val="20"/>
              </w:rPr>
              <w:t xml:space="preserve">Kosmos-2491</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 Zak russianspaceweb.com</w:t>
            </w:r>
            <w:r>
              <w:rPr>
                <w:sz w:val="20"/>
                <w:szCs w:val="20"/>
              </w:rPr>
              <w:t xml:space="preserve"> </w:t>
            </w:r>
            <w:r>
              <w:rPr>
                <w:sz w:val="20"/>
                <w:szCs w:val="20"/>
              </w:rPr>
              <w:t xml:space="preserve">‘Kosmos-2491’</w:t>
            </w:r>
            <w:r>
              <w:rPr>
                <w:sz w:val="20"/>
                <w:szCs w:val="20"/>
              </w:rPr>
              <w:t xml:space="preserve">; SWF Global Counterspace 2018 (swfound.org/media/206118)</w:t>
            </w:r>
          </w:p>
        </w:tc>
      </w:tr>
      <w:tr>
        <w:tc>
          <w:tcPr>
            <w:tcW w:w="0" w:type="auto"/>
          </w:tcPr>
          <w:p>
            <w:pPr>
              <w:spacing w:line="240" w:lineRule="auto" w:before="0" w:after="0"/>
              <w:pStyle w:val="Compact"/>
            </w:pPr>
            <w:r>
              <w:rPr>
                <w:sz w:val="20"/>
                <w:szCs w:val="20"/>
              </w:rPr>
              <w:t xml:space="preserve">Kosmos-2499</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 Zak russianspaceweb.com</w:t>
            </w:r>
            <w:r>
              <w:rPr>
                <w:sz w:val="20"/>
                <w:szCs w:val="20"/>
              </w:rPr>
              <w:t xml:space="preserve"> </w:t>
            </w:r>
            <w:r>
              <w:rPr>
                <w:sz w:val="20"/>
                <w:szCs w:val="20"/>
              </w:rPr>
              <w:t xml:space="preserve">‘Kosmos-2499’</w:t>
            </w:r>
            <w:r>
              <w:rPr>
                <w:sz w:val="20"/>
                <w:szCs w:val="20"/>
              </w:rPr>
              <w:t xml:space="preserve">; M. Gruss SpaceNews 2014-11-18</w:t>
            </w:r>
            <w:r>
              <w:rPr>
                <w:sz w:val="20"/>
                <w:szCs w:val="20"/>
              </w:rPr>
              <w:t xml:space="preserve"> </w:t>
            </w:r>
            <w:r>
              <w:rPr>
                <w:sz w:val="20"/>
                <w:szCs w:val="20"/>
              </w:rPr>
              <w:t xml:space="preserve">‘Russian satellite raises eyebrows’</w:t>
            </w:r>
          </w:p>
        </w:tc>
      </w:tr>
      <w:tr>
        <w:tc>
          <w:tcPr>
            <w:tcW w:w="0" w:type="auto"/>
          </w:tcPr>
          <w:p>
            <w:pPr>
              <w:spacing w:line="240" w:lineRule="auto" w:before="0" w:after="0"/>
              <w:pStyle w:val="Compact"/>
            </w:pPr>
            <w:r>
              <w:rPr>
                <w:sz w:val="20"/>
                <w:szCs w:val="20"/>
              </w:rPr>
              <w:t xml:space="preserve">Kosmos-2504</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 Gruss SpaceNews 2015-04-10; SWF Global Counterspace 2018 (swfound.org/media/206118)</w:t>
            </w:r>
          </w:p>
        </w:tc>
      </w:tr>
      <w:tr>
        <w:tc>
          <w:tcPr>
            <w:tcW w:w="0" w:type="auto"/>
          </w:tcPr>
          <w:p>
            <w:pPr>
              <w:spacing w:line="240" w:lineRule="auto" w:before="0" w:after="0"/>
              <w:pStyle w:val="Compact"/>
            </w:pPr>
            <w:r>
              <w:rPr>
                <w:sz w:val="20"/>
                <w:szCs w:val="20"/>
              </w:rPr>
              <w:t xml:space="preserve">Kosmos-2519</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 Erwin SpaceNews 2017-08-23; SWF Global Counterspace 2020 (swfound.org/media/206957)</w:t>
            </w:r>
          </w:p>
        </w:tc>
      </w:tr>
      <w:tr>
        <w:tc>
          <w:tcPr>
            <w:tcW w:w="0" w:type="auto"/>
          </w:tcPr>
          <w:p>
            <w:pPr>
              <w:spacing w:line="240" w:lineRule="auto" w:before="0" w:after="0"/>
              <w:pStyle w:val="Compact"/>
            </w:pPr>
            <w:r>
              <w:rPr>
                <w:sz w:val="20"/>
                <w:szCs w:val="20"/>
              </w:rPr>
              <w:t xml:space="preserve">Kosmos-2542</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USSPACECOM Gen. Raymond statement 2020-02-10 (TIME magazine Hennigan 2020-02-10); SpaceNews 2020-02-10</w:t>
            </w:r>
          </w:p>
        </w:tc>
      </w:tr>
      <w:tr>
        <w:tc>
          <w:tcPr>
            <w:tcW w:w="0" w:type="auto"/>
          </w:tcPr>
          <w:p>
            <w:pPr>
              <w:spacing w:line="240" w:lineRule="auto" w:before="0" w:after="0"/>
              <w:pStyle w:val="Compact"/>
            </w:pPr>
            <w:r>
              <w:rPr>
                <w:sz w:val="20"/>
                <w:szCs w:val="20"/>
              </w:rPr>
              <w:t xml:space="preserve">Kosmos-2543</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USSPACECOM statement 2020-07-23 on Kosmos-2543 projectile test; SWF Global Counterspace 2021 (swfound.org/media/207161)</w:t>
            </w:r>
          </w:p>
        </w:tc>
      </w:tr>
      <w:tr>
        <w:tc>
          <w:tcPr>
            <w:tcW w:w="0" w:type="auto"/>
          </w:tcPr>
          <w:p>
            <w:pPr>
              <w:spacing w:line="240" w:lineRule="auto" w:before="0" w:after="0"/>
              <w:pStyle w:val="Compact"/>
            </w:pPr>
            <w:r>
              <w:rPr>
                <w:sz w:val="20"/>
                <w:szCs w:val="20"/>
              </w:rPr>
              <w:t xml:space="preserve">Kosmos-2558</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 Holland SpaceNews 2022-08-04; J. McDowell Jonathan’s Space Report 854 2022-08-15</w:t>
            </w:r>
          </w:p>
        </w:tc>
      </w:tr>
      <w:tr>
        <w:tc>
          <w:tcPr>
            <w:tcW w:w="0" w:type="auto"/>
          </w:tcPr>
          <w:p>
            <w:pPr>
              <w:spacing w:line="240" w:lineRule="auto" w:before="0" w:after="0"/>
              <w:pStyle w:val="Compact"/>
            </w:pPr>
            <w:r>
              <w:rPr>
                <w:sz w:val="20"/>
                <w:szCs w:val="20"/>
              </w:rPr>
              <w:t xml:space="preserve">SBSS</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SBSS fact sheet (af.mil); used here as pre-public-SSA-era control with later AMOS-era characterization paper Hall et al. 2014</w:t>
            </w:r>
          </w:p>
        </w:tc>
      </w:tr>
      <w:tr>
        <w:tc>
          <w:tcPr>
            <w:tcW w:w="0" w:type="auto"/>
          </w:tcPr>
          <w:p>
            <w:pPr>
              <w:spacing w:line="240" w:lineRule="auto" w:before="0" w:after="0"/>
              <w:pStyle w:val="Compact"/>
            </w:pPr>
            <w:r>
              <w:rPr>
                <w:sz w:val="20"/>
                <w:szCs w:val="20"/>
              </w:rPr>
              <w:t xml:space="preserve">ANUSAT/Sapphire</w:t>
            </w:r>
          </w:p>
        </w:tc>
        <w:tc>
          <w:tcPr>
            <w:tcW w:w="0" w:type="auto"/>
          </w:tcPr>
          <w:p>
            <w:pPr>
              <w:spacing w:line="240" w:lineRule="auto" w:before="0" w:after="0"/>
              <w:pStyle w:val="Compact"/>
            </w:pPr>
            <w:r>
              <w:rPr>
                <w:sz w:val="20"/>
                <w:szCs w:val="20"/>
              </w:rPr>
              <w:t xml:space="preserve">Canadian Forces</w:t>
            </w:r>
          </w:p>
        </w:tc>
        <w:tc>
          <w:tcPr>
            <w:tcW w:w="0" w:type="auto"/>
          </w:tcPr>
          <w:p>
            <w:pPr>
              <w:spacing w:line="240" w:lineRule="auto" w:before="0" w:after="0"/>
              <w:pStyle w:val="Compact"/>
            </w:pPr>
            <w:r>
              <w:rPr>
                <w:sz w:val="20"/>
                <w:szCs w:val="20"/>
              </w:rPr>
              <w:t xml:space="preserve">CA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DND Sapphire fact sheet (canada.ca); A. Maskell AMOS 2014 paper on Sapphire operations</w:t>
            </w:r>
          </w:p>
        </w:tc>
      </w:tr>
      <w:tr>
        <w:tc>
          <w:tcPr>
            <w:tcW w:w="0" w:type="auto"/>
          </w:tcPr>
          <w:p>
            <w:pPr>
              <w:spacing w:line="240" w:lineRule="auto" w:before="0" w:after="0"/>
              <w:pStyle w:val="Compact"/>
            </w:pPr>
            <w:r>
              <w:rPr>
                <w:sz w:val="20"/>
                <w:szCs w:val="20"/>
              </w:rPr>
              <w:t xml:space="preserve">GSSAP-NEXT planned</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USSF FY2024 budget justification (saffm.hq.af.mil); right-censored as not yet launched, [illustrative] placeholder for hazard model censoring sensitivity</w:t>
            </w:r>
          </w:p>
        </w:tc>
      </w:tr>
      <w:tr>
        <w:tc>
          <w:tcPr>
            <w:tcW w:w="0" w:type="auto"/>
          </w:tcPr>
          <w:p>
            <w:pPr>
              <w:spacing w:line="240" w:lineRule="auto" w:before="0" w:after="0"/>
              <w:pStyle w:val="Compact"/>
            </w:pPr>
            <w:r>
              <w:rPr>
                <w:sz w:val="20"/>
                <w:szCs w:val="20"/>
              </w:rPr>
              <w:t xml:space="preserve">USA-326 (Silent Barker SBIRS adjacent)</w:t>
            </w:r>
          </w:p>
        </w:tc>
        <w:tc>
          <w:tcPr>
            <w:tcW w:w="0" w:type="auto"/>
          </w:tcPr>
          <w:p>
            <w:pPr>
              <w:spacing w:line="240" w:lineRule="auto" w:before="0" w:after="0"/>
              <w:pStyle w:val="Compact"/>
            </w:pPr>
            <w:r>
              <w:rPr>
                <w:sz w:val="20"/>
                <w:szCs w:val="20"/>
              </w:rPr>
              <w:t xml:space="preserve">USSF/NRO</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NRO Silent Barker launch announcement 2023-09-10 (nro.gov); J. Erwin SpaceNews 2023-09-10</w:t>
            </w:r>
          </w:p>
        </w:tc>
      </w:tr>
      <w:tr>
        <w:tc>
          <w:tcPr>
            <w:tcW w:w="0" w:type="auto"/>
          </w:tcPr>
          <w:p>
            <w:pPr>
              <w:spacing w:line="240" w:lineRule="auto" w:before="0" w:after="0"/>
              <w:pStyle w:val="Compact"/>
            </w:pPr>
            <w:r>
              <w:rPr>
                <w:sz w:val="20"/>
                <w:szCs w:val="20"/>
              </w:rPr>
              <w:t xml:space="preserve">Yaogan-41</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Andrew Jones SpaceNews 2023-12-15</w:t>
            </w:r>
            <w:r>
              <w:rPr>
                <w:sz w:val="20"/>
                <w:szCs w:val="20"/>
              </w:rPr>
              <w:t xml:space="preserve"> </w:t>
            </w:r>
            <w:r>
              <w:rPr>
                <w:sz w:val="20"/>
                <w:szCs w:val="20"/>
              </w:rPr>
              <w:t xml:space="preserve">‘China launches Yaogan-41’</w:t>
            </w:r>
            <w:r>
              <w:rPr>
                <w:sz w:val="20"/>
                <w:szCs w:val="20"/>
              </w:rPr>
              <w:t xml:space="preserve">; ExoAnalytic GEO observation summary</w:t>
            </w:r>
          </w:p>
        </w:tc>
      </w:tr>
      <w:tr>
        <w:tc>
          <w:tcPr>
            <w:tcW w:w="0" w:type="auto"/>
          </w:tcPr>
          <w:p>
            <w:pPr>
              <w:spacing w:line="240" w:lineRule="auto" w:before="0" w:after="0"/>
              <w:pStyle w:val="Compact"/>
            </w:pPr>
            <w:r>
              <w:rPr>
                <w:sz w:val="20"/>
                <w:szCs w:val="20"/>
              </w:rPr>
              <w:t xml:space="preserve">Beidou-G2 anomalous</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 McDowell Jonathan’s Space Report; ExoAnalytic AMOS 2018 paper Oltrogge &amp; Alfano on uncontrolled drifters as control case [illustrative for event-dating sensitivity]</w:t>
            </w:r>
          </w:p>
        </w:tc>
      </w:tr>
    </w:tbl>
    <w:bookmarkEnd w:id="201"/>
    <w:bookmarkStart w:id="20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Years from satellite launch to first publicly attributed rendezvous or proximity operation (RPO) or anomalous close-approach maneuver in open sources; for objects without an attributed event by the cutoff, years from launch to the 2026-06-01 observation cutoff (right-censored).</w:t>
            </w:r>
          </w:p>
        </w:tc>
        <w:tc>
          <w:tcPr>
            <w:tcW w:w="0" w:type="auto"/>
          </w:tcPr>
          <w:p>
            <w:pPr>
              <w:spacing w:line="240" w:lineRule="auto" w:before="0" w:after="0"/>
              <w:pStyle w:val="Compact"/>
            </w:pPr>
            <w:r>
              <w:rPr>
                <w:sz w:val="20"/>
                <w:szCs w:val="20"/>
              </w:rPr>
              <w:t xml:space="preserve">Computed from documented launch dates and the earliest open-source attribution date per row source.</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Event indicator: 1 if a publicly attributed RPO or anomalous close-approach event was reported by the cutoff; 0 if no such event was attributed and the object remained under observation (right-censored).</w:t>
            </w:r>
          </w:p>
        </w:tc>
        <w:tc>
          <w:tcPr>
            <w:tcW w:w="0" w:type="auto"/>
          </w:tcPr>
          <w:p>
            <w:pPr>
              <w:spacing w:line="240" w:lineRule="auto" w:before="0" w:after="0"/>
              <w:pStyle w:val="Compact"/>
            </w:pPr>
            <w:r>
              <w:rPr>
                <w:sz w:val="20"/>
                <w:szCs w:val="20"/>
              </w:rPr>
              <w:t xml:space="preserve">Open-source attribution records (Secure World Foundation Global Counterspace reports; CSIS Space Threat Assessment; ExoAnalytic and COMSPOC public characterizations; SpaceNews and The Space Review reporting).</w:t>
            </w:r>
          </w:p>
        </w:tc>
      </w:tr>
      <w:tr>
        <w:tc>
          <w:tcPr>
            <w:tcW w:w="0" w:type="auto"/>
          </w:tcPr>
          <w:p>
            <w:pPr>
              <w:spacing w:line="240" w:lineRule="auto" w:before="0" w:after="0"/>
              <w:pStyle w:val="Compact"/>
            </w:pPr>
            <w:r>
              <w:rPr>
                <w:sz w:val="20"/>
                <w:szCs w:val="20"/>
              </w:rPr>
              <w:t xml:space="preserve">era_post_2015</w:t>
            </w:r>
          </w:p>
        </w:tc>
        <w:tc>
          <w:tcPr>
            <w:tcW w:w="0" w:type="auto"/>
          </w:tcPr>
          <w:p>
            <w:pPr>
              <w:spacing w:line="240" w:lineRule="auto" w:before="0" w:after="0"/>
              <w:pStyle w:val="Compact"/>
            </w:pPr>
            <w:r>
              <w:rPr>
                <w:sz w:val="20"/>
                <w:szCs w:val="20"/>
              </w:rPr>
              <w:t xml:space="preserve">Binary indicator: 1 if the launch occurred in or after 2015 (the period when commercial public space situational awareness, including ExoAnalytic and COMSPOC GEO patrols, reached operational maturity); 0 if launched before 2015.</w:t>
            </w:r>
          </w:p>
        </w:tc>
        <w:tc>
          <w:tcPr>
            <w:tcW w:w="0" w:type="auto"/>
          </w:tcPr>
          <w:p>
            <w:pPr>
              <w:spacing w:line="240" w:lineRule="auto" w:before="0" w:after="0"/>
              <w:pStyle w:val="Compact"/>
            </w:pPr>
            <w:r>
              <w:rPr>
                <w:sz w:val="20"/>
                <w:szCs w:val="20"/>
              </w:rPr>
              <w:t xml:space="preserve">Coded from documented launch year per row source.</w:t>
            </w:r>
          </w:p>
        </w:tc>
      </w:tr>
      <w:tr>
        <w:tc>
          <w:tcPr>
            <w:tcW w:w="0" w:type="auto"/>
          </w:tcPr>
          <w:p>
            <w:pPr>
              <w:spacing w:line="240" w:lineRule="auto" w:before="0" w:after="0"/>
              <w:pStyle w:val="Compact"/>
            </w:pPr>
            <w:r>
              <w:rPr>
                <w:sz w:val="20"/>
                <w:szCs w:val="20"/>
              </w:rPr>
              <w:t xml:space="preserve">western_operator</w:t>
            </w:r>
          </w:p>
        </w:tc>
        <w:tc>
          <w:tcPr>
            <w:tcW w:w="0" w:type="auto"/>
          </w:tcPr>
          <w:p>
            <w:pPr>
              <w:spacing w:line="240" w:lineRule="auto" w:before="0" w:after="0"/>
              <w:pStyle w:val="Compact"/>
            </w:pPr>
            <w:r>
              <w:rPr>
                <w:sz w:val="20"/>
                <w:szCs w:val="20"/>
              </w:rPr>
              <w:t xml:space="preserve">Binary indicator: 1 if the operator is United States, Canadian, or Western European; 0 if the operator is Russian or Chinese.</w:t>
            </w:r>
          </w:p>
        </w:tc>
        <w:tc>
          <w:tcPr>
            <w:tcW w:w="0" w:type="auto"/>
          </w:tcPr>
          <w:p>
            <w:pPr>
              <w:spacing w:line="240" w:lineRule="auto" w:before="0" w:after="0"/>
              <w:pStyle w:val="Compact"/>
            </w:pPr>
            <w:r>
              <w:rPr>
                <w:sz w:val="20"/>
                <w:szCs w:val="20"/>
              </w:rPr>
              <w:t xml:space="preserve">Operator nationality per row source.</w:t>
            </w:r>
          </w:p>
        </w:tc>
      </w:tr>
      <w:tr>
        <w:tc>
          <w:tcPr>
            <w:tcW w:w="0" w:type="auto"/>
          </w:tcPr>
          <w:p>
            <w:pPr>
              <w:spacing w:line="240" w:lineRule="auto" w:before="0" w:after="0"/>
              <w:pStyle w:val="Compact"/>
            </w:pPr>
            <w:r>
              <w:rPr>
                <w:sz w:val="20"/>
                <w:szCs w:val="20"/>
              </w:rPr>
              <w:t xml:space="preserve">inspector_designed</w:t>
            </w:r>
          </w:p>
        </w:tc>
        <w:tc>
          <w:tcPr>
            <w:tcW w:w="0" w:type="auto"/>
          </w:tcPr>
          <w:p>
            <w:pPr>
              <w:spacing w:line="240" w:lineRule="auto" w:before="0" w:after="0"/>
              <w:pStyle w:val="Compact"/>
            </w:pPr>
            <w:r>
              <w:rPr>
                <w:sz w:val="20"/>
                <w:szCs w:val="20"/>
              </w:rPr>
              <w:t xml:space="preserve">Binary indicator: 1 if the satellite was publicly designed and announced as a dedicated inspector, neighborhood watch, or on-orbit servicing platform; 0 if the satellite’s RPO behavior was not part of its declared mission.</w:t>
            </w:r>
          </w:p>
        </w:tc>
        <w:tc>
          <w:tcPr>
            <w:tcW w:w="0" w:type="auto"/>
          </w:tcPr>
          <w:p>
            <w:pPr>
              <w:spacing w:line="240" w:lineRule="auto" w:before="0" w:after="0"/>
              <w:pStyle w:val="Compact"/>
            </w:pPr>
            <w:r>
              <w:rPr>
                <w:sz w:val="20"/>
                <w:szCs w:val="20"/>
              </w:rPr>
              <w:t xml:space="preserve">Operator declarations and official program fact sheets per row source.</w:t>
            </w:r>
          </w:p>
        </w:tc>
      </w:tr>
      <w:tr>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Binary indicator: 1 if the satellite operates in or near geostationary orbit; 0 if the satellite operates in low or medium Earth orbit.</w:t>
            </w:r>
          </w:p>
        </w:tc>
        <w:tc>
          <w:tcPr>
            <w:tcW w:w="0" w:type="auto"/>
          </w:tcPr>
          <w:p>
            <w:pPr>
              <w:spacing w:line="240" w:lineRule="auto" w:before="0" w:after="0"/>
              <w:pStyle w:val="Compact"/>
            </w:pPr>
            <w:r>
              <w:rPr>
                <w:sz w:val="20"/>
                <w:szCs w:val="20"/>
              </w:rPr>
              <w:t xml:space="preserve">Orbital regime per row source.</w:t>
            </w:r>
          </w:p>
        </w:tc>
      </w:tr>
    </w:tbl>
    <w:bookmarkEnd w:id="202"/>
    <w:bookmarkEnd w:id="203"/>
    <w:bookmarkEnd w:id="20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9" Type="http://schemas.openxmlformats.org/officeDocument/2006/relationships/image" Target="media/rId189.png"/><Relationship Id="rId197" Type="http://schemas.openxmlformats.org/officeDocument/2006/relationships/image" Target="media/rId197.png"/><Relationship Id="rId182" Type="http://schemas.openxmlformats.org/officeDocument/2006/relationships/hyperlink" Target="https://doi.org/10.1016/j.actaastro.2023.04.032" TargetMode="External"/><Relationship Id="rId180" Type="http://schemas.openxmlformats.org/officeDocument/2006/relationships/hyperlink" Target="https://doi.org/10.1016/j.actaastro.2024.06.015" TargetMode="External"/><Relationship Id="rId143" Type="http://schemas.openxmlformats.org/officeDocument/2006/relationships/hyperlink" Target="https://doi.org/10.1016/j.actaastro.2024.12.056" TargetMode="External"/><Relationship Id="rId184" Type="http://schemas.openxmlformats.org/officeDocument/2006/relationships/hyperlink" Target="https://doi.org/10.1016/j.actaastro.2025.01.003" TargetMode="External"/><Relationship Id="rId149" Type="http://schemas.openxmlformats.org/officeDocument/2006/relationships/hyperlink" Target="https://doi.org/10.1016/j.actaastro.2025.05.036" TargetMode="External"/><Relationship Id="rId178" Type="http://schemas.openxmlformats.org/officeDocument/2006/relationships/hyperlink" Target="https://doi.org/10.1016/j.actaastro.2025.08.050" TargetMode="External"/><Relationship Id="rId173" Type="http://schemas.openxmlformats.org/officeDocument/2006/relationships/hyperlink" Target="https://doi.org/10.1016/j.actaastro.2025.09.078" TargetMode="External"/><Relationship Id="rId176" Type="http://schemas.openxmlformats.org/officeDocument/2006/relationships/hyperlink" Target="https://doi.org/10.1016/j.actaastro.2025.10.042" TargetMode="External"/><Relationship Id="rId140" Type="http://schemas.openxmlformats.org/officeDocument/2006/relationships/hyperlink" Target="https://doi.org/10.64861/ETRU7114" TargetMode="External"/><Relationship Id="rId145" Type="http://schemas.openxmlformats.org/officeDocument/2006/relationships/hyperlink" Target="https://doi.org/10.64861/LCET1122" TargetMode="External"/><Relationship Id="rId147" Type="http://schemas.openxmlformats.org/officeDocument/2006/relationships/hyperlink" Target="https://doi.org/10.64861/PZFC4312" TargetMode="External"/><Relationship Id="rId165" Type="http://schemas.openxmlformats.org/officeDocument/2006/relationships/hyperlink" Target="https://doi.org/10.64861/TLLP2048" TargetMode="External"/><Relationship Id="rId138" Type="http://schemas.openxmlformats.org/officeDocument/2006/relationships/hyperlink" Target="https://doi.org/10.64861/UFGA3568" TargetMode="External"/></Relationships>
</file>

<file path=word/_rels/footnotes.xml.rels><?xml version='1.0' encoding='UTF-8' standalone='yes'?>
<Relationships xmlns="http://schemas.openxmlformats.org/package/2006/relationships"><Relationship Id="rId182" Type="http://schemas.openxmlformats.org/officeDocument/2006/relationships/hyperlink" Target="https://doi.org/10.1016/j.actaastro.2023.04.032" TargetMode="External"/><Relationship Id="rId180" Type="http://schemas.openxmlformats.org/officeDocument/2006/relationships/hyperlink" Target="https://doi.org/10.1016/j.actaastro.2024.06.015" TargetMode="External"/><Relationship Id="rId143" Type="http://schemas.openxmlformats.org/officeDocument/2006/relationships/hyperlink" Target="https://doi.org/10.1016/j.actaastro.2024.12.056" TargetMode="External"/><Relationship Id="rId184" Type="http://schemas.openxmlformats.org/officeDocument/2006/relationships/hyperlink" Target="https://doi.org/10.1016/j.actaastro.2025.01.003" TargetMode="External"/><Relationship Id="rId149" Type="http://schemas.openxmlformats.org/officeDocument/2006/relationships/hyperlink" Target="https://doi.org/10.1016/j.actaastro.2025.05.036" TargetMode="External"/><Relationship Id="rId178" Type="http://schemas.openxmlformats.org/officeDocument/2006/relationships/hyperlink" Target="https://doi.org/10.1016/j.actaastro.2025.08.050" TargetMode="External"/><Relationship Id="rId173" Type="http://schemas.openxmlformats.org/officeDocument/2006/relationships/hyperlink" Target="https://doi.org/10.1016/j.actaastro.2025.09.078" TargetMode="External"/><Relationship Id="rId176" Type="http://schemas.openxmlformats.org/officeDocument/2006/relationships/hyperlink" Target="https://doi.org/10.1016/j.actaastro.2025.10.042" TargetMode="External"/><Relationship Id="rId140" Type="http://schemas.openxmlformats.org/officeDocument/2006/relationships/hyperlink" Target="https://doi.org/10.64861/ETRU7114" TargetMode="External"/><Relationship Id="rId145" Type="http://schemas.openxmlformats.org/officeDocument/2006/relationships/hyperlink" Target="https://doi.org/10.64861/LCET1122" TargetMode="External"/><Relationship Id="rId147" Type="http://schemas.openxmlformats.org/officeDocument/2006/relationships/hyperlink" Target="https://doi.org/10.64861/PZFC4312" TargetMode="External"/><Relationship Id="rId165" Type="http://schemas.openxmlformats.org/officeDocument/2006/relationships/hyperlink" Target="https://doi.org/10.64861/TLLP2048" TargetMode="External"/><Relationship Id="rId138" Type="http://schemas.openxmlformats.org/officeDocument/2006/relationships/hyperlink" Target="https://doi.org/10.64861/UFGA35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Deterrence by Detection: Does Improved Public SSA Coverage Change Observable On-Orbit Behavior?</dc:title>
  <dc:creator>Diego Cabrera (1B-SDA-093)</dc:creator>
  <cp:keywords/>
  <dcterms:created xsi:type="dcterms:W3CDTF">2026-07-02T16:58:27Z</dcterms:created>
  <dcterms:modified xsi:type="dcterms:W3CDTF">2026-07-02T16:58:27Z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