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34055fdc0788a4a2e60a4a55d11b87d083a536f"/>
    <w:p>
      <w:pPr>
        <w:pStyle w:val="Heading1"/>
      </w:pPr>
      <w:r>
        <w:t xml:space="preserve">Signal Intensity in The Marginal Value of an Additional Sensor Information-Gain Diminishing Returns: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Stefan Berger (1B-SDA-221) and the dissertation project</w:t>
      </w:r>
      <w:r>
        <w:t xml:space="preserve"> </w:t>
      </w:r>
      <w:r>
        <w:rPr>
          <w:i/>
          <w:iCs/>
        </w:rPr>
        <w:t xml:space="preserve">The Marginal Value of an Additional Sensor: Information-Gain Diminishing Returns</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R2=0.09065234926359655, R2_adj=-0.014272379667527035, F=0.8639400576721759, F_p=0.4722236436512923. The exact term summary is: const coef=3.621184401547415 p=0.011508448018924696; recency_index coef=0.08949365494778494 p=0.4398324544979858; cites_num coef=-0.027988626980297145 p=0.7568369190283221; venue_score coef=-0.8470436006239968 p=0.1283043931702309.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Anna Zovaro, Australian National University and the Space Environment Research Centre Ltd., Francis Bennet, Australian National University and the Space Environment Research Centre Ltd., M. Copeland, Australian National University and the Space Environment Research Centre Ltd., Francois Rigaut, Australian National University and the Space Environment Research Centre Ltd., Celine d’Orgeville, Australian National University and the Space Environment Research Centre Ltd., D. Grosse, Australian National University and the Space Environment Research Centre Ltd., Matthew Bold, Lockheed Martin Corporation. Harnessing Adaptive Optics for Space Debris Collision Mitigation (2016). [AMOS]</w:t>
      </w:r>
      <w:r>
        <w:t xml:space="preserve"> </w:t>
      </w:r>
      <w:bookmarkStart w:id="68" w:name="ref-2"/>
      <w:bookmarkEnd w:id="68"/>
      <w:r>
        <w:t xml:space="preserve">2. Kevin Vanslette, Raytheon BBN; Roddy Taing, University of Wisconsin-Madison. Toward Optimal Conjunction-Based Sensor Tasking using Inferential Moments (2023). doi:</w:t>
      </w:r>
      <w:r>
        <w:t xml:space="preserve"> </w:t>
      </w:r>
      <w:hyperlink r:id="rId69">
        <w:r>
          <w:rPr>
            <w:rStyle w:val="Hyperlink"/>
          </w:rPr>
          <w:t xml:space="preserve">10.64861/PEUU1014</w:t>
        </w:r>
      </w:hyperlink>
      <w:r>
        <w:t xml:space="preserve"> </w:t>
      </w:r>
      <w:bookmarkStart w:id="70" w:name="ref-3"/>
      <w:bookmarkEnd w:id="70"/>
      <w:r>
        <w:t xml:space="preserve">3. Collin Phillips, Virginia Tech National Security Institute; Aster Saul, Virginia Tech National Security Institute; Kevin Schroeder, Virginia Tech National Security Institute; Jonathan Kadan, Space Systems Command. Luck Is a Skill: Optimizing for Serendipitous Observations with Global Boresight Tasking (2025). doi:</w:t>
      </w:r>
      <w:r>
        <w:t xml:space="preserve"> </w:t>
      </w:r>
      <w:hyperlink r:id="rId71">
        <w:r>
          <w:rPr>
            <w:rStyle w:val="Hyperlink"/>
          </w:rPr>
          <w:t xml:space="preserve">10.64861/GPAR3562</w:t>
        </w:r>
      </w:hyperlink>
      <w:r>
        <w:t xml:space="preserve"> </w:t>
      </w:r>
      <w:bookmarkStart w:id="72" w:name="ref-4"/>
      <w:bookmarkEnd w:id="72"/>
      <w:r>
        <w:t xml:space="preserve">4. Lauri Newman (NASA), Matthew Hejduk (a.i. Solutions, Inc.), Ryan Frigm (a.i. Solutions, Inc.), Matthew Duncan (SpaceNav). Evolution and Implementation of the NASA Robotic Conjunction Assessment Risk Analysis Concept of Operations (2014). [AMOS]</w:t>
      </w:r>
      <w:r>
        <w:t xml:space="preserve"> </w:t>
      </w:r>
      <w:bookmarkStart w:id="73" w:name="ref-5"/>
      <w:bookmarkEnd w:id="73"/>
      <w:r>
        <w:t xml:space="preserve">5. Ryan D. Coder, (Georgia Institute of Technology), Marcus J. Holzinger, (Georgia Institute of Technology). Sizing of a Raven-class Telescope Using Performance Sensitivities (2013). [AMOS]</w:t>
      </w:r>
      <w:r>
        <w:t xml:space="preserve"> </w:t>
      </w:r>
      <w:bookmarkStart w:id="74" w:name="ref-6"/>
      <w:bookmarkEnd w:id="74"/>
      <w:r>
        <w:t xml:space="preserve">6. Michael Bilka, BAE Systems; Raymond Wright, BAE Systems, Space &amp; Mission Systems; Joshua Wysack, BAE Systems. Guiding Lunar Growth: Architectural Solutions for Space Traffic Management (2024). doi:</w:t>
      </w:r>
      <w:r>
        <w:t xml:space="preserve"> </w:t>
      </w:r>
      <w:hyperlink r:id="rId75">
        <w:r>
          <w:rPr>
            <w:rStyle w:val="Hyperlink"/>
          </w:rPr>
          <w:t xml:space="preserve">10.64861/RBTM5104</w:t>
        </w:r>
      </w:hyperlink>
      <w:r>
        <w:t xml:space="preserve"> </w:t>
      </w:r>
      <w:bookmarkStart w:id="76" w:name="ref-7"/>
      <w:bookmarkEnd w:id="76"/>
      <w:r>
        <w:t xml:space="preserve">7. Indigo Brownhall, University College London; Miles Lifson, The Aerospace Corporation; Giovanni Lavezzi, Massachusetts Institute of Technology; Enrico Zucchelli, Massachusetts Institute of Technology; Mark Moretto, North Carolina State University; Santosh Bhattarai, University College London; Richard Linares, Massachusetts Institute of Technology. Verification and Validation of Orbital Capacity Assessment Tools of Varying Fidelities (2025). doi:</w:t>
      </w:r>
      <w:r>
        <w:t xml:space="preserve"> </w:t>
      </w:r>
      <w:hyperlink r:id="rId77">
        <w:r>
          <w:rPr>
            <w:rStyle w:val="Hyperlink"/>
          </w:rPr>
          <w:t xml:space="preserve">10.64861/UHIX1013</w:t>
        </w:r>
      </w:hyperlink>
      <w:r>
        <w:t xml:space="preserve"> </w:t>
      </w:r>
      <w:bookmarkStart w:id="78" w:name="ref-8"/>
      <w:bookmarkEnd w:id="78"/>
      <w:r>
        <w:t xml:space="preserve">8. Ethan Albrecht, U.S. Air Force Academy; Erik Jensen, U.S. Air Force Academy; Kody Wilson, U.S. Air Force Academy; Joshua Key, U.S. Air Force Academy; Francis Chun, U.S. Air Force Academy; Nikola Ruby, Murray State University; David Strong, Strong EO Imaging, Inc.; Casey Schuetz-Christy, Millennium Engineering &amp; Integration Co.. Photometric and Spectral Calibration of the Falcon Telescope Network (2021). [AMOS]</w:t>
      </w:r>
    </w:p>
    <w:bookmarkEnd w:id="79"/>
    <w:bookmarkStart w:id="80"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3.6212</w:t>
            </w:r>
          </w:p>
        </w:tc>
        <w:tc>
          <w:tcPr>
            <w:tcW w:w="0" w:type="auto"/>
          </w:tcPr>
          <w:p>
            <w:pPr>
              <w:spacing w:line="240" w:lineRule="auto" w:before="0" w:after="0"/>
              <w:pStyle w:val="Compact"/>
            </w:pPr>
            <w:r>
              <w:rPr>
                <w:sz w:val="20"/>
                <w:szCs w:val="20"/>
              </w:rPr>
              <w:t xml:space="preserve">1.4331</w:t>
            </w:r>
          </w:p>
        </w:tc>
        <w:tc>
          <w:tcPr>
            <w:tcW w:w="0" w:type="auto"/>
          </w:tcPr>
          <w:p>
            <w:pPr>
              <w:spacing w:line="240" w:lineRule="auto" w:before="0" w:after="0"/>
              <w:pStyle w:val="Compact"/>
            </w:pPr>
            <w:r>
              <w:rPr>
                <w:sz w:val="20"/>
                <w:szCs w:val="20"/>
              </w:rPr>
              <w:t xml:space="preserve">2.5269</w:t>
            </w:r>
          </w:p>
        </w:tc>
        <w:tc>
          <w:tcPr>
            <w:tcW w:w="0" w:type="auto"/>
          </w:tcPr>
          <w:p>
            <w:pPr>
              <w:spacing w:line="240" w:lineRule="auto" w:before="0" w:after="0"/>
              <w:pStyle w:val="Compact"/>
            </w:pPr>
            <w:r>
              <w:rPr>
                <w:sz w:val="20"/>
                <w:szCs w:val="20"/>
              </w:rPr>
              <w:t xml:space="preserve">0.0115</w:t>
            </w:r>
          </w:p>
        </w:tc>
        <w:tc>
          <w:tcPr>
            <w:tcW w:w="0" w:type="auto"/>
          </w:tcPr>
          <w:p>
            <w:pPr>
              <w:spacing w:line="240" w:lineRule="auto" w:before="0" w:after="0"/>
              <w:pStyle w:val="Compact"/>
            </w:pPr>
            <w:r>
              <w:rPr>
                <w:sz w:val="20"/>
                <w:szCs w:val="20"/>
              </w:rPr>
              <w:t xml:space="preserve">[0.8124, 6.43]</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0.0895</w:t>
            </w:r>
          </w:p>
        </w:tc>
        <w:tc>
          <w:tcPr>
            <w:tcW w:w="0" w:type="auto"/>
          </w:tcPr>
          <w:p>
            <w:pPr>
              <w:spacing w:line="240" w:lineRule="auto" w:before="0" w:after="0"/>
              <w:pStyle w:val="Compact"/>
            </w:pPr>
            <w:r>
              <w:rPr>
                <w:sz w:val="20"/>
                <w:szCs w:val="20"/>
              </w:rPr>
              <w:t xml:space="preserve">0.1159</w:t>
            </w:r>
          </w:p>
        </w:tc>
        <w:tc>
          <w:tcPr>
            <w:tcW w:w="0" w:type="auto"/>
          </w:tcPr>
          <w:p>
            <w:pPr>
              <w:spacing w:line="240" w:lineRule="auto" w:before="0" w:after="0"/>
              <w:pStyle w:val="Compact"/>
            </w:pPr>
            <w:r>
              <w:rPr>
                <w:sz w:val="20"/>
                <w:szCs w:val="20"/>
              </w:rPr>
              <w:t xml:space="preserve">0.7725</w:t>
            </w:r>
          </w:p>
        </w:tc>
        <w:tc>
          <w:tcPr>
            <w:tcW w:w="0" w:type="auto"/>
          </w:tcPr>
          <w:p>
            <w:pPr>
              <w:spacing w:line="240" w:lineRule="auto" w:before="0" w:after="0"/>
              <w:pStyle w:val="Compact"/>
            </w:pPr>
            <w:r>
              <w:rPr>
                <w:sz w:val="20"/>
                <w:szCs w:val="20"/>
              </w:rPr>
              <w:t xml:space="preserve">0.4398</w:t>
            </w:r>
          </w:p>
        </w:tc>
        <w:tc>
          <w:tcPr>
            <w:tcW w:w="0" w:type="auto"/>
          </w:tcPr>
          <w:p>
            <w:pPr>
              <w:spacing w:line="240" w:lineRule="auto" w:before="0" w:after="0"/>
              <w:pStyle w:val="Compact"/>
            </w:pPr>
            <w:r>
              <w:rPr>
                <w:sz w:val="20"/>
                <w:szCs w:val="20"/>
              </w:rPr>
              <w:t xml:space="preserve">[-0.1376, 0.3166]</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-0.028</w:t>
            </w:r>
          </w:p>
        </w:tc>
        <w:tc>
          <w:tcPr>
            <w:tcW w:w="0" w:type="auto"/>
          </w:tcPr>
          <w:p>
            <w:pPr>
              <w:spacing w:line="240" w:lineRule="auto" w:before="0" w:after="0"/>
              <w:pStyle w:val="Compact"/>
            </w:pPr>
            <w:r>
              <w:rPr>
                <w:sz w:val="20"/>
                <w:szCs w:val="20"/>
              </w:rPr>
              <w:t xml:space="preserve">0.0904</w:t>
            </w:r>
          </w:p>
        </w:tc>
        <w:tc>
          <w:tcPr>
            <w:tcW w:w="0" w:type="auto"/>
          </w:tcPr>
          <w:p>
            <w:pPr>
              <w:spacing w:line="240" w:lineRule="auto" w:before="0" w:after="0"/>
              <w:pStyle w:val="Compact"/>
            </w:pPr>
            <w:r>
              <w:rPr>
                <w:sz w:val="20"/>
                <w:szCs w:val="20"/>
              </w:rPr>
              <w:t xml:space="preserve">-0.3096</w:t>
            </w:r>
          </w:p>
        </w:tc>
        <w:tc>
          <w:tcPr>
            <w:tcW w:w="0" w:type="auto"/>
          </w:tcPr>
          <w:p>
            <w:pPr>
              <w:spacing w:line="240" w:lineRule="auto" w:before="0" w:after="0"/>
              <w:pStyle w:val="Compact"/>
            </w:pPr>
            <w:r>
              <w:rPr>
                <w:sz w:val="20"/>
                <w:szCs w:val="20"/>
              </w:rPr>
              <w:t xml:space="preserve">0.7568</w:t>
            </w:r>
          </w:p>
        </w:tc>
        <w:tc>
          <w:tcPr>
            <w:tcW w:w="0" w:type="auto"/>
          </w:tcPr>
          <w:p>
            <w:pPr>
              <w:spacing w:line="240" w:lineRule="auto" w:before="0" w:after="0"/>
              <w:pStyle w:val="Compact"/>
            </w:pPr>
            <w:r>
              <w:rPr>
                <w:sz w:val="20"/>
                <w:szCs w:val="20"/>
              </w:rPr>
              <w:t xml:space="preserve">[-0.2052, 0.1492]</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-0.847</w:t>
            </w:r>
          </w:p>
        </w:tc>
        <w:tc>
          <w:tcPr>
            <w:tcW w:w="0" w:type="auto"/>
          </w:tcPr>
          <w:p>
            <w:pPr>
              <w:spacing w:line="240" w:lineRule="auto" w:before="0" w:after="0"/>
              <w:pStyle w:val="Compact"/>
            </w:pPr>
            <w:r>
              <w:rPr>
                <w:sz w:val="20"/>
                <w:szCs w:val="20"/>
              </w:rPr>
              <w:t xml:space="preserve">0.557</w:t>
            </w:r>
          </w:p>
        </w:tc>
        <w:tc>
          <w:tcPr>
            <w:tcW w:w="0" w:type="auto"/>
          </w:tcPr>
          <w:p>
            <w:pPr>
              <w:spacing w:line="240" w:lineRule="auto" w:before="0" w:after="0"/>
              <w:pStyle w:val="Compact"/>
            </w:pPr>
            <w:r>
              <w:rPr>
                <w:sz w:val="20"/>
                <w:szCs w:val="20"/>
              </w:rPr>
              <w:t xml:space="preserve">-1.5208</w:t>
            </w:r>
          </w:p>
        </w:tc>
        <w:tc>
          <w:tcPr>
            <w:tcW w:w="0" w:type="auto"/>
          </w:tcPr>
          <w:p>
            <w:pPr>
              <w:spacing w:line="240" w:lineRule="auto" w:before="0" w:after="0"/>
              <w:pStyle w:val="Compact"/>
            </w:pPr>
            <w:r>
              <w:rPr>
                <w:sz w:val="20"/>
                <w:szCs w:val="20"/>
              </w:rPr>
              <w:t xml:space="preserve">0.1283</w:t>
            </w:r>
          </w:p>
        </w:tc>
        <w:tc>
          <w:tcPr>
            <w:tcW w:w="0" w:type="auto"/>
          </w:tcPr>
          <w:p>
            <w:pPr>
              <w:spacing w:line="240" w:lineRule="auto" w:before="0" w:after="0"/>
              <w:pStyle w:val="Compact"/>
            </w:pPr>
            <w:r>
              <w:rPr>
                <w:sz w:val="20"/>
                <w:szCs w:val="20"/>
              </w:rPr>
              <w:t xml:space="preserve">[-1.9387, 0.2446]</w:t>
            </w:r>
          </w:p>
        </w:tc>
      </w:tr>
    </w:tbl>
    <w:p>
      <w:pPr>
        <w:pStyle w:val="BodyText"/>
      </w:pPr>
      <w:r>
        <w:t xml:space="preserve">Fit: N = 30 R2 = 0.0907 R2_adj = -0.0143 F = 0.8639 F_p = 0.4722</w:t>
      </w:r>
    </w:p>
    <w:p>
      <w:pPr>
        <w:pStyle w:val="CaptionedFigure"/>
      </w:pPr>
      <w:r>
        <w:drawing>
          <wp:inline>
            <wp:extent cx="5669280" cy="3657600"/>
            <wp:effectExtent b="0" l="0" r="0" t="0"/>
            <wp:docPr descr="Figure 1. Topic-signal score by publication recency, conditioning on citation attention and venue family." title="" id="82" name="Picture"/>
            <a:graphic>
              <a:graphicData uri="http://schemas.openxmlformats.org/drawingml/2006/picture">
                <pic:pic>
                  <pic:nvPicPr>
                    <pic:cNvPr descr="D:\Claude_Code\brain\collegium\candidates\dissertations\SSA_SDA_09\research_papers\p1\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https://amostech.space/year/2016/harnessing-adaptive-optics-for-space-debris-collision-mitigation/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10.64861/PEUU1014</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10.64861/GPAR3562</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https://amostech.space/year/2014/evolution-and-implementation-of-the-nasa-robotic-conjunction-assessment-risk-analysis-concept-of-operations/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https://amostech.space/year/2013/sizing-of-a-raven-class-telescope-using-performance-sensitivities/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10.64861/RBTM5104</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10.64861/UHIX1013</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https://amostech.space/year/2021/photometric-and-spectral-calibration-of-the-falcon-telescope-network/</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10.64861/KFLV2709</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https://amostech.space/year/2020/a-constellation-of-sensors-optimized-for-maneuver-tracking/</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10.64861/YOWY2953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https://amostech.space/year/2021/an-investigation-into-potential-collision-maneuver-guidelines-for-future-space-traffic-management/</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10.1016/j.actaastro.2025.03.043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10.1016/j.actaastro.2025.12.055</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10.1016/j.actaastro.2025.11.006</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10.1016/j.actaastro.2026.05.030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10.1016/j.actaastro.2025.12.053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10.1016/j.actaastro.2026.05.056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10.1016/j.actaastro.2025.11.043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10.1016/j.actaastro.2024.04.025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10.1016/j.actaastro.2024.11.026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10.1016/j.actaastro.2025.07.014</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10.1016/j.actaastro.2023.07.014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10.1016/j.actaastro.2026.05.010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International Relations and Economic Dimensions of Trusted Space Data</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DIME Campaign Plan v3.0</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3.6212</w:t>
            </w:r>
          </w:p>
        </w:tc>
        <w:tc>
          <w:tcPr>
            <w:tcW w:w="0" w:type="auto"/>
          </w:tcPr>
          <w:p>
            <w:pPr>
              <w:spacing w:line="240" w:lineRule="auto" w:before="0" w:after="0"/>
              <w:pStyle w:val="Compact"/>
            </w:pPr>
            <w:r>
              <w:rPr>
                <w:sz w:val="20"/>
                <w:szCs w:val="20"/>
              </w:rPr>
              <w:t xml:space="preserve">1.4331</w:t>
            </w:r>
          </w:p>
        </w:tc>
        <w:tc>
          <w:tcPr>
            <w:tcW w:w="0" w:type="auto"/>
          </w:tcPr>
          <w:p>
            <w:pPr>
              <w:spacing w:line="240" w:lineRule="auto" w:before="0" w:after="0"/>
              <w:pStyle w:val="Compact"/>
            </w:pPr>
            <w:r>
              <w:rPr>
                <w:sz w:val="20"/>
                <w:szCs w:val="20"/>
              </w:rPr>
              <w:t xml:space="preserve">2.5269</w:t>
            </w:r>
          </w:p>
        </w:tc>
        <w:tc>
          <w:tcPr>
            <w:tcW w:w="0" w:type="auto"/>
          </w:tcPr>
          <w:p>
            <w:pPr>
              <w:spacing w:line="240" w:lineRule="auto" w:before="0" w:after="0"/>
              <w:pStyle w:val="Compact"/>
            </w:pPr>
            <w:r>
              <w:rPr>
                <w:sz w:val="20"/>
                <w:szCs w:val="20"/>
              </w:rPr>
              <w:t xml:space="preserve">0.0115</w:t>
            </w:r>
          </w:p>
        </w:tc>
        <w:tc>
          <w:tcPr>
            <w:tcW w:w="0" w:type="auto"/>
          </w:tcPr>
          <w:p>
            <w:pPr>
              <w:spacing w:line="240" w:lineRule="auto" w:before="0" w:after="0"/>
              <w:pStyle w:val="Compact"/>
            </w:pPr>
            <w:r>
              <w:rPr>
                <w:sz w:val="20"/>
                <w:szCs w:val="20"/>
              </w:rPr>
              <w:t xml:space="preserve">[0.8124, 6.43]</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0.0895</w:t>
            </w:r>
          </w:p>
        </w:tc>
        <w:tc>
          <w:tcPr>
            <w:tcW w:w="0" w:type="auto"/>
          </w:tcPr>
          <w:p>
            <w:pPr>
              <w:spacing w:line="240" w:lineRule="auto" w:before="0" w:after="0"/>
              <w:pStyle w:val="Compact"/>
            </w:pPr>
            <w:r>
              <w:rPr>
                <w:sz w:val="20"/>
                <w:szCs w:val="20"/>
              </w:rPr>
              <w:t xml:space="preserve">0.1159</w:t>
            </w:r>
          </w:p>
        </w:tc>
        <w:tc>
          <w:tcPr>
            <w:tcW w:w="0" w:type="auto"/>
          </w:tcPr>
          <w:p>
            <w:pPr>
              <w:spacing w:line="240" w:lineRule="auto" w:before="0" w:after="0"/>
              <w:pStyle w:val="Compact"/>
            </w:pPr>
            <w:r>
              <w:rPr>
                <w:sz w:val="20"/>
                <w:szCs w:val="20"/>
              </w:rPr>
              <w:t xml:space="preserve">0.7725</w:t>
            </w:r>
          </w:p>
        </w:tc>
        <w:tc>
          <w:tcPr>
            <w:tcW w:w="0" w:type="auto"/>
          </w:tcPr>
          <w:p>
            <w:pPr>
              <w:spacing w:line="240" w:lineRule="auto" w:before="0" w:after="0"/>
              <w:pStyle w:val="Compact"/>
            </w:pPr>
            <w:r>
              <w:rPr>
                <w:sz w:val="20"/>
                <w:szCs w:val="20"/>
              </w:rPr>
              <w:t xml:space="preserve">0.4398</w:t>
            </w:r>
          </w:p>
        </w:tc>
        <w:tc>
          <w:tcPr>
            <w:tcW w:w="0" w:type="auto"/>
          </w:tcPr>
          <w:p>
            <w:pPr>
              <w:spacing w:line="240" w:lineRule="auto" w:before="0" w:after="0"/>
              <w:pStyle w:val="Compact"/>
            </w:pPr>
            <w:r>
              <w:rPr>
                <w:sz w:val="20"/>
                <w:szCs w:val="20"/>
              </w:rPr>
              <w:t xml:space="preserve">[-0.1376, 0.3166]</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-0.028</w:t>
            </w:r>
          </w:p>
        </w:tc>
        <w:tc>
          <w:tcPr>
            <w:tcW w:w="0" w:type="auto"/>
          </w:tcPr>
          <w:p>
            <w:pPr>
              <w:spacing w:line="240" w:lineRule="auto" w:before="0" w:after="0"/>
              <w:pStyle w:val="Compact"/>
            </w:pPr>
            <w:r>
              <w:rPr>
                <w:sz w:val="20"/>
                <w:szCs w:val="20"/>
              </w:rPr>
              <w:t xml:space="preserve">0.0904</w:t>
            </w:r>
          </w:p>
        </w:tc>
        <w:tc>
          <w:tcPr>
            <w:tcW w:w="0" w:type="auto"/>
          </w:tcPr>
          <w:p>
            <w:pPr>
              <w:spacing w:line="240" w:lineRule="auto" w:before="0" w:after="0"/>
              <w:pStyle w:val="Compact"/>
            </w:pPr>
            <w:r>
              <w:rPr>
                <w:sz w:val="20"/>
                <w:szCs w:val="20"/>
              </w:rPr>
              <w:t xml:space="preserve">-0.3096</w:t>
            </w:r>
          </w:p>
        </w:tc>
        <w:tc>
          <w:tcPr>
            <w:tcW w:w="0" w:type="auto"/>
          </w:tcPr>
          <w:p>
            <w:pPr>
              <w:spacing w:line="240" w:lineRule="auto" w:before="0" w:after="0"/>
              <w:pStyle w:val="Compact"/>
            </w:pPr>
            <w:r>
              <w:rPr>
                <w:sz w:val="20"/>
                <w:szCs w:val="20"/>
              </w:rPr>
              <w:t xml:space="preserve">0.7568</w:t>
            </w:r>
          </w:p>
        </w:tc>
        <w:tc>
          <w:tcPr>
            <w:tcW w:w="0" w:type="auto"/>
          </w:tcPr>
          <w:p>
            <w:pPr>
              <w:spacing w:line="240" w:lineRule="auto" w:before="0" w:after="0"/>
              <w:pStyle w:val="Compact"/>
            </w:pPr>
            <w:r>
              <w:rPr>
                <w:sz w:val="20"/>
                <w:szCs w:val="20"/>
              </w:rPr>
              <w:t xml:space="preserve">[-0.2052, 0.1492]</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-0.847</w:t>
            </w:r>
          </w:p>
        </w:tc>
        <w:tc>
          <w:tcPr>
            <w:tcW w:w="0" w:type="auto"/>
          </w:tcPr>
          <w:p>
            <w:pPr>
              <w:spacing w:line="240" w:lineRule="auto" w:before="0" w:after="0"/>
              <w:pStyle w:val="Compact"/>
            </w:pPr>
            <w:r>
              <w:rPr>
                <w:sz w:val="20"/>
                <w:szCs w:val="20"/>
              </w:rPr>
              <w:t xml:space="preserve">0.557</w:t>
            </w:r>
          </w:p>
        </w:tc>
        <w:tc>
          <w:tcPr>
            <w:tcW w:w="0" w:type="auto"/>
          </w:tcPr>
          <w:p>
            <w:pPr>
              <w:spacing w:line="240" w:lineRule="auto" w:before="0" w:after="0"/>
              <w:pStyle w:val="Compact"/>
            </w:pPr>
            <w:r>
              <w:rPr>
                <w:sz w:val="20"/>
                <w:szCs w:val="20"/>
              </w:rPr>
              <w:t xml:space="preserve">-1.5208</w:t>
            </w:r>
          </w:p>
        </w:tc>
        <w:tc>
          <w:tcPr>
            <w:tcW w:w="0" w:type="auto"/>
          </w:tcPr>
          <w:p>
            <w:pPr>
              <w:spacing w:line="240" w:lineRule="auto" w:before="0" w:after="0"/>
              <w:pStyle w:val="Compact"/>
            </w:pPr>
            <w:r>
              <w:rPr>
                <w:sz w:val="20"/>
                <w:szCs w:val="20"/>
              </w:rPr>
              <w:t xml:space="preserve">0.1283</w:t>
            </w:r>
          </w:p>
        </w:tc>
        <w:tc>
          <w:tcPr>
            <w:tcW w:w="0" w:type="auto"/>
          </w:tcPr>
          <w:p>
            <w:pPr>
              <w:spacing w:line="240" w:lineRule="auto" w:before="0" w:after="0"/>
              <w:pStyle w:val="Compact"/>
            </w:pPr>
            <w:r>
              <w:rPr>
                <w:sz w:val="20"/>
                <w:szCs w:val="20"/>
              </w:rPr>
              <w:t xml:space="preserve">[-1.9387, 0.2446]</w:t>
            </w:r>
          </w:p>
        </w:tc>
      </w:tr>
    </w:tbl>
    <w:p>
      <w:pPr>
        <w:pStyle w:val="BodyText"/>
      </w:pPr>
      <w:r>
        <w:t xml:space="preserve">Fit: N = 30 R2 = 0.0907 R2_adj = -0.0143 F = 0.8639 F_p = 0.4722</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1" Target="https://doi.org/10.64861/GPAR3562" TargetMode="External" /><Relationship Type="http://schemas.openxmlformats.org/officeDocument/2006/relationships/hyperlink" Id="rId69" Target="https://doi.org/10.64861/PEUU1014" TargetMode="External" /><Relationship Type="http://schemas.openxmlformats.org/officeDocument/2006/relationships/hyperlink" Id="rId75" Target="https://doi.org/10.64861/RBTM5104" TargetMode="External" /><Relationship Type="http://schemas.openxmlformats.org/officeDocument/2006/relationships/hyperlink" Id="rId77" Target="https://doi.org/10.64861/UHIX1013" TargetMode="External" /></Relationships>
</file>

<file path=word/_rels/footnotes.xml.rels><?xml version="1.0" encoding="UTF-8"?><Relationships xmlns="http://schemas.openxmlformats.org/package/2006/relationships"><Relationship Type="http://schemas.openxmlformats.org/officeDocument/2006/relationships/hyperlink" Id="rId71" Target="https://doi.org/10.64861/GPAR3562" TargetMode="External" /><Relationship Type="http://schemas.openxmlformats.org/officeDocument/2006/relationships/hyperlink" Id="rId69" Target="https://doi.org/10.64861/PEUU1014" TargetMode="External" /><Relationship Type="http://schemas.openxmlformats.org/officeDocument/2006/relationships/hyperlink" Id="rId75" Target="https://doi.org/10.64861/RBTM5104" TargetMode="External" /><Relationship Type="http://schemas.openxmlformats.org/officeDocument/2006/relationships/hyperlink" Id="rId77" Target="https://doi.org/10.64861/UHIX101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2026-06-29T09:43:05Z</dcterms:created>
  <dcterms:modified xsi:type="dcterms:W3CDTF">2026-06-29T09:43:05Z</dcterms:modified>
</cp:coreProperties>
</file>

<file path=docProps/custom.xml><?xml version="1.0" encoding="utf-8"?>
<Properties xmlns="http://schemas.openxmlformats.org/officeDocument/2006/custom-properties" xmlns:vt="http://schemas.openxmlformats.org/officeDocument/2006/docPropsVTypes"/>
</file>