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MARGINAL VALUE OF AN ADDITIONAL SENSOR: INFORMATION-GAIN DIMINISHING RETURNS</w:t>
      </w:r>
    </w:p>
    <w:p>
      <w:pPr>
        <w:jc w:val="center"/>
      </w:pPr>
    </w:p>
    <w:p>
      <w:pPr>
        <w:jc w:val="center"/>
      </w:pPr>
      <w:r>
        <w:rPr>
          <w:rFonts w:ascii="Times New Roman" w:hAnsi="Times New Roman"/>
          <w:sz w:val="24"/>
        </w:rPr>
        <w:t>by</w:t>
      </w:r>
    </w:p>
    <w:p>
      <w:pPr>
        <w:jc w:val="center"/>
      </w:pPr>
      <w:r>
        <w:rPr>
          <w:rFonts w:ascii="Times New Roman" w:hAnsi="Times New Roman"/>
          <w:b/>
          <w:sz w:val="28"/>
        </w:rPr>
        <w:t>Stefan Berger</w:t>
      </w:r>
    </w:p>
    <w:p>
      <w:pPr>
        <w:jc w:val="center"/>
      </w:pPr>
      <w:r>
        <w:rPr>
          <w:rFonts w:ascii="Times New Roman" w:hAnsi="Times New Roman"/>
          <w:sz w:val="24"/>
        </w:rPr>
        <w:t>1B-SDA-221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Space situational awareness rests on a deceptively simple promise. Add a sensor, learn more. Point another telescope at the sky, task another radar, fly another tracking payload, and the catalog of resident space objects grows sharper, the orbit estimates tighten, and collision warnings arrive earlier. That promise underwrites budget requests, architecture studies, and international burden-sharing arguments across the entire domain. It is also, on inspection, an economic claim about a production function, and production functions rarely behave linearly. The marginal value of an additional sensor is not fixed. It falls as the network grows, because each new instrument observes objects that earlier instruments have already characterized, and because the information a tracking system extracts is bounded by geometry, cadence, and the underlying observability of the target population</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This dissertation takes that economic intuition seriously and asks a narrower, testable question about it. Diminishing returns to sensing is a hypothesis about how a body of knowledge accumulates. If the hypothesis holds inside a research literature as well as inside a sensor network, then the way scholars and operators write about sensing, tasking, and information gain should itself show structure: structure across time, across the attention a work attracts, and across the venues where the work appears. The project treats the retrieved literature on this topic as a measurable object and screens it for exactly that structure. The contribution is deliberately bounded. It is one falsifiable document-level test, executed on a local, auditable corpus, reporting only the deterministic output of two embedded estimators.</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Sensor tasking is a resource allocation problem before it is an engineering problem. Budgets are finite. A tracking enterprise holds a bounded stock of aperture-seconds, revisit opportunities, and downlink capacity, and it must decide which objects to observe, how often, and with which instrument. Inferential approaches to that allocation have grown explicit about the value of information a given task returns, framing the decision as one of maximizing expected information gain per unit of tasking effort</w:t>
      </w:r>
      <w:r>
        <w:t xml:space="preserve"> </w:t>
      </w:r>
      <w:hyperlink w:anchor="ref-2">
        <w:r>
          <w:rPr>
            <w:rStyle w:val="Hyperlink"/>
          </w:rPr>
          <w:t xml:space="preserve">[2]</w:t>
        </w:r>
      </w:hyperlink>
      <w:r>
        <w:t xml:space="preserve">. Once the decision is framed that way, diminishing returns is not an incidental complication. It is the central shape of the problem. The first sensor added to a sparse network buys enormous marginal information. The hundredth sensor, watching a well-observed population from a redundant geometry, buys very little.</w:t>
      </w:r>
    </w:p>
    <w:p>
      <w:pPr>
        <w:pStyle w:val="BodyText"/>
        <w:spacing w:line="480" w:lineRule="auto"/>
        <w:ind w:firstLine="720"/>
      </w:pPr>
      <w:r>
        <w:t xml:space="preserve">The stakes are not academic. Money follows the answer. Architecture decisions for cislunar and geosynchronous surveillance, for lunar space traffic management, and for the ground-based optical and radar networks that anchor the low Earth orbit catalog all turn on where the marginal return curve bends</w:t>
      </w:r>
      <w:r>
        <w:t xml:space="preserve"> </w:t>
      </w:r>
      <w:hyperlink w:anchor="ref-6">
        <w:r>
          <w:rPr>
            <w:rStyle w:val="Hyperlink"/>
          </w:rPr>
          <w:t xml:space="preserve">[6]</w:t>
        </w:r>
      </w:hyperlink>
      <w:r>
        <w:t xml:space="preserve">. Overestimate the value of the next sensor and a program overbuilds, sinking capital into instruments that duplicate coverage already in hand. Underestimate it and a program starves its catalog of the observations that would have prevented a conjunction from going unwarned. Capacity assessment tools of varying fidelity have been built precisely to help analysts reason about these tradeoffs, and their proliferation signals how contested the underlying quantities remain</w:t>
      </w:r>
      <w:r>
        <w:t xml:space="preserve"> </w:t>
      </w:r>
      <w:hyperlink w:anchor="ref-7">
        <w:r>
          <w:rPr>
            <w:rStyle w:val="Hyperlink"/>
          </w:rPr>
          <w:t xml:space="preserve">[7]</w:t>
        </w:r>
      </w:hyperlink>
      <w:r>
        <w:t xml:space="preserve">.</w:t>
      </w:r>
    </w:p>
    <w:p>
      <w:pPr>
        <w:pStyle w:val="BodyText"/>
        <w:spacing w:line="480" w:lineRule="auto"/>
        <w:ind w:firstLine="720"/>
      </w:pPr>
      <w:r>
        <w:t xml:space="preserve">There is a second, quieter stake. When a field cannot agree on the marginal value of its central instrument, funding arguments substitute intuition for measurement. This project is, in part, a demonstration that a piece of that intuition can be pinned to evidence and interrogated rather than merely asserted. The demonstration is small. It is not, for that reason, empty. A discipline earns its authority one auditable claim at a time.</w:t>
      </w:r>
    </w:p>
    <w:bookmarkEnd w:id="61"/>
    <w:bookmarkStart w:id="62" w:name="the-gap-this-dissertation-addresses"/>
    <w:p>
      <w:pPr>
        <w:pStyle w:val="Heading2"/>
        <w:spacing w:line="480" w:lineRule="auto"/>
      </w:pPr>
      <w:r>
        <w:t xml:space="preserve">1.2 The gap this dissertation addresses</w:t>
      </w:r>
    </w:p>
    <w:p>
      <w:pPr>
        <w:pStyle w:val="FirstParagraph"/>
        <w:spacing w:line="480" w:lineRule="auto"/>
      </w:pPr>
      <w:r>
        <w:t xml:space="preserve">Two gaps motivate the design. The first sits between technical work and institutional explanation. A tracking paper can quantify how much a new observation reduces covariance, yet say nothing about why the governance conversation around sensing hardens or stays loose over the same interval</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technical literature and the policy literature run on parallel tracks, and the marginal-value question lives in the space between them. Serendipitous observation strategies, to take one case, extract information from tasking slack that a covariance calculation alone would never surface, which shows how much of the value story sits outside the tidy engineering model</w:t>
      </w:r>
      <w:r>
        <w:t xml:space="preserve"> </w:t>
      </w:r>
      <w:hyperlink w:anchor="ref-3">
        <w:r>
          <w:rPr>
            <w:rStyle w:val="Hyperlink"/>
          </w:rPr>
          <w:t xml:space="preserve">[3]</w:t>
        </w:r>
      </w:hyperlink>
      <w:r>
        <w:t xml:space="preserve">.</w:t>
      </w:r>
    </w:p>
    <w:p>
      <w:pPr>
        <w:pStyle w:val="BodyText"/>
        <w:spacing w:line="480" w:lineRule="auto"/>
        <w:ind w:firstLine="720"/>
      </w:pPr>
      <w:r>
        <w:t xml:space="preserve">The second gap sits between policy salience and measurement. Analysts speak of a topic becoming more prominent, more urgent, more cited, without a disciplined way to check whether that prominence is visible in the record. Publication recency, citation attention, and venue family are all observable properties of a retrieved corpus, and they can be assembled into variables. What has been missing is a small, honest test that treats those signals as data and refuses to overread them</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design closes neither gap fully. It does something more modest and more defensible. It builds a reproducible bridge from source selection to variables to estimator output, so that any claim about the topic’s visibility can be traced, checked, and, if wrong, falsified.</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One hypothesis. The contribution is a single claim, stated so that the data can reject it.</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Two estimators carry the test. The first is an ordinary least squares model of topic-signal intensity on recency, citation count, and venue family, fit across thirty retrieved source records. The second is a log-log learning-curve model of citation accumulation against document age, fit across the same thirty records. Neither estimator is asked to settle the policy question of how many sensors a network should hold. Each is asked only to say whether the retrieved literature shows the structure that a diminishing-returns story would predict, and to say so with numbers that anyone can recompute.</w:t>
      </w:r>
    </w:p>
    <w:p>
      <w:pPr>
        <w:pStyle w:val="BodyText"/>
        <w:spacing w:line="480" w:lineRule="auto"/>
        <w:ind w:firstLine="720"/>
      </w:pPr>
      <w:r>
        <w:t xml:space="preserve">This is a design-stage dissertation, and the phrase carries weight. The claim on offer is not that the marginal value of a sensor has been measured. The claim is that a specific, narrow proxy for the topic’s visibility has been measured, that the measurement is auditable, and that the result disciplines what can honestly be said next. A design that can only confirm is not a design. This one can return a null, and, as the later chapters show, on several coefficients it does exactly that.</w:t>
      </w:r>
    </w:p>
    <w:bookmarkEnd w:id="63"/>
    <w:bookmarkStart w:id="64" w:name="scope-and-deliberate-limits"/>
    <w:p>
      <w:pPr>
        <w:pStyle w:val="Heading2"/>
        <w:spacing w:line="480" w:lineRule="auto"/>
      </w:pPr>
      <w:r>
        <w:t xml:space="preserve">1.4 Scope and deliberate limits</w:t>
      </w:r>
    </w:p>
    <w:p>
      <w:pPr>
        <w:pStyle w:val="FirstParagraph"/>
        <w:spacing w:line="480" w:lineRule="auto"/>
      </w:pPr>
      <w:r>
        <w:t xml:space="preserve">Three boundaries fence the project. The corpus is local. It is the candidate-specific set of retrieved records assembled from bibliometric and documentary sources, not a universal census of the sensing literature. The measures are proxies. Topic-signal intensity is a deterministic count of theme term hits, not a validated construct, and citation counts are local index values rather than global citation totals. The inference is structural. The estimators describe how the retrieved corpus is arranged; they do not identify a causal effect of any policy or program on the wider field.</w:t>
      </w:r>
    </w:p>
    <w:p>
      <w:pPr>
        <w:pStyle w:val="BodyText"/>
        <w:spacing w:line="480" w:lineRule="auto"/>
        <w:ind w:firstLine="720"/>
      </w:pPr>
      <w:r>
        <w:t xml:space="preserve">These limits are not apologies. They are the conditions under which the numbers mean what they say. A wider claim would require a wider design: direct document coding, a sampling frame with known coverage, and an identification strategy that the present data cannot support. Naming that gap is part of the contribution, because it tells the next study where to dig</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End w:id="64"/>
    <w:bookmarkStart w:id="65" w:name="roadmap"/>
    <w:p>
      <w:pPr>
        <w:pStyle w:val="Heading2"/>
        <w:spacing w:line="480" w:lineRule="auto"/>
      </w:pPr>
      <w:r>
        <w:t xml:space="preserve">1.5 Roadmap</w:t>
      </w:r>
    </w:p>
    <w:p>
      <w:pPr>
        <w:pStyle w:val="FirstParagraph"/>
        <w:spacing w:line="480" w:lineRule="auto"/>
      </w:pPr>
      <w:r>
        <w:t xml:space="preserve">The dissertation proceeds in eight chapters. Chapter 2 situates the marginal-value question within the sensing, tasking, and capacity-assessment literatures, drawing the through-line from adaptive-optics debris work to conjunction-based tasking to lunar traffic architecture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6">
        <w:r>
          <w:rPr>
            <w:rStyle w:val="Hyperlink"/>
          </w:rPr>
          <w:t xml:space="preserve">[6]</w:t>
        </w:r>
      </w:hyperlink>
      <w:r>
        <w:t xml:space="preserve">. Chapter 3 develops the mechanism: why information gain from added sensing should diminish, and what testable predictions that mechanism imposes on a retrieved corpus. Chapter 4 sets out the two estimators and the sense in which each identifies the quantity it targets, including the choice of robust standard errors and the log-log functional form. Chapter 5 describes the dataset, the construction of every variable, the provenance of every row, and the sample size. Chapter 6 reports the estimator output exactly as the workbooks produced it and interprets the signs and magnitudes. Chapter 7 discusses what the findings mean, catalogs the threats to validity, and marks the boundary of what the data can show. Chapter 8 states the contribution, connects it to governance and program decisions, and lays out the document-coding study that should come next.</w:t>
      </w:r>
    </w:p>
    <w:p>
      <w:pPr>
        <w:pStyle w:val="BodyText"/>
        <w:spacing w:line="480" w:lineRule="auto"/>
        <w:ind w:firstLine="720"/>
      </w:pPr>
      <w:r>
        <w:t xml:space="preserve">The argument is cumulative. Each chapter earns the next, and the results chapter is the hinge on which the whole rests. A reader who wants only the numbers can turn to Chapter 6 and recompute them. A reader who wants to know why those numbers are the right ones to compute should start here and read forward. The point of the exercise is not to win an argument about sensors. It is to model a way of arguing about them that survives inspection</w:t>
      </w:r>
      <w:r>
        <w:t xml:space="preserve"> </w:t>
      </w:r>
      <w:hyperlink w:anchor="ref-5">
        <w:r>
          <w:rPr>
            <w:rStyle w:val="Hyperlink"/>
          </w:rPr>
          <w:t xml:space="preserve">[5]</w:t>
        </w:r>
      </w:hyperlink>
      <w:r>
        <w:t xml:space="preserve">.</w:t>
      </w:r>
    </w:p>
    <w:bookmarkEnd w:id="65"/>
    <w:bookmarkStart w:id="66" w:name="why-an-economic-framing-and-why-now"/>
    <w:p>
      <w:pPr>
        <w:pStyle w:val="Heading2"/>
        <w:spacing w:line="480" w:lineRule="auto"/>
      </w:pPr>
      <w:r>
        <w:t xml:space="preserve">1.6 Why an economic framing, and why now</w:t>
      </w:r>
    </w:p>
    <w:p>
      <w:pPr>
        <w:pStyle w:val="FirstParagraph"/>
        <w:spacing w:line="480" w:lineRule="auto"/>
      </w:pPr>
      <w:r>
        <w:t xml:space="preserve">Framing sensing as a production input rather than an engineering marvel is a choice, and the choice has consequences worth making explicit. An engineering framing asks whether an instrument works and how well. An economic framing asks what the next unit of that instrument is worth given everything already fielded, and it insists that worth is a curve rather than a constant. The two framings do not conflict, but they surface different questions, and the second is the one that governs budgets. A network can be full of excellent instruments and still be a poor investment if the marginal instrument duplicates coverage the network already holds. That possibility is invisible under an engineering lens and central under an economic one</w:t>
      </w:r>
      <w:r>
        <w:t xml:space="preserve"> </w:t>
      </w:r>
      <w:hyperlink w:anchor="ref-2">
        <w:r>
          <w:rPr>
            <w:rStyle w:val="Hyperlink"/>
          </w:rPr>
          <w:t xml:space="preserve">[2]</w:t>
        </w:r>
      </w:hyperlink>
      <w:r>
        <w:t xml:space="preserve">.</w:t>
      </w:r>
    </w:p>
    <w:p>
      <w:pPr>
        <w:pStyle w:val="BodyText"/>
        <w:spacing w:line="480" w:lineRule="auto"/>
        <w:ind w:firstLine="720"/>
      </w:pPr>
      <w:r>
        <w:t xml:space="preserve">The timing is not incidental. Two developments have made the marginal-value question urgent rather than theoretical. The first is the sheer growth of the tracked population, which has pushed catalogs toward regimes where redundancy among ground and space sensors is no longer hypothetical but routine. The second is the extension of surveillance into cislunar space, where the geometry is unfamiliar, the cadence is slow, and the assumption that another sensor always helps breaks down in ways that low Earth orbit intuition does not anticipate</w:t>
      </w:r>
      <w:r>
        <w:t xml:space="preserve"> </w:t>
      </w:r>
      <w:hyperlink w:anchor="ref-6">
        <w:r>
          <w:rPr>
            <w:rStyle w:val="Hyperlink"/>
          </w:rPr>
          <w:t xml:space="preserve">[6]</w:t>
        </w:r>
      </w:hyperlink>
      <w:r>
        <w:t xml:space="preserve">. A field expanding into a regime it does not yet understand is exactly the field most tempted to overbuild, because the intuition that added sensing always pays is strongest where the evidence is weakest.</w:t>
      </w:r>
    </w:p>
    <w:p>
      <w:pPr>
        <w:pStyle w:val="BodyText"/>
        <w:spacing w:line="480" w:lineRule="auto"/>
        <w:ind w:firstLine="720"/>
      </w:pPr>
      <w:r>
        <w:t xml:space="preserve">There is a methodological reason the question is ripe now as well. The tools for assessing orbital capacity have multiplied and diverged, and their verification against one another has revealed that the answer to how much a sensor is worth depends heavily on which tool asks</w:t>
      </w:r>
      <w:r>
        <w:t xml:space="preserve"> </w:t>
      </w:r>
      <w:hyperlink w:anchor="ref-7">
        <w:r>
          <w:rPr>
            <w:rStyle w:val="Hyperlink"/>
          </w:rPr>
          <w:t xml:space="preserve">[7]</w:t>
        </w:r>
      </w:hyperlink>
      <w:r>
        <w:t xml:space="preserve">. When the instruments of measurement disagree, the field needs a discipline for adjudicating claims about value, and that discipline has to start by asking whether the claims leave any measurable trace at all. This dissertation supplies one small piece of that discipline.</w:t>
      </w:r>
    </w:p>
    <w:bookmarkEnd w:id="66"/>
    <w:bookmarkStart w:id="67" w:name="the-design-stage-posture-in-full"/>
    <w:p>
      <w:pPr>
        <w:pStyle w:val="Heading2"/>
        <w:spacing w:line="480" w:lineRule="auto"/>
      </w:pPr>
      <w:r>
        <w:t xml:space="preserve">1.7 The design-stage posture in full</w:t>
      </w:r>
    </w:p>
    <w:p>
      <w:pPr>
        <w:pStyle w:val="FirstParagraph"/>
        <w:spacing w:line="480" w:lineRule="auto"/>
      </w:pPr>
      <w:r>
        <w:t xml:space="preserve">The phrase design-stage recurs throughout, and its meaning deserves a fuller statement than a single clause allows. A design-stage dissertation is not a preliminary sketch of a larger study yet to be run. It is a complete study of a deliberately narrow question, built so that its inference chain is fully auditable even though its evidentiary reach is modest. The completeness is real: there is a hypothesis, a dataset, two estimators, and a result. The narrowness is also real: the result speaks to the arrangement of a retrieved corpus and not to the sensing field as a whole.</w:t>
      </w:r>
    </w:p>
    <w:p>
      <w:pPr>
        <w:pStyle w:val="BodyText"/>
        <w:spacing w:line="480" w:lineRule="auto"/>
        <w:ind w:firstLine="720"/>
      </w:pPr>
      <w:r>
        <w:t xml:space="preserve">This posture has a specific virtue that a more ambitious design would lack. Because every step is transparent and every number recomputable, the study can be wrong and still teach. If the coefficients are flat, that flatness is informative, because it was produced by a procedure a reader can inspect and trust rather than by an opaque model whose failures could be attributed to anything. A study that can only succeed teaches nothing when it fails, because its failures are illegible. This one is legible in both directions, and that legibility is the standard the whole dissertation holds itself to</w:t>
      </w:r>
      <w:r>
        <w:t xml:space="preserve"> </w:t>
      </w:r>
      <w:hyperlink w:anchor="ref-4">
        <w:r>
          <w:rPr>
            <w:rStyle w:val="Hyperlink"/>
          </w:rPr>
          <w:t xml:space="preserve">[4]</w:t>
        </w:r>
      </w:hyperlink>
      <w:r>
        <w:t xml:space="preserve">.</w:t>
      </w:r>
    </w:p>
    <w:p>
      <w:pPr>
        <w:pStyle w:val="BodyText"/>
        <w:spacing w:line="480" w:lineRule="auto"/>
        <w:ind w:firstLine="720"/>
      </w:pPr>
      <w:r>
        <w:t xml:space="preserve">The posture also fixes the relationship between the prose and the numbers. In this dissertation the numbers lead and the prose follows. No claim in the chapters that follow travels further than the estimator output permits, and where the output is imprecise the prose says so rather than dressing an imprecise estimate in confident language. That ordering, numbers first and interpretation scaled to precision, is the single habit this dissertation most wants to demonstrate, because it is the habit a field arguing about the marginal value of sensors most often lacks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67"/>
    <w:bookmarkStart w:id="68" w:name="Xbd1cfaa6235a45632e8e2a1949134f7f6db688c"/>
    <w:p>
      <w:pPr>
        <w:pStyle w:val="Heading2"/>
        <w:spacing w:line="480" w:lineRule="auto"/>
      </w:pPr>
      <w:r>
        <w:t xml:space="preserve">1.8 The unit of analysis and why it is a document</w:t>
      </w:r>
    </w:p>
    <w:p>
      <w:pPr>
        <w:pStyle w:val="FirstParagraph"/>
        <w:spacing w:line="480" w:lineRule="auto"/>
      </w:pPr>
      <w:r>
        <w:t xml:space="preserve">A reader steeped in the sensing literature might object that the natural unit of analysis for a marginal-value question is a sensor, an observation, or an information-gain measurement, and not a document. The objection is fair, and the answer clarifies what kind of study this is. The study cannot observe sensors, observations, or information-gain curves, because no such operational series was available to the candidate. What was available was a body of records about sensing, and the study makes a virtue of that constraint by asking a question the records can actually answer: whether the topic’s own literature is arranged the way a maturing high-value topic would arrange itself. The document is the unit because the document is what the evidence consists of.</w:t>
      </w:r>
    </w:p>
    <w:p>
      <w:pPr>
        <w:pStyle w:val="BodyText"/>
        <w:spacing w:line="480" w:lineRule="auto"/>
        <w:ind w:firstLine="720"/>
      </w:pPr>
      <w:r>
        <w:t xml:space="preserve">Choosing the document as the unit changes the character of the inference without cheapening it. A document-level finding cannot speak to a sensor network directly; it can only speak to how a field writes about that network. The auxiliary premise linking the two, that published attention tracks perceived value, is what carries any weight from the document level toward the network level, and the dissertation keeps that premise visible precisely because it is the load-bearing and most contestable link in the chain. A study that hid the premise would be claiming more than it can support; a study that names it, as this one does, tells the reader exactly where to push if they wish to break the argument</w:t>
      </w:r>
      <w:r>
        <w:t xml:space="preserve"> </w:t>
      </w:r>
      <w:hyperlink w:anchor="ref-4">
        <w:r>
          <w:rPr>
            <w:rStyle w:val="Hyperlink"/>
          </w:rPr>
          <w:t xml:space="preserve">[4]</w:t>
        </w:r>
      </w:hyperlink>
      <w:r>
        <w:t xml:space="preserve">.</w:t>
      </w:r>
    </w:p>
    <w:p>
      <w:pPr>
        <w:pStyle w:val="BodyText"/>
        <w:spacing w:line="480" w:lineRule="auto"/>
        <w:ind w:firstLine="720"/>
      </w:pPr>
      <w:r>
        <w:t xml:space="preserve">The document-level choice also sets the ceiling on the contribution, and stating that ceiling early prevents disappointment later. At best, the two estimators can show that the topic’s literature does or does not carry the predicted structure. They cannot, at any level of precision, tell a program how many sensors to field. The dissertation is content with the smaller finding because the smaller finding is honestly obtainable and the larger one is not, and a discipline advances faster on honest small findings than on dishonest large ones</w:t>
      </w:r>
      <w:r>
        <w:t xml:space="preserve"> </w:t>
      </w:r>
      <w:hyperlink w:anchor="ref-7">
        <w:r>
          <w:rPr>
            <w:rStyle w:val="Hyperlink"/>
          </w:rPr>
          <w:t xml:space="preserve">[7]</w:t>
        </w:r>
      </w:hyperlink>
      <w:r>
        <w:t xml:space="preserve">.</w:t>
      </w:r>
    </w:p>
    <w:bookmarkEnd w:id="68"/>
    <w:bookmarkStart w:id="69" w:name="Xa0f6a2dc410f0b9663337d46353b8e77e5e53d4"/>
    <w:p>
      <w:pPr>
        <w:pStyle w:val="Heading2"/>
        <w:spacing w:line="480" w:lineRule="auto"/>
      </w:pPr>
      <w:r>
        <w:t xml:space="preserve">1.9 What success and failure would each look like</w:t>
      </w:r>
    </w:p>
    <w:p>
      <w:pPr>
        <w:pStyle w:val="FirstParagraph"/>
        <w:spacing w:line="480" w:lineRule="auto"/>
      </w:pPr>
      <w:r>
        <w:t xml:space="preserve">It helps to state, before any result is in hand, what would count as success and what would count as failure for a study of this kind, because the criteria are not the ones a naive reader might assume. Success is not a significant coefficient. Success is a clean inference chain that produces whatever result the data actually contain and reports it at the right precision. A significant coefficient obtained by torturing a thin sample would be a failure dressed as a success, and a flat coefficient reported honestly would be a success that a naive reader might mistake for a failure.</w:t>
      </w:r>
    </w:p>
    <w:p>
      <w:pPr>
        <w:pStyle w:val="BodyText"/>
        <w:spacing w:line="480" w:lineRule="auto"/>
        <w:ind w:firstLine="720"/>
      </w:pPr>
      <w:r>
        <w:t xml:space="preserve">Failure, correspondingly, is not a null result. Failure is an inference chain that cannot be audited, a variable that cannot be reconstructed, or an interpretation that travels further than the numbers permit. By these criteria the dissertation aims squarely at success regardless of which way the coefficients fall, because success is defined by the integrity of the procedure rather than the direction of the estimate. Establishing that definition up front is the last piece of framing the introduction supplies, and the chapters that follow are built to satisfy it whatever the data return</w:t>
      </w:r>
      <w:r>
        <w:t xml:space="preserve"> </w:t>
      </w:r>
      <w:hyperlink w:anchor="ref-5">
        <w:r>
          <w:rPr>
            <w:rStyle w:val="Hyperlink"/>
          </w:rPr>
          <w:t xml:space="preserve">[5]</w:t>
        </w:r>
      </w:hyperlink>
      <w:r>
        <w:t xml:space="preserve"> </w:t>
      </w:r>
      <w:hyperlink w:anchor="ref-2">
        <w:r>
          <w:rPr>
            <w:rStyle w:val="Hyperlink"/>
          </w:rPr>
          <w:t xml:space="preserve">[2]</w:t>
        </w:r>
      </w:hyperlink>
      <w:r>
        <w:t xml:space="preserve">.</w:t>
      </w:r>
    </w:p>
    <w:bookmarkEnd w:id="69"/>
    <w:bookmarkEnd w:id="70"/>
    <w:bookmarkStart w:id="82" w:name="chapter-2.-literature-review"/>
    <w:p>
      <w:pPr>
        <w:pStyle w:val="Heading1"/>
        <w:spacing w:line="480" w:lineRule="auto"/>
      </w:pPr>
      <w:r>
        <w:t xml:space="preserve">Chapter 2. Literature Review</w:t>
      </w:r>
    </w:p>
    <w:p>
      <w:pPr>
        <w:pStyle w:val="FirstParagraph"/>
        <w:spacing w:line="480" w:lineRule="auto"/>
      </w:pPr>
      <w:r>
        <w:t xml:space="preserve">The literature that bears on the marginal value of a sensor splits into two conversations that seldom meet. One conversation is technical and operational. It concerns how instruments detect, track, and characterize objects, how tasking decisions allocate scarce observing time, and how information gain is quantified once an object is in the catalog. The other conversation is bibliometric and institutional. It concerns how a research field distributes its attention, how citation and venue structure encode salience, and how the shape of a literature reveals what a community treats as settled versus contested. This chapter reads both conversations against the diminishing-returns question, then shows where the present design inserts itself.</w:t>
      </w:r>
    </w:p>
    <w:bookmarkStart w:id="71" w:name="X23f82c0818f25bf796300c04d22953d0a02a851"/>
    <w:p>
      <w:pPr>
        <w:pStyle w:val="Heading2"/>
        <w:spacing w:line="480" w:lineRule="auto"/>
      </w:pPr>
      <w:r>
        <w:t xml:space="preserve">2.1 Sensing and information gain as the technical spine</w:t>
      </w:r>
    </w:p>
    <w:p>
      <w:pPr>
        <w:pStyle w:val="FirstParagraph"/>
        <w:spacing w:line="480" w:lineRule="auto"/>
      </w:pPr>
      <w:r>
        <w:t xml:space="preserve">Start with the physics. The technical strand begins with the problem of extracting information from hard-to-observe targets. Adaptive optics work on debris collision mitigation established, early and concretely, that the information a ground station can wring from a faint object depends on correcting the atmosphere in real time, and that each increment of correction buys a diminishing increment of usable signal</w:t>
      </w:r>
      <w:r>
        <w:t xml:space="preserve"> </w:t>
      </w:r>
      <w:hyperlink w:anchor="ref-1">
        <w:r>
          <w:rPr>
            <w:rStyle w:val="Hyperlink"/>
          </w:rPr>
          <w:t xml:space="preserve">[1]</w:t>
        </w:r>
      </w:hyperlink>
      <w:r>
        <w:t xml:space="preserve">. That is diminishing returns in its rawest form: the first wavefront correction transforms a useless blur into a track; the tenth correction sharpens an already usable track by a hair. The lesson generalizes. Information gain is concave in effort because the easy information is extracted first.</w:t>
      </w:r>
    </w:p>
    <w:p>
      <w:pPr>
        <w:pStyle w:val="BodyText"/>
        <w:spacing w:line="480" w:lineRule="auto"/>
        <w:ind w:firstLine="720"/>
      </w:pPr>
      <w:r>
        <w:t xml:space="preserve">Conjunction-based tasking sharpened the point by making the value of information the explicit objective of the tasking decision. Rather than observing on a fixed schedule, an inferential tasker asks which observation, right now, would most reduce the uncertainty that matters for a collision assessment, and it allocates the sensor accordingly</w:t>
      </w:r>
      <w:r>
        <w:t xml:space="preserve"> </w:t>
      </w:r>
      <w:hyperlink w:anchor="ref-2">
        <w:r>
          <w:rPr>
            <w:rStyle w:val="Hyperlink"/>
          </w:rPr>
          <w:t xml:space="preserve">[2]</w:t>
        </w:r>
      </w:hyperlink>
      <w:r>
        <w:t xml:space="preserve">. Framed this way, the marginal value of an additional sensor is simply the marginal information its best available task can contribute, given everything the network already knows. Two sensors watching the same well-determined orbit contribute almost nothing jointly beyond what one contributes alone. The redundancy is the diminishing return.</w:t>
      </w:r>
    </w:p>
    <w:p>
      <w:pPr>
        <w:pStyle w:val="BodyText"/>
        <w:spacing w:line="480" w:lineRule="auto"/>
        <w:ind w:firstLine="720"/>
      </w:pPr>
      <w:r>
        <w:t xml:space="preserve">A complementary line of work refuses to treat tasking as fully deterministic and instead harvests value from chance. Optimizing for serendipitous observations through global boresight tasking shows that a network can extract meaningful information from targets it was not specifically tasked to watch, provided the tasking geometry is chosen well</w:t>
      </w:r>
      <w:r>
        <w:t xml:space="preserve"> </w:t>
      </w:r>
      <w:hyperlink w:anchor="ref-3">
        <w:r>
          <w:rPr>
            <w:rStyle w:val="Hyperlink"/>
          </w:rPr>
          <w:t xml:space="preserve">[3]</w:t>
        </w:r>
      </w:hyperlink>
      <w:r>
        <w:t xml:space="preserve">. This matters for the marginal-value question because it widens the definition of what a sensor is worth. A sensor’s value is not only the tasks it is assigned but the incidental detections its field of view makes possible, and that incidental value also saturates as coverage overlaps.</w:t>
      </w:r>
    </w:p>
    <w:bookmarkEnd w:id="71"/>
    <w:bookmarkStart w:id="72" w:name="Xac488d7a8eca0cdb399a4b16341ca0692c3589d"/>
    <w:p>
      <w:pPr>
        <w:pStyle w:val="Heading2"/>
        <w:spacing w:line="480" w:lineRule="auto"/>
      </w:pPr>
      <w:r>
        <w:t xml:space="preserve">2.2 Operational concepts of operations and the cost of a warning</w:t>
      </w:r>
    </w:p>
    <w:p>
      <w:pPr>
        <w:pStyle w:val="FirstParagraph"/>
        <w:spacing w:line="480" w:lineRule="auto"/>
      </w:pPr>
      <w:r>
        <w:t xml:space="preserve">Operations ground the theory. The operational literature places these abstractions inside the machinery of a real warning system. The evolution of NASA’s robotic conjunction assessment concept of operations documents how a working enterprise converts raw observations into screened, prioritized, actionable collision warnings, and how each stage imposes its own resource cost</w:t>
      </w:r>
      <w:r>
        <w:t xml:space="preserve"> </w:t>
      </w:r>
      <w:hyperlink w:anchor="ref-4">
        <w:r>
          <w:rPr>
            <w:rStyle w:val="Hyperlink"/>
          </w:rPr>
          <w:t xml:space="preserve">[4]</w:t>
        </w:r>
      </w:hyperlink>
      <w:r>
        <w:t xml:space="preserve">. That document is important to this dissertation for a specific reason. It shows that the value of a sensor is realized only at the end of a long pipeline, after screening, risk assessment, and operator decision, so the marginal information a sensor supplies is discounted by everything downstream that must still function. A sensor that doubles raw detections but does not change a single maneuver decision has delivered little marginal value.</w:t>
      </w:r>
    </w:p>
    <w:p>
      <w:pPr>
        <w:pStyle w:val="BodyText"/>
        <w:spacing w:line="480" w:lineRule="auto"/>
        <w:ind w:firstLine="720"/>
      </w:pPr>
      <w:r>
        <w:t xml:space="preserve">Instrument sizing work reinforces the concavity from the supply side. Sizing a Raven-class telescope through performance sensitivities makes explicit that aperture, cadence, and sensitivity trade against one another, and that pushing any one parameter yields progressively smaller gains in tracking performance once the others bind</w:t>
      </w:r>
      <w:r>
        <w:t xml:space="preserve"> </w:t>
      </w:r>
      <w:hyperlink w:anchor="ref-5">
        <w:r>
          <w:rPr>
            <w:rStyle w:val="Hyperlink"/>
          </w:rPr>
          <w:t xml:space="preserve">[5]</w:t>
        </w:r>
      </w:hyperlink>
      <w:r>
        <w:t xml:space="preserve">. The performance-sensitivity framing is the engineering statement of a marginal-return curve, and it supplies the vocabulary this dissertation borrows when it treats added sensing as a saturating input. Calibration work on telescope networks, meanwhile, reminds the field that raw instrument count overstates usable capacity, because photometric and spectral consistency across a network is itself a hard-won and non-automatic property</w:t>
      </w:r>
      <w:r>
        <w:t xml:space="preserve"> </w:t>
      </w:r>
      <w:hyperlink w:anchor="ref-8">
        <w:r>
          <w:rPr>
            <w:rStyle w:val="Hyperlink"/>
          </w:rPr>
          <w:t xml:space="preserve">[8]</w:t>
        </w:r>
      </w:hyperlink>
      <w:r>
        <w:t xml:space="preserve">.</w:t>
      </w:r>
    </w:p>
    <w:bookmarkEnd w:id="72"/>
    <w:bookmarkStart w:id="73" w:name="Xe7624424a13a956bd2950063f5635436b3bb8cb"/>
    <w:p>
      <w:pPr>
        <w:pStyle w:val="Heading2"/>
        <w:spacing w:line="480" w:lineRule="auto"/>
      </w:pPr>
      <w:r>
        <w:t xml:space="preserve">2.3 Capacity, architecture, and the governance frame</w:t>
      </w:r>
    </w:p>
    <w:p>
      <w:pPr>
        <w:pStyle w:val="FirstParagraph"/>
        <w:spacing w:line="480" w:lineRule="auto"/>
      </w:pPr>
      <w:r>
        <w:t xml:space="preserve">Scale changes the question. At the architecture level, it migrates from single instruments to whole networks and their governance. Work on lunar space traffic management argues that cislunar growth will demand architectural solutions rather than incremental sensor additions, because the geometry and cadence of cislunar tracking break assumptions built for low Earth orbit</w:t>
      </w:r>
      <w:r>
        <w:t xml:space="preserve"> </w:t>
      </w:r>
      <w:hyperlink w:anchor="ref-6">
        <w:r>
          <w:rPr>
            <w:rStyle w:val="Hyperlink"/>
          </w:rPr>
          <w:t xml:space="preserve">[6]</w:t>
        </w:r>
      </w:hyperlink>
      <w:r>
        <w:t xml:space="preserve">. That argument is the governance face of diminishing returns. When adding more of the same instrument stops paying, the field turns to architecture, coordination, and standards, which is exactly the institutional hardening the marginal-value question tries to detect.</w:t>
      </w:r>
    </w:p>
    <w:p>
      <w:pPr>
        <w:pStyle w:val="BodyText"/>
        <w:spacing w:line="480" w:lineRule="auto"/>
        <w:ind w:firstLine="720"/>
      </w:pPr>
      <w:r>
        <w:t xml:space="preserve">The most direct precedent for treating sensing capacity as a measurable, contestable quantity is the verification and validation of orbital capacity assessment tools across fidelities</w:t>
      </w:r>
      <w:r>
        <w:t xml:space="preserve"> </w:t>
      </w:r>
      <w:hyperlink w:anchor="ref-7">
        <w:r>
          <w:rPr>
            <w:rStyle w:val="Hyperlink"/>
          </w:rPr>
          <w:t xml:space="preserve">[7]</w:t>
        </w:r>
      </w:hyperlink>
      <w:r>
        <w:t xml:space="preserve">. That work matters twice over. Substantively, it confirms that different tools give different capacity answers, so the marginal value of a sensor is model-dependent and worth scrutinizing rather than asserting. Methodologically, it legitimizes the move this dissertation makes: treating a body of tool-and-literature evidence as an object to be screened for structure rather than as a settled consensus to be summarized.</w:t>
      </w:r>
    </w:p>
    <w:bookmarkEnd w:id="73"/>
    <w:bookmarkStart w:id="74" w:name="X92e75f00d7c6ff7ce6393989f022732658cf31f"/>
    <w:p>
      <w:pPr>
        <w:pStyle w:val="Heading2"/>
        <w:spacing w:line="480" w:lineRule="auto"/>
      </w:pPr>
      <w:r>
        <w:t xml:space="preserve">2.4 The bibliometric strand and the measurement gap</w:t>
      </w:r>
    </w:p>
    <w:p>
      <w:pPr>
        <w:pStyle w:val="FirstParagraph"/>
        <w:spacing w:line="480" w:lineRule="auto"/>
      </w:pPr>
      <w:r>
        <w:t xml:space="preserve">None of the technical sources set out to measure how their own literature is distributed across time, attention, and venue. That is the second conversation, and it is largely absent from the sensing corpus. Bibliometric reasoning treats publication year, citation count, and venue family as observable variables that carry information about a field’s maturity and salience. A topic whose signal concentrates in recent, high-attention, high-tier venues looks different from one scattered thinly across old conference proceedings, and that difference is measurable if one is willing to build the variables.</w:t>
      </w:r>
    </w:p>
    <w:p>
      <w:pPr>
        <w:pStyle w:val="BodyText"/>
        <w:spacing w:line="480" w:lineRule="auto"/>
        <w:ind w:firstLine="720"/>
      </w:pPr>
      <w:r>
        <w:t xml:space="preserve">The gap this dissertation occupies is the join between the two conversations. The technical strand supplies the concept of diminishing information gain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The operational strand supplies the reminder that value is realized only at the end of a pipeline and is model-dependent</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sizing and architecture strands supply the marginal-return vocabulary and the governance stakes</w:t>
      </w:r>
      <w:r>
        <w:t xml:space="preserve"> </w:t>
      </w:r>
      <w:hyperlink w:anchor="ref-5">
        <w:r>
          <w:rPr>
            <w:rStyle w:val="Hyperlink"/>
          </w:rPr>
          <w:t xml:space="preserve">[5]</w:t>
        </w:r>
      </w:hyperlink>
      <w:r>
        <w:t xml:space="preserve"> </w:t>
      </w:r>
      <w:hyperlink w:anchor="ref-6">
        <w:r>
          <w:rPr>
            <w:rStyle w:val="Hyperlink"/>
          </w:rPr>
          <w:t xml:space="preserve">[6]</w:t>
        </w:r>
      </w:hyperlink>
      <w:r>
        <w:t xml:space="preserve">. What no single source supplies is a reproducible screen that asks whether the topic’s own literature shows the structure a diminishing-returns story predicts. The chapters that follow build that screen, treating retrieved records as rows, observable metadata as variables, and estimator output as the only admissible evidence</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74"/>
    <w:bookmarkStart w:id="75" w:name="positioning-the-contribution"/>
    <w:p>
      <w:pPr>
        <w:pStyle w:val="Heading2"/>
        <w:spacing w:line="480" w:lineRule="auto"/>
      </w:pPr>
      <w:r>
        <w:t xml:space="preserve">2.5 Positioning the contribution</w:t>
      </w:r>
    </w:p>
    <w:p>
      <w:pPr>
        <w:pStyle w:val="FirstParagraph"/>
        <w:spacing w:line="480" w:lineRule="auto"/>
      </w:pPr>
      <w:r>
        <w:t xml:space="preserve">Reading the strands together yields a clear position. This dissertation does not add a new tasking algorithm, a new instrument, or a new capacity tool. It adds a measurement discipline to a field that has plenty of concepts and little habit of testing whether those concepts leave visible traces in its own record. The two estimators that carry the test are the smallest honest instruments that can do the job, and their modesty is the point. A field that argues about the marginal value of sensors should be able to say, with recomputable numbers, whether that argument is even visible in how it publishes. The remainder of the dissertation answers that question and, in doing so, shows both what the retrieved corpus can support and where a stronger design would have to go next</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75"/>
    <w:bookmarkStart w:id="76" w:name="Xf17178f000e4e29d98f7960ef3cf6826e437ad6"/>
    <w:p>
      <w:pPr>
        <w:pStyle w:val="Heading2"/>
        <w:spacing w:line="480" w:lineRule="auto"/>
      </w:pPr>
      <w:r>
        <w:t xml:space="preserve">2.6 How the technical sources encode diminishing returns</w:t>
      </w:r>
    </w:p>
    <w:p>
      <w:pPr>
        <w:pStyle w:val="FirstParagraph"/>
        <w:spacing w:line="480" w:lineRule="auto"/>
      </w:pPr>
      <w:r>
        <w:t xml:space="preserve">It is worth pausing on how directly the technical sources, read closely, already contain the diminishing-returns logic this dissertation formalizes. The adaptive-optics debris work frames its whole contribution around wringing usable signal from targets that are, by construction, near the edge of detectability</w:t>
      </w:r>
      <w:r>
        <w:t xml:space="preserve"> </w:t>
      </w:r>
      <w:hyperlink w:anchor="ref-1">
        <w:r>
          <w:rPr>
            <w:rStyle w:val="Hyperlink"/>
          </w:rPr>
          <w:t xml:space="preserve">[1]</w:t>
        </w:r>
      </w:hyperlink>
      <w:r>
        <w:t xml:space="preserve">. Its value is largest at the margin where an object would otherwise be untracked, and it falls away for objects already well characterized. That is a marginal-value curve stated in the language of wavefront correction rather than economics, and the translation between the two vocabularies is the small conceptual bridge the dissertation builds.</w:t>
      </w:r>
    </w:p>
    <w:p>
      <w:pPr>
        <w:pStyle w:val="BodyText"/>
        <w:spacing w:line="480" w:lineRule="auto"/>
        <w:ind w:firstLine="720"/>
      </w:pPr>
      <w:r>
        <w:t xml:space="preserve">Conjunction-based tasking makes the concavity explicit at the level of the decision rather than the instrument. When a tasker allocates observing time to maximize expected information gain, it is by definition spending each unit of effort where the return is highest, which means the returns to the last unit are lower than the returns to the first</w:t>
      </w:r>
      <w:r>
        <w:t xml:space="preserve"> </w:t>
      </w:r>
      <w:hyperlink w:anchor="ref-2">
        <w:r>
          <w:rPr>
            <w:rStyle w:val="Hyperlink"/>
          </w:rPr>
          <w:t xml:space="preserve">[2]</w:t>
        </w:r>
      </w:hyperlink>
      <w:r>
        <w:t xml:space="preserve">. A network operating under such a rule is a network that has already climbed most of the way up its own return curve, so the marginal sensor it adds arrives late in the climb, where the slope is gentle. The tasking literature does not usually say this in so many words, but it is the unavoidable consequence of an information-maximizing rule.</w:t>
      </w:r>
    </w:p>
    <w:p>
      <w:pPr>
        <w:pStyle w:val="BodyText"/>
        <w:spacing w:line="480" w:lineRule="auto"/>
        <w:ind w:firstLine="720"/>
      </w:pPr>
      <w:r>
        <w:t xml:space="preserve">The serendipity work complicates the picture in a productive way. By showing that value can be harvested from untasked detections, it widens the definition of a sensor’s worth beyond its assigned tasks</w:t>
      </w:r>
      <w:r>
        <w:t xml:space="preserve"> </w:t>
      </w:r>
      <w:hyperlink w:anchor="ref-3">
        <w:r>
          <w:rPr>
            <w:rStyle w:val="Hyperlink"/>
          </w:rPr>
          <w:t xml:space="preserve">[3]</w:t>
        </w:r>
      </w:hyperlink>
      <w:r>
        <w:t xml:space="preserve">. Yet even this widened worth saturates, because incidental coverage overlaps with existing coverage, and a network already dense in a region gains little incidental value from one more field of view pointed at the same sky. The serendipity result therefore does not overturn diminishing returns; it relocates part of the return into a channel the tidy tasking model ignored, and that relocated return diminishes for the same geometric reasons.</w:t>
      </w:r>
    </w:p>
    <w:bookmarkEnd w:id="76"/>
    <w:bookmarkStart w:id="77" w:name="the-absence-that-motivates-the-design"/>
    <w:p>
      <w:pPr>
        <w:pStyle w:val="Heading2"/>
        <w:spacing w:line="480" w:lineRule="auto"/>
      </w:pPr>
      <w:r>
        <w:t xml:space="preserve">2.7 The absence that motivates the design</w:t>
      </w:r>
    </w:p>
    <w:p>
      <w:pPr>
        <w:pStyle w:val="FirstParagraph"/>
        <w:spacing w:line="480" w:lineRule="auto"/>
      </w:pPr>
      <w:r>
        <w:t xml:space="preserve">Across all of these sources runs a common silence. None asks whether the literature that contains them shows, in its own distribution across years, citations, and venues, the structure that the diminishing-returns story would predict for a maturing topic. The technical authors are busy with instruments and algorithms, the operational authors with pipelines, the architecture authors with governance, and none has reason to turn the bibliometric lens back on the field itself. That reflexive question is the one this dissertation asks, and the fact that the surveyed literature does not ask it is the clearest evidence that the question is open rather than settled</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measurement approach the dissertation adopts is not novel in the abstract. Treating publication year, citation count, and venue as variables is standard bibliometric practice. What is novel is applying that standard practice to this specific topic, with a deterministic and auditable variable-construction rule, and reporting the result with the same restraint whether it confirms or disconfirms. The contribution lives in the joining of a technical literature that has the concept but not the reflexive test with a bibliometric practice that has the test but not the topic. Neither strand alone reaches the question; their combination does, and the chapters that follow carry that combination through to a recomputable answer</w:t>
      </w:r>
      <w:r>
        <w:t xml:space="preserve"> </w:t>
      </w:r>
      <w:hyperlink w:anchor="ref-8">
        <w:r>
          <w:rPr>
            <w:rStyle w:val="Hyperlink"/>
          </w:rPr>
          <w:t xml:space="preserve">[8]</w:t>
        </w:r>
      </w:hyperlink>
      <w:r>
        <w:t xml:space="preserve"> </w:t>
      </w:r>
      <w:hyperlink w:anchor="ref-7">
        <w:r>
          <w:rPr>
            <w:rStyle w:val="Hyperlink"/>
          </w:rPr>
          <w:t xml:space="preserve">[7]</w:t>
        </w:r>
      </w:hyperlink>
      <w:r>
        <w:t xml:space="preserve">.</w:t>
      </w:r>
    </w:p>
    <w:bookmarkEnd w:id="77"/>
    <w:bookmarkStart w:id="78" w:name="X6765a980a2ba90775d2b8e69e76d2a1a396d010"/>
    <w:p>
      <w:pPr>
        <w:pStyle w:val="Heading2"/>
        <w:spacing w:line="480" w:lineRule="auto"/>
      </w:pPr>
      <w:r>
        <w:t xml:space="preserve">2.8 Calibration, consistency, and the hidden cost of network scale</w:t>
      </w:r>
    </w:p>
    <w:p>
      <w:pPr>
        <w:pStyle w:val="FirstParagraph"/>
        <w:spacing w:line="480" w:lineRule="auto"/>
      </w:pPr>
      <w:r>
        <w:t xml:space="preserve">A second silence in the technical literature concerns the cost of keeping a large sensor network coherent, and that cost bears directly on the marginal-value question. The photometric and spectral calibration work on a telescope network shows that turning many instruments into one usable dataset is a continuing effort rather than a one-time setup, because each instrument drifts, ages, and observes under its own conditions</w:t>
      </w:r>
      <w:r>
        <w:t xml:space="preserve"> </w:t>
      </w:r>
      <w:hyperlink w:anchor="ref-8">
        <w:r>
          <w:rPr>
            <w:rStyle w:val="Hyperlink"/>
          </w:rPr>
          <w:t xml:space="preserve">[8]</w:t>
        </w:r>
      </w:hyperlink>
      <w:r>
        <w:t xml:space="preserve">. This matters for marginal value in a way raw instrument counts obscure. The tenth telescope added to a network does not merely contribute redundant observations; it also adds calibration burden, and if that burden grows faster than the usable information the instrument supplies, the marginal value can turn negative rather than merely small.</w:t>
      </w:r>
    </w:p>
    <w:p>
      <w:pPr>
        <w:pStyle w:val="BodyText"/>
        <w:spacing w:line="480" w:lineRule="auto"/>
        <w:ind w:firstLine="720"/>
      </w:pPr>
      <w:r>
        <w:t xml:space="preserve">The sizing literature carries the same warning from a different direction. Performance sensitivities show that pushing aperture or cadence yields diminishing tracking gains once other parameters bind, which means a network cannot buy its way out of saturation by making each instrument bigger any more than by adding more instruments</w:t>
      </w:r>
      <w:r>
        <w:t xml:space="preserve"> </w:t>
      </w:r>
      <w:hyperlink w:anchor="ref-5">
        <w:r>
          <w:rPr>
            <w:rStyle w:val="Hyperlink"/>
          </w:rPr>
          <w:t xml:space="preserve">[5]</w:t>
        </w:r>
      </w:hyperlink>
      <w:r>
        <w:t xml:space="preserve">. Both papers, read against the marginal-value question, suggest that the return curve may be steeper in its descent than a naive redundancy argument implies, because scale imposes coordination and calibration costs that the redundancy argument leaves out. The dissertation does not test this directly, but it notes that the technical literature contains the ingredients for a stronger diminishing-returns claim than it usually states.</w:t>
      </w:r>
    </w:p>
    <w:bookmarkEnd w:id="78"/>
    <w:bookmarkStart w:id="79" w:name="Xbabca53289b676bc191bbe71b3efac936f9e545"/>
    <w:p>
      <w:pPr>
        <w:pStyle w:val="Heading2"/>
        <w:spacing w:line="480" w:lineRule="auto"/>
      </w:pPr>
      <w:r>
        <w:t xml:space="preserve">2.9 Where the economic and technical readings converge</w:t>
      </w:r>
    </w:p>
    <w:p>
      <w:pPr>
        <w:pStyle w:val="FirstParagraph"/>
        <w:spacing w:line="480" w:lineRule="auto"/>
      </w:pPr>
      <w:r>
        <w:t xml:space="preserve">The technical and economic readings of the literature, though they use different vocabularies, converge on a single shape. The economist sees a concave production function in which the marginal product of sensing falls as sensing accumulates. The engineer sees information gain saturating as uncertainty is exhausted, calibration burden rising as instruments multiply, and performance sensitivities flattening as parameters bind. These are the same curve described twice, and the convergence is what gives the dissertation confidence that the diminishing-returns frame is not an economist’s imposition on an alien domain but a restatement of what the domain’s own technical authors have been describing all along</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convergence also explains why the governance literature turns toward architecture and coordination exactly where the technical literature reports saturation. When adding more of the same instrument stops paying, the rational response is to invest in the coordination that lets existing instruments work together better, which is precisely the lunar traffic architecture argument</w:t>
      </w:r>
      <w:r>
        <w:t xml:space="preserve"> </w:t>
      </w:r>
      <w:hyperlink w:anchor="ref-6">
        <w:r>
          <w:rPr>
            <w:rStyle w:val="Hyperlink"/>
          </w:rPr>
          <w:t xml:space="preserve">[6]</w:t>
        </w:r>
      </w:hyperlink>
      <w:r>
        <w:t xml:space="preserve">. The literature review therefore closes on a unified picture: a concept of diminishing sensing value that appears, in different terms, across the technical, operational, sizing, calibration, and governance strands, and a measurement question about whether that concept leaves a visible trace in the field’s own record, which none of those strands has asked and which the rest of this dissertation takes up</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79"/>
    <w:bookmarkStart w:id="80" w:name="X6d0879e8ad462e2d89a02fc3c7251db1f26feac"/>
    <w:p>
      <w:pPr>
        <w:pStyle w:val="Heading2"/>
        <w:spacing w:line="480" w:lineRule="auto"/>
      </w:pPr>
      <w:r>
        <w:t xml:space="preserve">2.10 The methodological precedent for treating a literature as data</w:t>
      </w:r>
    </w:p>
    <w:p>
      <w:pPr>
        <w:pStyle w:val="FirstParagraph"/>
        <w:spacing w:line="480" w:lineRule="auto"/>
      </w:pPr>
      <w:r>
        <w:t xml:space="preserve">One further source deserves emphasis because it licenses the whole move the dissertation makes. The verification and validation of orbital capacity assessment tools does not merely report that tools disagree; it models the practice of treating a body of analytical artifacts as an object to be examined systematically rather than accepted at face value</w:t>
      </w:r>
      <w:r>
        <w:t xml:space="preserve"> </w:t>
      </w:r>
      <w:hyperlink w:anchor="ref-7">
        <w:r>
          <w:rPr>
            <w:rStyle w:val="Hyperlink"/>
          </w:rPr>
          <w:t xml:space="preserve">[7]</w:t>
        </w:r>
      </w:hyperlink>
      <w:r>
        <w:t xml:space="preserve">. That practice is the near cousin of what this dissertation does with the literature. Where the capacity work screens tools for consistency, this study screens records for structure, and both rest on the same underlying conviction: that a field’s own products can and should be turned into evidence about the field. Borrowing that conviction from an accepted line of work is what keeps the present design from appearing to invent its stance out of nothing.</w:t>
      </w:r>
    </w:p>
    <w:p>
      <w:pPr>
        <w:pStyle w:val="BodyText"/>
        <w:spacing w:line="480" w:lineRule="auto"/>
        <w:ind w:firstLine="720"/>
      </w:pPr>
      <w:r>
        <w:t xml:space="preserve">The star-sensor accuracy review offers a complementary precedent from the instrument side. A systematic review of how to improve attitude accuracy under dynamic conditions is itself an exercise in surveying and organizing a literature to extract its collective lesson, and it demonstrates that the field already accepts synthesis of its own record as legitimate scholarly work</w:t>
      </w:r>
      <w:r>
        <w:t xml:space="preserve"> </w:t>
      </w:r>
      <w:hyperlink w:anchor="ref-9">
        <w:r>
          <w:rPr>
            <w:rStyle w:val="Hyperlink"/>
          </w:rPr>
          <w:t xml:space="preserve">[9]</w:t>
        </w:r>
      </w:hyperlink>
      <w:r>
        <w:t xml:space="preserve">. This dissertation extends that acceptance one step further, from qualitative synthesis to quantitative screening, but the step is an extension of an established practice rather than a break from it. Reading these two sources as methodological precedents rather than as topical citations is what situates the dissertation’s approach inside the field’s own habits, and it is the final piece of positioning the literature review supplies before the theory chapter builds the mechanism in full</w:t>
      </w:r>
      <w:r>
        <w:t xml:space="preserve"> </w:t>
      </w:r>
      <w:hyperlink w:anchor="ref-6">
        <w:r>
          <w:rPr>
            <w:rStyle w:val="Hyperlink"/>
          </w:rPr>
          <w:t xml:space="preserve">[6]</w:t>
        </w:r>
      </w:hyperlink>
      <w:r>
        <w:t xml:space="preserve">.</w:t>
      </w:r>
    </w:p>
    <w:bookmarkEnd w:id="80"/>
    <w:bookmarkStart w:id="81" w:name="Xbed55418a062fc744d08705b5286be901e5cbbe"/>
    <w:p>
      <w:pPr>
        <w:pStyle w:val="Heading2"/>
        <w:spacing w:line="480" w:lineRule="auto"/>
      </w:pPr>
      <w:r>
        <w:t xml:space="preserve">2.11 Synthesis and the through-line to the mechanism</w:t>
      </w:r>
    </w:p>
    <w:p>
      <w:pPr>
        <w:pStyle w:val="FirstParagraph"/>
        <w:spacing w:line="480" w:lineRule="auto"/>
      </w:pPr>
      <w:r>
        <w:t xml:space="preserve">Pulling the strands together, the literature offers a clear through-line that the theory chapter will formalize. The physics of extracting signal from faint targets establishes that information gain is concave in effort</w:t>
      </w:r>
      <w:r>
        <w:t xml:space="preserve"> </w:t>
      </w:r>
      <w:hyperlink w:anchor="ref-1">
        <w:r>
          <w:rPr>
            <w:rStyle w:val="Hyperlink"/>
          </w:rPr>
          <w:t xml:space="preserve">[1]</w:t>
        </w:r>
      </w:hyperlink>
      <w:r>
        <w:t xml:space="preserve">. The logic of information-maximizing tasking establishes that a rational network climbs its own return curve until the marginal task pays little</w:t>
      </w:r>
      <w:r>
        <w:t xml:space="preserve"> </w:t>
      </w:r>
      <w:hyperlink w:anchor="ref-2">
        <w:r>
          <w:rPr>
            <w:rStyle w:val="Hyperlink"/>
          </w:rPr>
          <w:t xml:space="preserve">[2]</w:t>
        </w:r>
      </w:hyperlink>
      <w:r>
        <w:t xml:space="preserve">. Serendipitous detection widens the value channel without escaping saturation</w:t>
      </w:r>
      <w:r>
        <w:t xml:space="preserve"> </w:t>
      </w:r>
      <w:hyperlink w:anchor="ref-3">
        <w:r>
          <w:rPr>
            <w:rStyle w:val="Hyperlink"/>
          </w:rPr>
          <w:t xml:space="preserve">[3]</w:t>
        </w:r>
      </w:hyperlink>
      <w:r>
        <w:t xml:space="preserve">. The operational pipeline discounts raw detections that change no decision</w:t>
      </w:r>
      <w:r>
        <w:t xml:space="preserve"> </w:t>
      </w:r>
      <w:hyperlink w:anchor="ref-4">
        <w:r>
          <w:rPr>
            <w:rStyle w:val="Hyperlink"/>
          </w:rPr>
          <w:t xml:space="preserve">[4]</w:t>
        </w:r>
      </w:hyperlink>
      <w:r>
        <w:t xml:space="preserve">. Sizing sensitivities and calibration burden add supply-side and coordination reasons for the curve to bend</w:t>
      </w:r>
      <w:r>
        <w:t xml:space="preserve"> </w:t>
      </w:r>
      <w:hyperlink w:anchor="ref-5">
        <w:r>
          <w:rPr>
            <w:rStyle w:val="Hyperlink"/>
          </w:rPr>
          <w:t xml:space="preserve">[5]</w:t>
        </w:r>
      </w:hyperlink>
      <w:r>
        <w:t xml:space="preserve"> </w:t>
      </w:r>
      <w:hyperlink w:anchor="ref-8">
        <w:r>
          <w:rPr>
            <w:rStyle w:val="Hyperlink"/>
          </w:rPr>
          <w:t xml:space="preserve">[8]</w:t>
        </w:r>
      </w:hyperlink>
      <w:r>
        <w:t xml:space="preserve">. And the governance turn toward architecture is the institutional response to saturation</w:t>
      </w:r>
      <w:r>
        <w:t xml:space="preserve"> </w:t>
      </w:r>
      <w:hyperlink w:anchor="ref-6">
        <w:r>
          <w:rPr>
            <w:rStyle w:val="Hyperlink"/>
          </w:rPr>
          <w:t xml:space="preserve">[6]</w:t>
        </w:r>
      </w:hyperlink>
      <w:r>
        <w:t xml:space="preserve">. Each source contributes one facet of a single concave story, and the story is the diminishing marginal value of sensing.</w:t>
      </w:r>
    </w:p>
    <w:p>
      <w:pPr>
        <w:pStyle w:val="BodyText"/>
        <w:spacing w:line="480" w:lineRule="auto"/>
        <w:ind w:firstLine="720"/>
      </w:pPr>
      <w:r>
        <w:t xml:space="preserve">What the review has shown, in addition to that synthesis, is where the story stops. It stops at the field’s own record. No surveyed source asks whether the concave story leaves a measurable trace in how the field publishes, cites, and venues its work on the topic, and that unasked question is the opening the dissertation occupies. The theory chapter now takes the concave mechanism the literature supplies and derives from it the specific, testable predictions a retrieved corpus would satisfy if the mechanism governed the field’s attention, converting a well-supported concept into a hypothesis the data can put at risk</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81"/>
    <w:bookmarkEnd w:id="82"/>
    <w:bookmarkStart w:id="95" w:name="chapter-3.-theory-and-hypotheses"/>
    <w:p>
      <w:pPr>
        <w:pStyle w:val="Heading1"/>
        <w:spacing w:line="480" w:lineRule="auto"/>
      </w:pPr>
      <w:r>
        <w:t xml:space="preserve">Chapter 3. Theory and Hypotheses</w:t>
      </w:r>
    </w:p>
    <w:p>
      <w:pPr>
        <w:pStyle w:val="FirstParagraph"/>
        <w:spacing w:line="480" w:lineRule="auto"/>
      </w:pPr>
      <w:r>
        <w:t xml:space="preserve">A theory earns its keep by telling you what you should see if it is true and what you should see if it is false. This chapter builds the mechanism behind diminishing returns to sensing, then translates that mechanism into predictions about a retrieved literature. The translation is the whole trick. A claim about sensor networks becomes a claim about how a research corpus is arranged, and that second claim is one the available data can actually test.</w:t>
      </w:r>
    </w:p>
    <w:bookmarkStart w:id="83" w:name="X623bc224368581a1356fe614b234c82fa02eda2"/>
    <w:p>
      <w:pPr>
        <w:pStyle w:val="Heading2"/>
        <w:spacing w:line="480" w:lineRule="auto"/>
      </w:pPr>
      <w:r>
        <w:t xml:space="preserve">3.1 The mechanism: why information gain saturates</w:t>
      </w:r>
    </w:p>
    <w:p>
      <w:pPr>
        <w:pStyle w:val="FirstParagraph"/>
        <w:spacing w:line="480" w:lineRule="auto"/>
      </w:pPr>
      <w:r>
        <w:t xml:space="preserve">Start with a sensor network and a population of objects to be tracked. Each object carries uncertainty. Each observation reduces that uncertainty by some amount that depends on the observation geometry, the object’s current uncertainty, and the information the network already holds. The first observation of a poorly known object is enormously informative, because it collapses a wide prior. The tenth observation of the same object, now well determined, is nearly worthless, because there is little uncertainty left to collapse. This is the core of the mechanism, and it is visible in the physics of extracting signal from faint targets</w:t>
      </w:r>
      <w:r>
        <w:t xml:space="preserve"> </w:t>
      </w:r>
      <w:hyperlink w:anchor="ref-1">
        <w:r>
          <w:rPr>
            <w:rStyle w:val="Hyperlink"/>
          </w:rPr>
          <w:t xml:space="preserve">[1]</w:t>
        </w:r>
      </w:hyperlink>
      <w:r>
        <w:t xml:space="preserve"> </w:t>
      </w:r>
      <w:r>
        <w:t xml:space="preserve">and in the logic of tasking to maximize expected information gain</w:t>
      </w:r>
      <w:r>
        <w:t xml:space="preserve"> </w:t>
      </w:r>
      <w:hyperlink w:anchor="ref-2">
        <w:r>
          <w:rPr>
            <w:rStyle w:val="Hyperlink"/>
          </w:rPr>
          <w:t xml:space="preserve">[2]</w:t>
        </w:r>
      </w:hyperlink>
      <w:r>
        <w:t xml:space="preserve">.</w:t>
      </w:r>
    </w:p>
    <w:p>
      <w:pPr>
        <w:pStyle w:val="BodyText"/>
        <w:spacing w:line="480" w:lineRule="auto"/>
        <w:ind w:firstLine="720"/>
      </w:pPr>
      <w:r>
        <w:t xml:space="preserve">Now scale from one object to a whole catalog and from one observation to a whole sensor. A new sensor adds value in proportion to the uncertainty it can resolve that existing sensors cannot. In a sparse network, that residual uncertainty is vast, so the new sensor is precious. As the network densifies, the residual uncertainty shrinks, because prior sensors have already resolved the easy targets from favorable geometries. The marginal value of the next sensor therefore declines. Serendipitous detection widens the value slightly, since a new field of view catches objects it was not assigned</w:t>
      </w:r>
      <w:r>
        <w:t xml:space="preserve"> </w:t>
      </w:r>
      <w:hyperlink w:anchor="ref-3">
        <w:r>
          <w:rPr>
            <w:rStyle w:val="Hyperlink"/>
          </w:rPr>
          <w:t xml:space="preserve">[3]</w:t>
        </w:r>
      </w:hyperlink>
      <w:r>
        <w:t xml:space="preserve">, but even that incidental value overlaps with existing coverage and saturates.</w:t>
      </w:r>
    </w:p>
    <w:p>
      <w:pPr>
        <w:pStyle w:val="BodyText"/>
        <w:spacing w:line="480" w:lineRule="auto"/>
        <w:ind w:firstLine="720"/>
      </w:pPr>
      <w:r>
        <w:t xml:space="preserve">Three forces drive the saturation, and naming them matters because each implies something different about where the curve bends. Redundancy: overlapping coverage means new observations duplicate old ones. Observability limits: some objects are hard to see from any geometry, so no amount of added sensing resolves them, and the network’s information ceiling is set by physics rather than instrument count</w:t>
      </w:r>
      <w:r>
        <w:t xml:space="preserve"> </w:t>
      </w:r>
      <w:hyperlink w:anchor="ref-5">
        <w:r>
          <w:rPr>
            <w:rStyle w:val="Hyperlink"/>
          </w:rPr>
          <w:t xml:space="preserve">[5]</w:t>
        </w:r>
      </w:hyperlink>
      <w:r>
        <w:t xml:space="preserve">. Pipeline discounting: value is realized only after screening and decision, so raw detections that change no decision add no marginal value</w:t>
      </w:r>
      <w:r>
        <w:t xml:space="preserve"> </w:t>
      </w:r>
      <w:hyperlink w:anchor="ref-4">
        <w:r>
          <w:rPr>
            <w:rStyle w:val="Hyperlink"/>
          </w:rPr>
          <w:t xml:space="preserve">[4]</w:t>
        </w:r>
      </w:hyperlink>
      <w:r>
        <w:t xml:space="preserve">. Together these forces make the information-gain curve concave, and concavity is the mechanism the rest of the dissertation tries to detect.</w:t>
      </w:r>
    </w:p>
    <w:bookmarkEnd w:id="83"/>
    <w:bookmarkStart w:id="84" w:name="from-a-network-claim-to-a-corpus-claim"/>
    <w:p>
      <w:pPr>
        <w:pStyle w:val="Heading2"/>
        <w:spacing w:line="480" w:lineRule="auto"/>
      </w:pPr>
      <w:r>
        <w:t xml:space="preserve">3.2 From a network claim to a corpus claim</w:t>
      </w:r>
    </w:p>
    <w:p>
      <w:pPr>
        <w:pStyle w:val="FirstParagraph"/>
        <w:spacing w:line="480" w:lineRule="auto"/>
      </w:pPr>
      <w:r>
        <w:t xml:space="preserve">The mechanism is about sensors, but the data are about documents. Bridging the two requires an auxiliary premise, stated openly so it can be challenged. The premise is that a field’s attention tracks, imperfectly, the value it perceives in a problem. When the marginal value of a research direction is high, the field publishes into it, cites within it, and elevates it to higher-tier venues. When the perceived marginal value falls, attention thins, publications age, and the topic settles into lower-tier or older records. This premise is not a law. It is a testable regularity, and if it fails the estimators will show weak structure, which is itself informative.</w:t>
      </w:r>
    </w:p>
    <w:p>
      <w:pPr>
        <w:pStyle w:val="BodyText"/>
        <w:spacing w:line="480" w:lineRule="auto"/>
        <w:ind w:firstLine="720"/>
      </w:pPr>
      <w:r>
        <w:t xml:space="preserve">Under this premise, a topic experiencing rising perceived value should leave three traces in a retrieved corpus. Recency: its signal should concentrate in newer records. Attention: its signal should co-move with citation counts. Venue: its signal should concentrate in higher-tier venue families. These three traces are the observable shadow of the underlying value dynamic, and they map directly onto the variables the estimators use</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corpus claim inherits the concavity of the network claim in a subtle way. If a topic has already been heavily worked, its own marginal returns are falling, and its recent literature may thin even as its cumulative citation stock remains high. A topic still in its steep phase should show the opposite: strong recency, growing attention, upward venue drift. The direction and precision of the estimated coefficients therefore carry information about which phase of the return curve the topic occupies</w:t>
      </w:r>
      <w:r>
        <w:t xml:space="preserve"> </w:t>
      </w:r>
      <w:hyperlink w:anchor="ref-6">
        <w:r>
          <w:rPr>
            <w:rStyle w:val="Hyperlink"/>
          </w:rPr>
          <w:t xml:space="preserve">[6]</w:t>
        </w:r>
      </w:hyperlink>
      <w:r>
        <w:t xml:space="preserve">.</w:t>
      </w:r>
    </w:p>
    <w:bookmarkEnd w:id="84"/>
    <w:bookmarkStart w:id="85" w:name="the-hypotheses"/>
    <w:p>
      <w:pPr>
        <w:pStyle w:val="Heading2"/>
        <w:spacing w:line="480" w:lineRule="auto"/>
      </w:pPr>
      <w:r>
        <w:t xml:space="preserve">3.3 The hypotheses</w:t>
      </w:r>
    </w:p>
    <w:p>
      <w:pPr>
        <w:pStyle w:val="FirstParagraph"/>
        <w:spacing w:line="480" w:lineRule="auto"/>
      </w:pPr>
      <w:r>
        <w:t xml:space="preserve">Two hypotheses follow. The first concerns cross-sectional structure and is carried by the ordinary least squares model.</w:t>
      </w:r>
    </w:p>
    <w:p>
      <w:pPr>
        <w:pStyle w:val="BodyText"/>
        <w:spacing w:line="480" w:lineRule="auto"/>
        <w:ind w:firstLine="720"/>
      </w:pPr>
      <w:r>
        <w:t xml:space="preserve">H0-1: topic-signal intensity is unrelated to publication recency, citation attention, and venue family across the retrieved records.</w:t>
      </w:r>
    </w:p>
    <w:p>
      <w:pPr>
        <w:pStyle w:val="BodyText"/>
        <w:spacing w:line="480" w:lineRule="auto"/>
        <w:ind w:firstLine="720"/>
      </w:pPr>
      <w:r>
        <w:t xml:space="preserve">H1-1: topic-signal intensity rises with recency and citation attention across the retrieved records.</w:t>
      </w:r>
    </w:p>
    <w:p>
      <w:pPr>
        <w:pStyle w:val="BodyText"/>
        <w:spacing w:line="480" w:lineRule="auto"/>
        <w:ind w:firstLine="720"/>
      </w:pPr>
      <w:r>
        <w:t xml:space="preserve">A rejection of H0-1 in the predicted directions would say the topic’s literature is arranged the way a still-steep return curve predicts: newer, more cited, higher-venue records carry more signal. A failure to reject would say the arrangement is flat, which is consistent with either a saturated topic or a corpus too small and noisy to reveal the structure. The design does not prejudge which; it lets the coefficients and their precision speak</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second hypothesis concerns accumulation over time and is carried by the log-log learning-curve model.</w:t>
      </w:r>
    </w:p>
    <w:p>
      <w:pPr>
        <w:pStyle w:val="BodyText"/>
        <w:spacing w:line="480" w:lineRule="auto"/>
        <w:ind w:firstLine="720"/>
      </w:pPr>
      <w:r>
        <w:t xml:space="preserve">H0-2: citation accumulation is unrelated to article age in the retrieved topic literature.</w:t>
      </w:r>
    </w:p>
    <w:p>
      <w:pPr>
        <w:pStyle w:val="BodyText"/>
        <w:spacing w:line="480" w:lineRule="auto"/>
        <w:ind w:firstLine="720"/>
      </w:pPr>
      <w:r>
        <w:t xml:space="preserve">H1-2: citation accumulation follows a measurable age-based curve, with the elasticity of citations to age carrying the shape.</w:t>
      </w:r>
    </w:p>
    <w:p>
      <w:pPr>
        <w:pStyle w:val="BodyText"/>
        <w:spacing w:line="480" w:lineRule="auto"/>
        <w:ind w:firstLine="720"/>
      </w:pPr>
      <w:r>
        <w:t xml:space="preserve">The learning-curve form is deliberate. A negative elasticity would say older articles carry disproportionately more citations, consistent with the normal aging of a citation stock. A near-zero or noisy elasticity would say age does not organize attention in this corpus, which for a young, fast-moving topic is entirely plausible and again informative rather than fatal</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5"/>
    <w:bookmarkStart w:id="86" w:name="rival-explanations-named-in-advance"/>
    <w:p>
      <w:pPr>
        <w:pStyle w:val="Heading2"/>
        <w:spacing w:line="480" w:lineRule="auto"/>
      </w:pPr>
      <w:r>
        <w:t xml:space="preserve">3.4 Rival explanations, named in advance</w:t>
      </w:r>
    </w:p>
    <w:p>
      <w:pPr>
        <w:pStyle w:val="FirstParagraph"/>
        <w:spacing w:line="480" w:lineRule="auto"/>
      </w:pPr>
      <w:r>
        <w:t xml:space="preserve">Good theory anticipates the alternatives that could mimic its predictions. Four rivals deserve explicit statement, because each would color a coefficient without any diminishing-returns story being true.</w:t>
      </w:r>
    </w:p>
    <w:p>
      <w:pPr>
        <w:pStyle w:val="BodyText"/>
        <w:spacing w:line="480" w:lineRule="auto"/>
        <w:ind w:firstLine="720"/>
      </w:pPr>
      <w:r>
        <w:t xml:space="preserve">Venue coverage rather than substance. A signal that concentrates in one venue family may reflect that family’s indexing and coverage habits, not the topic’s importance. The ordinal venue score cannot separate these, so a venue coefficient must be read cautiously</w:t>
      </w:r>
      <w:r>
        <w:t xml:space="preserve"> </w:t>
      </w:r>
      <w:hyperlink w:anchor="ref-7">
        <w:r>
          <w:rPr>
            <w:rStyle w:val="Hyperlink"/>
          </w:rPr>
          <w:t xml:space="preserve">[7]</w:t>
        </w:r>
      </w:hyperlink>
      <w:r>
        <w:t xml:space="preserve">.</w:t>
      </w:r>
    </w:p>
    <w:p>
      <w:pPr>
        <w:pStyle w:val="BodyText"/>
        <w:spacing w:line="480" w:lineRule="auto"/>
        <w:ind w:firstLine="720"/>
      </w:pPr>
      <w:r>
        <w:t xml:space="preserve">Citation age rather than current relevance. Older records accrue citations simply by having existed longer, so any age-citation relationship partly reflects clock time, not sustained interest</w:t>
      </w:r>
      <w:r>
        <w:t xml:space="preserve"> </w:t>
      </w:r>
      <w:hyperlink w:anchor="ref-8">
        <w:r>
          <w:rPr>
            <w:rStyle w:val="Hyperlink"/>
          </w:rPr>
          <w:t xml:space="preserve">[8]</w:t>
        </w:r>
      </w:hyperlink>
      <w:r>
        <w:t xml:space="preserve">.</w:t>
      </w:r>
    </w:p>
    <w:p>
      <w:pPr>
        <w:pStyle w:val="BodyText"/>
        <w:spacing w:line="480" w:lineRule="auto"/>
        <w:ind w:firstLine="720"/>
      </w:pPr>
      <w:r>
        <w:t xml:space="preserve">Metadata availability rather than true distribution. Records with richer metadata generate higher deterministic signal counts, so the outcome partly measures documentation quality rather than substantive salience.</w:t>
      </w:r>
    </w:p>
    <w:p>
      <w:pPr>
        <w:pStyle w:val="BodyText"/>
        <w:spacing w:line="480" w:lineRule="auto"/>
        <w:ind w:firstLine="720"/>
      </w:pPr>
      <w:r>
        <w:t xml:space="preserve">Small-sample noise. With thirty records, a single influential row can swing a coefficient, so precision, not sign alone, must govern interpretation</w:t>
      </w:r>
      <w:r>
        <w:t xml:space="preserve"> </w:t>
      </w:r>
      <w:hyperlink w:anchor="ref-3">
        <w:r>
          <w:rPr>
            <w:rStyle w:val="Hyperlink"/>
          </w:rPr>
          <w:t xml:space="preserve">[3]</w:t>
        </w:r>
      </w:hyperlink>
      <w:r>
        <w:t xml:space="preserve">.</w:t>
      </w:r>
    </w:p>
    <w:p>
      <w:pPr>
        <w:pStyle w:val="BodyText"/>
        <w:spacing w:line="480" w:lineRule="auto"/>
        <w:ind w:firstLine="720"/>
      </w:pPr>
      <w:r>
        <w:t xml:space="preserve">These rivals are not disclaimers to be recited and forgotten. They are the reasons the interpretation in Chapter 6 leans on p-values and refuses to celebrate a large coefficient that the data cannot pin down. A theory that survives its own named rivals is worth more than one that never states them.</w:t>
      </w:r>
    </w:p>
    <w:bookmarkEnd w:id="86"/>
    <w:bookmarkStart w:id="87" w:name="Xf0f624c6578a2c9392eaac06378354d1db78aa7"/>
    <w:p>
      <w:pPr>
        <w:pStyle w:val="Heading2"/>
        <w:spacing w:line="480" w:lineRule="auto"/>
      </w:pPr>
      <w:r>
        <w:t xml:space="preserve">3.5 What a test of this theory can and cannot deliver</w:t>
      </w:r>
    </w:p>
    <w:p>
      <w:pPr>
        <w:pStyle w:val="FirstParagraph"/>
        <w:spacing w:line="480" w:lineRule="auto"/>
      </w:pPr>
      <w:r>
        <w:t xml:space="preserve">The theory is honest about its reach. If the estimators find the predicted structure with precision, the corpus is behaving as a still-steep, high-value topic would, and the diminishing-returns frame gains a modest empirical foothold. If the estimators find flat or imprecise structure, the frame is not refuted at the network level, because a corpus screen cannot reach that far; instead the design has shown that this particular evidence base cannot carry the claim, and it has said so in numbers rather than in prose. Either way the theory does its job, which is to convert an intuition about sensors into a prediction about documents that the next chapters put at risk</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87"/>
    <w:bookmarkStart w:id="88" w:name="the-auxiliary-premise-under-stress"/>
    <w:p>
      <w:pPr>
        <w:pStyle w:val="Heading2"/>
        <w:spacing w:line="480" w:lineRule="auto"/>
      </w:pPr>
      <w:r>
        <w:t xml:space="preserve">3.6 The auxiliary premise under stress</w:t>
      </w:r>
    </w:p>
    <w:p>
      <w:pPr>
        <w:pStyle w:val="FirstParagraph"/>
        <w:spacing w:line="480" w:lineRule="auto"/>
      </w:pPr>
      <w:r>
        <w:t xml:space="preserve">The bridge from sensors to documents rests on one premise, and a careful theory tests the premise rather than assuming it. The premise says a field’s published attention tracks the value it perceives in a problem. Consider when this premise would fail. It fails when publication is driven by factors orthogonal to perceived value: funding cycles that reward certain topics regardless of their marginal return, venue politics that concentrate a subject in one outlet, or the simple lag between when a value is perceived and when the resulting work appears in print. Each of these would inject structure into the corpus that has nothing to do with the sensor-value curve, or would erase structure that is genuinely present.</w:t>
      </w:r>
    </w:p>
    <w:p>
      <w:pPr>
        <w:pStyle w:val="BodyText"/>
        <w:spacing w:line="480" w:lineRule="auto"/>
        <w:ind w:firstLine="720"/>
      </w:pPr>
      <w:r>
        <w:t xml:space="preserve">The premise also has a subtler failure mode tied to the concavity itself. A topic whose marginal research value has fallen may still generate publications, because the field’s inertia carries it forward even as the returns thin. In that case attention lingers after value has departed, and the corpus would show more signal than the underlying value dynamic warrants. The theory cannot rule this out, so it treats any positive finding as consistent with, rather than proof of, a high-value topic, and it treats any null as consistent with several stories rather than a single verdict. This layered caution is not timidity. It is the price of building a bridge whose load-bearing premise is a regularity rather than a law</w:t>
      </w:r>
      <w:r>
        <w:t xml:space="preserve"> </w:t>
      </w:r>
      <w:hyperlink w:anchor="ref-4">
        <w:r>
          <w:rPr>
            <w:rStyle w:val="Hyperlink"/>
          </w:rPr>
          <w:t xml:space="preserve">[4]</w:t>
        </w:r>
      </w:hyperlink>
      <w:r>
        <w:t xml:space="preserve">.</w:t>
      </w:r>
    </w:p>
    <w:bookmarkEnd w:id="88"/>
    <w:bookmarkStart w:id="89" w:name="X3abe8e558365a87b41ec99a2e4e85a855ae150a"/>
    <w:p>
      <w:pPr>
        <w:pStyle w:val="Heading2"/>
        <w:spacing w:line="480" w:lineRule="auto"/>
      </w:pPr>
      <w:r>
        <w:t xml:space="preserve">3.7 Why concavity should leave an asymmetric footprint</w:t>
      </w:r>
    </w:p>
    <w:p>
      <w:pPr>
        <w:pStyle w:val="FirstParagraph"/>
        <w:spacing w:line="480" w:lineRule="auto"/>
      </w:pPr>
      <w:r>
        <w:t xml:space="preserve">If the mechanism is right, it should leave a footprint that is asymmetric across the two estimators, and naming that asymmetry sharpens the test. The cross-sectional model asks whether signal concentrates in newer, more-cited, higher-venue records. A topic in its steep phase should light up this model, because fresh high-value work clusters in recent high-tier venues and attracts citations quickly. The temporal model asks whether citation stock scales with age. A topic in its steep phase should show a weak or shallow age relationship, because its most-cited work is recent rather than old, inverting the usual pattern in which older work has had longer to accrue citations</w:t>
      </w:r>
      <w:r>
        <w:t xml:space="preserve"> </w:t>
      </w:r>
      <w:hyperlink w:anchor="ref-6">
        <w:r>
          <w:rPr>
            <w:rStyle w:val="Hyperlink"/>
          </w:rPr>
          <w:t xml:space="preserve">[6]</w:t>
        </w:r>
      </w:hyperlink>
      <w:r>
        <w:t xml:space="preserve">.</w:t>
      </w:r>
    </w:p>
    <w:p>
      <w:pPr>
        <w:pStyle w:val="BodyText"/>
        <w:spacing w:line="480" w:lineRule="auto"/>
        <w:ind w:firstLine="720"/>
      </w:pPr>
      <w:r>
        <w:t xml:space="preserve">This asymmetry gives the design a diagnostic edge it would otherwise lack. A corpus that shows strong cross-sectional recency structure together with a flat or inverted age elasticity is behaving like a young, ascendant topic. A corpus that shows flat cross-sectional structure together with a strongly negative age elasticity is behaving like a mature topic whose citation stock has settled into the ordinary aging pattern. A corpus flat on both is either saturated to the point where recent concentration has been erased or simply too thin to reveal anything. Reading the two coefficient patterns jointly, rather than each in isolation, is how the theory extracts diagnostic value even from imprecise estimates, and it is the interpretive logic Chapter 6 follows when the numbers arrive</w:t>
      </w:r>
      <w:r>
        <w:t xml:space="preserve"> </w:t>
      </w:r>
      <w:hyperlink w:anchor="ref-5">
        <w:r>
          <w:rPr>
            <w:rStyle w:val="Hyperlink"/>
          </w:rPr>
          <w:t xml:space="preserve">[5]</w:t>
        </w:r>
      </w:hyperlink>
      <w:r>
        <w:t xml:space="preserve"> </w:t>
      </w:r>
      <w:hyperlink w:anchor="ref-2">
        <w:r>
          <w:rPr>
            <w:rStyle w:val="Hyperlink"/>
          </w:rPr>
          <w:t xml:space="preserve">[2]</w:t>
        </w:r>
      </w:hyperlink>
      <w:r>
        <w:t xml:space="preserve">.</w:t>
      </w:r>
    </w:p>
    <w:bookmarkEnd w:id="89"/>
    <w:bookmarkStart w:id="90" w:name="predictions-restated-as-a-checklist"/>
    <w:p>
      <w:pPr>
        <w:pStyle w:val="Heading2"/>
        <w:spacing w:line="480" w:lineRule="auto"/>
      </w:pPr>
      <w:r>
        <w:t xml:space="preserve">3.8 Predictions restated as a checklist</w:t>
      </w:r>
    </w:p>
    <w:p>
      <w:pPr>
        <w:pStyle w:val="FirstParagraph"/>
        <w:spacing w:line="480" w:lineRule="auto"/>
      </w:pPr>
      <w:r>
        <w:t xml:space="preserve">The theory can be compressed into a short list of what each world predicts, so that the results chapter has a fixed target to hit or miss. A steep, high-value topic predicts a positive and precise recency coefficient, a positive citation coefficient, and a shallow age elasticity. A mature, saturated topic predicts flat cross-sectional coefficients and a pronounced negative age elasticity. A thin, uninformative corpus predicts flat coefficients everywhere with wide standard errors. These three fingerprints are mutually distinguishable in principle, and the degree to which the actual estimates match any of them is exactly what the design measures. Pre-committing to this checklist before seeing the numbers is what keeps the later interpretation from sliding to fit whatever the data happen to show</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End w:id="90"/>
    <w:bookmarkStart w:id="91" w:name="Xcb168cd2506ba79e9abaeec62ca3a03277adb0e"/>
    <w:p>
      <w:pPr>
        <w:pStyle w:val="Heading2"/>
        <w:spacing w:line="480" w:lineRule="auto"/>
      </w:pPr>
      <w:r>
        <w:t xml:space="preserve">3.9 The theory as a falsification device, not a confirmation engine</w:t>
      </w:r>
    </w:p>
    <w:p>
      <w:pPr>
        <w:pStyle w:val="FirstParagraph"/>
        <w:spacing w:line="480" w:lineRule="auto"/>
      </w:pPr>
      <w:r>
        <w:t xml:space="preserve">A theory that can only be confirmed is not a theory at all, and the framework here is built so that the data can turn it down. Each hypothesis pairs a null with an alternative, and the null is genuinely reachable given the sample. A design in which the null could never survive, because any dataset would produce some significant coefficient, would be a confirmation engine dressed as a test. This one is not. With thirty records and robust standard errors, the most likely outcome for many topics is a null, and the framework accepts that outcome as a legitimate finding rather than treating it as a problem to be engineered away. That acceptance is what makes the exercise falsification rather than confirmation</w:t>
      </w:r>
      <w:r>
        <w:t xml:space="preserve"> </w:t>
      </w:r>
      <w:hyperlink w:anchor="ref-4">
        <w:r>
          <w:rPr>
            <w:rStyle w:val="Hyperlink"/>
          </w:rPr>
          <w:t xml:space="preserve">[4]</w:t>
        </w:r>
      </w:hyperlink>
      <w:r>
        <w:t xml:space="preserve">.</w:t>
      </w:r>
    </w:p>
    <w:p>
      <w:pPr>
        <w:pStyle w:val="BodyText"/>
        <w:spacing w:line="480" w:lineRule="auto"/>
        <w:ind w:firstLine="720"/>
      </w:pPr>
      <w:r>
        <w:t xml:space="preserve">The falsification posture also disciplines how the alternative is stated. H1-1 does not say some relationship exists somewhere among the predictors, a claim so loose that noise alone would satisfy it. It says signal rises with recency and citation attention, a directional claim that the data can contradict by returning the wrong sign or an indistinguishable-from-zero magnitude. A directional, sign-specific alternative is harder to satisfy than a vague one, and the theory deliberately shoulders that harder burden, because a hypothesis worth testing is one that stakes a claim the evidence can refute</w:t>
      </w:r>
      <w:r>
        <w:t xml:space="preserve"> </w:t>
      </w:r>
      <w:hyperlink w:anchor="ref-2">
        <w:r>
          <w:rPr>
            <w:rStyle w:val="Hyperlink"/>
          </w:rPr>
          <w:t xml:space="preserve">[2]</w:t>
        </w:r>
      </w:hyperlink>
      <w:r>
        <w:t xml:space="preserve">.</w:t>
      </w:r>
    </w:p>
    <w:bookmarkEnd w:id="91"/>
    <w:bookmarkStart w:id="92" w:name="X65e6b278148db762377a607c9b1d4e21d97a578"/>
    <w:p>
      <w:pPr>
        <w:pStyle w:val="Heading2"/>
        <w:spacing w:line="480" w:lineRule="auto"/>
      </w:pPr>
      <w:r>
        <w:t xml:space="preserve">3.10 Mechanism, measurement, and the gap between them</w:t>
      </w:r>
    </w:p>
    <w:p>
      <w:pPr>
        <w:pStyle w:val="FirstParagraph"/>
        <w:spacing w:line="480" w:lineRule="auto"/>
      </w:pPr>
      <w:r>
        <w:t xml:space="preserve">The chapter has moved from a mechanism about sensors to a set of predictions about documents, and it is worth marking plainly how much is lost in that move so the reader is not misled. The mechanism is rich: it distinguishes redundancy, observability limits, and pipeline discounting as separate drivers of concavity, each with its own signature in a sensor network. The measurement is coarse: it collapses all of that richness into whether a corpus shows recency, citation, and venue structure. The gap between the rich mechanism and the coarse measurement is the space where a null result can hide a real effect, and the theory names this gap now so the results chapter can invoke it without appearing to make excuses</w:t>
      </w:r>
      <w:r>
        <w:t xml:space="preserve"> </w:t>
      </w:r>
      <w:hyperlink w:anchor="ref-6">
        <w:r>
          <w:rPr>
            <w:rStyle w:val="Hyperlink"/>
          </w:rPr>
          <w:t xml:space="preserve">[6]</w:t>
        </w:r>
      </w:hyperlink>
      <w:r>
        <w:t xml:space="preserve">.</w:t>
      </w:r>
    </w:p>
    <w:p>
      <w:pPr>
        <w:pStyle w:val="BodyText"/>
        <w:spacing w:line="480" w:lineRule="auto"/>
        <w:ind w:firstLine="720"/>
      </w:pPr>
      <w:r>
        <w:t xml:space="preserve">This gap is not a flaw peculiar to the present design. It is the generic condition of any study that must infer a fine-grained mechanism from coarse observable traces, and the honest response is not to pretend the traces are finer than they are but to scale the conclusions to the coarseness. The framework therefore commits, in advance, to reading any structure it finds as consistent-with the mechanism rather than as proof-of it, and to reading any null as uninformative-about the mechanism at the network level rather than as a refutation. Holding these interpretive commitments before the data arrive is the final discipline the theory imposes, and it is what allows the results, whatever they are, to be reported without either overclaiming or apologizing</w:t>
      </w:r>
      <w:r>
        <w:t xml:space="preserve"> </w:t>
      </w:r>
      <w:hyperlink w:anchor="ref-5">
        <w:r>
          <w:rPr>
            <w:rStyle w:val="Hyperlink"/>
          </w:rPr>
          <w:t xml:space="preserve">[5]</w:t>
        </w:r>
      </w:hyperlink>
      <w:r>
        <w:t xml:space="preserve"> </w:t>
      </w:r>
      <w:hyperlink w:anchor="ref-3">
        <w:r>
          <w:rPr>
            <w:rStyle w:val="Hyperlink"/>
          </w:rPr>
          <w:t xml:space="preserve">[3]</w:t>
        </w:r>
      </w:hyperlink>
      <w:r>
        <w:t xml:space="preserve">.</w:t>
      </w:r>
    </w:p>
    <w:bookmarkEnd w:id="92"/>
    <w:bookmarkStart w:id="93" w:name="a-worked-intuition-for-the-concavity"/>
    <w:p>
      <w:pPr>
        <w:pStyle w:val="Heading2"/>
        <w:spacing w:line="480" w:lineRule="auto"/>
      </w:pPr>
      <w:r>
        <w:t xml:space="preserve">3.11 A worked intuition for the concavity</w:t>
      </w:r>
    </w:p>
    <w:p>
      <w:pPr>
        <w:pStyle w:val="FirstParagraph"/>
        <w:spacing w:line="480" w:lineRule="auto"/>
      </w:pPr>
      <w:r>
        <w:t xml:space="preserve">To make the mechanism concrete, consider a stylized network watching a fixed catalog. Suppose the first sensor resolves half of the catalog’s total uncertainty, because it catches the easiest, most observable objects from a favorable geometry. A second sensor, watching the same sky, cannot resolve that same half again; it resolves half of what remains, a quarter of the original total. A third resolves an eighth, a fourth a sixteenth, and so on. The marginal contribution halves with each addition even though every sensor is individually excellent. This is the concavity in its simplest arithmetic form, and it shows why the return curve bends without any instrument being defective: the bending is a property of the shrinking residual uncertainty, not of the sensors</w:t>
      </w:r>
      <w:r>
        <w:t xml:space="preserve"> </w:t>
      </w:r>
      <w:hyperlink w:anchor="ref-2">
        <w:r>
          <w:rPr>
            <w:rStyle w:val="Hyperlink"/>
          </w:rPr>
          <w:t xml:space="preserve">[2]</w:t>
        </w:r>
      </w:hyperlink>
      <w:r>
        <w:t xml:space="preserve">.</w:t>
      </w:r>
    </w:p>
    <w:p>
      <w:pPr>
        <w:pStyle w:val="BodyText"/>
        <w:spacing w:line="480" w:lineRule="auto"/>
        <w:ind w:firstLine="720"/>
      </w:pPr>
      <w:r>
        <w:t xml:space="preserve">The stylized case also shows why the corpus screen is only a shadow of the mechanism and never a measurement of it. Nothing in a bibliometric record reports the residual uncertainty a network faces, so the screen cannot see the halving directly. It can only ask whether the field’s attention to the topic behaves as attention to a still-steep or an already-flat problem would, and that inference passes through the fragile premise about attention and value. Keeping the vivid arithmetic of the mechanism separate from the coarse observables of the screen is what prevents the reader from expecting the estimators to measure something they structurally cannot, and it frames the modest interpretive claims the results chapter will make</w:t>
      </w:r>
      <w:r>
        <w:t xml:space="preserve"> </w:t>
      </w:r>
      <w:hyperlink w:anchor="ref-6">
        <w:r>
          <w:rPr>
            <w:rStyle w:val="Hyperlink"/>
          </w:rPr>
          <w:t xml:space="preserve">[6]</w:t>
        </w:r>
      </w:hyperlink>
      <w:r>
        <w:t xml:space="preserve"> </w:t>
      </w:r>
      <w:hyperlink w:anchor="ref-5">
        <w:r>
          <w:rPr>
            <w:rStyle w:val="Hyperlink"/>
          </w:rPr>
          <w:t xml:space="preserve">[5]</w:t>
        </w:r>
      </w:hyperlink>
      <w:r>
        <w:t xml:space="preserve">.</w:t>
      </w:r>
    </w:p>
    <w:bookmarkEnd w:id="93"/>
    <w:bookmarkStart w:id="94" w:name="the-theorys-contract-with-the-results"/>
    <w:p>
      <w:pPr>
        <w:pStyle w:val="Heading2"/>
        <w:spacing w:line="480" w:lineRule="auto"/>
      </w:pPr>
      <w:r>
        <w:t xml:space="preserve">3.12 The theory’s contract with the results</w:t>
      </w:r>
    </w:p>
    <w:p>
      <w:pPr>
        <w:pStyle w:val="FirstParagraph"/>
        <w:spacing w:line="480" w:lineRule="auto"/>
      </w:pPr>
      <w:r>
        <w:t xml:space="preserve">The theory closes by fixing a contract that the results chapter must honor. Under the contract, a precise coefficient in a predicted direction earns the phrase consistent with the mechanism, never proves the mechanism. A precise coefficient in the wrong direction earns a demand for explanation, whether from a named rival or from the mechanism itself. An imprecise coefficient earns the phrase uninformative at this sample size, never a quiet nod toward the preferred sign. And a flat model earns the reading that the corpus, not the mechanism, is the binding constraint, unless the sample is large enough to make that excuse implausible. This contract is stated here, before any number is seen, so that the results chapter cannot renegotiate it once the estimates are in hand</w:t>
      </w:r>
      <w:r>
        <w:t xml:space="preserve"> </w:t>
      </w:r>
      <w:hyperlink w:anchor="ref-4">
        <w:r>
          <w:rPr>
            <w:rStyle w:val="Hyperlink"/>
          </w:rPr>
          <w:t xml:space="preserve">[4]</w:t>
        </w:r>
      </w:hyperlink>
      <w:r>
        <w:t xml:space="preserve">.</w:t>
      </w:r>
    </w:p>
    <w:p>
      <w:pPr>
        <w:pStyle w:val="BodyText"/>
        <w:spacing w:line="480" w:lineRule="auto"/>
        <w:ind w:firstLine="720"/>
      </w:pPr>
      <w:r>
        <w:t xml:space="preserve">Fixing the contract in advance is the theory’s final act of discipline, and it is what distinguishes a genuine test from a post hoc rationalization. A framework that decided after the fact how to read each coefficient could fit any story to any result, and its conclusions would carry no weight. A framework that commits, in advance, to a fixed mapping from coefficient pattern to interpretation binds itself to whatever the data return. The mechanism is rich, the observables are coarse, the premise linking them is fragile, and the sample is small, so the honest theory hands the results chapter a strict rule for reading through all of that uncertainty. The next chapters build the estimators that will meet this contract, and Chapter 6 will be seen to hold to it line by line</w:t>
      </w:r>
      <w:r>
        <w:t xml:space="preserve"> </w:t>
      </w:r>
      <w:hyperlink w:anchor="ref-5">
        <w:r>
          <w:rPr>
            <w:rStyle w:val="Hyperlink"/>
          </w:rPr>
          <w:t xml:space="preserve">[5]</w:t>
        </w:r>
      </w:hyperlink>
      <w:r>
        <w:t xml:space="preserve"> </w:t>
      </w:r>
      <w:hyperlink w:anchor="ref-3">
        <w:r>
          <w:rPr>
            <w:rStyle w:val="Hyperlink"/>
          </w:rPr>
          <w:t xml:space="preserve">[3]</w:t>
        </w:r>
      </w:hyperlink>
      <w:r>
        <w:t xml:space="preserve">.</w:t>
      </w:r>
    </w:p>
    <w:bookmarkEnd w:id="94"/>
    <w:bookmarkEnd w:id="95"/>
    <w:bookmarkStart w:id="107"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specifies the two estimators, states the formal model each fits, and explains the sense in which each identifies the quantity it targets. The word identification is used carefully. Neither model identifies a causal effect of a policy or program on the sensing field. Each identifies a described feature of the retrieved corpus: the conditional association between topic signal and observable metadata in the first case, and the elasticity of citation stock to article age in the second. Getting that distinction right is the methodological core of the dissertation, because a design that overclaims its identification is worse than one that claims little and delivers it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Start w:id="96" w:name="design-logic"/>
    <w:p>
      <w:pPr>
        <w:pStyle w:val="Heading2"/>
        <w:spacing w:line="480" w:lineRule="auto"/>
      </w:pPr>
      <w:r>
        <w:t xml:space="preserve">4.1 Design logic</w:t>
      </w:r>
    </w:p>
    <w:p>
      <w:pPr>
        <w:pStyle w:val="FirstParagraph"/>
        <w:spacing w:line="480" w:lineRule="auto"/>
      </w:pPr>
      <w:r>
        <w:t xml:space="preserve">Both estimators share a philosophy. Determinism is the rule. The corpus is treated as a set of observations with recorded provenance, and every variable is a deterministic function of fields anyone can inspect. There is no latent scoring, no discretionary weighting, and no hand tuning. That determinism is what makes the design falsifiable: a reader who disagrees with a number can regenerate the variable from the same source field and check it. The estimators are chosen to be the simplest that can answer their respective questions, because a small, noisy corpus does not reward elaborate specification and punishes it with unstable coefficients</w:t>
      </w:r>
      <w:r>
        <w:t xml:space="preserve"> </w:t>
      </w:r>
      <w:hyperlink w:anchor="ref-3">
        <w:r>
          <w:rPr>
            <w:rStyle w:val="Hyperlink"/>
          </w:rPr>
          <w:t xml:space="preserve">[3]</w:t>
        </w:r>
      </w:hyperlink>
      <w:r>
        <w:t xml:space="preserve">.</w:t>
      </w:r>
    </w:p>
    <w:p>
      <w:pPr>
        <w:pStyle w:val="BodyText"/>
        <w:spacing w:line="480" w:lineRule="auto"/>
        <w:ind w:firstLine="720"/>
      </w:pPr>
      <w:r>
        <w:t xml:space="preserve">The two models are complementary, not redundant. The first is cross-sectional and asks how signal is distributed across records at a point in time. The second is temporal in the sense that its single regressor is article age, and it asks how a stock accumulates as documents grow older. Running only the first would miss whether attention accumulates; running only the second would miss whether signal has any cross-sectional structure at all. Together they screen the corpus along both the space and the age dimensions the theory identified</w:t>
      </w:r>
      <w:r>
        <w:t xml:space="preserve"> </w:t>
      </w:r>
      <w:hyperlink w:anchor="ref-6">
        <w:r>
          <w:rPr>
            <w:rStyle w:val="Hyperlink"/>
          </w:rPr>
          <w:t xml:space="preserve">[6]</w:t>
        </w:r>
      </w:hyperlink>
      <w:r>
        <w:t xml:space="preserve">.</w:t>
      </w:r>
    </w:p>
    <w:bookmarkEnd w:id="96"/>
    <w:bookmarkStart w:id="97" w:name="Xe67bc303f43e2f46123c70b017a3e8ff62b16cc"/>
    <w:p>
      <w:pPr>
        <w:pStyle w:val="Heading2"/>
        <w:spacing w:line="480" w:lineRule="auto"/>
      </w:pPr>
      <w:r>
        <w:t xml:space="preserve">4.2 Paper 1: the ordinary least squares specification</w:t>
      </w:r>
    </w:p>
    <w:p>
      <w:pPr>
        <w:pStyle w:val="FirstParagraph"/>
        <w:spacing w:line="480" w:lineRule="auto"/>
      </w:pPr>
      <w:r>
        <w:t xml:space="preserve">Three predictors, one outcome. Paper 1 fits an ordinary least squares model of topic-signal intensity on those three predictors. The model recorded in the configuration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dependent variable, signal_score, is the composite topic-signal count for each retrieved record. The three regressors are the recency index, the reported citation count, and the ordinal venue-family score. Estimation uses ordinary least squares with heteroskedasticity-consistent HC1 standard errors, and the choice of robust errors is deliberate. With thirty heterogeneous records drawn from three venue families, the error variance is almost certainly not constant across observations, and HC1 errors keep the inference honest without imposing a variance structure the data cannot justify</w:t>
      </w:r>
      <w:r>
        <w:t xml:space="preserve"> </w:t>
      </w:r>
      <w:hyperlink w:anchor="ref-2">
        <w:r>
          <w:rPr>
            <w:rStyle w:val="Hyperlink"/>
          </w:rPr>
          <w:t xml:space="preserve">[2]</w:t>
        </w:r>
      </w:hyperlink>
      <w:r>
        <w:t xml:space="preserve">.</w:t>
      </w:r>
    </w:p>
    <w:p>
      <w:pPr>
        <w:pStyle w:val="BodyText"/>
        <w:spacing w:line="480" w:lineRule="auto"/>
        <w:ind w:firstLine="720"/>
      </w:pPr>
      <w:r>
        <w:t xml:space="preserve">What does this model identify? Under the standard exogeneity assumption that the regressors are uncorrelated with the error, each coefficient identifies the conditional association between its regressor and the signal score, holding the other two fixed. That is a descriptive object, not a causal one, and the dissertation treats it that way. The recency coefficient answers whether newer records carry more signal, net of citations and venue. The citation coefficient answers whether more-cited records carry more signal, net of recency and venue. The venue coefficient answers whether higher-tier venues carry more signal, net of recency and citations. None of these answers requires a causal story, and none is asked to supply one</w:t>
      </w:r>
      <w:r>
        <w:t xml:space="preserve"> </w:t>
      </w:r>
      <w:hyperlink w:anchor="ref-7">
        <w:r>
          <w:rPr>
            <w:rStyle w:val="Hyperlink"/>
          </w:rPr>
          <w:t xml:space="preserve">[7]</w:t>
        </w:r>
      </w:hyperlink>
      <w:r>
        <w:t xml:space="preserve">.</w:t>
      </w:r>
    </w:p>
    <w:p>
      <w:pPr>
        <w:pStyle w:val="BodyText"/>
        <w:spacing w:line="480" w:lineRule="auto"/>
        <w:ind w:firstLine="720"/>
      </w:pPr>
      <w:r>
        <w:t xml:space="preserve">The identification is threatened wherever a regressor correlates with omitted determinants of the signal count. Metadata richness is the sharpest such threat: a record with a longer title, fuller keywords, and more author metadata mechanically affords more theme-term hits, and metadata richness may also correlate with venue and recency. The model cannot purge this, so the venue and recency coefficients must be read as partly reflecting documentation practice. Naming the threat is the identification claim’s honest boundary rather than a defect to be hidden</w:t>
      </w:r>
      <w:r>
        <w:t xml:space="preserve"> </w:t>
      </w:r>
      <w:hyperlink w:anchor="ref-8">
        <w:r>
          <w:rPr>
            <w:rStyle w:val="Hyperlink"/>
          </w:rPr>
          <w:t xml:space="preserve">[8]</w:t>
        </w:r>
      </w:hyperlink>
      <w:r>
        <w:t xml:space="preserve">.</w:t>
      </w:r>
    </w:p>
    <w:bookmarkEnd w:id="97"/>
    <w:bookmarkStart w:id="98" w:name="Xaa9feb6c7acb3c8862e63275e9a56fe948aea07"/>
    <w:p>
      <w:pPr>
        <w:pStyle w:val="Heading2"/>
        <w:spacing w:line="480" w:lineRule="auto"/>
      </w:pPr>
      <w:r>
        <w:t xml:space="preserve">4.3 Paper 2: the log-log learning-curve specification</w:t>
      </w:r>
    </w:p>
    <w:p>
      <w:pPr>
        <w:pStyle w:val="FirstParagraph"/>
        <w:spacing w:line="480" w:lineRule="auto"/>
      </w:pPr>
      <w:r>
        <w:t xml:space="preserve">Paper 2 fits a log-log learning-curve model of citation accumulation on article age. The model recorded in the configuration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dependent variable is the natural log of citation count plus one, where the plus-one is not cosmetic: many records carry zero citations in the local index, and the log of zero is undefined, so adding one keeps every record in the sample rather than silently dropping the uncited majority. The single regressor is the log of the age index, defined as 2026 minus the publication year plus one. Estimation again uses HC1 robust standard errors</w:t>
      </w:r>
      <w:r>
        <w:t xml:space="preserve"> </w:t>
      </w:r>
      <w:hyperlink w:anchor="ref-5">
        <w:r>
          <w:rPr>
            <w:rStyle w:val="Hyperlink"/>
          </w:rPr>
          <w:t xml:space="preserve">[5]</w:t>
        </w:r>
      </w:hyperlink>
      <w:r>
        <w:t xml:space="preserve">.</w:t>
      </w:r>
    </w:p>
    <w:p>
      <w:pPr>
        <w:pStyle w:val="BodyText"/>
        <w:spacing w:line="480" w:lineRule="auto"/>
        <w:ind w:firstLine="720"/>
      </w:pPr>
      <w:r>
        <w:t xml:space="preserve">The log-log form has a specific virtue. In a log-log regression the slope coefficient is an elasticity: the percentage change in citations associated with a one-percent change in age. That elasticity is the shape parameter of the learning curve, and it maps onto a progress ratio through the transformation two raised to the slope, which expresses how the citation stock scales as age doubles. A negative slope means older articles carry proportionally more citations, the ordinary signature of a maturing stock; a slope near zero means age does not organize attention in this corpus. Identifying the elasticity, not a causal effect of aging, is the model’s job</w:t>
      </w:r>
      <w:r>
        <w:t xml:space="preserve"> </w:t>
      </w:r>
      <w:hyperlink w:anchor="ref-6">
        <w:r>
          <w:rPr>
            <w:rStyle w:val="Hyperlink"/>
          </w:rPr>
          <w:t xml:space="preserve">[6]</w:t>
        </w:r>
      </w:hyperlink>
      <w:r>
        <w:t xml:space="preserve">.</w:t>
      </w:r>
    </w:p>
    <w:p>
      <w:pPr>
        <w:pStyle w:val="BodyText"/>
        <w:spacing w:line="480" w:lineRule="auto"/>
        <w:ind w:firstLine="720"/>
      </w:pPr>
      <w:r>
        <w:t xml:space="preserve">The identification here is cleaner than in Paper 1, because there is a single regressor and the arithmetic of aging is mechanical: every record’s age is fixed by its publication year and the reference year. The threat is not confounding so much as composition. The corpus mixes venue families with different citation cultures, and if the older records concentrate in a high-citation family while the newer records concentrate in a low-citation family, the age elasticity absorbs a venue-composition effect. The model cannot separate the two with age alone, and Chapter 7 treats this as a bound on interpretation rather than a claim the model can settle</w:t>
      </w:r>
      <w:r>
        <w:t xml:space="preserve"> </w:t>
      </w:r>
      <w:hyperlink w:anchor="ref-7">
        <w:r>
          <w:rPr>
            <w:rStyle w:val="Hyperlink"/>
          </w:rPr>
          <w:t xml:space="preserve">[7]</w:t>
        </w:r>
      </w:hyperlink>
      <w:r>
        <w:t xml:space="preserve">.</w:t>
      </w:r>
    </w:p>
    <w:bookmarkEnd w:id="98"/>
    <w:bookmarkStart w:id="99" w:name="why-these-estimators-and-not-others"/>
    <w:p>
      <w:pPr>
        <w:pStyle w:val="Heading2"/>
        <w:spacing w:line="480" w:lineRule="auto"/>
      </w:pPr>
      <w:r>
        <w:t xml:space="preserve">4.4 Why these estimators and not others</w:t>
      </w:r>
    </w:p>
    <w:p>
      <w:pPr>
        <w:pStyle w:val="FirstParagraph"/>
        <w:spacing w:line="480" w:lineRule="auto"/>
      </w:pPr>
      <w:r>
        <w:t xml:space="preserve">A reader might ask why the design does not reach for a richer model: a count model for the signal score, fixed effects for venue, or an interaction between age and venue. The answer is sample size and honesty. Thirty records cannot support a saturated specification without overfitting, and every added parameter would be estimated on a handful of observations, producing coefficients that look precise and are not. The two chosen estimators are the largest models the corpus can carry while keeping every coefficient interpretable. Choosing restraint here is a methodological decision, not a limitation forced by ignorance of the alternatives</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There is also a reproducibility argument. Ordinary least squares and log-log regression are transparent, widely understood, and trivially recomputable from the deterministic data. A more exotic estimator would raise the barrier to independent verification and buy little in a corpus this size. The design privileges an inference chain a reader can walk end to end over a marginally better fit no reader can check</w:t>
      </w:r>
      <w:r>
        <w:t xml:space="preserve"> </w:t>
      </w:r>
      <w:hyperlink w:anchor="ref-4">
        <w:r>
          <w:rPr>
            <w:rStyle w:val="Hyperlink"/>
          </w:rPr>
          <w:t xml:space="preserve">[4]</w:t>
        </w:r>
      </w:hyperlink>
      <w:r>
        <w:t xml:space="preserve">.</w:t>
      </w:r>
    </w:p>
    <w:bookmarkEnd w:id="99"/>
    <w:bookmarkStart w:id="100" w:name="the-inference-discipline"/>
    <w:p>
      <w:pPr>
        <w:pStyle w:val="Heading2"/>
        <w:spacing w:line="480" w:lineRule="auto"/>
      </w:pPr>
      <w:r>
        <w:t xml:space="preserve">4.5 The inference discipline</w:t>
      </w:r>
    </w:p>
    <w:p>
      <w:pPr>
        <w:pStyle w:val="FirstParagraph"/>
        <w:spacing w:line="480" w:lineRule="auto"/>
      </w:pPr>
      <w:r>
        <w:t xml:space="preserve">Both models report coefficients, robust standard errors, and p-values, and the interpretation in Chapter 6 is governed by all three, not by sign alone. A coefficient with the theoretically predicted sign but a large p-value is treated as evidence that the corpus cannot pin the relationship down, not as a quiet confirmation. This discipline is the methodological payoff of the whole design. It ensures that the dissertation’s conclusions scale with the strength of the evidence, so that a flat result produces a flat claim and a sharp result produces a sharp one. Any other rule would let the prose outrun the numbers, which is precisely the failure the design exists to prevent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00"/>
    <w:bookmarkStart w:id="101" w:name="the-hc1-choice-examined"/>
    <w:p>
      <w:pPr>
        <w:pStyle w:val="Heading2"/>
        <w:spacing w:line="480" w:lineRule="auto"/>
      </w:pPr>
      <w:r>
        <w:t xml:space="preserve">4.6 The HC1 choice examined</w:t>
      </w:r>
    </w:p>
    <w:p>
      <w:pPr>
        <w:pStyle w:val="FirstParagraph"/>
        <w:spacing w:line="480" w:lineRule="auto"/>
      </w:pPr>
      <w:r>
        <w:t xml:space="preserve">The decision to use HC1 heteroskedasticity-consistent standard errors rather than classical ones deserves more than the sentence it usually gets. Classical standard errors assume the error variance is constant across observations, an assumption that is almost never defensible in a corpus assembled from heterogeneous venues and years. A conference proceedings record and a peer-reviewed journal article differ in how their metadata is structured, how their citations accrue, and how tightly their signal scores cluster, so the residual variance almost certainly changes across the sample. Under that condition, classical standard errors are biased, usually downward, and they would make the coefficients look more precise than they are. HC1 errors correct for this without requiring the analyst to specify the form of the heteroskedasticity, which is exactly the humility a small heterogeneous sample demands</w:t>
      </w:r>
      <w:r>
        <w:t xml:space="preserve"> </w:t>
      </w:r>
      <w:hyperlink w:anchor="ref-2">
        <w:r>
          <w:rPr>
            <w:rStyle w:val="Hyperlink"/>
          </w:rPr>
          <w:t xml:space="preserve">[2]</w:t>
        </w:r>
      </w:hyperlink>
      <w:r>
        <w:t xml:space="preserve">.</w:t>
      </w:r>
    </w:p>
    <w:p>
      <w:pPr>
        <w:pStyle w:val="BodyText"/>
        <w:spacing w:line="480" w:lineRule="auto"/>
        <w:ind w:firstLine="720"/>
      </w:pPr>
      <w:r>
        <w:t xml:space="preserve">The HC1 correction is not free of cost. In very small samples the robust variance estimator is itself noisy, and its finite-sample performance is imperfect, so the p-values it produces should be read as approximate rather than exact. The design accepts this cost because the alternative, pretending the variance is constant when it is not, is worse. A slightly noisy honest standard error is preferable to a precise dishonest one, and the interpretation in Chapter 6 treats the reported p-values with the coarseness that a thirty-record sample warrants rather than parsing them to the third decimal as if they were exact</w:t>
      </w:r>
      <w:r>
        <w:t xml:space="preserve"> </w:t>
      </w:r>
      <w:hyperlink w:anchor="ref-5">
        <w:r>
          <w:rPr>
            <w:rStyle w:val="Hyperlink"/>
          </w:rPr>
          <w:t xml:space="preserve">[5]</w:t>
        </w:r>
      </w:hyperlink>
      <w:r>
        <w:t xml:space="preserve">.</w:t>
      </w:r>
    </w:p>
    <w:bookmarkEnd w:id="101"/>
    <w:bookmarkStart w:id="102" w:name="the-plus-one-transform-and-what-it-costs"/>
    <w:p>
      <w:pPr>
        <w:pStyle w:val="Heading2"/>
        <w:spacing w:line="480" w:lineRule="auto"/>
      </w:pPr>
      <w:r>
        <w:t xml:space="preserve">4.7 The plus-one transform and what it costs</w:t>
      </w:r>
    </w:p>
    <w:p>
      <w:pPr>
        <w:pStyle w:val="FirstParagraph"/>
        <w:spacing w:line="480" w:lineRule="auto"/>
      </w:pPr>
      <w:r>
        <w:t xml:space="preserve">Paper 2’s outcome adds one to every citation count before taking the log, and this transform, though standard, is not neutral. Its purpose is unavoidable: the log of zero is undefined, and the majority of records carry zero local citations, so without the transform the model would silently discard most of the sample and estimate the age elasticity on the cited minority alone. That silent discarding would be a severe selection problem, because the cited records are systematically older and higher-venue, so the plus-one transform is what keeps the sample intact and the estimate honest</w:t>
      </w:r>
      <w:r>
        <w:t xml:space="preserve"> </w:t>
      </w:r>
      <w:hyperlink w:anchor="ref-6">
        <w:r>
          <w:rPr>
            <w:rStyle w:val="Hyperlink"/>
          </w:rPr>
          <w:t xml:space="preserve">[6]</w:t>
        </w:r>
      </w:hyperlink>
      <w:r>
        <w:t xml:space="preserve">.</w:t>
      </w:r>
    </w:p>
    <w:p>
      <w:pPr>
        <w:pStyle w:val="BodyText"/>
        <w:spacing w:line="480" w:lineRule="auto"/>
        <w:ind w:firstLine="720"/>
      </w:pPr>
      <w:r>
        <w:t xml:space="preserve">The cost is compression. Adding one to a distribution dominated by zeros pushes almost every record to a log value near zero, leaving little variation for age to explain. The transform therefore trades a selection problem for a precision problem, keeping every record at the price of flattening the outcome. This is the right trade for an honest screen, because a flat but complete estimate describes the whole corpus, whereas a sharp but truncated estimate would describe only its cited tail and mislabel that description as a property of the field. Chapter 6 reads the resulting low fit with this trade in mind, treating the compression as a known feature of the design rather than a surprise</w:t>
      </w:r>
      <w:r>
        <w:t xml:space="preserve"> </w:t>
      </w:r>
      <w:hyperlink w:anchor="ref-5">
        <w:r>
          <w:rPr>
            <w:rStyle w:val="Hyperlink"/>
          </w:rPr>
          <w:t xml:space="preserve">[5]</w:t>
        </w:r>
      </w:hyperlink>
      <w:r>
        <w:t xml:space="preserve">.</w:t>
      </w:r>
    </w:p>
    <w:bookmarkEnd w:id="102"/>
    <w:bookmarkStart w:id="103" w:name="what-identification-means-here-restated"/>
    <w:p>
      <w:pPr>
        <w:pStyle w:val="Heading2"/>
        <w:spacing w:line="480" w:lineRule="auto"/>
      </w:pPr>
      <w:r>
        <w:t xml:space="preserve">4.8 What identification means here, restated</w:t>
      </w:r>
    </w:p>
    <w:p>
      <w:pPr>
        <w:pStyle w:val="FirstParagraph"/>
        <w:spacing w:line="480" w:lineRule="auto"/>
      </w:pPr>
      <w:r>
        <w:t xml:space="preserve">The word identification carries so much freight in empirical work that the design owes a plain restatement of what it claims and what it disclaims. It claims that, under the stated exogeneity assumptions, each coefficient recovers a described conditional association or elasticity within the retrieved corpus, and that these objects are recomputable by anyone with the data. It disclaims any causal reading: no coefficient is asserted to measure the effect of a policy, a program, or the passage of time on the sensing field. It further disclaims external validity beyond the corpus: the estimates describe the thirty retrieved records and not the population from which one might wish they were drawn. Holding these claims and disclaimers side by side is the identification contribution, because a design that is exact about what it identifies is worth more than one that gestures at causation it cannot support</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103"/>
    <w:bookmarkStart w:id="104" w:name="Xbbeb13a54dfe558879e79f467194844d084c494"/>
    <w:p>
      <w:pPr>
        <w:pStyle w:val="Heading2"/>
        <w:spacing w:line="480" w:lineRule="auto"/>
      </w:pPr>
      <w:r>
        <w:t xml:space="preserve">4.9 Functional form as a substantive commitment</w:t>
      </w:r>
    </w:p>
    <w:p>
      <w:pPr>
        <w:pStyle w:val="FirstParagraph"/>
        <w:spacing w:line="480" w:lineRule="auto"/>
      </w:pPr>
      <w:r>
        <w:t xml:space="preserve">The choice between a linear model for Paper 1 and a log-log model for Paper 2 is not a technical afterthought; each form encodes a substantive belief about how the outcome behaves. The linear form in Paper 1 asserts that a one-unit change in recency, citations, or venue shifts the signal score by a constant amount regardless of where the predictor starts. That constant-effect assumption is a simplification, and it is defensible only because the signal score has a narrow range and no strong reason to respond nonlinearly to its predictors within that range. Had the outcome spanned orders of magnitude, a linear form would have been the wrong commitment, and the design would have owed a transformation</w:t>
      </w:r>
      <w:r>
        <w:t xml:space="preserve"> </w:t>
      </w:r>
      <w:hyperlink w:anchor="ref-2">
        <w:r>
          <w:rPr>
            <w:rStyle w:val="Hyperlink"/>
          </w:rPr>
          <w:t xml:space="preserve">[2]</w:t>
        </w:r>
      </w:hyperlink>
      <w:r>
        <w:t xml:space="preserve">.</w:t>
      </w:r>
    </w:p>
    <w:p>
      <w:pPr>
        <w:pStyle w:val="BodyText"/>
        <w:spacing w:line="480" w:lineRule="auto"/>
        <w:ind w:firstLine="720"/>
      </w:pPr>
      <w:r>
        <w:t xml:space="preserve">The log-log form in Paper 2 encodes the opposite belief, that the relationship between age and citations is multiplicative rather than additive, so that proportional changes matter more than absolute ones. This is the natural form for a learning curve, where the quantity of interest is how output scales as experience doubles, and it is why the slope reads directly as an elasticity and transforms cleanly into a progress ratio. Choosing this form commits the analysis to describing citation accumulation in proportional terms, which is the right description for a stock that grows roughly geometrically with exposure time. The form is a claim about the world, and the design owns that claim rather than treating it as a neutral default</w:t>
      </w:r>
      <w:r>
        <w:t xml:space="preserve"> </w:t>
      </w:r>
      <w:hyperlink w:anchor="ref-6">
        <w:r>
          <w:rPr>
            <w:rStyle w:val="Hyperlink"/>
          </w:rPr>
          <w:t xml:space="preserve">[6]</w:t>
        </w:r>
      </w:hyperlink>
      <w:r>
        <w:t xml:space="preserve">.</w:t>
      </w:r>
    </w:p>
    <w:bookmarkEnd w:id="104"/>
    <w:bookmarkStart w:id="105" w:name="Xd75a0fbbdda3db96e937db2f7a65ce401bc6c07"/>
    <w:p>
      <w:pPr>
        <w:pStyle w:val="Heading2"/>
        <w:spacing w:line="480" w:lineRule="auto"/>
      </w:pPr>
      <w:r>
        <w:t xml:space="preserve">4.10 Diagnostics the design can and cannot run</w:t>
      </w:r>
    </w:p>
    <w:p>
      <w:pPr>
        <w:pStyle w:val="FirstParagraph"/>
        <w:spacing w:line="480" w:lineRule="auto"/>
      </w:pPr>
      <w:r>
        <w:t xml:space="preserve">A full econometric treatment would accompany these estimators with a battery of diagnostics: tests for influential observations, checks on the residual distribution, and sensitivity analyses that drop suspect records. The present design runs the ones the sample can support and forgoes the ones it cannot. With thirty records, a formal influence diagnostic is of limited value because nearly every record is influential in a sample that small, and dropping any single record to test sensitivity would change the estimates enough to make the exercise more theatrical than informative. The design therefore reports the robust standard errors, which already inflate to reflect the instability, rather than performing sensitivity theater that a reader could not interpret</w:t>
      </w:r>
      <w:r>
        <w:t xml:space="preserve"> </w:t>
      </w:r>
      <w:hyperlink w:anchor="ref-3">
        <w:r>
          <w:rPr>
            <w:rStyle w:val="Hyperlink"/>
          </w:rPr>
          <w:t xml:space="preserve">[3]</w:t>
        </w:r>
      </w:hyperlink>
      <w:r>
        <w:t xml:space="preserve">.</w:t>
      </w:r>
    </w:p>
    <w:p>
      <w:pPr>
        <w:pStyle w:val="BodyText"/>
        <w:spacing w:line="480" w:lineRule="auto"/>
        <w:ind w:firstLine="720"/>
      </w:pPr>
      <w:r>
        <w:t xml:space="preserve">What the design does insist on is transparency about the records that carry the estimates. Chapter 5 identifies the high-signal records that dominate Paper 1’s outcome variation and the single high-citation record that dominates Paper 2’s, so a reader knows exactly where the leverage sits without needing a formal diagnostic to find it. This substitution, naming the influential records in prose rather than testing them with an underpowered statistic, is the right diagnostic strategy for a sample this size. It gives the reader the information a diagnostic would have conveyed, in a form the sample can actually support, and it keeps the methodological account honest about what a thirty-record design can and cannot check</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05"/>
    <w:bookmarkStart w:id="106" w:name="the-estimators-as-a-matched-pair"/>
    <w:p>
      <w:pPr>
        <w:pStyle w:val="Heading2"/>
        <w:spacing w:line="480" w:lineRule="auto"/>
      </w:pPr>
      <w:r>
        <w:t xml:space="preserve">4.11 The estimators as a matched pair</w:t>
      </w:r>
    </w:p>
    <w:p>
      <w:pPr>
        <w:pStyle w:val="FirstParagraph"/>
        <w:spacing w:line="480" w:lineRule="auto"/>
      </w:pPr>
      <w:r>
        <w:t xml:space="preserve">The two estimators are best understood as a matched pair designed to interrogate the same underlying temporal information from complementary angles, and the pairing is a deliberate methodological choice rather than two unrelated analyses bolted together. Paper 1 places recency among several predictors and asks whether newness, net of citations and venue, lifts the signal score. Paper 2 isolates age as the sole regressor and asks whether it organizes citation stock. Because recency and age are complements computed from the same year field, the two models triangulate the topic’s temporal structure: one from the signal side, one from the citation side. A finding that survived in both would be far more persuasive than a finding in either alone, and a null in both, correspondingly, is a stronger null than either would be in isolation</w:t>
      </w:r>
      <w:r>
        <w:t xml:space="preserve"> </w:t>
      </w:r>
      <w:hyperlink w:anchor="ref-6">
        <w:r>
          <w:rPr>
            <w:rStyle w:val="Hyperlink"/>
          </w:rPr>
          <w:t xml:space="preserve">[6]</w:t>
        </w:r>
      </w:hyperlink>
      <w:r>
        <w:t xml:space="preserve">.</w:t>
      </w:r>
    </w:p>
    <w:p>
      <w:pPr>
        <w:pStyle w:val="BodyText"/>
        <w:spacing w:line="480" w:lineRule="auto"/>
        <w:ind w:firstLine="720"/>
      </w:pPr>
      <w:r>
        <w:t xml:space="preserve">This matched-pair logic also guards against a subtle error. A single temporal model could confuse a signal effect with a citation effect, because both move with the calendar. Splitting the temporal question across two outcomes, signal in Paper 1 and citations in Paper 2, keeps the two channels separate and lets the interpretation attribute any temporal pattern to the right variable. The design pays for this separation with two smaller models rather than one larger one, but on a thirty-record sample two focused models are more trustworthy than one crowded specification, so the trade favors the pair. Understanding the estimators as a coordinated pair rather than as isolated regressions is the last piece of the methodology, and it sets up the joint reading that the results chapter performs when it reconciles the recency slope with the age elasticity</w:t>
      </w:r>
      <w:r>
        <w:t xml:space="preserve"> </w:t>
      </w:r>
      <w:hyperlink w:anchor="ref-5">
        <w:r>
          <w:rPr>
            <w:rStyle w:val="Hyperlink"/>
          </w:rPr>
          <w:t xml:space="preserve">[5]</w:t>
        </w:r>
      </w:hyperlink>
      <w:r>
        <w:t xml:space="preserve"> </w:t>
      </w:r>
      <w:hyperlink w:anchor="ref-2">
        <w:r>
          <w:rPr>
            <w:rStyle w:val="Hyperlink"/>
          </w:rPr>
          <w:t xml:space="preserve">[2]</w:t>
        </w:r>
      </w:hyperlink>
      <w:r>
        <w:t xml:space="preserve">.</w:t>
      </w:r>
    </w:p>
    <w:bookmarkEnd w:id="106"/>
    <w:bookmarkEnd w:id="107"/>
    <w:bookmarkStart w:id="120" w:name="chapter-5.-data-and-measurement"/>
    <w:p>
      <w:pPr>
        <w:pStyle w:val="Heading1"/>
        <w:spacing w:line="480" w:lineRule="auto"/>
      </w:pPr>
      <w:r>
        <w:t xml:space="preserve">Chapter 5. Data and Measurement</w:t>
      </w:r>
    </w:p>
    <w:p>
      <w:pPr>
        <w:pStyle w:val="FirstParagraph"/>
        <w:spacing w:line="480" w:lineRule="auto"/>
      </w:pPr>
      <w:r>
        <w:t xml:space="preserve">The credibility of a small-sample design lives or dies on measurement. If a reader cannot reconstruct every variable from a named source field, the estimator output is decoration. This chapter describes the dataset, defines every variable exactly as the configurations record it, traces the provenance of the rows, and states the sample size plainly. Nothing here is scored by judgment. Every number is a deterministic function of an inspectable field, which is what lets the later chapters treat the corpus as evidence rather than assertion</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Start w:id="108" w:name="the-corpus-and-its-provenance"/>
    <w:p>
      <w:pPr>
        <w:pStyle w:val="Heading2"/>
        <w:spacing w:line="480" w:lineRule="auto"/>
      </w:pPr>
      <w:r>
        <w:t xml:space="preserve">5.1 The corpus and its provenance</w:t>
      </w:r>
    </w:p>
    <w:p>
      <w:pPr>
        <w:pStyle w:val="FirstParagraph"/>
        <w:spacing w:line="480" w:lineRule="auto"/>
      </w:pPr>
      <w:r>
        <w:t xml:space="preserve">The dataset is small and specific. It is a set of thirty retrieved source records assembled from bibliometric and documentary indices covering the sensing, tasking, and space-traffic literatures. Each record preserves a source column that resolves to either a digital object identifier or a conference proceedings location, so the provenance of every row is recoverable. The records span three venue families. The first is the Advanced Maui Optical and Space Surveillance conference family, which supplies the ground-based observation and tracking work</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 The second is Acta Astronautica, which supplies the peer-reviewed systems and mission work</w:t>
      </w:r>
      <w:r>
        <w:t xml:space="preserve"> </w:t>
      </w:r>
      <w:hyperlink w:anchor="ref-9">
        <w:r>
          <w:rPr>
            <w:rStyle w:val="Hyperlink"/>
          </w:rPr>
          <w:t xml:space="preserve">[9]</w:t>
        </w:r>
      </w:hyperlink>
      <w:r>
        <w:t xml:space="preserve">. The third is a space-economy family that supplies the governance-and-market documentary records.</w:t>
      </w:r>
    </w:p>
    <w:p>
      <w:pPr>
        <w:pStyle w:val="BodyText"/>
        <w:spacing w:line="480" w:lineRule="auto"/>
        <w:ind w:firstLine="720"/>
      </w:pPr>
      <w:r>
        <w:t xml:space="preserve">The records were not sampled from a frame with known coverage. They are the retrieved set that surfaced for this topic, and that origin is stated so no reader mistakes the corpus for a census. This matters for interpretation: the corpus supports statements about how the retrieved records are arranged, and it does not support statements about the full population of sensing literature. The provenance column exists precisely so that a skeptic can pull any row, read the underlying document, and judge whether the deterministic measures fairly summarize it</w:t>
      </w:r>
      <w:r>
        <w:t xml:space="preserve"> </w:t>
      </w:r>
      <w:hyperlink w:anchor="ref-7">
        <w:r>
          <w:rPr>
            <w:rStyle w:val="Hyperlink"/>
          </w:rPr>
          <w:t xml:space="preserve">[7]</w:t>
        </w:r>
      </w:hyperlink>
      <w:r>
        <w:t xml:space="preserve">.</w:t>
      </w:r>
    </w:p>
    <w:p>
      <w:pPr>
        <w:pStyle w:val="BodyText"/>
        <w:spacing w:line="480" w:lineRule="auto"/>
        <w:ind w:firstLine="720"/>
      </w:pPr>
      <w:r>
        <w:t xml:space="preserve">The span of publication years runs from 2013 to 2026 in the data, which sets the arithmetic for the two age-related variables. The earliest record anchors the recency index, and the reference year 2026 anchors the age index. Because both are computed from the same publication-year field, they are exact complements of one another within the sample, a fact that the methodology already flagged and that Chapter 7 revisits when it discusses what the two estimators can jointly identify.</w:t>
      </w:r>
    </w:p>
    <w:bookmarkEnd w:id="108"/>
    <w:bookmarkStart w:id="109" w:name="the-outcome-variables"/>
    <w:p>
      <w:pPr>
        <w:pStyle w:val="Heading2"/>
        <w:spacing w:line="480" w:lineRule="auto"/>
      </w:pPr>
      <w:r>
        <w:t xml:space="preserve">5.2 The outcome variables</w:t>
      </w:r>
    </w:p>
    <w:p>
      <w:pPr>
        <w:pStyle w:val="FirstParagraph"/>
        <w:spacing w:line="480" w:lineRule="auto"/>
      </w:pPr>
      <w:r>
        <w:t xml:space="preserve">Paper 1 uses signal_score as its outcome. The configuration defines it as a composite topic-signal score for each retrieved source record, built as a deterministic count of candidate-theme term hits in the source title, snippet, keyword field, and author metadata. Every row cites its retrieved source in the source column, so the count is auditable against the underlying record. The construction is mechanical. A record whose title, snippet, keywords, and author fields contain more theme terms scores higher, and one with sparse metadata scores lower. Across the thirty records the score ranges from one, for records that barely touch the theme vocabulary, up to ten, for records saturated with it, such as the lunar traffic architecture record and the asteroid-mining economic record.</w:t>
      </w:r>
    </w:p>
    <w:p>
      <w:pPr>
        <w:pStyle w:val="BodyText"/>
        <w:spacing w:line="480" w:lineRule="auto"/>
        <w:ind w:firstLine="720"/>
      </w:pPr>
      <w:r>
        <w:t xml:space="preserve">Paper 2 uses cites_plus1 as its outcome. The configuration defines it as the reported citation count from the local index plus one, with the plus-one added so the log transform is defined for the many uncited records. In the data the underlying citation counts are low and skewed: most records carry zero local citations, a handful carry small positive counts, and one 2023 Acta Astronautica record carries ten, which becomes eleven after the transform. This skew is not a flaw to be smoothed away; it is the citation reality of a young, fast-moving literature, and the log-log form exists to accommodate it rather than to hide it</w:t>
      </w:r>
      <w:r>
        <w:t xml:space="preserve"> </w:t>
      </w:r>
      <w:hyperlink w:anchor="ref-6">
        <w:r>
          <w:rPr>
            <w:rStyle w:val="Hyperlink"/>
          </w:rPr>
          <w:t xml:space="preserve">[6]</w:t>
        </w:r>
      </w:hyperlink>
      <w:r>
        <w:t xml:space="preserve">.</w:t>
      </w:r>
    </w:p>
    <w:bookmarkEnd w:id="109"/>
    <w:bookmarkStart w:id="110" w:name="the-predictors"/>
    <w:p>
      <w:pPr>
        <w:pStyle w:val="Heading2"/>
        <w:spacing w:line="480" w:lineRule="auto"/>
      </w:pPr>
      <w:r>
        <w:t xml:space="preserve">5.3 The predictors</w:t>
      </w:r>
    </w:p>
    <w:p>
      <w:pPr>
        <w:pStyle w:val="FirstParagraph"/>
        <w:spacing w:line="480" w:lineRule="auto"/>
      </w:pPr>
      <w:r>
        <w:t xml:space="preserve">Three predictors enter Paper 1, and one enters Paper 2. Discretion plays no part. Each is defined by the configuration exactly.</w:t>
      </w:r>
    </w:p>
    <w:p>
      <w:pPr>
        <w:pStyle w:val="BodyText"/>
        <w:spacing w:line="480" w:lineRule="auto"/>
        <w:ind w:firstLine="720"/>
      </w:pPr>
      <w:r>
        <w:t xml:space="preserve">The recency index is publication year minus the minimum publication year in the sample plus one. The 2013 record scores one, and the 2026 records score fourteen. The index is a simple monotone recoding of the year, chosen so that larger values mean newer and the intercept lands at the oldest record rather than at year zero.</w:t>
      </w:r>
    </w:p>
    <w:p>
      <w:pPr>
        <w:pStyle w:val="BodyText"/>
        <w:spacing w:line="480" w:lineRule="auto"/>
        <w:ind w:firstLine="720"/>
      </w:pPr>
      <w:r>
        <w:t xml:space="preserve">The reported citation count, cites_num, is parsed directly from the local index citation field, set to zero where the index reported no count. It enters Paper 1 as a level and, after the plus-one transform, forms the basis of Paper 2’s outcome. The variable is a local index measure, not a global citation total, and that ceiling on its meaning is stated wherever the coefficient is interpreted</w:t>
      </w:r>
      <w:r>
        <w:t xml:space="preserve"> </w:t>
      </w:r>
      <w:hyperlink w:anchor="ref-8">
        <w:r>
          <w:rPr>
            <w:rStyle w:val="Hyperlink"/>
          </w:rPr>
          <w:t xml:space="preserve">[8]</w:t>
        </w:r>
      </w:hyperlink>
      <w:r>
        <w:t xml:space="preserve">.</w:t>
      </w:r>
    </w:p>
    <w:p>
      <w:pPr>
        <w:pStyle w:val="BodyText"/>
        <w:spacing w:line="480" w:lineRule="auto"/>
        <w:ind w:firstLine="720"/>
      </w:pPr>
      <w:r>
        <w:t xml:space="preserve">The venue score is an ordinal family code: the Maui conference family scores one, Acta Astronautica scores two, and the space-economy family scores three. The ordering encodes a rough progression from conference proceedings toward peer-reviewed and governance-oriented venues, but it is ordinal, not cardinal, so the distance between one and two is not asserted to equal the distance between two and three. Chapter 7 leans on this caution when it reads the venue coefficient.</w:t>
      </w:r>
    </w:p>
    <w:p>
      <w:pPr>
        <w:pStyle w:val="BodyText"/>
        <w:spacing w:line="480" w:lineRule="auto"/>
        <w:ind w:firstLine="720"/>
      </w:pPr>
      <w:r>
        <w:t xml:space="preserve">The age index, used only in Paper 2, is 2026 minus the publication year plus one. The 2026 records score one, and the 2013 record scores fourteen. It is the temporal mirror of the recency index, and the log of it is the sole regressor in the learning-curve model</w:t>
      </w:r>
      <w:r>
        <w:t xml:space="preserve"> </w:t>
      </w:r>
      <w:hyperlink w:anchor="ref-5">
        <w:r>
          <w:rPr>
            <w:rStyle w:val="Hyperlink"/>
          </w:rPr>
          <w:t xml:space="preserve">[5]</w:t>
        </w:r>
      </w:hyperlink>
      <w:r>
        <w:t xml:space="preserve">.</w:t>
      </w:r>
    </w:p>
    <w:bookmarkEnd w:id="110"/>
    <w:bookmarkStart w:id="111" w:name="sample-size-and-its-consequences"/>
    <w:p>
      <w:pPr>
        <w:pStyle w:val="Heading2"/>
        <w:spacing w:line="480" w:lineRule="auto"/>
      </w:pPr>
      <w:r>
        <w:t xml:space="preserve">5.4 Sample size and its consequences</w:t>
      </w:r>
    </w:p>
    <w:p>
      <w:pPr>
        <w:pStyle w:val="FirstParagraph"/>
        <w:spacing w:line="480" w:lineRule="auto"/>
      </w:pPr>
      <w:r>
        <w:t xml:space="preserve">The sample size is thirty for both papers. Thirty is small. The design treats that smallness as a governing constraint rather than an afterthought. Thirty records with three predictors leaves twenty-six residual degrees of freedom in Paper 1, which is enough to estimate the model but not enough to chase subtle nonlinearities or interactions. It is also small enough that a single unusual record can move a coefficient, which is why the interpretation that follows leans on robust standard errors and p-values and refuses to celebrate a large point estimate that the data cannot pin down</w:t>
      </w:r>
      <w:r>
        <w:t xml:space="preserve"> </w:t>
      </w:r>
      <w:hyperlink w:anchor="ref-3">
        <w:r>
          <w:rPr>
            <w:rStyle w:val="Hyperlink"/>
          </w:rPr>
          <w:t xml:space="preserve">[3]</w:t>
        </w:r>
      </w:hyperlink>
      <w:r>
        <w:t xml:space="preserve">.</w:t>
      </w:r>
    </w:p>
    <w:p>
      <w:pPr>
        <w:pStyle w:val="BodyText"/>
        <w:spacing w:line="480" w:lineRule="auto"/>
        <w:ind w:firstLine="720"/>
      </w:pPr>
      <w:r>
        <w:t xml:space="preserve">The composition of the thirty records also matters. Twelve arrive from the Maui conference family, another dozen from Acta Astronautica, and the remainder from the space-economy documentary family. That distribution means the venue variable is not evenly balanced, and the higher venue scores are carried by relatively few records. Any venue coefficient therefore rests on a thin slice of the sample, and the honest reading acknowledges that thinness</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11"/>
    <w:bookmarkStart w:id="112" w:name="Xb2a6becfa5fc099835d8286a47682a8437e9cf7"/>
    <w:p>
      <w:pPr>
        <w:pStyle w:val="Heading2"/>
        <w:spacing w:line="480" w:lineRule="auto"/>
      </w:pPr>
      <w:r>
        <w:t xml:space="preserve">5.5 What the measurement can and cannot support</w:t>
      </w:r>
    </w:p>
    <w:p>
      <w:pPr>
        <w:pStyle w:val="FirstParagraph"/>
        <w:spacing w:line="480" w:lineRule="auto"/>
      </w:pPr>
      <w:r>
        <w:t xml:space="preserve">The measurement scheme supports one kind of claim cleanly: statements about how signal, citations, recency, and venue are jointly arranged across the retrieved records. It supports a second kind weakly: statements about how attention accumulates with age, subject to the venue-composition caveat. It does not support statements about the full sensing literature, about causal effects of any program on the field, or about the true global citation standing of any record. These boundaries are not hedges bolted on at the end. They are consequences of exactly how each variable was built, and stating them here is what allows Chapter 6 to report the estimator output without dressing a proxy in the clothes of a construct it is not</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112"/>
    <w:bookmarkStart w:id="113" w:name="a-closer-look-at-the-signal-distribution"/>
    <w:p>
      <w:pPr>
        <w:pStyle w:val="Heading2"/>
        <w:spacing w:line="480" w:lineRule="auto"/>
      </w:pPr>
      <w:r>
        <w:t xml:space="preserve">5.6 A closer look at the signal distribution</w:t>
      </w:r>
    </w:p>
    <w:p>
      <w:pPr>
        <w:pStyle w:val="FirstParagraph"/>
        <w:spacing w:line="480" w:lineRule="auto"/>
      </w:pPr>
      <w:r>
        <w:t xml:space="preserve">The signal score is the outcome that carries the cross-sectional test, so its distribution across the thirty records deserves description rather than summary. The scores cluster low. A large share of records score one or two, meaning their metadata barely touches the candidate theme vocabulary, and these are typically the terser journal abstracts and the single-line documentary titles. A smaller group scores in the middle range of four to seven, and these tend to be records whose titles and keyword fields engage the sensing and tasking vocabulary directly. Only a couple of records reach the top of the range near ten, and they are the ones whose titles, snippets, and keywords are all saturated with theme terms, such as the lunar traffic architecture record and the asteroid-mining economic record</w:t>
      </w:r>
      <w:r>
        <w:t xml:space="preserve"> </w:t>
      </w:r>
      <w:hyperlink w:anchor="ref-6">
        <w:r>
          <w:rPr>
            <w:rStyle w:val="Hyperlink"/>
          </w:rPr>
          <w:t xml:space="preserve">[6]</w:t>
        </w:r>
      </w:hyperlink>
      <w:r>
        <w:t xml:space="preserve">.</w:t>
      </w:r>
    </w:p>
    <w:p>
      <w:pPr>
        <w:pStyle w:val="BodyText"/>
        <w:spacing w:line="480" w:lineRule="auto"/>
        <w:ind w:firstLine="720"/>
      </w:pPr>
      <w:r>
        <w:t xml:space="preserve">This shape has a direct consequence for the estimator. A right-skewed outcome concentrated at low values gives ordinary least squares little room to distinguish the effect of any single predictor, because most of the variation to be explained lives in a few high-scoring records. Those few records exert leverage far beyond their number, so the coefficients are sensitive to exactly which records happen to score high. The measurement chapter flags this now so that the results chapter’s caution about precision reads as an anticipated consequence of the distribution rather than an after-the-fact excuse</w:t>
      </w:r>
      <w:r>
        <w:t xml:space="preserve"> </w:t>
      </w:r>
      <w:hyperlink w:anchor="ref-3">
        <w:r>
          <w:rPr>
            <w:rStyle w:val="Hyperlink"/>
          </w:rPr>
          <w:t xml:space="preserve">[3]</w:t>
        </w:r>
      </w:hyperlink>
      <w:r>
        <w:t xml:space="preserve">.</w:t>
      </w:r>
    </w:p>
    <w:bookmarkEnd w:id="113"/>
    <w:bookmarkStart w:id="114" w:name="Xbb4639264f751fe16bdda8bb9a1381ad55eef5f"/>
    <w:p>
      <w:pPr>
        <w:pStyle w:val="Heading2"/>
        <w:spacing w:line="480" w:lineRule="auto"/>
      </w:pPr>
      <w:r>
        <w:t xml:space="preserve">5.7 The venue families and their citation cultures</w:t>
      </w:r>
    </w:p>
    <w:p>
      <w:pPr>
        <w:pStyle w:val="FirstParagraph"/>
        <w:spacing w:line="480" w:lineRule="auto"/>
      </w:pPr>
      <w:r>
        <w:t xml:space="preserve">The three venue families differ not only in tier but in citation culture, and that difference is load-bearing for Paper 2. The Maui conference family publishes work that circulates within a specialist community and accrues citations slowly through that community’s own channels, so its local citation counts tend to be low even for substantial contributions</w:t>
      </w:r>
      <w:r>
        <w:t xml:space="preserve"> </w:t>
      </w:r>
      <w:hyperlink w:anchor="ref-1">
        <w:r>
          <w:rPr>
            <w:rStyle w:val="Hyperlink"/>
          </w:rPr>
          <w:t xml:space="preserve">[1]</w:t>
        </w:r>
      </w:hyperlink>
      <w:r>
        <w:t xml:space="preserve"> </w:t>
      </w:r>
      <w:hyperlink w:anchor="ref-5">
        <w:r>
          <w:rPr>
            <w:rStyle w:val="Hyperlink"/>
          </w:rPr>
          <w:t xml:space="preserve">[5]</w:t>
        </w:r>
      </w:hyperlink>
      <w:r>
        <w:t xml:space="preserve">. Acta Astronautica, as an indexed peer-reviewed journal, sits in a broader citation ecosystem, and its records are the ones most likely to carry positive local citation counts, including the single record that reaches ten</w:t>
      </w:r>
      <w:r>
        <w:t xml:space="preserve"> </w:t>
      </w:r>
      <w:hyperlink w:anchor="ref-9">
        <w:r>
          <w:rPr>
            <w:rStyle w:val="Hyperlink"/>
          </w:rPr>
          <w:t xml:space="preserve">[9]</w:t>
        </w:r>
      </w:hyperlink>
      <w:r>
        <w:t xml:space="preserve">. The space-economy documentary family is different again: its records are governance and market documents whose influence, whatever it may be, is not captured by an academic citation index at all, so they sit at zero by construction rather than by obscurity.</w:t>
      </w:r>
    </w:p>
    <w:p>
      <w:pPr>
        <w:pStyle w:val="BodyText"/>
        <w:spacing w:line="480" w:lineRule="auto"/>
        <w:ind w:firstLine="720"/>
      </w:pPr>
      <w:r>
        <w:t xml:space="preserve">Because age and venue family are entangled in the sample, this variation in citation culture flows directly into the age elasticity that Paper 2 estimates. If the older records disproportionately occupy the higher-citation family, the age coefficient will absorb a venue effect it cannot separate. The data chapter names this entanglement explicitly so that the interpretation of the learning curve stays inside its bounds. The elasticity describes how citation stock varies with age in this particular mix of venues, and it cannot be read as a pure aging effect stripped of composition</w:t>
      </w:r>
      <w:r>
        <w:t xml:space="preserve"> </w:t>
      </w:r>
      <w:hyperlink w:anchor="ref-7">
        <w:r>
          <w:rPr>
            <w:rStyle w:val="Hyperlink"/>
          </w:rPr>
          <w:t xml:space="preserve">[7]</w:t>
        </w:r>
      </w:hyperlink>
      <w:r>
        <w:t xml:space="preserve">.</w:t>
      </w:r>
    </w:p>
    <w:bookmarkEnd w:id="114"/>
    <w:bookmarkStart w:id="115" w:name="X5d30d8d175dec83176f266976a5c644867a0df7"/>
    <w:p>
      <w:pPr>
        <w:pStyle w:val="Heading2"/>
        <w:spacing w:line="480" w:lineRule="auto"/>
      </w:pPr>
      <w:r>
        <w:t xml:space="preserve">5.8 Reproducibility as a measurement property</w:t>
      </w:r>
    </w:p>
    <w:p>
      <w:pPr>
        <w:pStyle w:val="FirstParagraph"/>
        <w:spacing w:line="480" w:lineRule="auto"/>
      </w:pPr>
      <w:r>
        <w:t xml:space="preserve">A final measurement property is reproducibility itself, and it is worth treating as a variable-quality issue rather than a mere convenience. Because every value in both datasets is a deterministic function of an inspectable field, the entire measurement layer can be regenerated from the source records without any analyst discretion. There is no coding sheet whose application varies from one reader to the next, no weighting scheme that could be tuned to a desired result, and no latent construct that must be trusted rather than checked. This determinism is what earns the design the right to report estimator output as evidence, because the chain from source to variable to estimate contains no step that a skeptic must take on faith</w:t>
      </w:r>
      <w:r>
        <w:t xml:space="preserve"> </w:t>
      </w:r>
      <w:hyperlink w:anchor="ref-4">
        <w:r>
          <w:rPr>
            <w:rStyle w:val="Hyperlink"/>
          </w:rPr>
          <w:t xml:space="preserve">[4]</w:t>
        </w:r>
      </w:hyperlink>
      <w:r>
        <w:t xml:space="preserve">. The trade for that determinism is the loss of nuance a human coder could add, and the future-work discussion in Chapter 8 proposes exactly that human coding as the next improvement, precisely because the present scheme buys reproducibility at the cost of depth</w:t>
      </w:r>
      <w:r>
        <w:t xml:space="preserve"> </w:t>
      </w:r>
      <w:hyperlink w:anchor="ref-8">
        <w:r>
          <w:rPr>
            <w:rStyle w:val="Hyperlink"/>
          </w:rPr>
          <w:t xml:space="preserve">[8]</w:t>
        </w:r>
      </w:hyperlink>
      <w:r>
        <w:t xml:space="preserve">.</w:t>
      </w:r>
    </w:p>
    <w:bookmarkEnd w:id="115"/>
    <w:bookmarkStart w:id="116" w:name="X93928690973272275d291e0a89418bd649279c0"/>
    <w:p>
      <w:pPr>
        <w:pStyle w:val="Heading2"/>
        <w:spacing w:line="480" w:lineRule="auto"/>
      </w:pPr>
      <w:r>
        <w:t xml:space="preserve">5.9 The year span and its arithmetic consequences</w:t>
      </w:r>
    </w:p>
    <w:p>
      <w:pPr>
        <w:pStyle w:val="FirstParagraph"/>
        <w:spacing w:line="480" w:lineRule="auto"/>
      </w:pPr>
      <w:r>
        <w:t xml:space="preserve">The publication years in the sample run from 2013 to 2026, and this span has arithmetic consequences that ripple through both estimators. The recency index and the age index are computed from the same year field against different anchors, so within the sample they are exact linear complements: a record’s recency index plus its age index is a constant. This is not a problem for the two papers taken separately, because each uses only one of the two indices, but it does mean the two estimators are looking at the same temporal information from opposite ends. Paper 1 asks whether newer records carry more signal; Paper 2 asks whether older records carry more citations. The shared underlying year field is why the two temporal findings, when they arrive, can be read as complementary views of a single distribution rather than as independent facts</w:t>
      </w:r>
      <w:r>
        <w:t xml:space="preserve"> </w:t>
      </w:r>
      <w:hyperlink w:anchor="ref-6">
        <w:r>
          <w:rPr>
            <w:rStyle w:val="Hyperlink"/>
          </w:rPr>
          <w:t xml:space="preserve">[6]</w:t>
        </w:r>
      </w:hyperlink>
      <w:r>
        <w:t xml:space="preserve">.</w:t>
      </w:r>
    </w:p>
    <w:p>
      <w:pPr>
        <w:pStyle w:val="BodyText"/>
        <w:spacing w:line="480" w:lineRule="auto"/>
        <w:ind w:firstLine="720"/>
      </w:pPr>
      <w:r>
        <w:t xml:space="preserve">The span also determines how much temporal leverage each estimator has. Fourteen years is a reasonable spread, but the records are not evenly distributed across it. A cluster of records sits in the 2024 to 2026 window, reflecting the recency of the topic’s most active literature, while the older years are represented thinly. This uneven distribution means the temporal estimators lean heavily on the recent cluster, and the older records, being few, exert leverage out of proportion to their number. The measurement chapter records this so that the results chapter’s caution about the age elasticity reads as a consequence of the sample’s temporal shape rather than a generic disclaimer</w:t>
      </w:r>
      <w:r>
        <w:t xml:space="preserve"> </w:t>
      </w:r>
      <w:hyperlink w:anchor="ref-5">
        <w:r>
          <w:rPr>
            <w:rStyle w:val="Hyperlink"/>
          </w:rPr>
          <w:t xml:space="preserve">[5]</w:t>
        </w:r>
      </w:hyperlink>
      <w:r>
        <w:t xml:space="preserve">.</w:t>
      </w:r>
    </w:p>
    <w:bookmarkEnd w:id="116"/>
    <w:bookmarkStart w:id="117" w:name="what-a-richer-dataset-would-have-added"/>
    <w:p>
      <w:pPr>
        <w:pStyle w:val="Heading2"/>
        <w:spacing w:line="480" w:lineRule="auto"/>
      </w:pPr>
      <w:r>
        <w:t xml:space="preserve">5.10 What a richer dataset would have added</w:t>
      </w:r>
    </w:p>
    <w:p>
      <w:pPr>
        <w:pStyle w:val="FirstParagraph"/>
        <w:spacing w:line="480" w:lineRule="auto"/>
      </w:pPr>
      <w:r>
        <w:t xml:space="preserve">Describing what the present dataset lacks is itself a measurement contribution, because it specifies the target for the next collection. A richer dataset would add three things the current one cannot supply. It would add coverage, drawn from a sampling frame with known properties, so that statements could generalize from the sample to the field. It would add depth, in the form of human-coded assessments of each record’s substantive engagement with marginal-value arguments, breaking the confound between salience and metadata richness that the deterministic signal score cannot escape</w:t>
      </w:r>
      <w:r>
        <w:t xml:space="preserve"> </w:t>
      </w:r>
      <w:hyperlink w:anchor="ref-8">
        <w:r>
          <w:rPr>
            <w:rStyle w:val="Hyperlink"/>
          </w:rPr>
          <w:t xml:space="preserve">[8]</w:t>
        </w:r>
      </w:hyperlink>
      <w:r>
        <w:t xml:space="preserve">. And it would add attention breadth, replacing the coarse local citation index with a global attention measure that does not collapse most records to zero and compress the learning-curve outcome</w:t>
      </w:r>
      <w:r>
        <w:t xml:space="preserve"> </w:t>
      </w:r>
      <w:hyperlink w:anchor="ref-9">
        <w:r>
          <w:rPr>
            <w:rStyle w:val="Hyperlink"/>
          </w:rPr>
          <w:t xml:space="preserve">[9]</w:t>
        </w:r>
      </w:hyperlink>
      <w:r>
        <w:t xml:space="preserve">.</w:t>
      </w:r>
    </w:p>
    <w:p>
      <w:pPr>
        <w:pStyle w:val="BodyText"/>
        <w:spacing w:line="480" w:lineRule="auto"/>
        <w:ind w:firstLine="720"/>
      </w:pPr>
      <w:r>
        <w:t xml:space="preserve">Each of these additions targets a specific weakness the present measurement has exposed. Coverage addresses the generalization limit, depth addresses the proxy limit, and attention breadth addresses the compression limit. Naming them in the measurement chapter, rather than deferring them entirely to future work, makes the point that the dataset’s limitations are not vague inadequacies but precise, addressable gaps. A reader finishing this chapter should understand not only what the data are but exactly what the next data would have to be, and that specification is part of what a design-stage dissertation is for</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117"/>
    <w:bookmarkStart w:id="118" w:name="Xf3b11c45fab39b92be3059bbcd115695305fc7e"/>
    <w:p>
      <w:pPr>
        <w:pStyle w:val="Heading2"/>
        <w:spacing w:line="480" w:lineRule="auto"/>
      </w:pPr>
      <w:r>
        <w:t xml:space="preserve">5.11 The candidate’s own records within the corpus</w:t>
      </w:r>
    </w:p>
    <w:p>
      <w:pPr>
        <w:pStyle w:val="FirstParagraph"/>
        <w:spacing w:line="480" w:lineRule="auto"/>
      </w:pPr>
      <w:r>
        <w:t xml:space="preserve">A distinctive feature of the corpus deserves explicit treatment: several of the space-economy family records are the candidate’s own prior work and closely related governance documents, including a doctoral thesis proposing an international space reference architecture and a set of associated strategy documents. Their presence is not an accident to be scrubbed but a documented property of the retrieved set, and it carries a measurement consequence worth naming. These records sit at venue score three, carry zero local citations by construction, and contribute low signal scores because their titles engage governance vocabulary rather than the sensing theme vocabulary directly. They therefore anchor the high end of the venue scale with records that are, by the deterministic measure, low in topic signal.</w:t>
      </w:r>
    </w:p>
    <w:p>
      <w:pPr>
        <w:pStyle w:val="BodyText"/>
        <w:spacing w:line="480" w:lineRule="auto"/>
        <w:ind w:firstLine="720"/>
      </w:pPr>
      <w:r>
        <w:t xml:space="preserve">This composition matters for the venue coefficient in Paper 1. Because the highest venue-score records are also low-signal records, the venue variable and the signal outcome are negatively aligned at the top of the venue scale for reasons of documentary genre rather than substantive salience. The measurement chapter records this so that the negative venue coefficient the results chapter reports can be read with the composition in view: it reflects, in part, that governance documents phrase themselves in governance terms and score low on a sensing-theme counter, not that higher-tier venues intrinsically carry less of the topic. Naming the candidate’s own records and their genre effect is the kind of provenance transparency that lets a skeptic reconstruct exactly why a coefficient points the way it does, and it is the standard of disclosure the deterministic design is meant to uphold</w:t>
      </w:r>
      <w:r>
        <w:t xml:space="preserve"> </w:t>
      </w:r>
      <w:hyperlink w:anchor="ref-7">
        <w:r>
          <w:rPr>
            <w:rStyle w:val="Hyperlink"/>
          </w:rPr>
          <w:t xml:space="preserve">[7]</w:t>
        </w:r>
      </w:hyperlink>
      <w:r>
        <w:t xml:space="preserve"> </w:t>
      </w:r>
      <w:hyperlink w:anchor="ref-4">
        <w:r>
          <w:rPr>
            <w:rStyle w:val="Hyperlink"/>
          </w:rPr>
          <w:t xml:space="preserve">[4]</w:t>
        </w:r>
      </w:hyperlink>
      <w:r>
        <w:t xml:space="preserve">.</w:t>
      </w:r>
    </w:p>
    <w:bookmarkEnd w:id="118"/>
    <w:bookmarkStart w:id="119" w:name="from-data-to-estimator-without-a-gap"/>
    <w:p>
      <w:pPr>
        <w:pStyle w:val="Heading2"/>
        <w:spacing w:line="480" w:lineRule="auto"/>
      </w:pPr>
      <w:r>
        <w:t xml:space="preserve">5.12 From data to estimator, without a gap</w:t>
      </w:r>
    </w:p>
    <w:p>
      <w:pPr>
        <w:pStyle w:val="FirstParagraph"/>
        <w:spacing w:line="480" w:lineRule="auto"/>
      </w:pPr>
      <w:r>
        <w:t xml:space="preserve">The measurement chapter ends where the results chapter begins, and the seam between them is designed to be gapless. Every variable defined here feeds directly into one of the two estimators, with no intermediate transformation that a reader cannot see. The signal score, recency index, citation count, and venue score enter Paper 1 exactly as defined. The citation-plus-one outcome and the age index enter Paper 2 exactly as defined, with the only transformation being the natural logarithm the log-log form requires, itself specified in the configuration rather than chosen ad hoc. There is no hidden step between the data described here and the coefficients reported next, which is what allows the results to be treated as a direct reading of the measured record</w:t>
      </w:r>
      <w:r>
        <w:t xml:space="preserve"> </w:t>
      </w:r>
      <w:hyperlink w:anchor="ref-4">
        <w:r>
          <w:rPr>
            <w:rStyle w:val="Hyperlink"/>
          </w:rPr>
          <w:t xml:space="preserve">[4]</w:t>
        </w:r>
      </w:hyperlink>
      <w:r>
        <w:t xml:space="preserve">.</w:t>
      </w:r>
    </w:p>
    <w:p>
      <w:pPr>
        <w:pStyle w:val="BodyText"/>
        <w:spacing w:line="480" w:lineRule="auto"/>
        <w:ind w:firstLine="720"/>
      </w:pPr>
      <w:r>
        <w:t xml:space="preserve">This gaplessness is the measurement chapter’s ultimate contribution. A study whose data and results are separated by undocumented processing invites the suspicion that the processing, not the data, produced the finding. A study whose every variable is defined, whose every row is traceable, and whose only transformation is a stated logarithm leaves no room for that suspicion. The reader who has followed the construction of each variable can now turn to Chapter 6 and read the coefficients as summaries of exactly the record described here, with the confidence that nothing was done to the data between the description and the estimate. Delivering that confidence is why the measurement chapter has been so exhaustive about provenance, definition, distribution, and composition, and it is the foundation on which the results chapter’s every claim rests</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19"/>
    <w:bookmarkEnd w:id="120"/>
    <w:bookmarkStart w:id="130" w:name="chapter-6.-results"/>
    <w:p>
      <w:pPr>
        <w:pStyle w:val="Heading1"/>
        <w:spacing w:line="480" w:lineRule="auto"/>
      </w:pPr>
      <w:r>
        <w:t xml:space="preserve">Chapter 6. Results</w:t>
      </w:r>
    </w:p>
    <w:p>
      <w:pPr>
        <w:pStyle w:val="FirstParagraph"/>
        <w:spacing w:line="480" w:lineRule="auto"/>
      </w:pPr>
      <w:r>
        <w:t xml:space="preserve">This chapter reports the estimator output exactly as the two workbooks produced it and interprets the signs, magnitudes, and precision. The reporting is verbatim by design. Every coefficient, standard error, and p-value below is the deterministic output of the model fit on the thirty-record dataset described in Chapter 5, and any reader can regenerate it from the same data. The interpretation is governed by all three quantities together, never by sign alone, in keeping with the inference discipline the methodology set out</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Start w:id="121" w:name="paper-1-the-cross-sectional-signal-model"/>
    <w:p>
      <w:pPr>
        <w:pStyle w:val="Heading2"/>
        <w:spacing w:line="480" w:lineRule="auto"/>
      </w:pPr>
      <w:r>
        <w:t xml:space="preserve">6.1 Paper 1: the cross-sectional signal model</w:t>
      </w:r>
    </w:p>
    <w:p>
      <w:pPr>
        <w:pStyle w:val="FirstParagraph"/>
        <w:spacing w:line="480" w:lineRule="auto"/>
      </w:pPr>
      <w:r>
        <w:t xml:space="preserve">Paper 1 fits an ordinary least squares model of topic-signal intensity on recency, citation count, and venue family, with HC1 robust standard errors, across N equal to thirty records. The model summary is as follows. The coefficient of determination R-squared is 0.09065234926359655. The adjusted R-squared is -0.014272379667527035. The F-statistic is 0.8639400576721759, and its p-value is 0.4722236436512923.</w:t>
      </w:r>
    </w:p>
    <w:p>
      <w:pPr>
        <w:pStyle w:val="BodyText"/>
        <w:spacing w:line="480" w:lineRule="auto"/>
        <w:ind w:firstLine="720"/>
      </w:pPr>
      <w:r>
        <w:t xml:space="preserve">The term-level estimates are these. The constant is 3.621184401547415 with a p-value of 0.011508448018924696. The recency_index coefficient is 0.08949365494778494 with a p-value of 0.4398324544979858. The cites_num coefficient is -0.027988626980297145 with a p-value of 0.7568369190283221. The venue_score coefficient is -0.8470436006239968 with a p-value of 0.1283043931702309.</w:t>
      </w:r>
    </w:p>
    <w:p>
      <w:pPr>
        <w:pStyle w:val="BodyText"/>
        <w:spacing w:line="480" w:lineRule="auto"/>
        <w:ind w:firstLine="720"/>
      </w:pPr>
      <w:r>
        <w:t xml:space="preserve">Read the fit first. The model explains little. Roughly nine percent of the variance in signal score is accounted for, and the adjusted R-squared is slightly negative, which means that once the three predictors are penalized for the degrees of freedom they consume, the model does no better than the sample mean. That is a hard verdict, and it is the one the numbers hand down. The F-statistic of 0.86 with a p-value of 0.47 confirms the same verdict at the model level: the three predictors jointly fail to reject the null that they carry no explanatory power. This is a flat result, and the design anticipated that a flat result was a permissible and informative outcome rather than a failure</w:t>
      </w:r>
      <w:r>
        <w:t xml:space="preserve"> </w:t>
      </w:r>
      <w:hyperlink w:anchor="ref-5">
        <w:r>
          <w:rPr>
            <w:rStyle w:val="Hyperlink"/>
          </w:rPr>
          <w:t xml:space="preserve">[5]</w:t>
        </w:r>
      </w:hyperlink>
      <w:r>
        <w:t xml:space="preserve">.</w:t>
      </w:r>
    </w:p>
    <w:p>
      <w:pPr>
        <w:pStyle w:val="BodyText"/>
        <w:spacing w:line="480" w:lineRule="auto"/>
        <w:ind w:firstLine="720"/>
      </w:pPr>
      <w:r>
        <w:t xml:space="preserve">Now the terms. Look at the slopes. The constant, 3.62, is precisely estimated with a p-value of 0.012, which simply says the average signal score sits well above zero once the predictors are centered at their baselines; it carries no substantive claim about the topic’s trajectory. The three substantive coefficients are the interesting part, and none of them is precise. The recency coefficient is positive, 0.089, which points in the direction H1-1 predicted, newer records carrying more signal, but its p-value of 0.44 means the corpus cannot distinguish this slope from zero. The theory’s predicted sign appears; the data cannot certify it.</w:t>
      </w:r>
    </w:p>
    <w:p>
      <w:pPr>
        <w:pStyle w:val="BodyText"/>
        <w:spacing w:line="480" w:lineRule="auto"/>
        <w:ind w:firstLine="720"/>
      </w:pPr>
      <w:r>
        <w:t xml:space="preserve">The citation coefficient is small and negative, -0.028, with a p-value of 0.76. That sign runs against the naive expectation that more-cited records carry more signal, but the estimate is so imprecise that no weight can rest on its direction. The honest reading is that citation attention and topic signal are effectively unrelated in this corpus, net of recency and venue. The venue coefficient is the largest in magnitude, -0.847, and it is the closest to conventional significance with a p-value of 0.13, yet it still does not clear a standard threshold. Its negative sign says that, if anything, records in higher-numbered venue families carry lower deterministic signal scores, a pattern that the metadata-richness caveat from Chapter 4 can explain as easily as any substantive story: conference records with dense keyword fields can accrue more theme-term hits than terse journal abstracts, and the venue score is confounded with that documentation practice</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verdict is plain. Taken together, Paper 1 returns a null. The topic’s signal is not visibly organized by recency, citation attention, or venue family in the retrieved corpus at any precision that would license a claim. Under the diminishing-returns frame this is coherent with a topic that is either past its steep phase or represented by a corpus too small to reveal the structure, and the model, correctly, refuses to choose between those readings</w:t>
      </w:r>
      <w:r>
        <w:t xml:space="preserve"> </w:t>
      </w:r>
      <w:hyperlink w:anchor="ref-6">
        <w:r>
          <w:rPr>
            <w:rStyle w:val="Hyperlink"/>
          </w:rPr>
          <w:t xml:space="preserve">[6]</w:t>
        </w:r>
      </w:hyperlink>
      <w:r>
        <w:t xml:space="preserve">.</w:t>
      </w:r>
    </w:p>
    <w:bookmarkEnd w:id="121"/>
    <w:bookmarkStart w:id="122" w:name="paper-2-the-citation-learning-curve"/>
    <w:p>
      <w:pPr>
        <w:pStyle w:val="Heading2"/>
        <w:spacing w:line="480" w:lineRule="auto"/>
      </w:pPr>
      <w:r>
        <w:t xml:space="preserve">6.2 Paper 2: the citation learning curve</w:t>
      </w:r>
    </w:p>
    <w:p>
      <w:pPr>
        <w:pStyle w:val="FirstParagraph"/>
        <w:spacing w:line="480" w:lineRule="auto"/>
      </w:pPr>
      <w:r>
        <w:t xml:space="preserve">Paper 2 fits a log-log learning-curve model of citation accumulation on article age, with HC1 robust standard errors, across the same N equal to thirty records. The model summary is as follows. The R-squared is 0.020327715583262962. The estimated elasticity, the slope on log age, is -0.11779941000844421. The implied progress ratio, two raised to that slope, is 0.9215923140000543.</w:t>
      </w:r>
    </w:p>
    <w:p>
      <w:pPr>
        <w:pStyle w:val="BodyText"/>
        <w:spacing w:line="480" w:lineRule="auto"/>
        <w:ind w:firstLine="720"/>
      </w:pPr>
      <w:r>
        <w:t xml:space="preserve">The term-level estimates are these. The constant is 0.4440309659008181 with a p-value of 0.01765182944768462. The log-age coefficient, reported as _ln_x, is -0.11779941000844421 with a p-value of 0.16834089371590955.</w:t>
      </w:r>
    </w:p>
    <w:p>
      <w:pPr>
        <w:pStyle w:val="BodyText"/>
        <w:spacing w:line="480" w:lineRule="auto"/>
        <w:ind w:firstLine="720"/>
      </w:pPr>
      <w:r>
        <w:t xml:space="preserve">The fit is very low. An R-squared of 0.02 means article age explains about two percent of the variation in log citation stock, so age is nearly silent as an organizing variable in this corpus. The constant, 0.44, is precisely estimated at a p-value of 0.018, but like the constant in Paper 1 it is a baseline level, here the expected log citation stock for the youngest records, and it carries no shape claim. The shape claim lives entirely in the slope</w:t>
      </w:r>
      <w:r>
        <w:t xml:space="preserve"> </w:t>
      </w:r>
      <w:hyperlink w:anchor="ref-5">
        <w:r>
          <w:rPr>
            <w:rStyle w:val="Hyperlink"/>
          </w:rPr>
          <w:t xml:space="preserve">[5]</w:t>
        </w:r>
      </w:hyperlink>
      <w:r>
        <w:t xml:space="preserve">.</w:t>
      </w:r>
    </w:p>
    <w:p>
      <w:pPr>
        <w:pStyle w:val="BodyText"/>
        <w:spacing w:line="480" w:lineRule="auto"/>
        <w:ind w:firstLine="720"/>
      </w:pPr>
      <w:r>
        <w:t xml:space="preserve">The slope is the whole story here. The elasticity of citations to age is -0.118, with a p-value of 0.17. The negative sign is the theoretically ordinary one: older articles carry proportionally more citations, which is what one expects when a citation stock accrues over clock time. Translated through the progress-ratio transform, a slope of -0.118 implies that doubling an article’s age is associated with citations scaling by a factor of about 0.92, a gentle downward curve rather than a steep one. Yet the p-value of 0.17 means even this gentle elasticity cannot be distinguished from zero at conventional confidence. The learning curve is present in sign, absent in precision.</w:t>
      </w:r>
    </w:p>
    <w:p>
      <w:pPr>
        <w:pStyle w:val="BodyText"/>
        <w:spacing w:line="480" w:lineRule="auto"/>
        <w:ind w:firstLine="720"/>
      </w:pPr>
      <w:r>
        <w:t xml:space="preserve">Why so weak? Chapter 5 supplied the answer in advance. The citation counts are low and heavily skewed, most records carrying zero, so the plus-one transform compresses almost the entire sample into a narrow band of log values, leaving little variation for age to explain. A single 2023 record with ten local citations does much of the work, and thirty records cannot pin an elasticity that rests so heavily on one point. The venue-composition caveat compounds the weakness: age is entangled with which venue family the older records happen to occupy, so even the modest negative slope may reflect composition rather than aging</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22"/>
    <w:bookmarkStart w:id="123" w:name="reading-the-two-results-together"/>
    <w:p>
      <w:pPr>
        <w:pStyle w:val="Heading2"/>
        <w:spacing w:line="480" w:lineRule="auto"/>
      </w:pPr>
      <w:r>
        <w:t xml:space="preserve">6.3 Reading the two results together</w:t>
      </w:r>
    </w:p>
    <w:p>
      <w:pPr>
        <w:pStyle w:val="FirstParagraph"/>
        <w:spacing w:line="480" w:lineRule="auto"/>
      </w:pPr>
      <w:r>
        <w:t xml:space="preserve">The two estimators point the same way, and their agreement is the finding. Neither the cross-sectional model nor the temporal model recovers structure at a precision that would license a positive claim. Paper 1 finds the predicted recency sign but cannot certify it, finds no citation relationship, and finds a venue association that is plausibly an artifact of metadata richness. Paper 2 finds the ordinary negative age elasticity but cannot distinguish it from zero. On the hypotheses as stated, the corpus does not reject H0-1 and does not reject H0-2</w:t>
      </w:r>
      <w:r>
        <w:t xml:space="preserve"> </w:t>
      </w:r>
      <w:hyperlink w:anchor="ref-4">
        <w:r>
          <w:rPr>
            <w:rStyle w:val="Hyperlink"/>
          </w:rPr>
          <w:t xml:space="preserve">[4]</w:t>
        </w:r>
      </w:hyperlink>
      <w:r>
        <w:t xml:space="preserve">.</w:t>
      </w:r>
    </w:p>
    <w:p>
      <w:pPr>
        <w:pStyle w:val="BodyText"/>
        <w:spacing w:line="480" w:lineRule="auto"/>
        <w:ind w:firstLine="720"/>
      </w:pPr>
      <w:r>
        <w:t xml:space="preserve">This is not a disappointing outcome; it is a disciplined one. The design was built so that a null would produce a null claim rather than a hedge, and it has. What the two models establish, with recomputable numbers, is that this retrieved corpus of thirty records does not visibly encode the diminishing-returns structure the theory predicted, and that any stronger statement would require a larger, better-sampled, and more directly coded evidence base. The results chapter delivers exactly what the earlier chapters promised: an auditable measurement step whose modesty is its integrity, and whose flatness tells the next study precisely where the present data run out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23"/>
    <w:bookmarkStart w:id="124" w:name="X6afe5f8e98aa7bcfa6e4dfb98e946884f2e38d1"/>
    <w:p>
      <w:pPr>
        <w:pStyle w:val="Heading2"/>
        <w:spacing w:line="480" w:lineRule="auto"/>
      </w:pPr>
      <w:r>
        <w:t xml:space="preserve">6.4 Matching the results against the pre-committed checklist</w:t>
      </w:r>
    </w:p>
    <w:p>
      <w:pPr>
        <w:pStyle w:val="FirstParagraph"/>
        <w:spacing w:line="480" w:lineRule="auto"/>
      </w:pPr>
      <w:r>
        <w:t xml:space="preserve">Chapter 3 committed, before the numbers were seen, to three fingerprints. A steep, high-value topic would show a positive precise recency coefficient, a positive citation coefficient, and a shallow age elasticity. A mature, saturated topic would show flat cross-sectional coefficients and a pronounced negative age elasticity. A thin, uninformative corpus would show flat coefficients everywhere with wide standard errors. Holding the actual estimates against this checklist is the disciplined way to read them, because it prevents the interpretation from sliding to fit whatever appeared.</w:t>
      </w:r>
    </w:p>
    <w:p>
      <w:pPr>
        <w:pStyle w:val="BodyText"/>
        <w:spacing w:line="480" w:lineRule="auto"/>
        <w:ind w:firstLine="720"/>
      </w:pPr>
      <w:r>
        <w:t xml:space="preserve">The recency coefficient of 0.089 is positive, matching the steep-topic prediction in sign, but its p-value of 0.44 fails the precision the prediction required. The citation coefficient of -0.028 has the wrong sign for the steep-topic fingerprint and is anyway indistinguishable from zero at a p-value of 0.76. The age elasticity of -0.118 is negative, which the mature-topic fingerprint calls for, but at a p-value of 0.17 it is not the pronounced elasticity that fingerprint demands. No single fingerprint is cleanly matched. What the estimates most resemble is the third pattern: flat coefficients with standard errors too wide to certify any structure. The corpus reads as thin rather than as decisively steep or decisively saturated, and the checklist makes that reading explicit rather than impressionistic</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24"/>
    <w:bookmarkStart w:id="125" w:name="X84e71239ef4331eb683b9732345f2c8c798cd8b"/>
    <w:p>
      <w:pPr>
        <w:pStyle w:val="Heading2"/>
        <w:spacing w:line="480" w:lineRule="auto"/>
      </w:pPr>
      <w:r>
        <w:t xml:space="preserve">6.5 The magnitudes, taken seriously despite the imprecision</w:t>
      </w:r>
    </w:p>
    <w:p>
      <w:pPr>
        <w:pStyle w:val="FirstParagraph"/>
        <w:spacing w:line="480" w:lineRule="auto"/>
      </w:pPr>
      <w:r>
        <w:t xml:space="preserve">Precision aside, the magnitudes carry a little information worth extracting, provided it is extracted with the appropriate hedging. The recency coefficient of 0.089 implies that moving from the oldest record to the newest, a span of thirteen recency-index points, would raise the predicted signal score by roughly 1.2 points, which against an intercept of 3.62 is a modest but not trivial shift if it were real. The venue coefficient of -0.847 is the largest, implying that each step up the ordinal venue ladder is associated with nearly a full point lower signal score, and its p-value of 0.13 makes it the coefficient the corpus comes closest to certifying. Even here, the metadata-richness confound means the magnitude is as easily read as a documentation artifact as a substantive pattern, so the near-significance buys no substantive conclusion</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age elasticity of -0.118, translated through its progress ratio of 0.922, says that doubling an article’s age is associated with citation stock scaling by about 0.92, a decline of roughly eight percent per doubling. If that elasticity were precise it would describe a very gentle aging of the citation stock, far shallower than the aging one sees in mature literatures where older work dominates the citation counts. The shallowness, taken at face value, would point toward a young topic whose citations have not yet concentrated in its older records. The imprecision, at a p-value of 0.17, forbids taking it at face value, so the reading remains suggestive at most</w:t>
      </w:r>
      <w:r>
        <w:t xml:space="preserve"> </w:t>
      </w:r>
      <w:hyperlink w:anchor="ref-6">
        <w:r>
          <w:rPr>
            <w:rStyle w:val="Hyperlink"/>
          </w:rPr>
          <w:t xml:space="preserve">[6]</w:t>
        </w:r>
      </w:hyperlink>
      <w:r>
        <w:t xml:space="preserve">.</w:t>
      </w:r>
    </w:p>
    <w:bookmarkEnd w:id="125"/>
    <w:bookmarkStart w:id="126" w:name="X229d18cf53ff51bd6806b97a6790475faee59f6"/>
    <w:p>
      <w:pPr>
        <w:pStyle w:val="Heading2"/>
        <w:spacing w:line="480" w:lineRule="auto"/>
      </w:pPr>
      <w:r>
        <w:t xml:space="preserve">6.6 What the flat fit does and does not license</w:t>
      </w:r>
    </w:p>
    <w:p>
      <w:pPr>
        <w:pStyle w:val="FirstParagraph"/>
        <w:spacing w:line="480" w:lineRule="auto"/>
      </w:pPr>
      <w:r>
        <w:t xml:space="preserve">The negative adjusted R-squared in Paper 1 and the two-percent R-squared in Paper 2 are the clearest single facts in the chapter, and they license a specific, bounded statement. They license the claim that the chosen predictors, as measured on this corpus, carry almost no explanatory power for the chosen outcomes. They do not license the claim that no relationship exists in the wider field, because a thin, skewed, thirty-record corpus is exactly the setting in which real relationships routinely fail to surface. The distinction between absence of evidence and evidence of absence is the entire interpretive burden of a null result, and this chapter carries it deliberately: the evidence for structure is absent, and that absence is itself the finding, but it is not evidence that structure is absent from the field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results, read this way, are neither a failure nor a triumph. They are a measurement, reported at the precision the data allow, with an interpretation that travels exactly as far as that precision permits and no further. That is what the earlier chapters promised the results chapter would deliver, and the flat coefficients, far from undermining the dissertation, are the cleanest possible demonstration that the inference discipline held under a result that offered every temptation to overclaim and was not indulged</w:t>
      </w:r>
      <w:r>
        <w:t xml:space="preserve"> </w:t>
      </w:r>
      <w:hyperlink w:anchor="ref-2">
        <w:r>
          <w:rPr>
            <w:rStyle w:val="Hyperlink"/>
          </w:rPr>
          <w:t xml:space="preserve">[2]</w:t>
        </w:r>
      </w:hyperlink>
      <w:r>
        <w:t xml:space="preserve">.</w:t>
      </w:r>
    </w:p>
    <w:bookmarkEnd w:id="126"/>
    <w:bookmarkStart w:id="127" w:name="X60a33ed61c95f10621d611de69a21babdf25a30"/>
    <w:p>
      <w:pPr>
        <w:pStyle w:val="Heading2"/>
        <w:spacing w:line="480" w:lineRule="auto"/>
      </w:pPr>
      <w:r>
        <w:t xml:space="preserve">6.7 The constants, and why they are the only precise estimates</w:t>
      </w:r>
    </w:p>
    <w:p>
      <w:pPr>
        <w:pStyle w:val="FirstParagraph"/>
        <w:spacing w:line="480" w:lineRule="auto"/>
      </w:pPr>
      <w:r>
        <w:t xml:space="preserve">The single most significant fact in the numerical output is easy to overlook: the two most precisely estimated coefficients in the entire study are the two intercepts. Paper 1’s constant of 3.62 sits at a p-value of 0.012, and Paper 2’s constant of 0.44 sits at a p-value of 0.018, and both clear conventional thresholds while every substantive coefficient does not. This pattern is diagnostic rather than incidental. It says the models can locate the average level of each outcome quite well but cannot explain the variation around that average with the chosen predictors. A model that nails the intercept and misses every slope is a model describing a corpus whose outcomes are real and measurable but not organized by the variables on offer</w:t>
      </w:r>
      <w:r>
        <w:t xml:space="preserve"> </w:t>
      </w:r>
      <w:hyperlink w:anchor="ref-5">
        <w:r>
          <w:rPr>
            <w:rStyle w:val="Hyperlink"/>
          </w:rPr>
          <w:t xml:space="preserve">[5]</w:t>
        </w:r>
      </w:hyperlink>
      <w:r>
        <w:t xml:space="preserve">.</w:t>
      </w:r>
    </w:p>
    <w:p>
      <w:pPr>
        <w:pStyle w:val="BodyText"/>
        <w:spacing w:line="480" w:lineRule="auto"/>
        <w:ind w:firstLine="720"/>
      </w:pPr>
      <w:r>
        <w:t xml:space="preserve">That reading reinforces the thin-corpus interpretation from Section 6.4. If the topic signal were genuinely structured by recency, citations, and venue, the slopes would carry precision away from the intercept, and the intercept alone would not dominate. The fact that the intercepts stand while the slopes fall says the outcomes have a stable central tendency and idiosyncratic scatter, which is the numerical signature of a sample too small or too noisy to reveal whatever structure the field may possess. The precise intercepts are therefore not a consolation prize; they are part of the evidence that the corpus, not the estimator, is the binding constraint</w:t>
      </w:r>
      <w:r>
        <w:t xml:space="preserve"> </w:t>
      </w:r>
      <w:hyperlink w:anchor="ref-6">
        <w:r>
          <w:rPr>
            <w:rStyle w:val="Hyperlink"/>
          </w:rPr>
          <w:t xml:space="preserve">[6]</w:t>
        </w:r>
      </w:hyperlink>
      <w:r>
        <w:t xml:space="preserve">.</w:t>
      </w:r>
    </w:p>
    <w:bookmarkEnd w:id="127"/>
    <w:bookmarkStart w:id="128" w:name="reconciling-the-recency-and-age-findings"/>
    <w:p>
      <w:pPr>
        <w:pStyle w:val="Heading2"/>
        <w:spacing w:line="480" w:lineRule="auto"/>
      </w:pPr>
      <w:r>
        <w:t xml:space="preserve">6.8 Reconciling the recency and age findings</w:t>
      </w:r>
    </w:p>
    <w:p>
      <w:pPr>
        <w:pStyle w:val="FirstParagraph"/>
        <w:spacing w:line="480" w:lineRule="auto"/>
      </w:pPr>
      <w:r>
        <w:t xml:space="preserve">The recency coefficient in Paper 1 and the age elasticity in Paper 2 look at the same underlying year field from opposite ends, and reconciling them tightens the interpretation. Paper 1 found a positive but imprecise recency slope, hinting that newer records might carry more signal. Paper 2 found a negative but imprecise age elasticity, hinting that older records might carry more citations. Taken at face value, these two hints are mutually consistent and paint a coherent, if faint, picture: a topic whose signal concentrates in recent work while its citation stock still tilts, weakly, toward older work that has had longer to accrue attention. That picture is the ordinary condition of a maturing but still-active literature</w:t>
      </w:r>
      <w:r>
        <w:t xml:space="preserve"> </w:t>
      </w:r>
      <w:hyperlink w:anchor="ref-6">
        <w:r>
          <w:rPr>
            <w:rStyle w:val="Hyperlink"/>
          </w:rPr>
          <w:t xml:space="preserve">[6]</w:t>
        </w:r>
      </w:hyperlink>
      <w:r>
        <w:t xml:space="preserve">.</w:t>
      </w:r>
    </w:p>
    <w:p>
      <w:pPr>
        <w:pStyle w:val="BodyText"/>
        <w:spacing w:line="480" w:lineRule="auto"/>
        <w:ind w:firstLine="720"/>
      </w:pPr>
      <w:r>
        <w:t xml:space="preserve">The reconciliation must be stated at the precision the estimates permit, which is very little. Neither the recency slope at a p-value of 0.44 nor the age elasticity at a p-value of 0.17 is distinguishable from zero, so the coherent picture they jointly suggest is a picture drawn in faint pencil that the data cannot ink in. The honest summary is that the two temporal views do not contradict each other and lean, jointly, toward a maturing-topic reading, but that neither view is sharp enough to certify that reading against the null. Reporting the coherence while refusing to overclaim it is exactly the balance the results chapter was built to strike, and it is the last thing the numbers permit before the discussion takes over</w:t>
      </w:r>
      <w:r>
        <w:t xml:space="preserve"> </w:t>
      </w:r>
      <w:hyperlink w:anchor="ref-5">
        <w:r>
          <w:rPr>
            <w:rStyle w:val="Hyperlink"/>
          </w:rPr>
          <w:t xml:space="preserve">[5]</w:t>
        </w:r>
      </w:hyperlink>
      <w:r>
        <w:t xml:space="preserve"> </w:t>
      </w:r>
      <w:hyperlink w:anchor="ref-2">
        <w:r>
          <w:rPr>
            <w:rStyle w:val="Hyperlink"/>
          </w:rPr>
          <w:t xml:space="preserve">[2]</w:t>
        </w:r>
      </w:hyperlink>
      <w:r>
        <w:t xml:space="preserve">.</w:t>
      </w:r>
    </w:p>
    <w:bookmarkEnd w:id="128"/>
    <w:bookmarkStart w:id="129" w:name="a-tabular-summary-of-the-two-fits"/>
    <w:p>
      <w:pPr>
        <w:pStyle w:val="Heading2"/>
        <w:spacing w:line="480" w:lineRule="auto"/>
      </w:pPr>
      <w:r>
        <w:t xml:space="preserve">6.9 A tabular summary of the two fits</w:t>
      </w:r>
    </w:p>
    <w:p>
      <w:pPr>
        <w:pStyle w:val="FirstParagraph"/>
        <w:spacing w:line="480" w:lineRule="auto"/>
      </w:pPr>
      <w:r>
        <w:t xml:space="preserve">Collecting the numbers in one place fixes them for the record and makes the joint reading easy to check. For Paper 1, the ordinary least squares model on thirty records returned an R-squared of 0.09065234926359655, an adjusted R-squared of -0.014272379667527035, and an F-statistic of 0.8639400576721759 with a p-value of 0.4722236436512923. Its four terms were: constant 3.621184401547415 at p-value 0.011508448018924696; recency_index 0.08949365494778494 at p-value 0.4398324544979858; cites_num -0.027988626980297145 at p-value 0.7568369190283221; and venue_score -0.8470436006239968 at p-value 0.1283043931702309.</w:t>
      </w:r>
    </w:p>
    <w:p>
      <w:pPr>
        <w:pStyle w:val="BodyText"/>
        <w:spacing w:line="480" w:lineRule="auto"/>
        <w:ind w:firstLine="720"/>
      </w:pPr>
      <w:r>
        <w:t xml:space="preserve">For Paper 2, the log-log learning-curve model on thirty records returned an R-squared of 0.020327715583262962, an elasticity of -0.11779941000844421, and an implied progress ratio of 0.9215923140000543. Its two terms were: constant 0.4440309659008181 at p-value 0.01765182944768462; and log-age -0.11779941000844421 at p-value 0.16834089371590955. Every figure in this summary matches the workbook output to its full reported precision, and the summary exists so that any reader can hold the complete numerical result in a single view before turning to the discussion that interprets it. The pattern across both fits is consistent: precise intercepts, imprecise slopes, low explanatory power, and no coefficient on a substantive predictor that clears a conventional threshold. That pattern, stated once more in compact form, is the empirical result the remaining chapters build upon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29"/>
    <w:bookmarkEnd w:id="130"/>
    <w:bookmarkStart w:id="142"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flat, and the discussion has to earn its keep by explaining why a flat result is worth reading. A study that only reports significant coefficients teaches a field to fear its own null findings, and a field that fears nulls will overclaim. This chapter interprets what the two null screens mean for the diminishing-returns question, catalogs the threats to validity honestly, and draws the boundary between what the data show and what they cannot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Start w:id="131" w:name="what-a-double-null-actually-says"/>
    <w:p>
      <w:pPr>
        <w:pStyle w:val="Heading2"/>
        <w:spacing w:line="480" w:lineRule="auto"/>
      </w:pPr>
      <w:r>
        <w:t xml:space="preserve">7.1 What a double null actually says</w:t>
      </w:r>
    </w:p>
    <w:p>
      <w:pPr>
        <w:pStyle w:val="FirstParagraph"/>
        <w:spacing w:line="480" w:lineRule="auto"/>
      </w:pPr>
      <w:r>
        <w:t xml:space="preserve">Both estimators failed to reject their nulls. Neither model found structure. Paper 1 could not certify that topic signal is organized by recency, citation attention, or venue family. Paper 2 could not distinguish the citation-age elasticity from zero. It would be a mistake to read this as evidence that no structure exists, and an equal mistake to read it as evidence that the diminishing-returns frame is wrong. A null screen on a thirty-record corpus is consistent with several very different worlds, and the discipline of the discussion is to hold those worlds open rather than collapse them into a convenient conclusion.</w:t>
      </w:r>
    </w:p>
    <w:p>
      <w:pPr>
        <w:pStyle w:val="BodyText"/>
        <w:spacing w:line="480" w:lineRule="auto"/>
        <w:ind w:firstLine="720"/>
      </w:pPr>
      <w:r>
        <w:t xml:space="preserve">One world is a saturated topic. If sensing has already been heavily worked, its own marginal returns have fallen, its recent literature has thinned, and its signal no longer concentrates in newer, higher-venue records, so the flat coefficients are exactly what a topic past its steep phase would produce</w:t>
      </w:r>
      <w:r>
        <w:t xml:space="preserve"> </w:t>
      </w:r>
      <w:hyperlink w:anchor="ref-6">
        <w:r>
          <w:rPr>
            <w:rStyle w:val="Hyperlink"/>
          </w:rPr>
          <w:t xml:space="preserve">[6]</w:t>
        </w:r>
      </w:hyperlink>
      <w:r>
        <w:t xml:space="preserve">. A second world is a young, fast-moving topic whose citation stock has not had time to accumulate, so age explains almost nothing and the learning curve stays flat</w:t>
      </w:r>
      <w:r>
        <w:t xml:space="preserve"> </w:t>
      </w:r>
      <w:hyperlink w:anchor="ref-5">
        <w:r>
          <w:rPr>
            <w:rStyle w:val="Hyperlink"/>
          </w:rPr>
          <w:t xml:space="preserve">[5]</w:t>
        </w:r>
      </w:hyperlink>
      <w:r>
        <w:t xml:space="preserve">. A third world is a measurement world, in which the structure is real but the corpus is too small and too noisy to reveal it. The estimators cannot referee among these three, and the honest discussion refuses to pretend otherwise.</w:t>
      </w:r>
    </w:p>
    <w:p>
      <w:pPr>
        <w:pStyle w:val="BodyText"/>
        <w:spacing w:line="480" w:lineRule="auto"/>
        <w:ind w:firstLine="720"/>
      </w:pPr>
      <w:r>
        <w:t xml:space="preserve">What the double null does establish is a negative that has value. It rules out the strong, tidy story in which this particular retrieved corpus visibly and precisely encodes rising perceived value across time, attention, and venue. That story would have shown up as significant positive recency and citation coefficients and a sharp age elasticity, and it did not. A field tempted to assert that the marginal-value literature is obviously surging cannot point to this corpus for support, and knowing that is worth more than a manufactured confirmation</w:t>
      </w:r>
      <w:r>
        <w:t xml:space="preserve"> </w:t>
      </w:r>
      <w:hyperlink w:anchor="ref-2">
        <w:r>
          <w:rPr>
            <w:rStyle w:val="Hyperlink"/>
          </w:rPr>
          <w:t xml:space="preserve">[2]</w:t>
        </w:r>
      </w:hyperlink>
      <w:r>
        <w:t xml:space="preserve">.</w:t>
      </w:r>
    </w:p>
    <w:bookmarkEnd w:id="131"/>
    <w:bookmarkStart w:id="132" w:name="threats-to-validity"/>
    <w:p>
      <w:pPr>
        <w:pStyle w:val="Heading2"/>
        <w:spacing w:line="480" w:lineRule="auto"/>
      </w:pPr>
      <w:r>
        <w:t xml:space="preserve">7.2 Threats to validity</w:t>
      </w:r>
    </w:p>
    <w:p>
      <w:pPr>
        <w:pStyle w:val="FirstParagraph"/>
        <w:spacing w:line="480" w:lineRule="auto"/>
      </w:pPr>
      <w:r>
        <w:t xml:space="preserve">Four threats govern how far the interpretation can travel, and each was named before the results were seen so that the results could not be reverse-engineered to dodge them.</w:t>
      </w:r>
    </w:p>
    <w:p>
      <w:pPr>
        <w:pStyle w:val="BodyText"/>
        <w:spacing w:line="480" w:lineRule="auto"/>
        <w:ind w:firstLine="720"/>
      </w:pPr>
      <w:r>
        <w:t xml:space="preserve">Source selection is the first and largest. It is also the hardest to fix. The corpus is a retrieved set, not a sample from a frame with known coverage, so it may over-represent the venues and years the retrieval happened to surface and under-represent quieter corners of the literature. A different retrieval could yield a different signal distribution, and nothing in the design bounds that variation. Every coefficient therefore describes this corpus, not the field, and the gap between the two is unmeasured</w:t>
      </w:r>
      <w:r>
        <w:t xml:space="preserve"> </w:t>
      </w:r>
      <w:hyperlink w:anchor="ref-7">
        <w:r>
          <w:rPr>
            <w:rStyle w:val="Hyperlink"/>
          </w:rPr>
          <w:t xml:space="preserve">[7]</w:t>
        </w:r>
      </w:hyperlink>
      <w:r>
        <w:t xml:space="preserve">.</w:t>
      </w:r>
    </w:p>
    <w:p>
      <w:pPr>
        <w:pStyle w:val="BodyText"/>
        <w:spacing w:line="480" w:lineRule="auto"/>
        <w:ind w:firstLine="720"/>
      </w:pPr>
      <w:r>
        <w:t xml:space="preserve">Proxy measurement is the second. The signal score is a deterministic count of theme-term hits, and it measures documentation practice as much as substantive salience. A record with a long title, rich keywords, and full author metadata scores higher for reasons that have nothing to do with whether the marginal value of a sensor is actually rising in the world</w:t>
      </w:r>
      <w:r>
        <w:t xml:space="preserve"> </w:t>
      </w:r>
      <w:hyperlink w:anchor="ref-8">
        <w:r>
          <w:rPr>
            <w:rStyle w:val="Hyperlink"/>
          </w:rPr>
          <w:t xml:space="preserve">[8]</w:t>
        </w:r>
      </w:hyperlink>
      <w:r>
        <w:t xml:space="preserve">. Citation counts share the problem in a different key: they are local index values, not global totals, so they understate the true attention many records command and compress the outcome in Paper 2 into an uninformative band.</w:t>
      </w:r>
    </w:p>
    <w:p>
      <w:pPr>
        <w:pStyle w:val="BodyText"/>
        <w:spacing w:line="480" w:lineRule="auto"/>
        <w:ind w:firstLine="720"/>
      </w:pPr>
      <w:r>
        <w:t xml:space="preserve">Omitted variables are the third. A metadata model cannot include the technical, institutional, and market forces that actually drive attention to a sensing topic, so the coefficients absorb whatever those forces leave in the observable fields. The venue coefficient in particular is entangled with metadata richness, and the age elasticity is entangled with venue composition, so neither can be read as clean</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p>
      <w:pPr>
        <w:pStyle w:val="BodyText"/>
        <w:spacing w:line="480" w:lineRule="auto"/>
        <w:ind w:firstLine="720"/>
      </w:pPr>
      <w:r>
        <w:t xml:space="preserve">Small-sample fragility is the fourth. Thirty records give the estimators little room, and a single unusual row can swing a coefficient. The 2023 record carrying ten local citations does much of the work in the learning curve, and the venue coefficient rests on the thin slice of records in the higher venue families. Robust standard errors keep the inference honest, but they cannot manufacture precision the sample does not contain</w:t>
      </w:r>
      <w:r>
        <w:t xml:space="preserve"> </w:t>
      </w:r>
      <w:hyperlink w:anchor="ref-3">
        <w:r>
          <w:rPr>
            <w:rStyle w:val="Hyperlink"/>
          </w:rPr>
          <w:t xml:space="preserve">[3]</w:t>
        </w:r>
      </w:hyperlink>
      <w:r>
        <w:t xml:space="preserve">.</w:t>
      </w:r>
    </w:p>
    <w:bookmarkEnd w:id="132"/>
    <w:bookmarkStart w:id="133" w:name="what-the-data-cannot-show"/>
    <w:p>
      <w:pPr>
        <w:pStyle w:val="Heading2"/>
        <w:spacing w:line="480" w:lineRule="auto"/>
      </w:pPr>
      <w:r>
        <w:t xml:space="preserve">7.3 What the data cannot show</w:t>
      </w:r>
    </w:p>
    <w:p>
      <w:pPr>
        <w:pStyle w:val="FirstParagraph"/>
        <w:spacing w:line="480" w:lineRule="auto"/>
      </w:pPr>
      <w:r>
        <w:t xml:space="preserve">It is worth being blunt about the ceiling. This design cannot measure the marginal value of an additional sensor. It never could, and the prospectus said so. The estimators screen a literature; they do not instrument a sensor network, do not observe an information-gain curve, and do not identify a causal effect of adding capacity. The bridge from the corpus claim to the network claim rests on an auxiliary premise, that a field’s attention tracks the value it perceives, and that premise is itself untested here. If the premise fails, the flat coefficients say nothing about sensors at all, only about how this corpus happens to be arranged</w:t>
      </w:r>
      <w:r>
        <w:t xml:space="preserve"> </w:t>
      </w:r>
      <w:hyperlink w:anchor="ref-1">
        <w:r>
          <w:rPr>
            <w:rStyle w:val="Hyperlink"/>
          </w:rPr>
          <w:t xml:space="preserve">[1]</w:t>
        </w:r>
      </w:hyperlink>
      <w:r>
        <w:t xml:space="preserve">.</w:t>
      </w:r>
    </w:p>
    <w:p>
      <w:pPr>
        <w:pStyle w:val="BodyText"/>
        <w:spacing w:line="480" w:lineRule="auto"/>
        <w:ind w:firstLine="720"/>
      </w:pPr>
      <w:r>
        <w:t xml:space="preserve">The data also cannot separate the three worlds of Section 7.1. Distinguishing a saturated topic from a young topic from a noisy corpus would require a longer time series, a sampling frame with known coverage, and a direct measure of information gain rather than a metadata proxy. None of those is present, so the discussion stops where the evidence stops. That restraint is not weakness; it is the whole point of building a design that scales its claims to its data</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33"/>
    <w:bookmarkStart w:id="134" w:name="why-the-exercise-was-still-worth-running"/>
    <w:p>
      <w:pPr>
        <w:pStyle w:val="Heading2"/>
        <w:spacing w:line="480" w:lineRule="auto"/>
      </w:pPr>
      <w:r>
        <w:t xml:space="preserve">7.4 Why the exercise was still worth running</w:t>
      </w:r>
    </w:p>
    <w:p>
      <w:pPr>
        <w:pStyle w:val="FirstParagraph"/>
        <w:spacing w:line="480" w:lineRule="auto"/>
      </w:pPr>
      <w:r>
        <w:t xml:space="preserve">A skeptic might ask what a double null on a tiny corpus contributes. The answer is method as much as substance. The study demonstrates, end to end, how to convert a confident domain intuition into variables, fit transparent estimators, and report the result without inflation. That pathway is reusable. A future analyst with a larger, better-sampled corpus can run the same two screens, and if structure exists it will surface with precision the present sample could not supply. The design has calibrated the instrument and shown its floor</w:t>
      </w:r>
      <w:r>
        <w:t xml:space="preserve"> </w:t>
      </w:r>
      <w:hyperlink w:anchor="ref-7">
        <w:r>
          <w:rPr>
            <w:rStyle w:val="Hyperlink"/>
          </w:rPr>
          <w:t xml:space="preserve">[7]</w:t>
        </w:r>
      </w:hyperlink>
      <w:r>
        <w:t xml:space="preserve">.</w:t>
      </w:r>
    </w:p>
    <w:p>
      <w:pPr>
        <w:pStyle w:val="BodyText"/>
        <w:spacing w:line="480" w:lineRule="auto"/>
        <w:ind w:firstLine="720"/>
      </w:pPr>
      <w:r>
        <w:t xml:space="preserve">There is a governance dividend too. Decision makers in surveillance architecture, lunar traffic management, and catalog investment routinely face arguments that a sensing topic is surging and demands funding now. This dissertation models a way to test such arguments against a record rather than accept them on rhetoric, and it shows that when the record is thin the responsible answer is to say so</w:t>
      </w:r>
      <w:r>
        <w:t xml:space="preserve"> </w:t>
      </w:r>
      <w:hyperlink w:anchor="ref-6">
        <w:r>
          <w:rPr>
            <w:rStyle w:val="Hyperlink"/>
          </w:rPr>
          <w:t xml:space="preserve">[6]</w:t>
        </w:r>
      </w:hyperlink>
      <w:r>
        <w:t xml:space="preserve">. A claim that survives source tracing, variable construction, and robust estimation deserves more weight than one that does not, and a claim that fails those tests has been usefully prevented from hardening into false confidence. That is the contribution the flat results secure, and Chapter 8 draws it to a close</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bookmarkEnd w:id="134"/>
    <w:bookmarkStart w:id="135" w:name="the-asymmetry-between-the-two-nulls"/>
    <w:p>
      <w:pPr>
        <w:pStyle w:val="Heading2"/>
        <w:spacing w:line="480" w:lineRule="auto"/>
      </w:pPr>
      <w:r>
        <w:t xml:space="preserve">7.5 The asymmetry between the two nulls</w:t>
      </w:r>
    </w:p>
    <w:p>
      <w:pPr>
        <w:pStyle w:val="FirstParagraph"/>
        <w:spacing w:line="480" w:lineRule="auto"/>
      </w:pPr>
      <w:r>
        <w:t xml:space="preserve">The two null results are not equally informative, and treating them as interchangeable would blur a distinction the design worked to preserve. Paper 1’s null is the more surprising of the two. The cross-sectional model had three predictors and a full range of signal-score variation to explain, so its failure to find any precise structure is a genuine absence rather than a foregone conclusion. Something could have shown up there, and nothing did. Paper 2’s null is closer to expected. The compression introduced by the plus-one transform on a zero-dominated citation distribution left the outcome with little variance for age to explain, so a weak fit was likely from the outset, and the null largely confirms a limitation the measurement chapter had already flagged</w:t>
      </w:r>
      <w:r>
        <w:t xml:space="preserve"> </w:t>
      </w:r>
      <w:hyperlink w:anchor="ref-6">
        <w:r>
          <w:rPr>
            <w:rStyle w:val="Hyperlink"/>
          </w:rPr>
          <w:t xml:space="preserve">[6]</w:t>
        </w:r>
      </w:hyperlink>
      <w:r>
        <w:t xml:space="preserve">.</w:t>
      </w:r>
    </w:p>
    <w:p>
      <w:pPr>
        <w:pStyle w:val="BodyText"/>
        <w:spacing w:line="480" w:lineRule="auto"/>
        <w:ind w:firstLine="720"/>
      </w:pPr>
      <w:r>
        <w:t xml:space="preserve">This asymmetry matters for how the two results should be weighted in any downstream use. Paper 1’s flatness is evidence about the corpus that a larger sample might overturn, because the predictors and outcome had room to move and did not. Paper 2’s flatness is as much a statement about the citation index’s coarseness as about the topic, because the outcome was compressed before age ever entered the model. A future study should therefore treat the two nulls differently: expand the sample to give Paper 1’s predictors a fair test, and replace the local citation index with a richer attention measure before rerunning Paper 2 at all. Reading both nulls as a single undifferentiated failure would miss this actionable distinction</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35"/>
    <w:bookmarkStart w:id="136" w:name="generalization-and-its-precise-limit"/>
    <w:p>
      <w:pPr>
        <w:pStyle w:val="Heading2"/>
        <w:spacing w:line="480" w:lineRule="auto"/>
      </w:pPr>
      <w:r>
        <w:t xml:space="preserve">7.6 Generalization and its precise limit</w:t>
      </w:r>
    </w:p>
    <w:p>
      <w:pPr>
        <w:pStyle w:val="FirstParagraph"/>
        <w:spacing w:line="480" w:lineRule="auto"/>
      </w:pPr>
      <w:r>
        <w:t xml:space="preserve">The most seductive error available to a reader of this dissertation would be to generalize the flat corpus into a claim about the sensing field. The design forbids this, and the reason is structural rather than cautionary. Generalization from a sample to a population requires that the sample bear a known relationship to the population, and a retrieved set of records bears no such known relationship. It is not a random draw, not a stratified draw, and not a census; it is whatever the retrieval surfaced, and the mapping from that set to the field is unmeasured and unmeasurable within the present design</w:t>
      </w:r>
      <w:r>
        <w:t xml:space="preserve"> </w:t>
      </w:r>
      <w:hyperlink w:anchor="ref-7">
        <w:r>
          <w:rPr>
            <w:rStyle w:val="Hyperlink"/>
          </w:rPr>
          <w:t xml:space="preserve">[7]</w:t>
        </w:r>
      </w:hyperlink>
      <w:r>
        <w:t xml:space="preserve">.</w:t>
      </w:r>
    </w:p>
    <w:p>
      <w:pPr>
        <w:pStyle w:val="BodyText"/>
        <w:spacing w:line="480" w:lineRule="auto"/>
        <w:ind w:firstLine="720"/>
      </w:pPr>
      <w:r>
        <w:t xml:space="preserve">This limit is worth stating in its strongest form so that no softer reading survives. Nothing in this dissertation supports a sentence of the form the sensing literature shows no structure. Every finding is of the form this retrieved corpus of thirty records shows no precise structure, and the two sentences are not close. The gap between them is exactly the coverage uncertainty that a sampling frame would resolve and that this design leaves open. A reader who respects that gap will use the study as a demonstrated method and a calibrated floor, and a reader who ignores it will draw a conclusion the numbers cannot bear. The whole point of the limitations chapter is to make the second reading impossible to defend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36"/>
    <w:bookmarkStart w:id="137" w:name="Xd0a8eb4efd3ae2b5b7bf23b0858cfa37c3e8276"/>
    <w:p>
      <w:pPr>
        <w:pStyle w:val="Heading2"/>
        <w:spacing w:line="480" w:lineRule="auto"/>
      </w:pPr>
      <w:r>
        <w:t xml:space="preserve">7.7 Situating the nulls within the domain literature</w:t>
      </w:r>
    </w:p>
    <w:p>
      <w:pPr>
        <w:pStyle w:val="FirstParagraph"/>
        <w:spacing w:line="480" w:lineRule="auto"/>
      </w:pPr>
      <w:r>
        <w:t xml:space="preserve">The flat results, rather than sitting awkwardly against the domain literature, actually cohere with parts of it. The capacity-assessment work that found tools of different fidelities disagreeing about capacity already implied that the marginal-value quantity is unstable and model-dependent</w:t>
      </w:r>
      <w:r>
        <w:t xml:space="preserve"> </w:t>
      </w:r>
      <w:hyperlink w:anchor="ref-7">
        <w:r>
          <w:rPr>
            <w:rStyle w:val="Hyperlink"/>
          </w:rPr>
          <w:t xml:space="preserve">[7]</w:t>
        </w:r>
      </w:hyperlink>
      <w:r>
        <w:t xml:space="preserve">. A corpus that fails to show clean structure in how it discusses that quantity is, if anything, consistent with a field whose central measurement is genuinely contested rather than settled. The architecture literature’s turn toward coordination and standards, away from raw sensor count, similarly fits a picture in which the simple add-a-sensor story has lost its grip</w:t>
      </w:r>
      <w:r>
        <w:t xml:space="preserve"> </w:t>
      </w:r>
      <w:hyperlink w:anchor="ref-6">
        <w:r>
          <w:rPr>
            <w:rStyle w:val="Hyperlink"/>
          </w:rPr>
          <w:t xml:space="preserve">[6]</w:t>
        </w:r>
      </w:hyperlink>
      <w:r>
        <w:t xml:space="preserve">. The dissertation cannot prove these connections, but it can note that its nulls are at home in a literature that is itself unsettled about the marginal value of sensing, and that coherence is a modest form of external plausibility for an otherwise inward-looking result</w:t>
      </w:r>
      <w:r>
        <w:t xml:space="preserve"> </w:t>
      </w:r>
      <w:hyperlink w:anchor="ref-2">
        <w:r>
          <w:rPr>
            <w:rStyle w:val="Hyperlink"/>
          </w:rPr>
          <w:t xml:space="preserve">[2]</w:t>
        </w:r>
      </w:hyperlink>
      <w:r>
        <w:t xml:space="preserve">.</w:t>
      </w:r>
    </w:p>
    <w:bookmarkEnd w:id="137"/>
    <w:bookmarkStart w:id="138" w:name="the-temptation-to-run-more-models"/>
    <w:p>
      <w:pPr>
        <w:pStyle w:val="Heading2"/>
        <w:spacing w:line="480" w:lineRule="auto"/>
      </w:pPr>
      <w:r>
        <w:t xml:space="preserve">7.8 The temptation to run more models</w:t>
      </w:r>
    </w:p>
    <w:p>
      <w:pPr>
        <w:pStyle w:val="FirstParagraph"/>
        <w:spacing w:line="480" w:lineRule="auto"/>
      </w:pPr>
      <w:r>
        <w:t xml:space="preserve">A natural response to a double null is to reach for more specifications until one turns significant, and the discussion owes an explicit account of why the design refuses that path. With thirty records and a handful of variables, an analyst willing to try enough transformations, subsets, and interactions would eventually find a coefficient that clears a threshold, and that coefficient would be an artifact of the search rather than a property of the world. The more models a study runs on a fixed small sample, the more certain it becomes that at least one will look significant by chance, and reporting only that one would be the purest form of the overclaiming the design exists to prevent</w:t>
      </w:r>
      <w:r>
        <w:t xml:space="preserve"> </w:t>
      </w:r>
      <w:hyperlink w:anchor="ref-3">
        <w:r>
          <w:rPr>
            <w:rStyle w:val="Hyperlink"/>
          </w:rPr>
          <w:t xml:space="preserve">[3]</w:t>
        </w:r>
      </w:hyperlink>
      <w:r>
        <w:t xml:space="preserve">.</w:t>
      </w:r>
    </w:p>
    <w:p>
      <w:pPr>
        <w:pStyle w:val="BodyText"/>
        <w:spacing w:line="480" w:lineRule="auto"/>
        <w:ind w:firstLine="720"/>
      </w:pPr>
      <w:r>
        <w:t xml:space="preserve">The pre-committed checklist from Chapter 3 is the safeguard against this temptation, and the results honored it. Two models were specified before the data were examined, each tied to a directional hypothesis, and both were reported in full regardless of outcome. No third model was fit to rescue a significant result, no subset was dropped to sharpen a coefficient, and no interaction was added to manufacture structure. This restraint is not a limitation of the analysis; it is the analysis. A study that reports its pre-specified models and stops has produced a more trustworthy null than a study that searched until it found something, and the trustworthiness of the null is the whole value on offer here</w:t>
      </w:r>
      <w:r>
        <w:t xml:space="preserve"> </w:t>
      </w:r>
      <w:hyperlink w:anchor="ref-5">
        <w:r>
          <w:rPr>
            <w:rStyle w:val="Hyperlink"/>
          </w:rPr>
          <w:t xml:space="preserve">[5]</w:t>
        </w:r>
      </w:hyperlink>
      <w:r>
        <w:t xml:space="preserve">.</w:t>
      </w:r>
    </w:p>
    <w:bookmarkEnd w:id="138"/>
    <w:bookmarkStart w:id="139" w:name="Xdd292eae1dabccea9b7757891952ce7e48d5870"/>
    <w:p>
      <w:pPr>
        <w:pStyle w:val="Heading2"/>
        <w:spacing w:line="480" w:lineRule="auto"/>
      </w:pPr>
      <w:r>
        <w:t xml:space="preserve">7.9 Implications for how the field should argue</w:t>
      </w:r>
    </w:p>
    <w:p>
      <w:pPr>
        <w:pStyle w:val="FirstParagraph"/>
        <w:spacing w:line="480" w:lineRule="auto"/>
      </w:pPr>
      <w:r>
        <w:t xml:space="preserve">The deepest implication of the discussion is not about sensors at all but about how the field argues about them. The marginal-value claim circulates as an intuition strong enough to move budgets, and intuitions that move budgets deserve to be tested rather than repeated. This dissertation shows what testing one such intuition actually looks like: it looks like assembling a real corpus, building deterministic variables, fitting transparent models, and accepting a flat result when a flat result is what the evidence yields. That process is unglamorous, and its product here is a null, but the process is exactly what a field converts from opinion into knowledge</w:t>
      </w:r>
      <w:r>
        <w:t xml:space="preserve"> </w:t>
      </w:r>
      <w:hyperlink w:anchor="ref-4">
        <w:r>
          <w:rPr>
            <w:rStyle w:val="Hyperlink"/>
          </w:rPr>
          <w:t xml:space="preserve">[4]</w:t>
        </w:r>
      </w:hyperlink>
      <w:r>
        <w:t xml:space="preserve">.</w:t>
      </w:r>
    </w:p>
    <w:p>
      <w:pPr>
        <w:pStyle w:val="BodyText"/>
        <w:spacing w:line="480" w:lineRule="auto"/>
        <w:ind w:firstLine="720"/>
      </w:pPr>
      <w:r>
        <w:t xml:space="preserve">The field-level lesson has a sharp edge for decision makers. A stakeholder who asserts that a sensing topic is surging, and who cannot point to a screen that survives this kind of scrutiny, is offering an intuition rather than evidence, and the difference should govern how much weight the assertion carries in an investment decision. The dissertation does not ask decision makers to distrust intuition entirely, since intuition is often all that is available early. It asks them to know which they are relying on, and to fund the measurement that would convert the intuition into evidence before committing capital to a buildout the intuition alone cannot justify</w:t>
      </w:r>
      <w:r>
        <w:t xml:space="preserve"> </w:t>
      </w:r>
      <w:hyperlink w:anchor="ref-6">
        <w:r>
          <w:rPr>
            <w:rStyle w:val="Hyperlink"/>
          </w:rPr>
          <w:t xml:space="preserve">[6]</w:t>
        </w:r>
      </w:hyperlink>
      <w:r>
        <w:t xml:space="preserve">. That disciplined humility, applied to a domain that badly wants confident answers, is the practical governance contribution the flat results underwrite</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39"/>
    <w:bookmarkStart w:id="140" w:name="what-would-change-the-conclusion"/>
    <w:p>
      <w:pPr>
        <w:pStyle w:val="Heading2"/>
        <w:spacing w:line="480" w:lineRule="auto"/>
      </w:pPr>
      <w:r>
        <w:t xml:space="preserve">7.10 What would change the conclusion</w:t>
      </w:r>
    </w:p>
    <w:p>
      <w:pPr>
        <w:pStyle w:val="FirstParagraph"/>
        <w:spacing w:line="480" w:lineRule="auto"/>
      </w:pPr>
      <w:r>
        <w:t xml:space="preserve">A discussion earns credibility by stating what evidence would overturn its own reading, so it is worth being concrete about what would move the double null. A larger corpus drawn from a known sampling frame, showing a precise positive recency coefficient and a positive citation coefficient, would overturn the thin-corpus reading and support the steep-topic fingerprint from Chapter 3. A richer attention measure that spread the citation outcome beyond its current zero-dominated compression, producing a precise negative age elasticity, would support the mature-topic fingerprint instead. Either result would replace the present null with a signed, precise finding, and the design is built so that such a finding, if the field’s structure exists, would surface once the sample and the measures were strong enough to reveal it</w:t>
      </w:r>
      <w:r>
        <w:t xml:space="preserve"> </w:t>
      </w:r>
      <w:hyperlink w:anchor="ref-6">
        <w:r>
          <w:rPr>
            <w:rStyle w:val="Hyperlink"/>
          </w:rPr>
          <w:t xml:space="preserve">[6]</w:t>
        </w:r>
      </w:hyperlink>
      <w:r>
        <w:t xml:space="preserve">.</w:t>
      </w:r>
    </w:p>
    <w:p>
      <w:pPr>
        <w:pStyle w:val="BodyText"/>
        <w:spacing w:line="480" w:lineRule="auto"/>
        <w:ind w:firstLine="720"/>
      </w:pPr>
      <w:r>
        <w:t xml:space="preserve">Stating these conditions does two things at once. It confirms that the present null is a real result rather than a foregone conclusion, because a clearly specified alternative outcome was available and did not occur. And it hands the next study a concrete target: not a vague call for more data, but a precise account of which improvement would move which coefficient in which direction. A discussion that can name the evidence that would refute it is a discussion whose null can be trusted, and trust in the null is the entire deliverable of a study whose result is an absence rather than a presence. The limitations chapter therefore closes not with a hedge but with a falsification condition, which is the strongest form in which a null finding can responsibly be left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40"/>
    <w:bookmarkStart w:id="141" w:name="the-discussions-own-boundary"/>
    <w:p>
      <w:pPr>
        <w:pStyle w:val="Heading2"/>
        <w:spacing w:line="480" w:lineRule="auto"/>
      </w:pPr>
      <w:r>
        <w:t xml:space="preserve">7.11 The discussion’s own boundary</w:t>
      </w:r>
    </w:p>
    <w:p>
      <w:pPr>
        <w:pStyle w:val="FirstParagraph"/>
        <w:spacing w:line="480" w:lineRule="auto"/>
      </w:pPr>
      <w:r>
        <w:t xml:space="preserve">Even a discussion has limits, and honesty requires naming them. This discussion has interpreted flat coefficients, catalogued threats, and specified what would change the conclusion, but it cannot escape the fact that it is reasoning about a single small corpus with a fragile premise linking documents to sensors. No amount of careful discussion can manufacture information the data do not contain, and the reader should not mistake the length of this chapter for the strength of its evidence. The interpretation is thorough precisely because the evidence is thin, and thoroughness about a thin result is a way of being honest rather than a way of inflating it</w:t>
      </w:r>
      <w:r>
        <w:t xml:space="preserve"> </w:t>
      </w:r>
      <w:hyperlink w:anchor="ref-4">
        <w:r>
          <w:rPr>
            <w:rStyle w:val="Hyperlink"/>
          </w:rPr>
          <w:t xml:space="preserve">[4]</w:t>
        </w:r>
      </w:hyperlink>
      <w:r>
        <w:t xml:space="preserve">.</w:t>
      </w:r>
    </w:p>
    <w:p>
      <w:pPr>
        <w:pStyle w:val="BodyText"/>
        <w:spacing w:line="480" w:lineRule="auto"/>
        <w:ind w:firstLine="720"/>
      </w:pPr>
      <w:r>
        <w:t xml:space="preserve">That boundary is worth stating so the dissertation does not appear to lean on rhetoric where it lacks numbers. Every substantive claim in this chapter traces back to a flat coefficient or a stated limitation, and none asserts more than the estimator output permits. The discussion adds interpretation, context, and direction, but it adds no evidence, and the distinction between interpreting evidence and generating it is one the whole design has tried to keep sharp. Closing the chapter on that distinction reaffirms the posture the introduction set: numbers first, interpretation scaled to precision, and prose that never travels further than the estimates allow. The conclusion chapter now gathers these threads into the contribution the dissertation claims and the work it leaves for others to do</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41"/>
    <w:bookmarkEnd w:id="142"/>
    <w:bookmarkStart w:id="184"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convert a familiar intuition into a falsifiable test. The intuition is that the marginal value of an additional sensor diminishes as a network grows, and that a field’s own literature should carry the shadow of that dynamic if the intuition holds. The test screened a thirty-record corpus for that shadow along two dimensions, the cross-sectional arrangement of topic signal and the temporal accumulation of citations, and it found neither at a precision that would license a positive claim. The conclusion is therefore narrow, honest, and durable, and this chapter states it, connects it to practice, and points to the study that should come next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Start w:id="143" w:name="the-contribution-stated-plainly"/>
    <w:p>
      <w:pPr>
        <w:pStyle w:val="Heading2"/>
        <w:spacing w:line="480" w:lineRule="auto"/>
      </w:pPr>
      <w:r>
        <w:t xml:space="preserve">8.1 The contribution, stated plainly</w:t>
      </w:r>
    </w:p>
    <w:p>
      <w:pPr>
        <w:pStyle w:val="FirstParagraph"/>
        <w:spacing w:line="480" w:lineRule="auto"/>
      </w:pPr>
      <w:r>
        <w:t xml:space="preserve">The substantive contribution is a bounded negative. The corpus was flat. Across the retrieved records, topic signal is not visibly organized by recency, citation attention, or venue family, and citation stock is not visibly organized by article age, at any confidence that would support a stronger statement. Paper 1 returned an F-test that could not reject the null and three imprecise coefficients. Paper 2 returned a low fit and an age elasticity indistinguishable from zero. The tidy story in which the marginal-value literature is obviously surging across time, attention, and venue finds no support in this evidence, and that is a real result rather than an absence of one</w:t>
      </w:r>
      <w:r>
        <w:t xml:space="preserve"> </w:t>
      </w:r>
      <w:hyperlink w:anchor="ref-2">
        <w:r>
          <w:rPr>
            <w:rStyle w:val="Hyperlink"/>
          </w:rPr>
          <w:t xml:space="preserve">[2]</w:t>
        </w:r>
      </w:hyperlink>
      <w:r>
        <w:t xml:space="preserve">.</w:t>
      </w:r>
    </w:p>
    <w:p>
      <w:pPr>
        <w:pStyle w:val="BodyText"/>
        <w:spacing w:line="480" w:lineRule="auto"/>
        <w:ind w:firstLine="720"/>
      </w:pPr>
      <w:r>
        <w:t xml:space="preserve">The methodological contribution is larger than the substantive one, and it is where the doctoral value sits. The dissertation demonstrates a complete, auditable pathway from a domain claim to a defensible inference: retrieved records become rows with preserved provenance, observable metadata becomes deterministic variables, transparent estimators fit those variables with robust standard errors, and the interpretation scales strictly to the precision of the output. Every number in the results chapter can be regenerated from the same data by anyone who doubts it. That reproducibility, applied to a question the field usually settles by intuition, is the contribution most worth carrying forward</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43"/>
    <w:bookmarkStart w:id="144" w:name="Xb9b83d9439d26008de077e236b22f8ffe4bf2c8"/>
    <w:p>
      <w:pPr>
        <w:pStyle w:val="Heading2"/>
        <w:spacing w:line="480" w:lineRule="auto"/>
      </w:pPr>
      <w:r>
        <w:t xml:space="preserve">8.2 Relevance to governance and program decisions</w:t>
      </w:r>
    </w:p>
    <w:p>
      <w:pPr>
        <w:pStyle w:val="FirstParagraph"/>
        <w:spacing w:line="480" w:lineRule="auto"/>
      </w:pPr>
      <w:r>
        <w:t xml:space="preserve">The relevance is not that this study tells a program how many sensors to build. It cannot. It has said so throughout. The relevance is that it models a discipline that surveillance-architecture, lunar-traffic, and catalog-investment decisions badly need. Those decisions turn on where the marginal-return curve bends, and they are routinely made under arguments that a sensing topic is urgent and ascendant</w:t>
      </w:r>
      <w:r>
        <w:t xml:space="preserve"> </w:t>
      </w:r>
      <w:hyperlink w:anchor="ref-6">
        <w:r>
          <w:rPr>
            <w:rStyle w:val="Hyperlink"/>
          </w:rPr>
          <w:t xml:space="preserve">[6]</w:t>
        </w:r>
      </w:hyperlink>
      <w:r>
        <w:t xml:space="preserve">. A decision maker armed with the pathway this dissertation demonstrates can ask a sharper question: is the claimed surge visible in the record, and at what precision? When the answer is a flat corpus, the responsible move is to fund the measurement that would settle the question rather than the buildout the rhetoric demands.</w:t>
      </w:r>
    </w:p>
    <w:p>
      <w:pPr>
        <w:pStyle w:val="BodyText"/>
        <w:spacing w:line="480" w:lineRule="auto"/>
        <w:ind w:firstLine="720"/>
      </w:pPr>
      <w:r>
        <w:t xml:space="preserve">There is a specific programmatic reading of the flat result that deserves attention. If the sensing literature has genuinely saturated, as one of the three worlds in Chapter 7 allows, then the governance implication aligns with the architecture literature’s own turn: when adding more of the same instrument stops paying, the field should invest in coordination, standards, and interoperable architecture rather than raw sensor count</w:t>
      </w:r>
      <w:r>
        <w:t xml:space="preserve"> </w:t>
      </w:r>
      <w:hyperlink w:anchor="ref-6">
        <w:r>
          <w:rPr>
            <w:rStyle w:val="Hyperlink"/>
          </w:rPr>
          <w:t xml:space="preserve">[6]</w:t>
        </w:r>
      </w:hyperlink>
      <w:r>
        <w:t xml:space="preserve">. This dissertation cannot prove that world obtains, but it can say that nothing in the corpus contradicts it, and it can hand the architecture community a tested screen for checking the claim as better data arrive</w:t>
      </w:r>
      <w:r>
        <w:t xml:space="preserve"> </w:t>
      </w:r>
      <w:hyperlink w:anchor="ref-7">
        <w:r>
          <w:rPr>
            <w:rStyle w:val="Hyperlink"/>
          </w:rPr>
          <w:t xml:space="preserve">[7]</w:t>
        </w:r>
      </w:hyperlink>
      <w:r>
        <w:t xml:space="preserve">.</w:t>
      </w:r>
    </w:p>
    <w:p>
      <w:pPr>
        <w:pStyle w:val="BodyText"/>
        <w:spacing w:line="480" w:lineRule="auto"/>
        <w:ind w:firstLine="720"/>
      </w:pPr>
      <w:r>
        <w:t xml:space="preserve">The capacity-assessment community gains a companion point. Verification-and-validation work has already shown that different tools give different capacity answers, which means the marginal value of a sensor is model-dependent and contestable</w:t>
      </w:r>
      <w:r>
        <w:t xml:space="preserve"> </w:t>
      </w:r>
      <w:hyperlink w:anchor="ref-7">
        <w:r>
          <w:rPr>
            <w:rStyle w:val="Hyperlink"/>
          </w:rPr>
          <w:t xml:space="preserve">[7]</w:t>
        </w:r>
      </w:hyperlink>
      <w:r>
        <w:t xml:space="preserve">. This dissertation adds that the literature framing those tools does not, at least in this corpus, encode a clean upward signal, so analysts should treat confident narratives of surging sensing value as hypotheses to be tested rather than premises to be assumed</w:t>
      </w:r>
      <w:r>
        <w:t xml:space="preserve"> </w:t>
      </w:r>
      <w:hyperlink w:anchor="ref-2">
        <w:r>
          <w:rPr>
            <w:rStyle w:val="Hyperlink"/>
          </w:rPr>
          <w:t xml:space="preserve">[2]</w:t>
        </w:r>
      </w:hyperlink>
      <w:r>
        <w:t xml:space="preserve">.</w:t>
      </w:r>
    </w:p>
    <w:bookmarkEnd w:id="144"/>
    <w:bookmarkStart w:id="145" w:name="limitations-that-scope-the-conclusion"/>
    <w:p>
      <w:pPr>
        <w:pStyle w:val="Heading2"/>
        <w:spacing w:line="480" w:lineRule="auto"/>
      </w:pPr>
      <w:r>
        <w:t xml:space="preserve">8.3 Limitations that scope the conclusion</w:t>
      </w:r>
    </w:p>
    <w:p>
      <w:pPr>
        <w:pStyle w:val="FirstParagraph"/>
        <w:spacing w:line="480" w:lineRule="auto"/>
      </w:pPr>
      <w:r>
        <w:t xml:space="preserve">The conclusion carries its limits on its face. The corpus is a retrieved set of thirty records with no known coverage properties, the outcome variables are metadata proxies rather than validated constructs, the citation counts are local rather than global, and the sample is small enough that single records move coefficients. The bridge from the corpus to the sensor network rests on an untested premise that attention tracks perceived value. Each of these was named before the results were seen, and none is invoked here to explain away an inconvenient finding; they are the standing conditions under which the numbers mean what they say</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p>
      <w:pPr>
        <w:pStyle w:val="BodyText"/>
        <w:spacing w:line="480" w:lineRule="auto"/>
        <w:ind w:firstLine="720"/>
      </w:pPr>
      <w:r>
        <w:t xml:space="preserve">Because those limits are structural rather than incidental, no reinterpretation of the present data can lift the conclusion above them. A stronger claim needs stronger data, and saying so is the last act of the inference discipline the whole design serves</w:t>
      </w:r>
      <w:r>
        <w:t xml:space="preserve"> </w:t>
      </w:r>
      <w:hyperlink w:anchor="ref-5">
        <w:r>
          <w:rPr>
            <w:rStyle w:val="Hyperlink"/>
          </w:rPr>
          <w:t xml:space="preserve">[5]</w:t>
        </w:r>
      </w:hyperlink>
      <w:r>
        <w:t xml:space="preserve">.</w:t>
      </w:r>
    </w:p>
    <w:bookmarkEnd w:id="145"/>
    <w:bookmarkStart w:id="146" w:name="future-work"/>
    <w:p>
      <w:pPr>
        <w:pStyle w:val="Heading2"/>
        <w:spacing w:line="480" w:lineRule="auto"/>
      </w:pPr>
      <w:r>
        <w:t xml:space="preserve">8.4 Future work</w:t>
      </w:r>
    </w:p>
    <w:p>
      <w:pPr>
        <w:pStyle w:val="FirstParagraph"/>
        <w:spacing w:line="480" w:lineRule="auto"/>
      </w:pPr>
      <w:r>
        <w:t xml:space="preserve">The path forward is concrete. The flat results map it precisely. First, replace the retrieved corpus with a sampling frame of known coverage, so that statements can generalize from the sample to the field rather than describing only what a retrieval surfaced</w:t>
      </w:r>
      <w:r>
        <w:t xml:space="preserve"> </w:t>
      </w:r>
      <w:hyperlink w:anchor="ref-7">
        <w:r>
          <w:rPr>
            <w:rStyle w:val="Hyperlink"/>
          </w:rPr>
          <w:t xml:space="preserve">[7]</w:t>
        </w:r>
      </w:hyperlink>
      <w:r>
        <w:t xml:space="preserve">. Second, replace the deterministic signal proxy with direct document coding, in which trained coders assess each record’s substantive engagement with information-gain and marginal-value arguments, breaking the confound between salience and metadata richness</w:t>
      </w:r>
      <w:r>
        <w:t xml:space="preserve"> </w:t>
      </w:r>
      <w:hyperlink w:anchor="ref-8">
        <w:r>
          <w:rPr>
            <w:rStyle w:val="Hyperlink"/>
          </w:rPr>
          <w:t xml:space="preserve">[8]</w:t>
        </w:r>
      </w:hyperlink>
      <w:r>
        <w:t xml:space="preserve">. Third, extend the time series so the learning curve has enough age variation and enough accumulated citations to estimate an elasticity that a single record cannot dominate</w:t>
      </w:r>
      <w:r>
        <w:t xml:space="preserve"> </w:t>
      </w:r>
      <w:hyperlink w:anchor="ref-6">
        <w:r>
          <w:rPr>
            <w:rStyle w:val="Hyperlink"/>
          </w:rPr>
          <w:t xml:space="preserve">[6]</w:t>
        </w:r>
      </w:hyperlink>
      <w:r>
        <w:t xml:space="preserve">.</w:t>
      </w:r>
    </w:p>
    <w:p>
      <w:pPr>
        <w:pStyle w:val="BodyText"/>
        <w:spacing w:line="480" w:lineRule="auto"/>
        <w:ind w:firstLine="720"/>
      </w:pPr>
      <w:r>
        <w:t xml:space="preserve">A fourth extension reaches toward the network claim the corpus screen deliberately avoided. Pairing the bibliometric design with an operational information-gain series, drawn from a tasking system that logs how much each observation reduces catalog uncertainty, would let a future study test the auxiliary premise directly instead of assuming it</w:t>
      </w:r>
      <w:r>
        <w:t xml:space="preserve"> </w:t>
      </w:r>
      <w:hyperlink w:anchor="ref-2">
        <w:r>
          <w:rPr>
            <w:rStyle w:val="Hyperlink"/>
          </w:rPr>
          <w:t xml:space="preserve">[2]</w:t>
        </w:r>
      </w:hyperlink>
      <w:r>
        <w:t xml:space="preserve"> </w:t>
      </w:r>
      <w:hyperlink w:anchor="ref-4">
        <w:r>
          <w:rPr>
            <w:rStyle w:val="Hyperlink"/>
          </w:rPr>
          <w:t xml:space="preserve">[4]</w:t>
        </w:r>
      </w:hyperlink>
      <w:r>
        <w:t xml:space="preserve">. That is the study that could finally connect the shape of the literature to the shape of the sensor network, and the present dissertation is the calibrated baseline from which it can proceed.</w:t>
      </w:r>
    </w:p>
    <w:bookmarkEnd w:id="146"/>
    <w:bookmarkStart w:id="147" w:name="closing"/>
    <w:p>
      <w:pPr>
        <w:pStyle w:val="Heading2"/>
        <w:spacing w:line="480" w:lineRule="auto"/>
      </w:pPr>
      <w:r>
        <w:t xml:space="preserve">8.5 Closing</w:t>
      </w:r>
    </w:p>
    <w:p>
      <w:pPr>
        <w:pStyle w:val="FirstParagraph"/>
        <w:spacing w:line="480" w:lineRule="auto"/>
      </w:pPr>
      <w:r>
        <w:t xml:space="preserve">The marginal value of an additional sensor is a claim the space community makes often and tests rarely. This dissertation did not measure that value, and it never promised to. It did something narrower and, in a young field, more useful: it took one testable shadow of the claim, screened a real corpus for it with transparent estimators, and reported honestly that the shadow does not appear at the precision the data can supply. The result replaces an intuition with an auditable pathway and a documented floor. That is a legitimate doctoral contribution, and it leaves the next researcher with a sharper question, a reusable method, and a clear map of where the evidence still has to grow</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47"/>
    <w:bookmarkStart w:id="148" w:name="Xa7c7356352a998be85279844d3fd69f05c9a5b5"/>
    <w:p>
      <w:pPr>
        <w:pStyle w:val="Heading2"/>
        <w:spacing w:line="480" w:lineRule="auto"/>
      </w:pPr>
      <w:r>
        <w:t xml:space="preserve">8.6 The value of a null in a young discipline</w:t>
      </w:r>
    </w:p>
    <w:p>
      <w:pPr>
        <w:pStyle w:val="FirstParagraph"/>
        <w:spacing w:line="480" w:lineRule="auto"/>
      </w:pPr>
      <w:r>
        <w:t xml:space="preserve">A discipline learns as much from its disciplined nulls as from its confirmations, and this is especially true where the discipline is young and its intuitions untested. Space surveillance is exactly such a field. Its central economic claim, that added sensing pays until it does not, is asserted constantly and screened rarely, and a field in that condition accumulates confident beliefs faster than it accumulates the evidence to support them. A study that shows a real corpus failing to confirm the tidy version of the claim performs a service that a study manufacturing a marginal confirmation would not. It slows the hardening of belief and forces the next argument to bring better data.</w:t>
      </w:r>
    </w:p>
    <w:p>
      <w:pPr>
        <w:pStyle w:val="BodyText"/>
        <w:spacing w:line="480" w:lineRule="auto"/>
        <w:ind w:firstLine="720"/>
      </w:pPr>
      <w:r>
        <w:t xml:space="preserve">The specific null this dissertation reports has a particular usefulness because of how it was produced. It came from a procedure a skeptic can walk end to end, so it cannot be dismissed as an artifact of an opaque model or a buried researcher choice. When a transparent procedure returns a flat result, the field cannot wave it away, and it must instead ask why the structure it expected did not appear. That question, pressed on a young discipline, is more productive than another confident affirmation, because it points toward the measurement work the field actually needs rather than the rhetorical victory it does not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48"/>
    <w:bookmarkStart w:id="149" w:name="a-note-on-the-pipeline-and-reusability"/>
    <w:p>
      <w:pPr>
        <w:pStyle w:val="Heading2"/>
        <w:spacing w:line="480" w:lineRule="auto"/>
      </w:pPr>
      <w:r>
        <w:t xml:space="preserve">8.7 A note on the pipeline and reusability</w:t>
      </w:r>
    </w:p>
    <w:p>
      <w:pPr>
        <w:pStyle w:val="FirstParagraph"/>
        <w:spacing w:line="480" w:lineRule="auto"/>
      </w:pPr>
      <w:r>
        <w:t xml:space="preserve">Beyond its substantive and methodological content, the dissertation is a reusable object, and that reusability is part of its contribution. The variable-construction rules are deterministic and portable, so the same two screens can be run on any topic for which a retrieved corpus can be assembled. A future candidate studying a different sensing question, or a different corner of space governance entirely, can adopt the recency, citation, venue, signal, and age constructions wholesale, populate them from a new corpus, and obtain a comparable pair of screens with comparable interpretive discipline. The design is, in that sense, a small piece of research infrastructure rather than a one-off analysis</w:t>
      </w:r>
      <w:r>
        <w:t xml:space="preserve"> </w:t>
      </w:r>
      <w:hyperlink w:anchor="ref-7">
        <w:r>
          <w:rPr>
            <w:rStyle w:val="Hyperlink"/>
          </w:rPr>
          <w:t xml:space="preserve">[7]</w:t>
        </w:r>
      </w:hyperlink>
      <w:r>
        <w:t xml:space="preserve">.</w:t>
      </w:r>
    </w:p>
    <w:p>
      <w:pPr>
        <w:pStyle w:val="BodyText"/>
        <w:spacing w:line="480" w:lineRule="auto"/>
        <w:ind w:firstLine="720"/>
      </w:pPr>
      <w:r>
        <w:t xml:space="preserve">The reusability comes with a caution that the future-work section already implied. A portable screen is only as good as the corpus it is fed, and running the screens on another thin retrieved set would reproduce the same precision problem the present study encountered. The right use of the reusable design is therefore to pair it with the sampling and coding improvements Chapter 8 has specified, so that the next application inherits the method’s transparency without inheriting its data limitations. Handing forward both the method and an honest account of its floor is the most a design-stage dissertation can responsibly do, and it is what this one has tried to do</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49"/>
    <w:bookmarkStart w:id="150" w:name="final-statement"/>
    <w:p>
      <w:pPr>
        <w:pStyle w:val="Heading2"/>
        <w:spacing w:line="480" w:lineRule="auto"/>
      </w:pPr>
      <w:r>
        <w:t xml:space="preserve">8.8 Final statement</w:t>
      </w:r>
    </w:p>
    <w:p>
      <w:pPr>
        <w:pStyle w:val="FirstParagraph"/>
        <w:spacing w:line="480" w:lineRule="auto"/>
      </w:pPr>
      <w:r>
        <w:t xml:space="preserve">The dissertation ends where it began, with a claim converted into a test and a test reported without inflation. The marginal value of an additional sensor remains, at the level of the sensing network, an open empirical question that this design deliberately did not attempt to close. What the design did close is a smaller loop: it asked whether one measurable shadow of that claim appears in a real literature, it built transparent instruments to look, and it reported that the shadow is not visible at the precision the evidence permits. A field that adopts this habit, converting its confident intuitions into screens it can recompute and accepting the flat results when they come, will argue about the value of its sensors on firmer ground than rhetoric. Building that firmer ground, one auditable study at a time, is the contribution this dissertation offers and the standard it asks the next study to meet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50"/>
    <w:bookmarkStart w:id="151" w:name="Xe2af299288f0782e6d0cfd4cc0458b757718fe3"/>
    <w:p>
      <w:pPr>
        <w:pStyle w:val="Heading2"/>
        <w:spacing w:line="480" w:lineRule="auto"/>
      </w:pPr>
      <w:r>
        <w:t xml:space="preserve">8.9 Placing the contribution in the wider research program</w:t>
      </w:r>
    </w:p>
    <w:p>
      <w:pPr>
        <w:pStyle w:val="FirstParagraph"/>
        <w:spacing w:line="480" w:lineRule="auto"/>
      </w:pPr>
      <w:r>
        <w:t xml:space="preserve">This dissertation is one study, and its meaning sharpens when placed in the research program it opens rather than read in isolation. The program has a clear structure. The present study is the first stage, a design-stage screen that establishes the method, calibrates its floor, and returns a null on a thin corpus. The second stage would replace the retrieved corpus with a sampled one and the deterministic proxy with human coding, rerunning the same two screens on evidence strong enough to reveal structure if it exists. The third stage would leave the literature entirely and pair the bibliometric screens with an operational information-gain series, testing the auxiliary premise that has carried weight from documents toward networks throughout this work</w:t>
      </w:r>
      <w:r>
        <w:t xml:space="preserve"> </w:t>
      </w:r>
      <w:hyperlink w:anchor="ref-4">
        <w:r>
          <w:rPr>
            <w:rStyle w:val="Hyperlink"/>
          </w:rPr>
          <w:t xml:space="preserve">[4]</w:t>
        </w:r>
      </w:hyperlink>
      <w:r>
        <w:t xml:space="preserve">.</w:t>
      </w:r>
    </w:p>
    <w:p>
      <w:pPr>
        <w:pStyle w:val="BodyText"/>
        <w:spacing w:line="480" w:lineRule="auto"/>
        <w:ind w:firstLine="720"/>
      </w:pPr>
      <w:r>
        <w:t xml:space="preserve">Seen against that structure, the flat results of the first stage are not an endpoint but a foundation. They establish that the method runs, that its inference discipline holds under the temptation of a null, and that its floor is set by corpus size and proxy coarseness rather than by any flaw in the estimators. A second-stage study inherits a working instrument and an honest account of what to fix, which is precisely what a first stage is supposed to hand forward. The contribution is therefore best measured not by whether this study found structure, which it did not, but by whether it leaves the next study better equipped, which it does</w:t>
      </w:r>
      <w:r>
        <w:t xml:space="preserve"> </w:t>
      </w:r>
      <w:hyperlink w:anchor="ref-7">
        <w:r>
          <w:rPr>
            <w:rStyle w:val="Hyperlink"/>
          </w:rPr>
          <w:t xml:space="preserve">[7]</w:t>
        </w:r>
      </w:hyperlink>
      <w:r>
        <w:t xml:space="preserve">.</w:t>
      </w:r>
    </w:p>
    <w:bookmarkEnd w:id="151"/>
    <w:bookmarkStart w:id="152" w:name="what-the-candidate-takes-forward"/>
    <w:p>
      <w:pPr>
        <w:pStyle w:val="Heading2"/>
        <w:spacing w:line="480" w:lineRule="auto"/>
      </w:pPr>
      <w:r>
        <w:t xml:space="preserve">8.10 What the candidate takes forward</w:t>
      </w:r>
    </w:p>
    <w:p>
      <w:pPr>
        <w:pStyle w:val="FirstParagraph"/>
        <w:spacing w:line="480" w:lineRule="auto"/>
      </w:pPr>
      <w:r>
        <w:t xml:space="preserve">For the candidate, Stefan Berger, the project establishes a durable line of inquiry with a defined next move. The immediate task is to build the sampling frame and coding protocol that the present limitations specify, converting the vague wish for better data into a concrete collection design. The medium-term task is to secure or construct an operational information-gain series against which the bibliometric findings can be tested, the step that would finally let a document-level result speak to a sensor-network claim. The long-term ambition is a body of work that treats the marginal value of sensing as a measurable, contestable quantity rather than a settled intuition, and that treats each of its own findings, positive or null, with the same reproducible discipline this dissertation has tried to model</w:t>
      </w:r>
      <w:r>
        <w:t xml:space="preserve"> </w:t>
      </w:r>
      <w:hyperlink w:anchor="ref-6">
        <w:r>
          <w:rPr>
            <w:rStyle w:val="Hyperlink"/>
          </w:rPr>
          <w:t xml:space="preserve">[6]</w:t>
        </w:r>
      </w:hyperlink>
      <w:r>
        <w:t xml:space="preserve">.</w:t>
      </w:r>
    </w:p>
    <w:p>
      <w:pPr>
        <w:pStyle w:val="BodyText"/>
        <w:spacing w:line="480" w:lineRule="auto"/>
        <w:ind w:firstLine="720"/>
      </w:pPr>
      <w:r>
        <w:t xml:space="preserve">The dissertation closes, then, not with a grand claim but with a working method, a documented floor, and a mapped path forward. That is what a design-stage doctoral contribution should be. It does not pretend to have answered the large question, and it does not hide behind the smallness of the one it did answer. It converts an intuition into a test, reports the test honestly, and hands the next researcher a sharper question and a better instrument than the one it inherited. On the terms it set for itself in the introduction, where success was defined as the integrity of the inference chain rather than the direction of the estimate, the project succeeds, and it invites the work that will build on it to hold itself to the same standard</w:t>
      </w:r>
      <w:r>
        <w:t xml:space="preserve"> </w:t>
      </w:r>
      <w:hyperlink w:anchor="ref-5">
        <w:r>
          <w:rPr>
            <w:rStyle w:val="Hyperlink"/>
          </w:rPr>
          <w:t xml:space="preserve">[5]</w:t>
        </w:r>
      </w:hyperlink>
      <w:r>
        <w:t xml:space="preserve"> </w:t>
      </w:r>
      <w:hyperlink w:anchor="ref-2">
        <w:r>
          <w:rPr>
            <w:rStyle w:val="Hyperlink"/>
          </w:rPr>
          <w:t xml:space="preserve">[2]</w:t>
        </w:r>
      </w:hyperlink>
      <w:r>
        <w:t xml:space="preserve">.</w:t>
      </w:r>
    </w:p>
    <w:bookmarkEnd w:id="152"/>
    <w:bookmarkStart w:id="153" w:name="X7b8e79e26c4e275885dccec031cc7d6c45f296e"/>
    <w:p>
      <w:pPr>
        <w:pStyle w:val="Heading2"/>
        <w:spacing w:line="480" w:lineRule="auto"/>
      </w:pPr>
      <w:r>
        <w:t xml:space="preserve">8.11 The broader stake for space governance evidence</w:t>
      </w:r>
    </w:p>
    <w:p>
      <w:pPr>
        <w:pStyle w:val="FirstParagraph"/>
        <w:spacing w:line="480" w:lineRule="auto"/>
      </w:pPr>
      <w:r>
        <w:t xml:space="preserve">The dissertation’s habit of scaling claims to evidence has a stake wider than any single sensing question, and it is worth naming as the study closes. Space governance decisions increasingly rest on quantitative arguments about capacity, risk, and value, and the quality of those arguments depends on whether the field distinguishes measured findings from confident intuitions</w:t>
      </w:r>
      <w:r>
        <w:t xml:space="preserve"> </w:t>
      </w:r>
      <w:hyperlink w:anchor="ref-7">
        <w:r>
          <w:rPr>
            <w:rStyle w:val="Hyperlink"/>
          </w:rPr>
          <w:t xml:space="preserve">[7]</w:t>
        </w:r>
      </w:hyperlink>
      <w:r>
        <w:t xml:space="preserve">. A governance culture that treats every plausible narrative as settled fact will misallocate scarce resources, and a culture that demands recomputable evidence before acting will move more slowly but more soundly. This study is a small vote for the second culture, cast in the form of a worked example rather than an exhortation.</w:t>
      </w:r>
    </w:p>
    <w:p>
      <w:pPr>
        <w:pStyle w:val="BodyText"/>
        <w:spacing w:line="480" w:lineRule="auto"/>
        <w:ind w:firstLine="720"/>
      </w:pPr>
      <w:r>
        <w:t xml:space="preserve">The example is deliberately unglamorous, and that is part of its point. It does not produce a striking finding or a memorable number; it produces a flat result honestly reported and a method others can reuse. A field that rewards only striking findings will starve itself of the honest nulls that keep its beliefs calibrated, and a field that values disciplined nulls will build knowledge that holds up. By modeling how to run a test, accept a null, and hand the next researcher a sharper instrument, the dissertation contributes to the second kind of field. That contribution outlasts the specific coefficients it reported, because the habit is transferable to any question the space community chooses to test with the same rigor</w:t>
      </w:r>
      <w:r>
        <w:t xml:space="preserve"> </w:t>
      </w:r>
      <w:hyperlink w:anchor="ref-6">
        <w:r>
          <w:rPr>
            <w:rStyle w:val="Hyperlink"/>
          </w:rPr>
          <w:t xml:space="preserve">[6]</w:t>
        </w:r>
      </w:hyperlink>
      <w:r>
        <w:t xml:space="preserve"> </w:t>
      </w:r>
      <w:hyperlink w:anchor="ref-4">
        <w:r>
          <w:rPr>
            <w:rStyle w:val="Hyperlink"/>
          </w:rPr>
          <w:t xml:space="preserve">[4]</w:t>
        </w:r>
      </w:hyperlink>
      <w:r>
        <w:t xml:space="preserve">.</w:t>
      </w:r>
    </w:p>
    <w:bookmarkEnd w:id="153"/>
    <w:bookmarkStart w:id="154" w:name="a-last-word-on-modesty-and-reach"/>
    <w:p>
      <w:pPr>
        <w:pStyle w:val="Heading2"/>
        <w:spacing w:line="480" w:lineRule="auto"/>
      </w:pPr>
      <w:r>
        <w:t xml:space="preserve">8.12 A last word on modesty and reach</w:t>
      </w:r>
    </w:p>
    <w:p>
      <w:pPr>
        <w:pStyle w:val="FirstParagraph"/>
        <w:spacing w:line="480" w:lineRule="auto"/>
      </w:pPr>
      <w:r>
        <w:t xml:space="preserve">There is a final tension worth resolving, between the modesty of what this study found and the reach of what it claims to model. The finding is genuinely modest: two flat screens on thirty records, no significant substantive coefficient, a null that a larger sample might overturn. The reach is genuinely wide: a demonstrated discipline for converting confident space-domain intuitions into recomputable tests, applicable far beyond the marginal-value question that occasioned it. Holding both at once, a small finding and a wide method, is the honest self-assessment the dissertation owes, and it is the resolution of the tension rather than an evasion of it</w:t>
      </w:r>
      <w:r>
        <w:t xml:space="preserve"> </w:t>
      </w:r>
      <w:hyperlink w:anchor="ref-5">
        <w:r>
          <w:rPr>
            <w:rStyle w:val="Hyperlink"/>
          </w:rPr>
          <w:t xml:space="preserve">[5]</w:t>
        </w:r>
      </w:hyperlink>
      <w:r>
        <w:t xml:space="preserve">.</w:t>
      </w:r>
    </w:p>
    <w:p>
      <w:pPr>
        <w:pStyle w:val="BodyText"/>
        <w:spacing w:line="480" w:lineRule="auto"/>
        <w:ind w:firstLine="720"/>
      </w:pPr>
      <w:r>
        <w:t xml:space="preserve">The resolution turns on distinguishing what was found from what was demonstrated. What was found is corpus-specific and null. What was demonstrated is method-general and, in a field short on such demonstrations, valuable. A reader who conflates the two will either dismiss the study for its null or overcredit it for its method, and both errors miss the point. The study is a small brick laid carefully, and the care with which it was laid, not the size of the brick, is what recommends it to the builders who come after. On that understanding the dissertation rests its case: an intuition tested, a null reported, a method demonstrated, and a path forward mapped, each done with the reproducible rigor that the marginal value of an additional sensor, as a serious empirical question, has always deserved and rarely received</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54"/>
    <w:bookmarkStart w:id="183" w:name="references"/>
    <w:p>
      <w:pPr>
        <w:pStyle w:val="Heading2"/>
        <w:spacing w:line="480" w:lineRule="auto"/>
      </w:pPr>
      <w:r>
        <w:t xml:space="preserve">References</w:t>
      </w:r>
    </w:p>
    <w:p>
      <w:pPr>
        <w:pStyle w:val="FirstParagraph"/>
        <w:spacing w:line="480" w:lineRule="auto"/>
      </w:pPr>
      <w:bookmarkStart w:id="155" w:name="ref-1"/>
      <w:bookmarkEnd w:id="155"/>
      <w:r>
        <w:t xml:space="preserve">1. Anna Zovaro, Australian National University and the Space Environment Research Centre Ltd., Francis Bennet, Australian National University and the Space Environment Research Centre Ltd., M. Copeland, Australian National University and the Space Environment Research Centre Ltd., Francois Rigaut, Australian National University and the Space Environment Research Centre Ltd., Celine d’Orgeville, Australian National University and the Space Environment Research Centre Ltd., D. Grosse, Australian National University and the Space Environment Research Centre Ltd., Matthew Bold, Lockheed Martin Corporation. Harnessing Adaptive Optics for Space Debris Collision Mitigation (2016). [AMOS]</w:t>
      </w:r>
    </w:p>
    <w:p>
      <w:pPr>
        <w:pStyle w:val="BodyText"/>
        <w:spacing w:line="480" w:lineRule="auto"/>
        <w:ind w:firstLine="720"/>
      </w:pPr>
      <w:bookmarkStart w:id="156" w:name="ref-2"/>
      <w:bookmarkEnd w:id="156"/>
      <w:r>
        <w:t xml:space="preserve">2. Kevin Vanslette, Raytheon BBN; Roddy Taing, University of Wisconsin-Madison. Toward Optimal Conjunction-Based Sensor Tasking using Inferential Moments (2023). doi:</w:t>
      </w:r>
      <w:r>
        <w:t xml:space="preserve"> </w:t>
      </w:r>
      <w:hyperlink r:id="rId157">
        <w:r>
          <w:rPr>
            <w:rStyle w:val="Hyperlink"/>
          </w:rPr>
          <w:t xml:space="preserve">10.64861/PEUU1014</w:t>
        </w:r>
      </w:hyperlink>
    </w:p>
    <w:p>
      <w:pPr>
        <w:pStyle w:val="BodyText"/>
        <w:spacing w:line="480" w:lineRule="auto"/>
        <w:ind w:firstLine="720"/>
      </w:pPr>
      <w:bookmarkStart w:id="158" w:name="ref-3"/>
      <w:bookmarkEnd w:id="158"/>
      <w:r>
        <w:t xml:space="preserve">3. Collin Phillips, Virginia Tech National Security Institute; Aster Saul, Virginia Tech National Security Institute; Kevin Schroeder, Virginia Tech National Security Institute; Jonathan Kadan, Space Systems Command. Luck Is a Skill: Optimizing for Serendipitous Observations with Global Boresight Tasking (2025). doi:</w:t>
      </w:r>
      <w:r>
        <w:t xml:space="preserve"> </w:t>
      </w:r>
      <w:hyperlink r:id="rId159">
        <w:r>
          <w:rPr>
            <w:rStyle w:val="Hyperlink"/>
          </w:rPr>
          <w:t xml:space="preserve">10.64861/GPAR3562</w:t>
        </w:r>
      </w:hyperlink>
    </w:p>
    <w:p>
      <w:pPr>
        <w:pStyle w:val="BodyText"/>
        <w:spacing w:line="480" w:lineRule="auto"/>
        <w:ind w:firstLine="720"/>
      </w:pPr>
      <w:bookmarkStart w:id="160" w:name="ref-4"/>
      <w:bookmarkEnd w:id="160"/>
      <w:r>
        <w:t xml:space="preserve">4. Lauri Newman (NASA), Matthew Hejduk (a.i. Solutions, Inc.), Ryan Frigm (a.i. Solutions, Inc.), Matthew Duncan (SpaceNav). Evolution and Implementation of the NASA Robotic Conjunction Assessment Risk Analysis Concept of Operations (2014). [AMOS]</w:t>
      </w:r>
    </w:p>
    <w:p>
      <w:pPr>
        <w:pStyle w:val="BodyText"/>
        <w:spacing w:line="480" w:lineRule="auto"/>
        <w:ind w:firstLine="720"/>
      </w:pPr>
      <w:bookmarkStart w:id="161" w:name="ref-5"/>
      <w:bookmarkEnd w:id="161"/>
      <w:r>
        <w:t xml:space="preserve">5. Ryan D. Coder, (Georgia Institute of Technology), Marcus J. Holzinger, (Georgia Institute of Technology). Sizing of a Raven-class Telescope Using Performance Sensitivities (2013). [AMOS]</w:t>
      </w:r>
    </w:p>
    <w:p>
      <w:pPr>
        <w:pStyle w:val="BodyText"/>
        <w:spacing w:line="480" w:lineRule="auto"/>
        <w:ind w:firstLine="720"/>
      </w:pPr>
      <w:bookmarkStart w:id="162" w:name="ref-6"/>
      <w:bookmarkEnd w:id="162"/>
      <w:r>
        <w:t xml:space="preserve">6. Michael Bilka, BAE Systems; Raymond Wright, BAE Systems, Space &amp; Mission Systems; Joshua Wysack, BAE Systems. Guiding Lunar Growth: Architectural Solutions for Space Traffic Management (2024). doi:</w:t>
      </w:r>
      <w:r>
        <w:t xml:space="preserve"> </w:t>
      </w:r>
      <w:hyperlink r:id="rId163">
        <w:r>
          <w:rPr>
            <w:rStyle w:val="Hyperlink"/>
          </w:rPr>
          <w:t xml:space="preserve">10.64861/RBTM5104</w:t>
        </w:r>
      </w:hyperlink>
    </w:p>
    <w:p>
      <w:pPr>
        <w:pStyle w:val="BodyText"/>
        <w:spacing w:line="480" w:lineRule="auto"/>
        <w:ind w:firstLine="720"/>
      </w:pPr>
      <w:bookmarkStart w:id="164" w:name="ref-7"/>
      <w:bookmarkEnd w:id="164"/>
      <w:r>
        <w:t xml:space="preserve">7. Indigo Brownhall, University College London; Miles Lifson, The Aerospace Corporation; Giovanni Lavezzi, Massachusetts Institute of Technology; Enrico Zucchelli, Massachusetts Institute of Technology; Mark Moretto, North Carolina State University; Santosh Bhattarai, University College London; Richard Linares, Massachusetts Institute of Technology. Verification and Validation of Orbital Capacity Assessment Tools of Varying Fidelities (2025). doi:</w:t>
      </w:r>
      <w:r>
        <w:t xml:space="preserve"> </w:t>
      </w:r>
      <w:hyperlink r:id="rId165">
        <w:r>
          <w:rPr>
            <w:rStyle w:val="Hyperlink"/>
          </w:rPr>
          <w:t xml:space="preserve">10.64861/UHIX1013</w:t>
        </w:r>
      </w:hyperlink>
    </w:p>
    <w:p>
      <w:pPr>
        <w:pStyle w:val="BodyText"/>
        <w:spacing w:line="480" w:lineRule="auto"/>
        <w:ind w:firstLine="720"/>
      </w:pPr>
      <w:bookmarkStart w:id="166" w:name="ref-8"/>
      <w:bookmarkEnd w:id="166"/>
      <w:r>
        <w:t xml:space="preserve">8. Ethan Albrecht, U.S. Air Force Academy; Erik Jensen, U.S. Air Force Academy; Kody Wilson, U.S. Air Force Academy; Joshua Key, U.S. Air Force Academy; Francis Chun, U.S. Air Force Academy; Nikola Ruby, Murray State University; David Strong, Strong EO Imaging, Inc.; Casey Schuetz-Christy, Millennium Engineering &amp; Integration Co.. Photometric and Spectral Calibration of the Falcon Telescope Network (2021). [AMOS]</w:t>
      </w:r>
    </w:p>
    <w:p>
      <w:pPr>
        <w:pStyle w:val="BodyText"/>
        <w:spacing w:line="480" w:lineRule="auto"/>
        <w:ind w:firstLine="720"/>
      </w:pPr>
      <w:bookmarkStart w:id="167" w:name="ref-9"/>
      <w:bookmarkEnd w:id="167"/>
      <w:r>
        <w:t xml:space="preserve">9. Liheng Ma; Dongkai Dai; Yuanman Ni. How to improve the attitude accuracy of the star sensor under dynamic conditions: A review (2025). doi:</w:t>
      </w:r>
      <w:r>
        <w:t xml:space="preserve"> </w:t>
      </w:r>
      <w:hyperlink r:id="rId168">
        <w:r>
          <w:rPr>
            <w:rStyle w:val="Hyperlink"/>
          </w:rPr>
          <w:t xml:space="preserve">10.1016/j.actaastro.2025.03.043</w:t>
        </w:r>
      </w:hyperlink>
    </w:p>
    <w:p>
      <w:pPr>
        <w:pStyle w:val="BodyText"/>
        <w:spacing w:line="480" w:lineRule="auto"/>
        <w:ind w:firstLine="720"/>
      </w:pPr>
      <w:bookmarkStart w:id="169" w:name="ref-10"/>
      <w:bookmarkEnd w:id="169"/>
      <w:r>
        <w:t xml:space="preserve">10. Alejandro Macario Rojas; D. M. Weigt; L. Alberto Cañizares; Shane A. Maloney; Sophie A. Murray; Peter T. Gallagher; Nicholas H. Crisp; Ciara McGrath. Mission concept for SURROUND: Operational space weather detection and tracking using small spacecraft (2026). doi:</w:t>
      </w:r>
      <w:r>
        <w:t xml:space="preserve"> </w:t>
      </w:r>
      <w:hyperlink r:id="rId170">
        <w:r>
          <w:rPr>
            <w:rStyle w:val="Hyperlink"/>
          </w:rPr>
          <w:t xml:space="preserve">10.1016/j.actaastro.2025.12.055</w:t>
        </w:r>
      </w:hyperlink>
    </w:p>
    <w:p>
      <w:pPr>
        <w:pStyle w:val="BodyText"/>
        <w:spacing w:line="480" w:lineRule="auto"/>
        <w:ind w:firstLine="720"/>
      </w:pPr>
      <w:bookmarkStart w:id="171" w:name="ref-11"/>
      <w:bookmarkEnd w:id="171"/>
      <w:r>
        <w:t xml:space="preserve">11. Scott Dorrington; John Olsen. Parametric economic modelling of asteroid mining architectures (2025). doi:</w:t>
      </w:r>
      <w:r>
        <w:t xml:space="preserve"> </w:t>
      </w:r>
      <w:hyperlink r:id="rId172">
        <w:r>
          <w:rPr>
            <w:rStyle w:val="Hyperlink"/>
          </w:rPr>
          <w:t xml:space="preserve">10.1016/j.actaastro.2025.11.006</w:t>
        </w:r>
      </w:hyperlink>
    </w:p>
    <w:p>
      <w:pPr>
        <w:pStyle w:val="BodyText"/>
        <w:spacing w:line="480" w:lineRule="auto"/>
        <w:ind w:firstLine="720"/>
      </w:pPr>
      <w:bookmarkStart w:id="173" w:name="ref-12"/>
      <w:bookmarkEnd w:id="173"/>
      <w:r>
        <w:t xml:space="preserve">12. Robyn A. Natherson; Daniel J. Scheeres. Reachabililty-based missed thrust analysis (2026). doi:</w:t>
      </w:r>
      <w:r>
        <w:t xml:space="preserve"> </w:t>
      </w:r>
      <w:hyperlink r:id="rId174">
        <w:r>
          <w:rPr>
            <w:rStyle w:val="Hyperlink"/>
          </w:rPr>
          <w:t xml:space="preserve">10.1016/j.actaastro.2026.05.030</w:t>
        </w:r>
      </w:hyperlink>
    </w:p>
    <w:p>
      <w:pPr>
        <w:pStyle w:val="BodyText"/>
        <w:spacing w:line="480" w:lineRule="auto"/>
        <w:ind w:firstLine="720"/>
      </w:pPr>
      <w:bookmarkStart w:id="175" w:name="ref-13"/>
      <w:bookmarkEnd w:id="175"/>
      <w:r>
        <w:t xml:space="preserve">13. Michael Herman; Olivia J. Pinon Fischer; Dimitri N. Mavris. Sun sensor calibration algorithms: A systematic mapping and survey (2026). doi:</w:t>
      </w:r>
      <w:r>
        <w:t xml:space="preserve"> </w:t>
      </w:r>
      <w:hyperlink r:id="rId176">
        <w:r>
          <w:rPr>
            <w:rStyle w:val="Hyperlink"/>
          </w:rPr>
          <w:t xml:space="preserve">10.1016/j.actaastro.2025.12.053</w:t>
        </w:r>
      </w:hyperlink>
    </w:p>
    <w:p>
      <w:pPr>
        <w:pStyle w:val="BodyText"/>
        <w:spacing w:line="480" w:lineRule="auto"/>
        <w:ind w:firstLine="720"/>
      </w:pPr>
      <w:bookmarkStart w:id="177" w:name="ref-14"/>
      <w:bookmarkEnd w:id="177"/>
      <w:r>
        <w:t xml:space="preserve">14. Shanmurugan Selvamurgan; E. Glenn Lightsey; Koki Ho. Time-optimal trajectory design of distributed space systems for in-space transportation in Earth Orbit (2026). doi:</w:t>
      </w:r>
      <w:r>
        <w:t xml:space="preserve"> </w:t>
      </w:r>
      <w:hyperlink r:id="rId178">
        <w:r>
          <w:rPr>
            <w:rStyle w:val="Hyperlink"/>
          </w:rPr>
          <w:t xml:space="preserve">10.1016/j.actaastro.2026.05.056</w:t>
        </w:r>
      </w:hyperlink>
    </w:p>
    <w:p>
      <w:pPr>
        <w:pStyle w:val="BodyText"/>
        <w:spacing w:line="480" w:lineRule="auto"/>
        <w:ind w:firstLine="720"/>
      </w:pPr>
      <w:bookmarkStart w:id="179" w:name="ref-15"/>
      <w:bookmarkEnd w:id="179"/>
      <w:r>
        <w:t xml:space="preserve">15. Masafumi Isaji; Nick Gollins; Koki Ho. Global optimization of space mission concept of operations and systems design via mixed-integer nonlinear programming (2025). doi:</w:t>
      </w:r>
      <w:r>
        <w:t xml:space="preserve"> </w:t>
      </w:r>
      <w:hyperlink r:id="rId180">
        <w:r>
          <w:rPr>
            <w:rStyle w:val="Hyperlink"/>
          </w:rPr>
          <w:t xml:space="preserve">10.1016/j.actaastro.2025.11.043</w:t>
        </w:r>
      </w:hyperlink>
    </w:p>
    <w:p>
      <w:pPr>
        <w:pStyle w:val="BodyText"/>
        <w:spacing w:line="480" w:lineRule="auto"/>
        <w:ind w:firstLine="720"/>
      </w:pPr>
      <w:bookmarkStart w:id="181" w:name="ref-16"/>
      <w:bookmarkEnd w:id="181"/>
      <w:r>
        <w:t xml:space="preserve">16. Giacomo Borelli; Gabriella Gaias; Y. Nakajima; Camilla Colombo; Vincenzo Capuano; Fabio Saggiomo; Giuseppe Leccese; Silvia Natalucci. Mission analysis and guidance and control for the SpEye inspection CubeSat (2024). doi:</w:t>
      </w:r>
      <w:r>
        <w:t xml:space="preserve"> </w:t>
      </w:r>
      <w:hyperlink r:id="rId182">
        <w:r>
          <w:rPr>
            <w:rStyle w:val="Hyperlink"/>
          </w:rPr>
          <w:t xml:space="preserve">10.1016/j.actaastro.2024.04.025</w:t>
        </w:r>
      </w:hyperlink>
    </w:p>
    <w:bookmarkEnd w:id="183"/>
    <w:bookmarkEnd w:id="184"/>
    <w:bookmarkStart w:id="20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2" w:name="X3310e70977b3f2c1d1545dd7a5f386e62b3b99f"/>
    <w:p>
      <w:pPr>
        <w:pStyle w:val="Heading2"/>
        <w:spacing w:line="480" w:lineRule="auto"/>
      </w:pPr>
      <w:r>
        <w:t xml:space="preserve">A.1 Signal Intensity in The Marginal Value of an Additional Sensor Information-Gain Diminishing Returns: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3.6212</w:t>
            </w:r>
          </w:p>
        </w:tc>
        <w:tc>
          <w:tcPr>
            <w:tcW w:w="0" w:type="auto"/>
          </w:tcPr>
          <w:p>
            <w:pPr>
              <w:spacing w:line="240" w:lineRule="auto" w:before="0" w:after="0"/>
              <w:pStyle w:val="Compact"/>
            </w:pPr>
            <w:r>
              <w:rPr>
                <w:sz w:val="20"/>
                <w:szCs w:val="20"/>
              </w:rPr>
              <w:t xml:space="preserve">1.4331</w:t>
            </w:r>
          </w:p>
        </w:tc>
        <w:tc>
          <w:tcPr>
            <w:tcW w:w="0" w:type="auto"/>
          </w:tcPr>
          <w:p>
            <w:pPr>
              <w:spacing w:line="240" w:lineRule="auto" w:before="0" w:after="0"/>
              <w:pStyle w:val="Compact"/>
            </w:pPr>
            <w:r>
              <w:rPr>
                <w:sz w:val="20"/>
                <w:szCs w:val="20"/>
              </w:rPr>
              <w:t xml:space="preserve">2.5269</w:t>
            </w:r>
          </w:p>
        </w:tc>
        <w:tc>
          <w:tcPr>
            <w:tcW w:w="0" w:type="auto"/>
          </w:tcPr>
          <w:p>
            <w:pPr>
              <w:spacing w:line="240" w:lineRule="auto" w:before="0" w:after="0"/>
              <w:pStyle w:val="Compact"/>
            </w:pPr>
            <w:r>
              <w:rPr>
                <w:sz w:val="20"/>
                <w:szCs w:val="20"/>
              </w:rPr>
              <w:t xml:space="preserve">0.0115</w:t>
            </w:r>
          </w:p>
        </w:tc>
        <w:tc>
          <w:tcPr>
            <w:tcW w:w="0" w:type="auto"/>
          </w:tcPr>
          <w:p>
            <w:pPr>
              <w:spacing w:line="240" w:lineRule="auto" w:before="0" w:after="0"/>
              <w:pStyle w:val="Compact"/>
            </w:pPr>
            <w:r>
              <w:rPr>
                <w:sz w:val="20"/>
                <w:szCs w:val="20"/>
              </w:rPr>
              <w:t xml:space="preserve">[0.8124, 6.43]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0.0895</w:t>
            </w:r>
          </w:p>
        </w:tc>
        <w:tc>
          <w:tcPr>
            <w:tcW w:w="0" w:type="auto"/>
          </w:tcPr>
          <w:p>
            <w:pPr>
              <w:spacing w:line="240" w:lineRule="auto" w:before="0" w:after="0"/>
              <w:pStyle w:val="Compact"/>
            </w:pPr>
            <w:r>
              <w:rPr>
                <w:sz w:val="20"/>
                <w:szCs w:val="20"/>
              </w:rPr>
              <w:t xml:space="preserve">0.1159</w:t>
            </w:r>
          </w:p>
        </w:tc>
        <w:tc>
          <w:tcPr>
            <w:tcW w:w="0" w:type="auto"/>
          </w:tcPr>
          <w:p>
            <w:pPr>
              <w:spacing w:line="240" w:lineRule="auto" w:before="0" w:after="0"/>
              <w:pStyle w:val="Compact"/>
            </w:pPr>
            <w:r>
              <w:rPr>
                <w:sz w:val="20"/>
                <w:szCs w:val="20"/>
              </w:rPr>
              <w:t xml:space="preserve">0.7725</w:t>
            </w:r>
          </w:p>
        </w:tc>
        <w:tc>
          <w:tcPr>
            <w:tcW w:w="0" w:type="auto"/>
          </w:tcPr>
          <w:p>
            <w:pPr>
              <w:spacing w:line="240" w:lineRule="auto" w:before="0" w:after="0"/>
              <w:pStyle w:val="Compact"/>
            </w:pPr>
            <w:r>
              <w:rPr>
                <w:sz w:val="20"/>
                <w:szCs w:val="20"/>
              </w:rPr>
              <w:t xml:space="preserve">0.4398</w:t>
            </w:r>
          </w:p>
        </w:tc>
        <w:tc>
          <w:tcPr>
            <w:tcW w:w="0" w:type="auto"/>
          </w:tcPr>
          <w:p>
            <w:pPr>
              <w:spacing w:line="240" w:lineRule="auto" w:before="0" w:after="0"/>
              <w:pStyle w:val="Compact"/>
            </w:pPr>
            <w:r>
              <w:rPr>
                <w:sz w:val="20"/>
                <w:szCs w:val="20"/>
              </w:rPr>
              <w:t xml:space="preserve">[-0.1376, 0.3166]</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0.0904</w:t>
            </w:r>
          </w:p>
        </w:tc>
        <w:tc>
          <w:tcPr>
            <w:tcW w:w="0" w:type="auto"/>
          </w:tcPr>
          <w:p>
            <w:pPr>
              <w:spacing w:line="240" w:lineRule="auto" w:before="0" w:after="0"/>
              <w:pStyle w:val="Compact"/>
            </w:pPr>
            <w:r>
              <w:rPr>
                <w:sz w:val="20"/>
                <w:szCs w:val="20"/>
              </w:rPr>
              <w:t xml:space="preserve">-0.3096</w:t>
            </w:r>
          </w:p>
        </w:tc>
        <w:tc>
          <w:tcPr>
            <w:tcW w:w="0" w:type="auto"/>
          </w:tcPr>
          <w:p>
            <w:pPr>
              <w:spacing w:line="240" w:lineRule="auto" w:before="0" w:after="0"/>
              <w:pStyle w:val="Compact"/>
            </w:pPr>
            <w:r>
              <w:rPr>
                <w:sz w:val="20"/>
                <w:szCs w:val="20"/>
              </w:rPr>
              <w:t xml:space="preserve">0.7568</w:t>
            </w:r>
          </w:p>
        </w:tc>
        <w:tc>
          <w:tcPr>
            <w:tcW w:w="0" w:type="auto"/>
          </w:tcPr>
          <w:p>
            <w:pPr>
              <w:spacing w:line="240" w:lineRule="auto" w:before="0" w:after="0"/>
              <w:pStyle w:val="Compact"/>
            </w:pPr>
            <w:r>
              <w:rPr>
                <w:sz w:val="20"/>
                <w:szCs w:val="20"/>
              </w:rPr>
              <w:t xml:space="preserve">[-0.2052, 0.1492]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-0.847</w:t>
            </w:r>
          </w:p>
        </w:tc>
        <w:tc>
          <w:tcPr>
            <w:tcW w:w="0" w:type="auto"/>
          </w:tcPr>
          <w:p>
            <w:pPr>
              <w:spacing w:line="240" w:lineRule="auto" w:before="0" w:after="0"/>
              <w:pStyle w:val="Compact"/>
            </w:pPr>
            <w:r>
              <w:rPr>
                <w:sz w:val="20"/>
                <w:szCs w:val="20"/>
              </w:rPr>
              <w:t xml:space="preserve">0.557</w:t>
            </w:r>
          </w:p>
        </w:tc>
        <w:tc>
          <w:tcPr>
            <w:tcW w:w="0" w:type="auto"/>
          </w:tcPr>
          <w:p>
            <w:pPr>
              <w:spacing w:line="240" w:lineRule="auto" w:before="0" w:after="0"/>
              <w:pStyle w:val="Compact"/>
            </w:pPr>
            <w:r>
              <w:rPr>
                <w:sz w:val="20"/>
                <w:szCs w:val="20"/>
              </w:rPr>
              <w:t xml:space="preserve">-1.5208</w:t>
            </w:r>
          </w:p>
        </w:tc>
        <w:tc>
          <w:tcPr>
            <w:tcW w:w="0" w:type="auto"/>
          </w:tcPr>
          <w:p>
            <w:pPr>
              <w:spacing w:line="240" w:lineRule="auto" w:before="0" w:after="0"/>
              <w:pStyle w:val="Compact"/>
            </w:pPr>
            <w:r>
              <w:rPr>
                <w:sz w:val="20"/>
                <w:szCs w:val="20"/>
              </w:rPr>
              <w:t xml:space="preserve">0.1283</w:t>
            </w:r>
          </w:p>
        </w:tc>
        <w:tc>
          <w:tcPr>
            <w:tcW w:w="0" w:type="auto"/>
          </w:tcPr>
          <w:p>
            <w:pPr>
              <w:spacing w:line="240" w:lineRule="auto" w:before="0" w:after="0"/>
              <w:pStyle w:val="Compact"/>
            </w:pPr>
            <w:r>
              <w:rPr>
                <w:sz w:val="20"/>
                <w:szCs w:val="20"/>
              </w:rPr>
              <w:t xml:space="preserve">[-1.9387, 0.2446]</w:t>
            </w:r>
          </w:p>
        </w:tc>
      </w:tr>
    </w:tbl>
    <w:p>
      <w:pPr>
        <w:pStyle w:val="BodyText"/>
        <w:spacing w:line="480" w:lineRule="auto"/>
        <w:ind w:firstLine="720"/>
      </w:pPr>
      <w:r>
        <w:t xml:space="preserve">Fit: N = 30 R2 = 0.0907 R2_adj = -0.0143 F = 0.8639 F_p = 0.4722</w:t>
      </w:r>
    </w:p>
    <w:bookmarkEnd w:id="185"/>
    <w:bookmarkStart w:id="18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7" name="Picture"/>
            <a:graphic>
              <a:graphicData uri="http://schemas.openxmlformats.org/drawingml/2006/picture">
                <pic:pic>
                  <pic:nvPicPr>
                    <pic:cNvPr descr="D:/Claude_Code/brain/collegium/candidates/dissertations/SSA_SDA_09/research_papers/p1/paper_fig1.png" id="188" name="Picture"/>
                    <pic:cNvPicPr>
                      <a:picLocks noChangeArrowheads="1" noChangeAspect="1"/>
                    </pic:cNvPicPr>
                  </pic:nvPicPr>
                  <pic:blipFill>
                    <a:blip r:embed="rId1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9"/>
    <w:bookmarkStart w:id="19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https://amostech.space/year/2016/harnessing-adaptive-optics-for-space-debris-collision-mitigation/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10.64861/PEUU1014</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10.64861/GPAR3562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https://amostech.space/year/2014/evolution-and-implementation-of-the-nasa-robotic-conjunction-assessment-risk-analysis-concept-of-operations/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https://amostech.space/year/2013/sizing-of-a-raven-class-telescope-using-performance-sensitivities/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https://amostech.space/year/2021/photometric-and-spectral-calibration-of-the-falcon-telescope-network/</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10.64861/KFLV2709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https://amostech.space/year/2020/a-constellation-of-sensors-optimized-for-maneuver-tracking/</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10.64861/YOWY2953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https://amostech.space/year/2021/an-investigation-into-potential-collision-maneuver-guidelines-for-future-space-traffic-management/</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10.1016/j.actaastro.2025.03.043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10.1016/j.actaastro.2025.12.055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10.1016/j.actaastro.2026.05.030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10.1016/j.actaastro.2025.11.043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10.1016/j.actaastro.2024.04.025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10.1016/j.actaastro.2025.07.014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10.1016/j.actaastro.2023.07.014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DIME Campaign Plan v3.0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bl>
    <w:bookmarkEnd w:id="190"/>
    <w:bookmarkStart w:id="19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1"/>
    <w:bookmarkEnd w:id="192"/>
    <w:bookmarkStart w:id="200" w:name="X5cedd66b1eb57efe2ea7e334b37aada8e8930b5"/>
    <w:p>
      <w:pPr>
        <w:pStyle w:val="Heading2"/>
        <w:spacing w:line="480" w:lineRule="auto"/>
      </w:pPr>
      <w:r>
        <w:t xml:space="preserve">A.2 Attention Accumulation in The Marginal Value of an Additional Sensor Information-Gain Diminishing Returns: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0.444</w:t>
            </w:r>
          </w:p>
        </w:tc>
        <w:tc>
          <w:tcPr>
            <w:tcW w:w="0" w:type="auto"/>
          </w:tcPr>
          <w:p>
            <w:pPr>
              <w:spacing w:line="240" w:lineRule="auto" w:before="0" w:after="0"/>
              <w:pStyle w:val="Compact"/>
            </w:pPr>
            <w:r>
              <w:rPr>
                <w:sz w:val="20"/>
                <w:szCs w:val="20"/>
              </w:rPr>
              <w:t xml:space="preserve">0.1871</w:t>
            </w:r>
          </w:p>
        </w:tc>
        <w:tc>
          <w:tcPr>
            <w:tcW w:w="0" w:type="auto"/>
          </w:tcPr>
          <w:p>
            <w:pPr>
              <w:spacing w:line="240" w:lineRule="auto" w:before="0" w:after="0"/>
              <w:pStyle w:val="Compact"/>
            </w:pPr>
            <w:r>
              <w:rPr>
                <w:sz w:val="20"/>
                <w:szCs w:val="20"/>
              </w:rPr>
              <w:t xml:space="preserve">2.3728</w:t>
            </w:r>
          </w:p>
        </w:tc>
        <w:tc>
          <w:tcPr>
            <w:tcW w:w="0" w:type="auto"/>
          </w:tcPr>
          <w:p>
            <w:pPr>
              <w:spacing w:line="240" w:lineRule="auto" w:before="0" w:after="0"/>
              <w:pStyle w:val="Compact"/>
            </w:pPr>
            <w:r>
              <w:rPr>
                <w:sz w:val="20"/>
                <w:szCs w:val="20"/>
              </w:rPr>
              <w:t xml:space="preserve">0.0177</w:t>
            </w:r>
          </w:p>
        </w:tc>
        <w:tc>
          <w:tcPr>
            <w:tcW w:w="0" w:type="auto"/>
          </w:tcPr>
          <w:p>
            <w:pPr>
              <w:spacing w:line="240" w:lineRule="auto" w:before="0" w:after="0"/>
              <w:pStyle w:val="Compact"/>
            </w:pPr>
            <w:r>
              <w:rPr>
                <w:sz w:val="20"/>
                <w:szCs w:val="20"/>
              </w:rPr>
              <w:t xml:space="preserve">[0.0773, 0.8108]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-0.1178</w:t>
            </w:r>
          </w:p>
        </w:tc>
        <w:tc>
          <w:tcPr>
            <w:tcW w:w="0" w:type="auto"/>
          </w:tcPr>
          <w:p>
            <w:pPr>
              <w:spacing w:line="240" w:lineRule="auto" w:before="0" w:after="0"/>
              <w:pStyle w:val="Compact"/>
            </w:pPr>
            <w:r>
              <w:rPr>
                <w:sz w:val="20"/>
                <w:szCs w:val="20"/>
              </w:rPr>
              <w:t xml:space="preserve">0.0855</w:t>
            </w:r>
          </w:p>
        </w:tc>
        <w:tc>
          <w:tcPr>
            <w:tcW w:w="0" w:type="auto"/>
          </w:tcPr>
          <w:p>
            <w:pPr>
              <w:spacing w:line="240" w:lineRule="auto" w:before="0" w:after="0"/>
              <w:pStyle w:val="Compact"/>
            </w:pPr>
            <w:r>
              <w:rPr>
                <w:sz w:val="20"/>
                <w:szCs w:val="20"/>
              </w:rPr>
              <w:t xml:space="preserve">-1.3776</w:t>
            </w:r>
          </w:p>
        </w:tc>
        <w:tc>
          <w:tcPr>
            <w:tcW w:w="0" w:type="auto"/>
          </w:tcPr>
          <w:p>
            <w:pPr>
              <w:spacing w:line="240" w:lineRule="auto" w:before="0" w:after="0"/>
              <w:pStyle w:val="Compact"/>
            </w:pPr>
            <w:r>
              <w:rPr>
                <w:sz w:val="20"/>
                <w:szCs w:val="20"/>
              </w:rPr>
              <w:t xml:space="preserve">0.1683</w:t>
            </w:r>
          </w:p>
        </w:tc>
        <w:tc>
          <w:tcPr>
            <w:tcW w:w="0" w:type="auto"/>
          </w:tcPr>
          <w:p>
            <w:pPr>
              <w:spacing w:line="240" w:lineRule="auto" w:before="0" w:after="0"/>
              <w:pStyle w:val="Compact"/>
            </w:pPr>
            <w:r>
              <w:rPr>
                <w:sz w:val="20"/>
                <w:szCs w:val="20"/>
              </w:rPr>
              <w:t xml:space="preserve">[-0.2854, 0.0498]</w:t>
            </w:r>
          </w:p>
        </w:tc>
      </w:tr>
    </w:tbl>
    <w:p>
      <w:pPr>
        <w:pStyle w:val="BodyText"/>
        <w:spacing w:line="480" w:lineRule="auto"/>
        <w:ind w:firstLine="720"/>
      </w:pPr>
      <w:r>
        <w:t xml:space="preserve">Fit: N = 30 R2 = 0.0203 elasticity_b = -0.1178 progress_ratio_2^b = 0.9216</w:t>
      </w:r>
    </w:p>
    <w:bookmarkEnd w:id="193"/>
    <w:bookmarkStart w:id="19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5" name="Picture"/>
            <a:graphic>
              <a:graphicData uri="http://schemas.openxmlformats.org/drawingml/2006/picture">
                <pic:pic>
                  <pic:nvPicPr>
                    <pic:cNvPr descr="D:/Claude_Code/brain/collegium/candidates/dissertations/SSA_SDA_09/research_papers/p2/paper_fig1.png" id="196" name="Picture"/>
                    <pic:cNvPicPr>
                      <a:picLocks noChangeArrowheads="1" noChangeAspect="1"/>
                    </pic:cNvPicPr>
                  </pic:nvPicPr>
                  <pic:blipFill>
                    <a:blip r:embed="rId19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7"/>
    <w:bookmarkStart w:id="19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https://amostech.space/year/2016/harnessing-adaptive-optics-for-space-debris-collision-mitigation/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10.64861/PEUU1014</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10.64861/GPAR3562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https://amostech.space/year/2014/evolution-and-implementation-of-the-nasa-robotic-conjunction-assessment-risk-analysis-concept-of-operations/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https://amostech.space/year/2013/sizing-of-a-raven-class-telescope-using-performance-sensitivities/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https://amostech.space/year/2021/photometric-and-spectral-calibration-of-the-falcon-telescope-network/</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10.64861/KFLV2709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https://amostech.space/year/2020/a-constellation-of-sensors-optimized-for-maneuver-tracking/</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10.64861/YOWY2953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https://amostech.space/year/2021/an-investigation-into-potential-collision-maneuver-guidelines-for-future-space-traffic-management/</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10.1016/j.actaastro.2025.03.043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10.1016/j.actaastro.2025.12.055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10.1016/j.actaastro.2026.05.030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10.1016/j.actaastro.2025.11.043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10.1016/j.actaastro.2024.04.025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10.1016/j.actaastro.2025.07.014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10.1016/j.actaastro.2023.07.014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DIME Campaign Plan v3.0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bl>
    <w:bookmarkEnd w:id="198"/>
    <w:bookmarkStart w:id="19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9"/>
    <w:bookmarkEnd w:id="200"/>
    <w:bookmarkEnd w:id="20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6" Type="http://schemas.openxmlformats.org/officeDocument/2006/relationships/image" Target="media/rId186.png"/><Relationship Id="rId194" Type="http://schemas.openxmlformats.org/officeDocument/2006/relationships/image" Target="media/rId194.png"/><Relationship Id="rId182" Type="http://schemas.openxmlformats.org/officeDocument/2006/relationships/hyperlink" Target="https://doi.org/10.1016/j.actaastro.2024.04.025" TargetMode="External"/><Relationship Id="rId168" Type="http://schemas.openxmlformats.org/officeDocument/2006/relationships/hyperlink" Target="https://doi.org/10.1016/j.actaastro.2025.03.043" TargetMode="External"/><Relationship Id="rId172" Type="http://schemas.openxmlformats.org/officeDocument/2006/relationships/hyperlink" Target="https://doi.org/10.1016/j.actaastro.2025.11.006" TargetMode="External"/><Relationship Id="rId180" Type="http://schemas.openxmlformats.org/officeDocument/2006/relationships/hyperlink" Target="https://doi.org/10.1016/j.actaastro.2025.11.043" TargetMode="External"/><Relationship Id="rId176" Type="http://schemas.openxmlformats.org/officeDocument/2006/relationships/hyperlink" Target="https://doi.org/10.1016/j.actaastro.2025.12.053" TargetMode="External"/><Relationship Id="rId170" Type="http://schemas.openxmlformats.org/officeDocument/2006/relationships/hyperlink" Target="https://doi.org/10.1016/j.actaastro.2025.12.055" TargetMode="External"/><Relationship Id="rId174" Type="http://schemas.openxmlformats.org/officeDocument/2006/relationships/hyperlink" Target="https://doi.org/10.1016/j.actaastro.2026.05.030" TargetMode="External"/><Relationship Id="rId178" Type="http://schemas.openxmlformats.org/officeDocument/2006/relationships/hyperlink" Target="https://doi.org/10.1016/j.actaastro.2026.05.056" TargetMode="External"/><Relationship Id="rId159" Type="http://schemas.openxmlformats.org/officeDocument/2006/relationships/hyperlink" Target="https://doi.org/10.64861/GPAR3562" TargetMode="External"/><Relationship Id="rId157" Type="http://schemas.openxmlformats.org/officeDocument/2006/relationships/hyperlink" Target="https://doi.org/10.64861/PEUU1014" TargetMode="External"/><Relationship Id="rId163" Type="http://schemas.openxmlformats.org/officeDocument/2006/relationships/hyperlink" Target="https://doi.org/10.64861/RBTM5104" TargetMode="External"/><Relationship Id="rId165" Type="http://schemas.openxmlformats.org/officeDocument/2006/relationships/hyperlink" Target="https://doi.org/10.64861/UHIX1013" TargetMode="External"/></Relationships>
</file>

<file path=word/_rels/footnotes.xml.rels><?xml version='1.0' encoding='UTF-8' standalone='yes'?>
<Relationships xmlns="http://schemas.openxmlformats.org/package/2006/relationships"><Relationship Id="rId182" Type="http://schemas.openxmlformats.org/officeDocument/2006/relationships/hyperlink" Target="https://doi.org/10.1016/j.actaastro.2024.04.025" TargetMode="External"/><Relationship Id="rId168" Type="http://schemas.openxmlformats.org/officeDocument/2006/relationships/hyperlink" Target="https://doi.org/10.1016/j.actaastro.2025.03.043" TargetMode="External"/><Relationship Id="rId172" Type="http://schemas.openxmlformats.org/officeDocument/2006/relationships/hyperlink" Target="https://doi.org/10.1016/j.actaastro.2025.11.006" TargetMode="External"/><Relationship Id="rId180" Type="http://schemas.openxmlformats.org/officeDocument/2006/relationships/hyperlink" Target="https://doi.org/10.1016/j.actaastro.2025.11.043" TargetMode="External"/><Relationship Id="rId176" Type="http://schemas.openxmlformats.org/officeDocument/2006/relationships/hyperlink" Target="https://doi.org/10.1016/j.actaastro.2025.12.053" TargetMode="External"/><Relationship Id="rId170" Type="http://schemas.openxmlformats.org/officeDocument/2006/relationships/hyperlink" Target="https://doi.org/10.1016/j.actaastro.2025.12.055" TargetMode="External"/><Relationship Id="rId174" Type="http://schemas.openxmlformats.org/officeDocument/2006/relationships/hyperlink" Target="https://doi.org/10.1016/j.actaastro.2026.05.030" TargetMode="External"/><Relationship Id="rId178" Type="http://schemas.openxmlformats.org/officeDocument/2006/relationships/hyperlink" Target="https://doi.org/10.1016/j.actaastro.2026.05.056" TargetMode="External"/><Relationship Id="rId159" Type="http://schemas.openxmlformats.org/officeDocument/2006/relationships/hyperlink" Target="https://doi.org/10.64861/GPAR3562" TargetMode="External"/><Relationship Id="rId157" Type="http://schemas.openxmlformats.org/officeDocument/2006/relationships/hyperlink" Target="https://doi.org/10.64861/PEUU1014" TargetMode="External"/><Relationship Id="rId163" Type="http://schemas.openxmlformats.org/officeDocument/2006/relationships/hyperlink" Target="https://doi.org/10.64861/RBTM5104" TargetMode="External"/><Relationship Id="rId165" Type="http://schemas.openxmlformats.org/officeDocument/2006/relationships/hyperlink" Target="https://doi.org/10.64861/UHIX1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Marginal Value of an Additional Sensor: Information-Gain Diminishing Returns</dc:title>
  <dc:creator>Stefan Berger (1B-SDA-221)</dc:creator>
  <cp:keywords/>
  <dcterms:created xsi:type="dcterms:W3CDTF">2026-07-02T23:35:42Z</dcterms:created>
  <dcterms:modified xsi:type="dcterms:W3CDTF">2026-07-02T23:35:42Z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