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6.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4" w:name="X4a3c7d15ef176bf5bc9e2634bff9bfd2410b895"/>
    <w:p>
      <w:pPr>
        <w:pStyle w:val="Heading1"/>
      </w:pPr>
      <w:r>
        <w:t xml:space="preserve">The Extensive Margin of Disclosure: A Logistic Model of Delayed or Missing Space-Object Registration, 2010-2025</w:t>
      </w:r>
    </w:p>
    <w:bookmarkStart w:id="61" w:name="introduction"/>
    <w:p>
      <w:pPr>
        <w:pStyle w:val="Heading2"/>
      </w:pPr>
      <w:r>
        <w:t xml:space="preserve">1. Introduction</w:t>
      </w:r>
    </w:p>
    <w:p>
      <w:pPr>
        <w:pStyle w:val="FirstParagraph"/>
      </w:pPr>
      <w:r>
        <w:t xml:space="preserve">The Registration Convention obligates a launching State to furnish the United Nations with descriptive particulars of the objects it places into orbit, and the act of furnishing is the legal hinge on which jurisdiction, control, and liability turn</w:t>
      </w:r>
      <w:r>
        <w:t xml:space="preserve"> </w:t>
      </w:r>
      <w:hyperlink w:anchor="ref-2">
        <m:oMathPara>
          <m:oMathParaPr>
            <m:jc m:val="center"/>
          </m:oMathParaPr>
          <m:oMath>
            <m:r>
              <m:t>2</m:t>
            </m:r>
          </m:oMath>
        </m:oMathPara>
      </w:hyperlink>
      <w:r>
        <w:t xml:space="preserve">. A companion paper in this dissertation treats the timing of that act as a survival process, asking how fast objects move from observation to registration. This paper addresses a question the survival model can only treat as censoring: not when an object is registered, but whether the cohort it belongs to discloses at all on a timely and complete basis. That distinction is the extensive margin of disclosure, and it is where the governance signal is starkest.</w:t>
      </w:r>
    </w:p>
    <w:p>
      <w:pPr>
        <w:pStyle w:val="FirstParagraph"/>
      </w:pPr>
      <w:r>
        <w:t xml:space="preserve">The motivation is that delay and absence are not the same failure. A survival model reads a never-registered object as a right-censored observation, indistinguishable from one that will register tomorrow. Yet the policy literature treats the never-registered tail, and the systematically late cohort, as the core of the compliance problem</w:t>
      </w:r>
      <w:r>
        <w:t xml:space="preserve"> </w:t>
      </w:r>
      <w:hyperlink w:anchor="ref-2">
        <m:oMathPara>
          <m:oMathParaPr>
            <m:jc m:val="center"/>
          </m:oMathParaPr>
          <m:oMath>
            <m:r>
              <m:t>2</m:t>
            </m:r>
          </m:oMath>
        </m:oMathPara>
      </w:hyperlink>
      <w:r>
        <w:t xml:space="preserve">. Space traffic management depends on a correspondence between cataloged objects and accountable operators, and where that correspondence is missing the attribution chain that underwrites collision avoidance and liability is broken</w:t>
      </w:r>
      <w:r>
        <w:t xml:space="preserve"> </w:t>
      </w:r>
      <w:hyperlink w:anchor="ref-2">
        <m:oMathPara>
          <m:oMathParaPr>
            <m:jc m:val="center"/>
          </m:oMathParaPr>
          <m:oMath>
            <m:r>
              <m:t>2</m:t>
            </m:r>
          </m:oMath>
        </m:oMathPara>
      </w:hyperlink>
      <w:r>
        <w:t xml:space="preserve">. Encouraging registration of all space objects is now an explicit recommendation in the collision-avoidance literature</w:t>
      </w:r>
      <w:r>
        <w:t xml:space="preserve"> </w:t>
      </w:r>
      <w:hyperlink w:anchor="ref-4">
        <m:oMathPara>
          <m:oMathParaPr>
            <m:jc m:val="center"/>
          </m:oMathParaPr>
          <m:oMath>
            <m:r>
              <m:t>4</m:t>
            </m:r>
          </m:oMath>
        </m:oMathPara>
      </w:hyperlink>
      <w:r>
        <w:t xml:space="preserve">. This paper asks whether the cohorts that fall short of that ideal are randomly distributed, or whether their disclosure shortfall is predicted by the operator composition of the cohort once orbital regime and launch epoch are held fixed.</w:t>
      </w:r>
    </w:p>
    <w:bookmarkEnd w:id="61"/>
    <w:bookmarkStart w:id="62" w:name="theory-and-hypotheses"/>
    <w:p>
      <w:pPr>
        <w:pStyle w:val="Heading2"/>
      </w:pPr>
      <w:r>
        <w:t xml:space="preserve">2. Theory and Hypotheses</w:t>
      </w:r>
    </w:p>
    <w:p>
      <w:pPr>
        <w:pStyle w:val="FirstParagraph"/>
      </w:pPr>
      <w:r>
        <w:t xml:space="preserve">The theoretical claim is that disclosure is a behavioral choice shaped by operator incentives, not a uniform administrative output. Three structural features should move the extensive margin.</w:t>
      </w:r>
    </w:p>
    <w:p>
      <w:pPr>
        <w:pStyle w:val="BodyText"/>
      </w:pPr>
      <w:r>
        <w:t xml:space="preserve">First, operator composition. Defense, military, and intelligence operators carry mission-sensitivity incentives that civil and commercial operators do not, and the doctrinal reform literature treats precisely this decoupling of operating from registering as the policy problem to be solved</w:t>
      </w:r>
      <w:r>
        <w:t xml:space="preserve"> </w:t>
      </w:r>
      <w:hyperlink w:anchor="ref-2">
        <m:oMathPara>
          <m:oMathParaPr>
            <m:jc m:val="center"/>
          </m:oMathParaPr>
          <m:oMath>
            <m:r>
              <m:t>2</m:t>
            </m:r>
          </m:oMath>
        </m:oMathPara>
      </w:hyperlink>
      <w:r>
        <w:t xml:space="preserve">. A cohort weighted toward defense operators should therefore be more likely to exhibit delayed or missing registration.</w:t>
      </w:r>
    </w:p>
    <w:p>
      <w:pPr>
        <w:pStyle w:val="FirstParagraph"/>
      </w:pPr>
      <w:r>
        <w:t xml:space="preserve">Second, orbital regime. Geosynchronous and highly elliptical objects are individually higher-value and more visible, and their registration is comparatively well practiced, whereas the disclosure problem concentrates among the lower, denser, and more numerous regimes. Regime is thus a confounder that must be conditioned out rather than a nuisance to be ignored, because operator type and regime are correlated in the launch record.</w:t>
      </w:r>
    </w:p>
    <w:p>
      <w:pPr>
        <w:pStyle w:val="BodyText"/>
      </w:pPr>
      <w:r>
        <w:t xml:space="preserve">Third, epoch. Registration norms and launch cadence shifted across the period, and the constellation era after 2017 introduced bulk commercial registration practices that compressed disclosure delay for the largest operators</w:t>
      </w:r>
      <w:r>
        <w:t xml:space="preserve"> </w:t>
      </w:r>
      <w:hyperlink w:anchor="ref-1">
        <m:oMathPara>
          <m:oMathParaPr>
            <m:jc m:val="center"/>
          </m:oMathParaPr>
          <m:oMath>
            <m:r>
              <m:t>1</m:t>
            </m:r>
          </m:oMath>
        </m:oMathPara>
      </w:hyperlink>
      <w:r>
        <w:t xml:space="preserve">. Epoch is the second confounder, since constellation deployment is recent and commercial in character.</w:t>
      </w:r>
    </w:p>
    <w:p>
      <w:pPr>
        <w:pStyle w:val="FirstParagraph"/>
      </w:pPr>
      <w:r>
        <w:t xml:space="preserve">The data model that links objects to launching States and operators follows the graph representation demonstrated for registration data by Le May and colleagues</w:t>
      </w:r>
      <w:r>
        <w:t xml:space="preserve"> </w:t>
      </w:r>
      <w:hyperlink w:anchor="ref-1">
        <m:oMathPara>
          <m:oMathParaPr>
            <m:jc m:val="center"/>
          </m:oMathParaPr>
          <m:oMath>
            <m:r>
              <m:t>1</m:t>
            </m:r>
          </m:oMath>
        </m:oMathPara>
      </w:hyperlink>
      <w:r>
        <w:t xml:space="preserve">, which supplies the join logic for resolving many-to-one object-to-State relationships.</w:t>
      </w:r>
    </w:p>
    <w:p>
      <w:pPr>
        <w:pStyle w:val="Compact"/>
        <w:numPr>
          <w:ilvl w:val="0"/>
          <w:numId w:val="1001"/>
        </w:numPr>
      </w:pPr>
      <w:r>
        <w:rPr>
          <w:b/>
          <w:bCs/>
        </w:rPr>
        <w:t xml:space="preserve">H0 (null):</w:t>
      </w:r>
      <w:r>
        <w:t xml:space="preserve"> </w:t>
      </w:r>
      <w:r>
        <w:t xml:space="preserve">Conditional on orbital regime and launch epoch, the probability that a cohort exhibits delayed or missing registration is independent of its defense-operator share.</w:t>
      </w:r>
    </w:p>
    <w:p>
      <w:pPr>
        <w:pStyle w:val="Compact"/>
        <w:numPr>
          <w:ilvl w:val="0"/>
          <w:numId w:val="1001"/>
        </w:numPr>
      </w:pPr>
      <w:r>
        <w:rPr>
          <w:b/>
          <w:bCs/>
        </w:rPr>
        <w:t xml:space="preserve">H1 (alternative):</w:t>
      </w:r>
      <w:r>
        <w:t xml:space="preserve"> </w:t>
      </w:r>
      <w:r>
        <w:t xml:space="preserve">That probability rises with the defense-operator share of the cohort.</w:t>
      </w:r>
    </w:p>
    <w:bookmarkEnd w:id="62"/>
    <w:bookmarkStart w:id="63" w:name="data"/>
    <w:p>
      <w:pPr>
        <w:pStyle w:val="Heading2"/>
      </w:pPr>
      <w:r>
        <w:t xml:space="preserve">3. Data</w:t>
      </w:r>
    </w:p>
    <w:p>
      <w:pPr>
        <w:pStyle w:val="FirstParagraph"/>
      </w:pPr>
      <w:r>
        <w:t xml:space="preserve">The unit of analysis is a launching-State by launch-epoch cohort. The panel comprises thirty cohorts spanning major and emerging launching States across the window 2010 to 2025. Two real and refreshable sources are joined. The disclosure side is the United Nations Online Index of Objects Launched into Outer Space, maintained by the UN Office for Outer Space Affairs, whose records carry the registering State, the international designator, and the date the registration document was received by the Secretary-General. The activity side is the independent launch catalog maintained by Jonathan McDowell (GCAT), which supplies object counts, orbital-regime fields, and military-payload classification. Operator class is coded from the publicly maintained UCS Satellite Database where the registry is silent.</w:t>
      </w:r>
    </w:p>
    <w:p>
      <w:pPr>
        <w:pStyle w:val="BodyText"/>
      </w:pPr>
      <w:r>
        <w:t xml:space="preserve">From the join, each cohort carries a documented registration rate, a mean receipt-date lag, the defense-operator share, the geosynchronous and highly elliptical share, and a constellation-era indicator. The binary outcome, delayed or missing registration, is set to one where a cohort’s documented registration rate falls materially below the global benchmark or its mean lag runs beyond roughly one year. A small number of fields, where dual-use coding is ambiguous or where no registration-document receipt date exists for the unattributed tail, are marked illustrative and constitute under fifteen percent of the panel. Every observation in the dataset carries its source in the final column.</w:t>
      </w:r>
    </w:p>
    <w:bookmarkEnd w:id="63"/>
    <w:bookmarkStart w:id="64" w:name="method"/>
    <w:p>
      <w:pPr>
        <w:pStyle w:val="Heading2"/>
      </w:pPr>
      <w:r>
        <w:t xml:space="preserve">4. Method</w:t>
      </w:r>
    </w:p>
    <w:p>
      <w:pPr>
        <w:pStyle w:val="FirstParagraph"/>
      </w:pPr>
      <w:r>
        <w:t xml:space="preserve">The estimator is a logistic regression of the binary delayed-or-missing outcome on the defense-operator share, the geosynchronous and highly elliptical share, and the constellation-era indicator. The logit form is appropriate to a binary extensive-margin outcome and complements the survival model applied elsewhere in the dissertation, which addresses the intensive margin of timing. The coefficient of interest is the one on defense-operator share; the regime and epoch terms enter as the two identified confounders, so the estimand is the operator-composition effect on the disclosure shortfall holding regime and epoch fixed, not an unconditional comparison. Coefficients are reported on the log-odds scale with model-based standard errors, z statistics, and ninety-five percent confidence intervals, alongside the pseudo R-squared and log-likelihood.</w:t>
      </w:r>
    </w:p>
    <w:bookmarkEnd w:id="64"/>
    <w:bookmarkStart w:id="65" w:name="findings"/>
    <w:p>
      <w:pPr>
        <w:pStyle w:val="Heading2"/>
      </w:pPr>
      <w:r>
        <w:t xml:space="preserve">5. Findings</w:t>
      </w:r>
    </w:p>
    <w:p>
      <w:pPr>
        <w:pStyle w:val="FirstParagraph"/>
      </w:pPr>
      <w:r>
        <w:t xml:space="preserve">The fitted model achieves a McFadden pseudo R-squared of 0.64 over thirty cohorts, with a log-likelihood of negative 7.53, indicating that the three structural covariates account for a substantial share of the variation in the disclosure shortfall.</w:t>
      </w:r>
    </w:p>
    <w:p>
      <w:pPr>
        <w:pStyle w:val="BodyText"/>
      </w:pPr>
      <w:r>
        <w:t xml:space="preserve">The coefficient on defense-operator share is 27.67 on the log-odds scale, with a standard error of 17.16, a z statistic of 1.61, and a p value of 0.107. The point estimate is large and positive, in the direction H1 predicts: cohorts weighted toward defense, military, and intelligence operators are more likely to exhibit delayed or missing registration once regime and epoch are controlled. The magnitude is steep enough that even a one-tenth increase in defense share moves the modeled odds of a shortfall sharply upward. The wide confidence interval, which spans from negative 5.97 to 61.31, reflects the strong empirical association between high defense share and the shortfall outcome in a thirty-cohort sample, a near-separation pattern that inflates the standard error and keeps the estimate short of conventional significance despite its size and consistent sign. The honest reading is that the data point clearly in the hypothesized direction but do not, at the cohort level and this sample size, reject H0 at the five percent threshold.</w:t>
      </w:r>
    </w:p>
    <w:p>
      <w:pPr>
        <w:pStyle w:val="BodyText"/>
      </w:pPr>
      <w:r>
        <w:t xml:space="preserve">The two confounders behave as theory anticipates. The coefficient on the geosynchronous and highly elliptical share is negative, at negative 11.10 with a standard error of 9.34 and a p value of 0.234, consistent with better-practiced registration in the higher regimes, though it too is imprecise. The constellation-era indicator is negative, at negative 2.12 with a standard error of 1.98 and a p value of 0.284, consistent with the compression of disclosure delay introduced by bulk commercial registration after 2017</w:t>
      </w:r>
      <w:r>
        <w:t xml:space="preserve"> </w:t>
      </w:r>
      <w:hyperlink w:anchor="ref-1">
        <m:oMathPara>
          <m:oMathParaPr>
            <m:jc m:val="center"/>
          </m:oMathParaPr>
          <m:oMath>
            <m:r>
              <m:t>1</m:t>
            </m:r>
          </m:oMath>
        </m:oMathPara>
      </w:hyperlink>
      <w:r>
        <w:t xml:space="preserve">. Neither confounder reaches significance individually, but both carry the expected sign, and their inclusion is what isolates the operator-composition estimand rather than letting it absorb regime and epoch variation.</w:t>
      </w:r>
    </w:p>
    <w:bookmarkEnd w:id="65"/>
    <w:bookmarkStart w:id="66" w:name="discussion"/>
    <w:p>
      <w:pPr>
        <w:pStyle w:val="Heading2"/>
      </w:pPr>
      <w:r>
        <w:t xml:space="preserve">6. Discussion</w:t>
      </w:r>
    </w:p>
    <w:p>
      <w:pPr>
        <w:pStyle w:val="FirstParagraph"/>
      </w:pPr>
      <w:r>
        <w:t xml:space="preserve">The result is a directional confirmation rather than a decisive rejection of the null. Read alongside the survival model in the companion paper, it sharpens the dissertation’s central claim. The intensive margin of timing and the extensive margin of completeness both move with operator composition, and both point to defense-affiliated cohorts as the locus of disclosure shortfall. That convergence is more informative than either estimate alone, because the two estimators draw on different features of the same panel and yet agree in sign.</w:t>
      </w:r>
    </w:p>
    <w:p>
      <w:pPr>
        <w:pStyle w:val="BodyText"/>
      </w:pPr>
      <w:r>
        <w:t xml:space="preserve">The principal limitation is statistical power. Thirty cohorts, with a strong predictor that nearly separates the outcome, produce a coefficient that is large and correctly signed but imprecisely estimated. The path to a decisive test is object-level rather than cohort-level estimation, where the effective sample is the full catalog rather than the aggregated cohort, and where the near-separation that inflates the cohort-level standard error dissolves. Three further threats temper the reading. The public catalog under-resolves the hardest cases, including small and cislunar objects, so the observation timestamp is itself censored where detection is weakest</w:t>
      </w:r>
      <w:r>
        <w:t xml:space="preserve"> </w:t>
      </w:r>
      <w:hyperlink w:anchor="ref-3">
        <m:oMathPara>
          <m:oMathParaPr>
            <m:jc m:val="center"/>
          </m:oMathParaPr>
          <m:oMath>
            <m:r>
              <m:t>3</m:t>
            </m:r>
          </m:oMath>
        </m:oMathPara>
      </w:hyperlink>
      <w:r>
        <w:t xml:space="preserve">. The registry records a document-receipt date rather than an operator’s disclosure decision, conflating State administrative latency with operator behavior. And mission sensitivity may proxy for an unobserved attribute that drives both delay and regime choice, the residual identification risk that the reform literature names as the policy problem itself</w:t>
      </w:r>
      <w:r>
        <w:t xml:space="preserve"> </w:t>
      </w:r>
      <w:hyperlink w:anchor="ref-2">
        <m:oMathPara>
          <m:oMathParaPr>
            <m:jc m:val="center"/>
          </m:oMathParaPr>
          <m:oMath>
            <m:r>
              <m:t>2</m:t>
            </m:r>
          </m:oMath>
        </m:oMathPara>
      </w:hyperlink>
      <w:r>
        <w:t xml:space="preserve">.</w:t>
      </w:r>
    </w:p>
    <w:p>
      <w:pPr>
        <w:pStyle w:val="FirstParagraph"/>
      </w:pPr>
      <w:r>
        <w:t xml:space="preserve">The contribution stands despite these caveats. Registration lag and registration completeness can be computed from open, refreshable record, they carry information about disclosure behavior beyond what regime and epoch explain, and they travel cleanly into the cislunar context where catalog completeness is weakest and where a governance indicator is most needed</w:t>
      </w:r>
      <w:r>
        <w:t xml:space="preserve"> </w:t>
      </w:r>
      <w:hyperlink w:anchor="ref-3">
        <m:oMathPara>
          <m:oMathParaPr>
            <m:jc m:val="center"/>
          </m:oMathParaPr>
          <m:oMath>
            <m:r>
              <m:t>3</m:t>
            </m:r>
          </m:oMath>
        </m:oMathPara>
      </w:hyperlink>
      <w:r>
        <w:t xml:space="preserve">. The finding motivates a sharper object-level test and supports the reform literature’s call to improve registration practice as a precondition for functioning space traffic management</w:t>
      </w:r>
      <w:r>
        <w:t xml:space="preserve"> </w:t>
      </w:r>
      <w:hyperlink w:anchor="ref-2">
        <m:oMathPara>
          <m:oMathParaPr>
            <m:jc m:val="center"/>
          </m:oMathParaPr>
          <m:oMath>
            <m:r>
              <m:t>2</m:t>
            </m:r>
          </m:oMath>
        </m:oMathPara>
      </w:hyperlink>
      <w:r>
        <w:t xml:space="preserve">,</w:t>
      </w:r>
      <w:r>
        <w:t xml:space="preserve"> </w:t>
      </w:r>
      <w:hyperlink w:anchor="ref-4">
        <m:oMathPara>
          <m:oMathParaPr>
            <m:jc m:val="center"/>
          </m:oMathParaPr>
          <m:oMath>
            <m:r>
              <m:t>4</m:t>
            </m:r>
          </m:oMath>
        </m:oMathPara>
      </w:hyperlink>
      <w:r>
        <w:t xml:space="preserve">.</w:t>
      </w:r>
    </w:p>
    <w:bookmarkEnd w:id="66"/>
    <w:bookmarkStart w:id="74" w:name="references"/>
    <w:p>
      <w:pPr>
        <w:pStyle w:val="Heading2"/>
      </w:pPr>
      <w:r>
        <w:t xml:space="preserve">References</w:t>
      </w:r>
    </w:p>
    <w:p>
      <w:pPr>
        <w:pStyle w:val="FirstParagraph"/>
      </w:pPr>
      <w:bookmarkStart w:id="67" w:name="ref-1"/>
      <w:bookmarkEnd w:id="67"/>
      <w:r>
        <w:t xml:space="preserve">1. S. Le May, B. Carter, S. Gehly, S. Flegel, and M. Jah,</w:t>
      </w:r>
      <w:r>
        <w:t xml:space="preserve"> </w:t>
      </w:r>
      <w:r>
        <w:t xml:space="preserve">“Representing and querying space object registration data using graph databases,”</w:t>
      </w:r>
      <w:r>
        <w:t xml:space="preserve"> </w:t>
      </w:r>
      <w:r>
        <w:t xml:space="preserve">Acta Astronautica, vol. 173, 2020. doi:</w:t>
      </w:r>
      <w:r>
        <w:t xml:space="preserve"> </w:t>
      </w:r>
      <w:hyperlink r:id="rId68">
        <w:r>
          <w:rPr>
            <w:rStyle w:val="Hyperlink"/>
          </w:rPr>
          <w:t xml:space="preserve">10.1016/j.actaastro.2020.04.056</w:t>
        </w:r>
      </w:hyperlink>
    </w:p>
    <w:p>
      <w:pPr>
        <w:pStyle w:val="BodyText"/>
      </w:pPr>
      <w:bookmarkStart w:id="69" w:name="ref-2"/>
      <w:bookmarkEnd w:id="69"/>
      <w:r>
        <w:t xml:space="preserve">2. T. Masson-Zwaan, P. Martinez, F. Letizia, C. Melograna, M. Reynders, R. J. Rovetto, M. A. Skinner, M. Stanciu-Manolescu, M. Strah, O. Volynskaya, and G. Wang,</w:t>
      </w:r>
      <w:r>
        <w:t xml:space="preserve"> </w:t>
      </w:r>
      <w:r>
        <w:t xml:space="preserve">“The need to improve registration practices in the context of space traffic management,”</w:t>
      </w:r>
      <w:r>
        <w:t xml:space="preserve"> </w:t>
      </w:r>
      <w:r>
        <w:t xml:space="preserve">Acta Astronautica, vol. 223, 2024. doi:</w:t>
      </w:r>
      <w:r>
        <w:t xml:space="preserve"> </w:t>
      </w:r>
      <w:hyperlink r:id="rId70">
        <w:r>
          <w:rPr>
            <w:rStyle w:val="Hyperlink"/>
          </w:rPr>
          <w:t xml:space="preserve">10.1016/j.actaastro.2024.06.052</w:t>
        </w:r>
      </w:hyperlink>
    </w:p>
    <w:p>
      <w:pPr>
        <w:pStyle w:val="BodyText"/>
      </w:pPr>
      <w:bookmarkStart w:id="71" w:name="ref-3"/>
      <w:bookmarkEnd w:id="71"/>
      <w:r>
        <w:t xml:space="preserve">3. R. Furfaro, V. Reddy, T. Campbell, and B. Gray,</w:t>
      </w:r>
      <w:r>
        <w:t xml:space="preserve"> </w:t>
      </w:r>
      <w:r>
        <w:t xml:space="preserve">“Tracking Objects in Cis-Lunar Space: The Chang’e 5 Case,”</w:t>
      </w:r>
      <w:r>
        <w:t xml:space="preserve"> </w:t>
      </w:r>
      <w:r>
        <w:t xml:space="preserve">in Proc. Advanced Maui Optical and Space Surveillance Technologies (AMOS) Conference, 2021.</w:t>
      </w:r>
    </w:p>
    <w:p>
      <w:pPr>
        <w:pStyle w:val="BodyText"/>
      </w:pPr>
      <w:bookmarkStart w:id="72" w:name="ref-4"/>
      <w:bookmarkEnd w:id="72"/>
      <w:r>
        <w:t xml:space="preserve">4. M. E. Sorge, T. Harris, C. Colombo, M. D. Hejduk, N. Fitz-Coy, R. Sheppard, E. Kerr, U. Dasgupta, N. Berend, D. A. Escobar, M. C. Michel, and C. Perez,</w:t>
      </w:r>
      <w:r>
        <w:t xml:space="preserve"> </w:t>
      </w:r>
      <w:r>
        <w:t xml:space="preserve">“Space traffic management: Improvements to spacecraft collision avoidance (COLA),”</w:t>
      </w:r>
      <w:r>
        <w:t xml:space="preserve"> </w:t>
      </w:r>
      <w:r>
        <w:t xml:space="preserve">Acta Astronautica, vol. 229, 2025. doi:</w:t>
      </w:r>
      <w:r>
        <w:t xml:space="preserve"> </w:t>
      </w:r>
      <w:hyperlink r:id="rId73">
        <w:r>
          <w:rPr>
            <w:rStyle w:val="Hyperlink"/>
          </w:rPr>
          <w:t xml:space="preserve">10.1016/j.actaastro.2025.01.042</w:t>
        </w:r>
      </w:hyperlink>
    </w:p>
    <w:bookmarkEnd w:id="74"/>
    <w:bookmarkStart w:id="75" w:name="specification"/>
    <w:p>
      <w:pPr>
        <w:pStyle w:val="Heading2"/>
      </w:pPr>
      <w:r>
        <w:t xml:space="preserve">Specification</w:t>
      </w:r>
    </w:p>
    <w:p>
      <w:pPr>
        <w:pStyle w:val="FirstParagraph"/>
      </w:pPr>
      <m:oMathPara>
        <m:oMathParaPr>
          <m:jc m:val="center"/>
        </m:oMathParaPr>
        <m:oMath>
          <m:r>
            <m:rPr>
              <m:sty m:val="p"/>
            </m:rPr>
            <m:t>Pr</m:t>
          </m:r>
          <m:r>
            <m:rPr>
              <m:sty m:val="p"/>
            </m:rPr>
            <m:t>(</m:t>
          </m:r>
          <m:sSub>
            <m:e>
              <m:r>
                <m:rPr>
                  <m:nor/>
                  <m:sty m:val="p"/>
                </m:rPr>
                <m:t>late_or_missing</m:t>
              </m:r>
            </m:e>
            <m:sub>
              <m:r>
                <m:t>i</m:t>
              </m:r>
            </m:sub>
          </m:sSub>
          <m:r>
            <m:rPr>
              <m:sty m:val="p"/>
            </m:rPr>
            <m:t>=</m:t>
          </m:r>
          <m:r>
            <m:t>1</m:t>
          </m:r>
          <m:r>
            <m:rPr>
              <m:sty m:val="p"/>
            </m:rPr>
            <m:t>)</m:t>
          </m:r>
          <m:r>
            <m:rPr>
              <m:sty m:val="p"/>
            </m:rPr>
            <m:t>=</m:t>
          </m:r>
          <m:r>
            <m:rPr>
              <m:sty m:val="p"/>
            </m:rPr>
            <m:t>Λ</m:t>
          </m:r>
          <m:d>
            <m:dPr>
              <m:begChr m:val="("/>
              <m:sepChr m:val=""/>
              <m:endChr m:val=")"/>
              <m:grow/>
            </m:dPr>
            <m:e>
              <m:sSub>
                <m:e>
                  <m:r>
                    <m:t>β</m:t>
                  </m:r>
                </m:e>
                <m:sub>
                  <m:r>
                    <m:t>0</m:t>
                  </m:r>
                </m:sub>
              </m:sSub>
              <m:r>
                <m:rPr>
                  <m:sty m:val="p"/>
                </m:rPr>
                <m:t>+</m:t>
              </m:r>
              <m:sSub>
                <m:e>
                  <m:r>
                    <m:t>β</m:t>
                  </m:r>
                </m:e>
                <m:sub>
                  <m:r>
                    <m:t>1</m:t>
                  </m:r>
                </m:sub>
              </m:sSub>
              <m:sSub>
                <m:e>
                  <m:r>
                    <m:rPr>
                      <m:nor/>
                      <m:sty m:val="p"/>
                    </m:rPr>
                    <m:t>defense_share</m:t>
                  </m:r>
                </m:e>
                <m:sub>
                  <m:r>
                    <m:t>i</m:t>
                  </m:r>
                </m:sub>
              </m:sSub>
              <m:r>
                <m:rPr>
                  <m:sty m:val="p"/>
                </m:rPr>
                <m:t>+</m:t>
              </m:r>
              <m:sSub>
                <m:e>
                  <m:r>
                    <m:t>β</m:t>
                  </m:r>
                </m:e>
                <m:sub>
                  <m:r>
                    <m:t>2</m:t>
                  </m:r>
                </m:sub>
              </m:sSub>
              <m:sSub>
                <m:e>
                  <m:r>
                    <m:rPr>
                      <m:nor/>
                      <m:sty m:val="p"/>
                    </m:rPr>
                    <m:t>geo_share</m:t>
                  </m:r>
                </m:e>
                <m:sub>
                  <m:r>
                    <m:t>i</m:t>
                  </m:r>
                </m:sub>
              </m:sSub>
              <m:r>
                <m:rPr>
                  <m:sty m:val="p"/>
                </m:rPr>
                <m:t>+</m:t>
              </m:r>
              <m:sSub>
                <m:e>
                  <m:r>
                    <m:t>β</m:t>
                  </m:r>
                </m:e>
                <m:sub>
                  <m:r>
                    <m:t>3</m:t>
                  </m:r>
                </m:sub>
              </m:sSub>
              <m:sSub>
                <m:e>
                  <m:r>
                    <m:rPr>
                      <m:nor/>
                      <m:sty m:val="p"/>
                    </m:rPr>
                    <m:t>epoch_post2017</m:t>
                  </m:r>
                </m:e>
                <m:sub>
                  <m:r>
                    <m:t>i</m:t>
                  </m:r>
                </m:sub>
              </m:sSub>
            </m:e>
          </m:d>
        </m:oMath>
      </m:oMathPara>
    </w:p>
    <w:bookmarkEnd w:id="75"/>
    <w:bookmarkStart w:id="79"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-1.1068</w:t>
            </w:r>
          </w:p>
        </w:tc>
        <w:tc>
          <w:tcPr>
            <w:tcW w:w="0" w:type="auto"/>
          </w:tcPr>
          <w:p>
            <w:pPr>
              <w:spacing w:line="240" w:lineRule="auto" w:before="0" w:after="0"/>
              <w:pStyle w:val="Compact"/>
            </w:pPr>
            <w:r>
              <w:rPr>
                <w:sz w:val="20"/>
                <w:szCs w:val="20"/>
              </w:rPr>
              <w:t xml:space="preserve">2.1117</w:t>
            </w:r>
          </w:p>
        </w:tc>
        <w:tc>
          <w:tcPr>
            <w:tcW w:w="0" w:type="auto"/>
          </w:tcPr>
          <w:p>
            <w:pPr>
              <w:spacing w:line="240" w:lineRule="auto" w:before="0" w:after="0"/>
              <w:pStyle w:val="Compact"/>
            </w:pPr>
            <w:r>
              <w:rPr>
                <w:sz w:val="20"/>
                <w:szCs w:val="20"/>
              </w:rPr>
              <w:t xml:space="preserve">-0.5241</w:t>
            </w:r>
          </w:p>
        </w:tc>
        <w:tc>
          <w:tcPr>
            <w:tcW w:w="0" w:type="auto"/>
          </w:tcPr>
          <w:p>
            <w:pPr>
              <w:spacing w:line="240" w:lineRule="auto" w:before="0" w:after="0"/>
              <w:pStyle w:val="Compact"/>
            </w:pPr>
            <w:r>
              <w:rPr>
                <w:sz w:val="20"/>
                <w:szCs w:val="20"/>
              </w:rPr>
              <w:t xml:space="preserve">0.6002</w:t>
            </w:r>
          </w:p>
        </w:tc>
        <w:tc>
          <w:tcPr>
            <w:tcW w:w="0" w:type="auto"/>
          </w:tcPr>
          <w:p>
            <w:pPr>
              <w:spacing w:line="240" w:lineRule="auto" w:before="0" w:after="0"/>
              <w:pStyle w:val="Compact"/>
            </w:pPr>
            <w:r>
              <w:rPr>
                <w:sz w:val="20"/>
                <w:szCs w:val="20"/>
              </w:rPr>
              <w:t xml:space="preserve">[-5.2455, 3.032]</w:t>
            </w:r>
          </w:p>
        </w:tc>
      </w:tr>
      <w:tr>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27.6694</w:t>
            </w:r>
          </w:p>
        </w:tc>
        <w:tc>
          <w:tcPr>
            <w:tcW w:w="0" w:type="auto"/>
          </w:tcPr>
          <w:p>
            <w:pPr>
              <w:spacing w:line="240" w:lineRule="auto" w:before="0" w:after="0"/>
              <w:pStyle w:val="Compact"/>
            </w:pPr>
            <w:r>
              <w:rPr>
                <w:sz w:val="20"/>
                <w:szCs w:val="20"/>
              </w:rPr>
              <w:t xml:space="preserve">17.1614</w:t>
            </w:r>
          </w:p>
        </w:tc>
        <w:tc>
          <w:tcPr>
            <w:tcW w:w="0" w:type="auto"/>
          </w:tcPr>
          <w:p>
            <w:pPr>
              <w:spacing w:line="240" w:lineRule="auto" w:before="0" w:after="0"/>
              <w:pStyle w:val="Compact"/>
            </w:pPr>
            <w:r>
              <w:rPr>
                <w:sz w:val="20"/>
                <w:szCs w:val="20"/>
              </w:rPr>
              <w:t xml:space="preserve">1.6123</w:t>
            </w:r>
          </w:p>
        </w:tc>
        <w:tc>
          <w:tcPr>
            <w:tcW w:w="0" w:type="auto"/>
          </w:tcPr>
          <w:p>
            <w:pPr>
              <w:spacing w:line="240" w:lineRule="auto" w:before="0" w:after="0"/>
              <w:pStyle w:val="Compact"/>
            </w:pPr>
            <w:r>
              <w:rPr>
                <w:sz w:val="20"/>
                <w:szCs w:val="20"/>
              </w:rPr>
              <w:t xml:space="preserve">0.1069</w:t>
            </w:r>
          </w:p>
        </w:tc>
        <w:tc>
          <w:tcPr>
            <w:tcW w:w="0" w:type="auto"/>
          </w:tcPr>
          <w:p>
            <w:pPr>
              <w:spacing w:line="240" w:lineRule="auto" w:before="0" w:after="0"/>
              <w:pStyle w:val="Compact"/>
            </w:pPr>
            <w:r>
              <w:rPr>
                <w:sz w:val="20"/>
                <w:szCs w:val="20"/>
              </w:rPr>
              <w:t xml:space="preserve">[-5.9662, 61.3051]</w:t>
            </w:r>
          </w:p>
        </w:tc>
      </w:tr>
      <w:tr>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-11.0991</w:t>
            </w:r>
          </w:p>
        </w:tc>
        <w:tc>
          <w:tcPr>
            <w:tcW w:w="0" w:type="auto"/>
          </w:tcPr>
          <w:p>
            <w:pPr>
              <w:spacing w:line="240" w:lineRule="auto" w:before="0" w:after="0"/>
              <w:pStyle w:val="Compact"/>
            </w:pPr>
            <w:r>
              <w:rPr>
                <w:sz w:val="20"/>
                <w:szCs w:val="20"/>
              </w:rPr>
              <w:t xml:space="preserve">9.336</w:t>
            </w:r>
          </w:p>
        </w:tc>
        <w:tc>
          <w:tcPr>
            <w:tcW w:w="0" w:type="auto"/>
          </w:tcPr>
          <w:p>
            <w:pPr>
              <w:spacing w:line="240" w:lineRule="auto" w:before="0" w:after="0"/>
              <w:pStyle w:val="Compact"/>
            </w:pPr>
            <w:r>
              <w:rPr>
                <w:sz w:val="20"/>
                <w:szCs w:val="20"/>
              </w:rPr>
              <w:t xml:space="preserve">-1.1888</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[-29.3973, 7.1991]</w:t>
            </w:r>
          </w:p>
        </w:tc>
      </w:tr>
      <w:tr>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-2.1245</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[-6.0131, 1.7641]</w:t>
            </w:r>
          </w:p>
        </w:tc>
      </w:tr>
    </w:tbl>
    <w:p>
      <w:pPr>
        <w:pStyle w:val="BodyText"/>
      </w:pPr>
      <w:r>
        <w:t xml:space="preserve">Fit: N = 30 pseudo_R2 = 0.6365 LL = -7.5342</w:t>
      </w:r>
    </w:p>
    <w:p>
      <w:pPr>
        <w:pStyle w:val="CaptionedFigure"/>
      </w:pPr>
      <w:r>
        <w:drawing>
          <wp:inline>
            <wp:extent cx="5669280" cy="3657600"/>
            <wp:effectExtent b="0" l="0" r="0" t="0"/>
            <wp:docPr descr="Figure 1. Cohort registration shortfall against defense-operator share, with fitted logistic relationship." title="" id="77" name="Picture"/>
            <a:graphic>
              <a:graphicData uri="http://schemas.openxmlformats.org/drawingml/2006/picture">
                <pic:pic>
                  <pic:nvPicPr>
                    <pic:cNvPr descr="D:\Claude_Code\brain\collegium\candidates\dissertations\SSA_SDA_08\research_papers\p2\paper_fig1.png" id="78" name="Picture"/>
                    <pic:cNvPicPr>
                      <a:picLocks noChangeArrowheads="1" noChangeAspect="1"/>
                    </pic:cNvPicPr>
                  </pic:nvPicPr>
                  <pic:blipFill>
                    <a:blip r:embed="rId7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Cohort registration shortfall against defense-operator share, with fitted logistic relationship.</w:t>
      </w:r>
    </w:p>
    <w:bookmarkEnd w:id="79"/>
    <w:bookmarkStart w:id="83"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80"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660"/>
        <w:gridCol w:w="660"/>
        <w:gridCol w:w="660"/>
        <w:gridCol w:w="660"/>
        <w:gridCol w:w="660"/>
        <w:gridCol w:w="660"/>
        <w:gridCol w:w="660"/>
        <w:gridCol w:w="660"/>
        <w:gridCol w:w="660"/>
        <w:gridCol w:w="660"/>
        <w:gridCol w:w="660"/>
        <w:gridCol w:w="660"/>
      </w:tblGrid>
      <w:tr>
        <w:trPr>
          <w:tblHeader w:val="on"/>
        </w:trPr>
        <w:tc>
          <w:tcPr>
            <w:tcW w:w="0" w:type="auto"/>
          </w:tcPr>
          <w:p>
            <w:pPr>
              <w:spacing w:line="240" w:lineRule="auto" w:before="0" w:after="0"/>
              <w:pStyle w:val="Compact"/>
            </w:pPr>
            <w:r>
              <w:rPr>
                <w:sz w:val="20"/>
                <w:szCs w:val="20"/>
              </w:rPr>
              <w:t xml:space="preserve">cohort</w:t>
            </w:r>
          </w:p>
        </w:tc>
        <w:tc>
          <w:tcPr>
            <w:tcW w:w="0" w:type="auto"/>
          </w:tcPr>
          <w:p>
            <w:pPr>
              <w:spacing w:line="240" w:lineRule="auto" w:before="0" w:after="0"/>
              <w:pStyle w:val="Compact"/>
            </w:pPr>
            <w:r>
              <w:rPr>
                <w:sz w:val="20"/>
                <w:szCs w:val="20"/>
              </w:rPr>
              <w:t xml:space="preserve">launch_state</w:t>
            </w:r>
          </w:p>
        </w:tc>
        <w:tc>
          <w:tcPr>
            <w:tcW w:w="0" w:type="auto"/>
          </w:tcPr>
          <w:p>
            <w:pPr>
              <w:spacing w:line="240" w:lineRule="auto" w:before="0" w:after="0"/>
              <w:pStyle w:val="Compact"/>
            </w:pPr>
            <w:r>
              <w:rPr>
                <w:sz w:val="20"/>
                <w:szCs w:val="20"/>
              </w:rPr>
              <w:t xml:space="preserve">epoch</w:t>
            </w:r>
          </w:p>
        </w:tc>
        <w:tc>
          <w:tcPr>
            <w:tcW w:w="0" w:type="auto"/>
          </w:tcPr>
          <w:p>
            <w:pPr>
              <w:spacing w:line="240" w:lineRule="auto" w:before="0" w:after="0"/>
              <w:pStyle w:val="Compact"/>
            </w:pPr>
            <w:r>
              <w:rPr>
                <w:sz w:val="20"/>
                <w:szCs w:val="20"/>
              </w:rPr>
              <w:t xml:space="preserve">operator_class</w:t>
            </w:r>
          </w:p>
        </w:tc>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n_objects</w:t>
            </w:r>
          </w:p>
        </w:tc>
        <w:tc>
          <w:tcPr>
            <w:tcW w:w="0" w:type="auto"/>
          </w:tcPr>
          <w:p>
            <w:pPr>
              <w:spacing w:line="240" w:lineRule="auto" w:before="0" w:after="0"/>
              <w:pStyle w:val="Compact"/>
            </w:pPr>
            <w:r>
              <w:rPr>
                <w:sz w:val="20"/>
                <w:szCs w:val="20"/>
              </w:rPr>
              <w:t xml:space="preserve">reg_rate</w:t>
            </w:r>
          </w:p>
        </w:tc>
        <w:tc>
          <w:tcPr>
            <w:tcW w:w="0" w:type="auto"/>
          </w:tcPr>
          <w:p>
            <w:pPr>
              <w:spacing w:line="240" w:lineRule="auto" w:before="0" w:after="0"/>
              <w:pStyle w:val="Compact"/>
            </w:pPr>
            <w:r>
              <w:rPr>
                <w:sz w:val="20"/>
                <w:szCs w:val="20"/>
              </w:rPr>
              <w:t xml:space="preserve">mean_lag_days</w:t>
            </w:r>
          </w:p>
        </w:tc>
        <w:tc>
          <w:tcPr>
            <w:tcW w:w="0" w:type="auto"/>
          </w:tcPr>
          <w:p>
            <w:pPr>
              <w:spacing w:line="240" w:lineRule="auto" w:before="0" w:after="0"/>
              <w:pStyle w:val="Compact"/>
            </w:pPr>
            <w:r>
              <w:rPr>
                <w:sz w:val="20"/>
                <w:szCs w:val="20"/>
              </w:rPr>
              <w:t xml:space="preserve">late_or_missing</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US_CIV_early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148</w:t>
            </w:r>
          </w:p>
        </w:tc>
        <w:tc>
          <w:tcPr>
            <w:tcW w:w="0" w:type="auto"/>
          </w:tcPr>
          <w:p>
            <w:pPr>
              <w:spacing w:line="240" w:lineRule="auto" w:before="0" w:after="0"/>
              <w:pStyle w:val="Compact"/>
            </w:pPr>
            <w:r>
              <w:rPr>
                <w:sz w:val="20"/>
                <w:szCs w:val="20"/>
              </w:rPr>
              <w:t xml:space="preserve">0.97</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of Objects Launched into Outer Space (registration records, US, 2010-2016); McDowell GCAT launch catalog object counts</w:t>
            </w:r>
          </w:p>
        </w:tc>
      </w:tr>
      <w:tr>
        <w:tc>
          <w:tcPr>
            <w:tcW w:w="0" w:type="auto"/>
          </w:tcPr>
          <w:p>
            <w:pPr>
              <w:spacing w:line="240" w:lineRule="auto" w:before="0" w:after="0"/>
              <w:pStyle w:val="Compact"/>
            </w:pPr>
            <w:r>
              <w:rPr>
                <w:sz w:val="20"/>
                <w:szCs w:val="20"/>
              </w:rPr>
              <w:t xml:space="preserve">US_COM_early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206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commercial registrations 2010-2016); UCS Satellite Database operator coding</w:t>
            </w:r>
          </w:p>
        </w:tc>
      </w:tr>
      <w:tr>
        <w:tc>
          <w:tcPr>
            <w:tcW w:w="0" w:type="auto"/>
          </w:tcPr>
          <w:p>
            <w:pPr>
              <w:spacing w:line="240" w:lineRule="auto" w:before="0" w:after="0"/>
              <w:pStyle w:val="Compact"/>
            </w:pPr>
            <w:r>
              <w:rPr>
                <w:sz w:val="20"/>
                <w:szCs w:val="20"/>
              </w:rPr>
              <w:t xml:space="preserve">US_DEF_early</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71</w:t>
            </w:r>
          </w:p>
        </w:tc>
        <w:tc>
          <w:tcPr>
            <w:tcW w:w="0" w:type="auto"/>
          </w:tcPr>
          <w:p>
            <w:pPr>
              <w:spacing w:line="240" w:lineRule="auto" w:before="0" w:after="0"/>
              <w:pStyle w:val="Compact"/>
            </w:pPr>
            <w:r>
              <w:rPr>
                <w:sz w:val="20"/>
                <w:szCs w:val="20"/>
              </w:rPr>
              <w:t xml:space="preserve">0.78</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(US defense/NRO/USSF registrations 2010-2016); McDowell GCAT military payload classification</w:t>
            </w:r>
          </w:p>
        </w:tc>
      </w:tr>
      <w:tr>
        <w:tc>
          <w:tcPr>
            <w:tcW w:w="0" w:type="auto"/>
          </w:tcPr>
          <w:p>
            <w:pPr>
              <w:spacing w:line="240" w:lineRule="auto" w:before="0" w:after="0"/>
              <w:pStyle w:val="Compact"/>
            </w:pPr>
            <w:r>
              <w:rPr>
                <w:sz w:val="20"/>
                <w:szCs w:val="20"/>
              </w:rPr>
              <w:t xml:space="preserve">US_COM_late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2640</w:t>
            </w:r>
          </w:p>
        </w:tc>
        <w:tc>
          <w:tcPr>
            <w:tcW w:w="0" w:type="auto"/>
          </w:tcPr>
          <w:p>
            <w:pPr>
              <w:spacing w:line="240" w:lineRule="auto" w:before="0" w:after="0"/>
              <w:pStyle w:val="Compact"/>
            </w:pPr>
            <w:r>
              <w:rPr>
                <w:sz w:val="20"/>
                <w:szCs w:val="20"/>
              </w:rPr>
              <w:t xml:space="preserve">0.99</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commercial incl. Starlink/OneWeb bulk registrations 2017-2025); McDowell GCAT Starlink object counts</w:t>
            </w:r>
          </w:p>
        </w:tc>
      </w:tr>
      <w:tr>
        <w:tc>
          <w:tcPr>
            <w:tcW w:w="0" w:type="auto"/>
          </w:tcPr>
          <w:p>
            <w:pPr>
              <w:spacing w:line="240" w:lineRule="auto" w:before="0" w:after="0"/>
              <w:pStyle w:val="Compact"/>
            </w:pPr>
            <w:r>
              <w:rPr>
                <w:sz w:val="20"/>
                <w:szCs w:val="20"/>
              </w:rPr>
              <w:t xml:space="preserve">US_DEF_late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0.35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(US defense registrations 2017-2025); UCS Satellite Database military coding</w:t>
            </w:r>
          </w:p>
        </w:tc>
      </w:tr>
      <w:tr>
        <w:tc>
          <w:tcPr>
            <w:tcW w:w="0" w:type="auto"/>
          </w:tcPr>
          <w:p>
            <w:pPr>
              <w:spacing w:line="240" w:lineRule="auto" w:before="0" w:after="0"/>
              <w:pStyle w:val="Compact"/>
            </w:pPr>
            <w:r>
              <w:rPr>
                <w:sz w:val="20"/>
                <w:szCs w:val="20"/>
              </w:rPr>
              <w:t xml:space="preserve">US_CIV_late</w:t>
            </w:r>
          </w:p>
        </w:tc>
        <w:tc>
          <w:tcPr>
            <w:tcW w:w="0" w:type="auto"/>
          </w:tcPr>
          <w:p>
            <w:pPr>
              <w:spacing w:line="240" w:lineRule="auto" w:before="0" w:after="0"/>
              <w:pStyle w:val="Compact"/>
            </w:pPr>
            <w:r>
              <w:rPr>
                <w:sz w:val="20"/>
                <w:szCs w:val="20"/>
              </w:rPr>
              <w:t xml:space="preserve">United States</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164</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295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(US NASA/NOAA civil registrations 2017-2025)</w:t>
            </w:r>
          </w:p>
        </w:tc>
      </w:tr>
      <w:tr>
        <w:tc>
          <w:tcPr>
            <w:tcW w:w="0" w:type="auto"/>
          </w:tcPr>
          <w:p>
            <w:pPr>
              <w:spacing w:line="240" w:lineRule="auto" w:before="0" w:after="0"/>
              <w:pStyle w:val="Compact"/>
            </w:pPr>
            <w:r>
              <w:rPr>
                <w:sz w:val="20"/>
                <w:szCs w:val="20"/>
              </w:rPr>
              <w:t xml:space="preserve">CN_DEF_early</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0.74</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118</w:t>
            </w:r>
          </w:p>
        </w:tc>
        <w:tc>
          <w:tcPr>
            <w:tcW w:w="0" w:type="auto"/>
          </w:tcPr>
          <w:p>
            <w:pPr>
              <w:spacing w:line="240" w:lineRule="auto" w:before="0" w:after="0"/>
              <w:pStyle w:val="Compact"/>
            </w:pPr>
            <w:r>
              <w:rPr>
                <w:sz w:val="20"/>
                <w:szCs w:val="20"/>
              </w:rPr>
              <w:t xml:space="preserve">0.42</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registration records 2010-2016) vs McDowell GCAT Chinese launch counts; Masson-Zwaan et al. 2024 documents Chinese under-registration</w:t>
            </w:r>
          </w:p>
        </w:tc>
      </w:tr>
      <w:tr>
        <w:tc>
          <w:tcPr>
            <w:tcW w:w="0" w:type="auto"/>
          </w:tcPr>
          <w:p>
            <w:pPr>
              <w:spacing w:line="240" w:lineRule="auto" w:before="0" w:after="0"/>
              <w:pStyle w:val="Compact"/>
            </w:pPr>
            <w:r>
              <w:rPr>
                <w:sz w:val="20"/>
                <w:szCs w:val="20"/>
              </w:rPr>
              <w:t xml:space="preserve">CN_DEF_late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0.69</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372</w:t>
            </w:r>
          </w:p>
        </w:tc>
        <w:tc>
          <w:tcPr>
            <w:tcW w:w="0" w:type="auto"/>
          </w:tcPr>
          <w:p>
            <w:pPr>
              <w:spacing w:line="240" w:lineRule="auto" w:before="0" w:after="0"/>
              <w:pStyle w:val="Compact"/>
            </w:pPr>
            <w:r>
              <w:rPr>
                <w:sz w:val="20"/>
                <w:szCs w:val="20"/>
              </w:rPr>
              <w:t xml:space="preserve">0.55</w:t>
            </w:r>
          </w:p>
        </w:tc>
        <w:tc>
          <w:tcPr>
            <w:tcW w:w="0" w:type="auto"/>
          </w:tcPr>
          <w:p>
            <w:pPr>
              <w:spacing w:line="240" w:lineRule="auto" w:before="0" w:after="0"/>
              <w:pStyle w:val="Compact"/>
            </w:pPr>
            <w:r>
              <w:rPr>
                <w:sz w:val="20"/>
                <w:szCs w:val="20"/>
              </w:rPr>
              <w:t xml:space="preserve">820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registrations 2017-2025) vs GCAT; Masson-Zwaan et al., Acta Astronautica 223 (2024), registration-gap discussion</w:t>
            </w:r>
          </w:p>
        </w:tc>
      </w:tr>
      <w:tr>
        <w:tc>
          <w:tcPr>
            <w:tcW w:w="0" w:type="auto"/>
          </w:tcPr>
          <w:p>
            <w:pPr>
              <w:spacing w:line="240" w:lineRule="auto" w:before="0" w:after="0"/>
              <w:pStyle w:val="Compact"/>
            </w:pPr>
            <w:r>
              <w:rPr>
                <w:sz w:val="20"/>
                <w:szCs w:val="20"/>
              </w:rPr>
              <w:t xml:space="preserve">CN_CIV_late</w:t>
            </w:r>
          </w:p>
        </w:tc>
        <w:tc>
          <w:tcPr>
            <w:tcW w:w="0" w:type="auto"/>
          </w:tcPr>
          <w:p>
            <w:pPr>
              <w:spacing w:line="240" w:lineRule="auto" w:before="0" w:after="0"/>
              <w:pStyle w:val="Compact"/>
            </w:pPr>
            <w:r>
              <w:rPr>
                <w:sz w:val="20"/>
                <w:szCs w:val="20"/>
              </w:rPr>
              <w:t xml:space="preserve">China</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0.3</w:t>
            </w:r>
          </w:p>
        </w:tc>
        <w:tc>
          <w:tcPr>
            <w:tcW w:w="0" w:type="auto"/>
          </w:tcPr>
          <w:p>
            <w:pPr>
              <w:spacing w:line="240" w:lineRule="auto" w:before="0" w:after="0"/>
              <w:pStyle w:val="Compact"/>
            </w:pPr>
            <w:r>
              <w:rPr>
                <w:sz w:val="20"/>
                <w:szCs w:val="20"/>
              </w:rPr>
              <w:t xml:space="preserve">0.28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196</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640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(China civil/commercial registrations 2017-2025); McDowell GCAT</w:t>
            </w:r>
          </w:p>
        </w:tc>
      </w:tr>
      <w:tr>
        <w:tc>
          <w:tcPr>
            <w:tcW w:w="0" w:type="auto"/>
          </w:tcPr>
          <w:p>
            <w:pPr>
              <w:spacing w:line="240" w:lineRule="auto" w:before="0" w:after="0"/>
              <w:pStyle w:val="Compact"/>
            </w:pPr>
            <w:r>
              <w:rPr>
                <w:sz w:val="20"/>
                <w:szCs w:val="20"/>
              </w:rPr>
              <w:t xml:space="preserve">RU_DEF_early</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2010-2016</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0.66</w:t>
            </w:r>
          </w:p>
        </w:tc>
        <w:tc>
          <w:tcPr>
            <w:tcW w:w="0" w:type="auto"/>
          </w:tcPr>
          <w:p>
            <w:pPr>
              <w:spacing w:line="240" w:lineRule="auto" w:before="0" w:after="0"/>
              <w:pStyle w:val="Compact"/>
            </w:pPr>
            <w:r>
              <w:rPr>
                <w:sz w:val="20"/>
                <w:szCs w:val="20"/>
              </w:rPr>
              <w:t xml:space="preserve">720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(Russian Federation registrations 2010-2016); McDowell GCAT Russian launch counts</w:t>
            </w:r>
          </w:p>
        </w:tc>
      </w:tr>
      <w:tr>
        <w:tc>
          <w:tcPr>
            <w:tcW w:w="0" w:type="auto"/>
          </w:tcPr>
          <w:p>
            <w:pPr>
              <w:spacing w:line="240" w:lineRule="auto" w:before="0" w:after="0"/>
              <w:pStyle w:val="Compact"/>
            </w:pPr>
            <w:r>
              <w:rPr>
                <w:sz w:val="20"/>
                <w:szCs w:val="20"/>
              </w:rPr>
              <w:t xml:space="preserve">RU_DEF_late</w:t>
            </w:r>
          </w:p>
        </w:tc>
        <w:tc>
          <w:tcPr>
            <w:tcW w:w="0" w:type="auto"/>
          </w:tcPr>
          <w:p>
            <w:pPr>
              <w:spacing w:line="240" w:lineRule="auto" w:before="0" w:after="0"/>
              <w:pStyle w:val="Compact"/>
            </w:pPr>
            <w:r>
              <w:rPr>
                <w:sz w:val="20"/>
                <w:szCs w:val="20"/>
              </w:rPr>
              <w:t xml:space="preserve">Russian Federation</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0.68</w:t>
            </w:r>
          </w:p>
        </w:tc>
        <w:tc>
          <w:tcPr>
            <w:tcW w:w="0" w:type="auto"/>
          </w:tcPr>
          <w:p>
            <w:pPr>
              <w:spacing w:line="240" w:lineRule="auto" w:before="0" w:after="0"/>
              <w:pStyle w:val="Compact"/>
            </w:pPr>
            <w:r>
              <w:rPr>
                <w:sz w:val="20"/>
                <w:szCs w:val="20"/>
              </w:rPr>
              <w:t xml:space="preserve">0.27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88</w:t>
            </w:r>
          </w:p>
        </w:tc>
        <w:tc>
          <w:tcPr>
            <w:tcW w:w="0" w:type="auto"/>
          </w:tcPr>
          <w:p>
            <w:pPr>
              <w:spacing w:line="240" w:lineRule="auto" w:before="0" w:after="0"/>
              <w:pStyle w:val="Compact"/>
            </w:pPr>
            <w:r>
              <w:rPr>
                <w:sz w:val="20"/>
                <w:szCs w:val="20"/>
              </w:rPr>
              <w:t xml:space="preserve">0.7</w:t>
            </w:r>
          </w:p>
        </w:tc>
        <w:tc>
          <w:tcPr>
            <w:tcW w:w="0" w:type="auto"/>
          </w:tcPr>
          <w:p>
            <w:pPr>
              <w:spacing w:line="240" w:lineRule="auto" w:before="0" w:after="0"/>
              <w:pStyle w:val="Compact"/>
            </w:pPr>
            <w:r>
              <w:rPr>
                <w:sz w:val="20"/>
                <w:szCs w:val="20"/>
              </w:rPr>
              <w:t xml:space="preserve">680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(Russian Federation registrations 2017-2025); UCS Satellite Database</w:t>
            </w:r>
          </w:p>
        </w:tc>
      </w:tr>
      <w:tr>
        <w:tc>
          <w:tcPr>
            <w:tcW w:w="0" w:type="auto"/>
          </w:tcPr>
          <w:p>
            <w:pPr>
              <w:spacing w:line="240" w:lineRule="auto" w:before="0" w:after="0"/>
              <w:pStyle w:val="Compact"/>
            </w:pPr>
            <w:r>
              <w:rPr>
                <w:sz w:val="20"/>
                <w:szCs w:val="20"/>
              </w:rPr>
              <w:t xml:space="preserve">EU_CIV</w:t>
            </w:r>
          </w:p>
        </w:tc>
        <w:tc>
          <w:tcPr>
            <w:tcW w:w="0" w:type="auto"/>
          </w:tcPr>
          <w:p>
            <w:pPr>
              <w:spacing w:line="240" w:lineRule="auto" w:before="0" w:after="0"/>
              <w:pStyle w:val="Compact"/>
            </w:pPr>
            <w:r>
              <w:rPr>
                <w:sz w:val="20"/>
                <w:szCs w:val="20"/>
              </w:rPr>
              <w:t xml:space="preserve">France/ESA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0.46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142</w:t>
            </w:r>
          </w:p>
        </w:tc>
        <w:tc>
          <w:tcPr>
            <w:tcW w:w="0" w:type="auto"/>
          </w:tcPr>
          <w:p>
            <w:pPr>
              <w:spacing w:line="240" w:lineRule="auto" w:before="0" w:after="0"/>
              <w:pStyle w:val="Compact"/>
            </w:pPr>
            <w:r>
              <w:rPr>
                <w:sz w:val="20"/>
                <w:szCs w:val="20"/>
              </w:rPr>
              <w:t xml:space="preserve">0.95</w:t>
            </w:r>
          </w:p>
        </w:tc>
        <w:tc>
          <w:tcPr>
            <w:tcW w:w="0" w:type="auto"/>
          </w:tcPr>
          <w:p>
            <w:pPr>
              <w:spacing w:line="240" w:lineRule="auto" w:before="0" w:after="0"/>
              <w:pStyle w:val="Compact"/>
            </w:pPr>
            <w:r>
              <w:rPr>
                <w:sz w:val="20"/>
                <w:szCs w:val="20"/>
              </w:rPr>
              <w:t xml:space="preserve">300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(France and ESA-member intergovernmental registrations 2010-2025); ESA registration practice</w:t>
            </w:r>
          </w:p>
        </w:tc>
      </w:tr>
      <w:tr>
        <w:tc>
          <w:tcPr>
            <w:tcW w:w="0" w:type="auto"/>
          </w:tcPr>
          <w:p>
            <w:pPr>
              <w:spacing w:line="240" w:lineRule="auto" w:before="0" w:after="0"/>
              <w:pStyle w:val="Compact"/>
            </w:pPr>
            <w:r>
              <w:rPr>
                <w:sz w:val="20"/>
                <w:szCs w:val="20"/>
              </w:rPr>
              <w:t xml:space="preserve">UK_COM_late</w:t>
            </w:r>
          </w:p>
        </w:tc>
        <w:tc>
          <w:tcPr>
            <w:tcW w:w="0" w:type="auto"/>
          </w:tcPr>
          <w:p>
            <w:pPr>
              <w:spacing w:line="240" w:lineRule="auto" w:before="0" w:after="0"/>
              <w:pStyle w:val="Compact"/>
            </w:pPr>
            <w:r>
              <w:rPr>
                <w:sz w:val="20"/>
                <w:szCs w:val="20"/>
              </w:rPr>
              <w:t xml:space="preserve">United Kingdom</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0.06</w:t>
            </w:r>
          </w:p>
        </w:tc>
        <w:tc>
          <w:tcPr>
            <w:tcW w:w="0" w:type="auto"/>
          </w:tcPr>
          <w:p>
            <w:pPr>
              <w:spacing w:line="240" w:lineRule="auto" w:before="0" w:after="0"/>
              <w:pStyle w:val="Compact"/>
            </w:pPr>
            <w:r>
              <w:rPr>
                <w:sz w:val="20"/>
                <w:szCs w:val="20"/>
              </w:rPr>
              <w:t xml:space="preserve">0.04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648</w:t>
            </w:r>
          </w:p>
        </w:tc>
        <w:tc>
          <w:tcPr>
            <w:tcW w:w="0" w:type="auto"/>
          </w:tcPr>
          <w:p>
            <w:pPr>
              <w:spacing w:line="240" w:lineRule="auto" w:before="0" w:after="0"/>
              <w:pStyle w:val="Compact"/>
            </w:pPr>
            <w:r>
              <w:rPr>
                <w:sz w:val="20"/>
                <w:szCs w:val="20"/>
              </w:rPr>
              <w:t xml:space="preserve">0.98</w:t>
            </w:r>
          </w:p>
        </w:tc>
        <w:tc>
          <w:tcPr>
            <w:tcW w:w="0" w:type="auto"/>
          </w:tcPr>
          <w:p>
            <w:pPr>
              <w:spacing w:line="240" w:lineRule="auto" w:before="0" w:after="0"/>
              <w:pStyle w:val="Compact"/>
            </w:pPr>
            <w:r>
              <w:rPr>
                <w:sz w:val="20"/>
                <w:szCs w:val="20"/>
              </w:rPr>
              <w:t xml:space="preserve">210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(UK OneWeb constellation registrations 2017-2025); McDowell GCAT OneWeb counts</w:t>
            </w:r>
          </w:p>
        </w:tc>
      </w:tr>
      <w:tr>
        <w:tc>
          <w:tcPr>
            <w:tcW w:w="0" w:type="auto"/>
          </w:tcPr>
          <w:p>
            <w:pPr>
              <w:spacing w:line="240" w:lineRule="auto" w:before="0" w:after="0"/>
              <w:pStyle w:val="Compact"/>
            </w:pPr>
            <w:r>
              <w:rPr>
                <w:sz w:val="20"/>
                <w:szCs w:val="20"/>
              </w:rPr>
              <w:t xml:space="preserve">JP_CIV</w:t>
            </w:r>
          </w:p>
        </w:tc>
        <w:tc>
          <w:tcPr>
            <w:tcW w:w="0" w:type="auto"/>
          </w:tcPr>
          <w:p>
            <w:pPr>
              <w:spacing w:line="240" w:lineRule="auto" w:before="0" w:after="0"/>
              <w:pStyle w:val="Compact"/>
            </w:pPr>
            <w:r>
              <w:rPr>
                <w:sz w:val="20"/>
                <w:szCs w:val="20"/>
              </w:rPr>
              <w:t xml:space="preserve">Japan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0.14</w:t>
            </w:r>
          </w:p>
        </w:tc>
        <w:tc>
          <w:tcPr>
            <w:tcW w:w="0" w:type="auto"/>
          </w:tcPr>
          <w:p>
            <w:pPr>
              <w:spacing w:line="240" w:lineRule="auto" w:before="0" w:after="0"/>
              <w:pStyle w:val="Compact"/>
            </w:pPr>
            <w:r>
              <w:rPr>
                <w:sz w:val="20"/>
                <w:szCs w:val="20"/>
              </w:rPr>
              <w:t xml:space="preserve">0.38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98</w:t>
            </w:r>
          </w:p>
        </w:tc>
        <w:tc>
          <w:tcPr>
            <w:tcW w:w="0" w:type="auto"/>
          </w:tcPr>
          <w:p>
            <w:pPr>
              <w:spacing w:line="240" w:lineRule="auto" w:before="0" w:after="0"/>
              <w:pStyle w:val="Compact"/>
            </w:pPr>
            <w:r>
              <w:rPr>
                <w:sz w:val="20"/>
                <w:szCs w:val="20"/>
              </w:rPr>
              <w:t xml:space="preserve">0.94</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(Japan JAXA civil registrations 2010-2025); UCS Satellite Database</w:t>
            </w:r>
          </w:p>
        </w:tc>
      </w:tr>
      <w:tr>
        <w:tc>
          <w:tcPr>
            <w:tcW w:w="0" w:type="auto"/>
          </w:tcPr>
          <w:p>
            <w:pPr>
              <w:spacing w:line="240" w:lineRule="auto" w:before="0" w:after="0"/>
              <w:pStyle w:val="Compact"/>
            </w:pPr>
            <w:r>
              <w:rPr>
                <w:sz w:val="20"/>
                <w:szCs w:val="20"/>
              </w:rPr>
              <w:t xml:space="preserve">IN_CIV</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0.22</w:t>
            </w:r>
          </w:p>
        </w:tc>
        <w:tc>
          <w:tcPr>
            <w:tcW w:w="0" w:type="auto"/>
          </w:tcPr>
          <w:p>
            <w:pPr>
              <w:spacing w:line="240" w:lineRule="auto" w:before="0" w:after="0"/>
              <w:pStyle w:val="Compact"/>
            </w:pPr>
            <w:r>
              <w:rPr>
                <w:sz w:val="20"/>
                <w:szCs w:val="20"/>
              </w:rPr>
              <w:t xml:space="preserve">0.41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114</w:t>
            </w:r>
          </w:p>
        </w:tc>
        <w:tc>
          <w:tcPr>
            <w:tcW w:w="0" w:type="auto"/>
          </w:tcPr>
          <w:p>
            <w:pPr>
              <w:spacing w:line="240" w:lineRule="auto" w:before="0" w:after="0"/>
              <w:pStyle w:val="Compact"/>
            </w:pPr>
            <w:r>
              <w:rPr>
                <w:sz w:val="20"/>
                <w:szCs w:val="20"/>
              </w:rPr>
              <w:t xml:space="preserve">0.9</w:t>
            </w:r>
          </w:p>
        </w:tc>
        <w:tc>
          <w:tcPr>
            <w:tcW w:w="0" w:type="auto"/>
          </w:tcPr>
          <w:p>
            <w:pPr>
              <w:spacing w:line="240" w:lineRule="auto" w:before="0" w:after="0"/>
              <w:pStyle w:val="Compact"/>
            </w:pPr>
            <w:r>
              <w:rPr>
                <w:sz w:val="20"/>
                <w:szCs w:val="20"/>
              </w:rPr>
              <w:t xml:space="preserve">420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(India ISRO registrations 2010-2025); McDowell GCAT</w:t>
            </w:r>
          </w:p>
        </w:tc>
      </w:tr>
      <w:tr>
        <w:tc>
          <w:tcPr>
            <w:tcW w:w="0" w:type="auto"/>
          </w:tcPr>
          <w:p>
            <w:pPr>
              <w:spacing w:line="240" w:lineRule="auto" w:before="0" w:after="0"/>
              <w:pStyle w:val="Compact"/>
            </w:pPr>
            <w:r>
              <w:rPr>
                <w:sz w:val="20"/>
                <w:szCs w:val="20"/>
              </w:rPr>
              <w:t xml:space="preserve">IN_DEF</w:t>
            </w:r>
          </w:p>
        </w:tc>
        <w:tc>
          <w:tcPr>
            <w:tcW w:w="0" w:type="auto"/>
          </w:tcPr>
          <w:p>
            <w:pPr>
              <w:spacing w:line="240" w:lineRule="auto" w:before="0" w:after="0"/>
              <w:pStyle w:val="Compact"/>
            </w:pPr>
            <w:r>
              <w:rPr>
                <w:sz w:val="20"/>
                <w:szCs w:val="20"/>
              </w:rPr>
              <w:t xml:space="preserve">India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0.36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28</w:t>
            </w:r>
          </w:p>
        </w:tc>
        <w:tc>
          <w:tcPr>
            <w:tcW w:w="0" w:type="auto"/>
          </w:tcPr>
          <w:p>
            <w:pPr>
              <w:spacing w:line="240" w:lineRule="auto" w:before="0" w:after="0"/>
              <w:pStyle w:val="Compact"/>
            </w:pPr>
            <w:r>
              <w:rPr>
                <w:sz w:val="20"/>
                <w:szCs w:val="20"/>
              </w:rPr>
              <w:t xml:space="preserve">0.71</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(India defense/Cartosat-class registrations 2010-2025); UCS Satellite Database military coding</w:t>
            </w:r>
          </w:p>
        </w:tc>
      </w:tr>
      <w:tr>
        <w:tc>
          <w:tcPr>
            <w:tcW w:w="0" w:type="auto"/>
          </w:tcPr>
          <w:p>
            <w:pPr>
              <w:spacing w:line="240" w:lineRule="auto" w:before="0" w:after="0"/>
              <w:pStyle w:val="Compact"/>
            </w:pPr>
            <w:r>
              <w:rPr>
                <w:sz w:val="20"/>
                <w:szCs w:val="20"/>
              </w:rPr>
              <w:t xml:space="preserve">CA_COM</w:t>
            </w:r>
          </w:p>
        </w:tc>
        <w:tc>
          <w:tcPr>
            <w:tcW w:w="0" w:type="auto"/>
          </w:tcPr>
          <w:p>
            <w:pPr>
              <w:spacing w:line="240" w:lineRule="auto" w:before="0" w:after="0"/>
              <w:pStyle w:val="Compact"/>
            </w:pPr>
            <w:r>
              <w:rPr>
                <w:sz w:val="20"/>
                <w:szCs w:val="20"/>
              </w:rPr>
              <w:t xml:space="preserve">Canada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0.52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46</w:t>
            </w:r>
          </w:p>
        </w:tc>
        <w:tc>
          <w:tcPr>
            <w:tcW w:w="0" w:type="auto"/>
          </w:tcPr>
          <w:p>
            <w:pPr>
              <w:spacing w:line="240" w:lineRule="auto" w:before="0" w:after="0"/>
              <w:pStyle w:val="Compact"/>
            </w:pPr>
            <w:r>
              <w:rPr>
                <w:sz w:val="20"/>
                <w:szCs w:val="20"/>
              </w:rPr>
              <w:t xml:space="preserve">0.93</w:t>
            </w:r>
          </w:p>
        </w:tc>
        <w:tc>
          <w:tcPr>
            <w:tcW w:w="0" w:type="auto"/>
          </w:tcPr>
          <w:p>
            <w:pPr>
              <w:spacing w:line="240" w:lineRule="auto" w:before="0" w:after="0"/>
              <w:pStyle w:val="Compact"/>
            </w:pPr>
            <w:r>
              <w:rPr>
                <w:sz w:val="20"/>
                <w:szCs w:val="20"/>
              </w:rPr>
              <w:t xml:space="preserve">360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(Canada commercial registrations 2010-2025); UCS Satellite Database</w:t>
            </w:r>
          </w:p>
        </w:tc>
      </w:tr>
      <w:tr>
        <w:tc>
          <w:tcPr>
            <w:tcW w:w="0" w:type="auto"/>
          </w:tcPr>
          <w:p>
            <w:pPr>
              <w:spacing w:line="240" w:lineRule="auto" w:before="0" w:after="0"/>
              <w:pStyle w:val="Compact"/>
            </w:pPr>
            <w:r>
              <w:rPr>
                <w:sz w:val="20"/>
                <w:szCs w:val="20"/>
              </w:rPr>
              <w:t xml:space="preserve">KR_CIV</w:t>
            </w:r>
          </w:p>
        </w:tc>
        <w:tc>
          <w:tcPr>
            <w:tcW w:w="0" w:type="auto"/>
          </w:tcPr>
          <w:p>
            <w:pPr>
              <w:spacing w:line="240" w:lineRule="auto" w:before="0" w:after="0"/>
              <w:pStyle w:val="Compact"/>
            </w:pPr>
            <w:r>
              <w:rPr>
                <w:sz w:val="20"/>
                <w:szCs w:val="20"/>
              </w:rPr>
              <w:t xml:space="preserve">Republic of Korea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0.24</w:t>
            </w:r>
          </w:p>
        </w:tc>
        <w:tc>
          <w:tcPr>
            <w:tcW w:w="0" w:type="auto"/>
          </w:tcPr>
          <w:p>
            <w:pPr>
              <w:spacing w:line="240" w:lineRule="auto" w:before="0" w:after="0"/>
              <w:pStyle w:val="Compact"/>
            </w:pPr>
            <w:r>
              <w:rPr>
                <w:sz w:val="20"/>
                <w:szCs w:val="20"/>
              </w:rPr>
              <w:t xml:space="preserve">0.33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38</w:t>
            </w:r>
          </w:p>
        </w:tc>
        <w:tc>
          <w:tcPr>
            <w:tcW w:w="0" w:type="auto"/>
          </w:tcPr>
          <w:p>
            <w:pPr>
              <w:spacing w:line="240" w:lineRule="auto" w:before="0" w:after="0"/>
              <w:pStyle w:val="Compact"/>
            </w:pPr>
            <w:r>
              <w:rPr>
                <w:sz w:val="20"/>
                <w:szCs w:val="20"/>
              </w:rPr>
              <w:t xml:space="preserve">0.89</w:t>
            </w:r>
          </w:p>
        </w:tc>
        <w:tc>
          <w:tcPr>
            <w:tcW w:w="0" w:type="auto"/>
          </w:tcPr>
          <w:p>
            <w:pPr>
              <w:spacing w:line="240" w:lineRule="auto" w:before="0" w:after="0"/>
              <w:pStyle w:val="Compact"/>
            </w:pPr>
            <w:r>
              <w:rPr>
                <w:sz w:val="20"/>
                <w:szCs w:val="20"/>
              </w:rPr>
              <w:t xml:space="preserve">440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(Republic of Korea registrations 2010-2025); McDowell GCAT</w:t>
            </w:r>
          </w:p>
        </w:tc>
      </w:tr>
      <w:tr>
        <w:tc>
          <w:tcPr>
            <w:tcW w:w="0" w:type="auto"/>
          </w:tcPr>
          <w:p>
            <w:pPr>
              <w:spacing w:line="240" w:lineRule="auto" w:before="0" w:after="0"/>
              <w:pStyle w:val="Compact"/>
            </w:pPr>
            <w:r>
              <w:rPr>
                <w:sz w:val="20"/>
                <w:szCs w:val="20"/>
              </w:rPr>
              <w:t xml:space="preserve">IL_DEF</w:t>
            </w:r>
          </w:p>
        </w:tc>
        <w:tc>
          <w:tcPr>
            <w:tcW w:w="0" w:type="auto"/>
          </w:tcPr>
          <w:p>
            <w:pPr>
              <w:spacing w:line="240" w:lineRule="auto" w:before="0" w:after="0"/>
              <w:pStyle w:val="Compact"/>
            </w:pPr>
            <w:r>
              <w:rPr>
                <w:sz w:val="20"/>
                <w:szCs w:val="20"/>
              </w:rPr>
              <w:t xml:space="preserve">Israel</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0.83</w:t>
            </w:r>
          </w:p>
        </w:tc>
        <w:tc>
          <w:tcPr>
            <w:tcW w:w="0" w:type="auto"/>
          </w:tcPr>
          <w:p>
            <w:pPr>
              <w:spacing w:line="240" w:lineRule="auto" w:before="0" w:after="0"/>
              <w:pStyle w:val="Compact"/>
            </w:pPr>
            <w:r>
              <w:rPr>
                <w:sz w:val="20"/>
                <w:szCs w:val="20"/>
              </w:rPr>
              <w:t xml:space="preserve">0.31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w:t>
            </w:r>
          </w:p>
        </w:tc>
        <w:tc>
          <w:tcPr>
            <w:tcW w:w="0" w:type="auto"/>
          </w:tcPr>
          <w:p>
            <w:pPr>
              <w:spacing w:line="240" w:lineRule="auto" w:before="0" w:after="0"/>
              <w:pStyle w:val="Compact"/>
            </w:pPr>
            <w:r>
              <w:rPr>
                <w:sz w:val="20"/>
                <w:szCs w:val="20"/>
              </w:rPr>
              <w:t xml:space="preserve">0.59</w:t>
            </w:r>
          </w:p>
        </w:tc>
        <w:tc>
          <w:tcPr>
            <w:tcW w:w="0" w:type="auto"/>
          </w:tcPr>
          <w:p>
            <w:pPr>
              <w:spacing w:line="240" w:lineRule="auto" w:before="0" w:after="0"/>
              <w:pStyle w:val="Compact"/>
            </w:pPr>
            <w:r>
              <w:rPr>
                <w:sz w:val="20"/>
                <w:szCs w:val="20"/>
              </w:rPr>
              <w:t xml:space="preserve">780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(Israel registration records 2010-2025) vs McDowell GCAT Israeli military payloads</w:t>
            </w:r>
          </w:p>
        </w:tc>
      </w:tr>
      <w:tr>
        <w:tc>
          <w:tcPr>
            <w:tcW w:w="0" w:type="auto"/>
          </w:tcPr>
          <w:p>
            <w:pPr>
              <w:spacing w:line="240" w:lineRule="auto" w:before="0" w:after="0"/>
              <w:pStyle w:val="Compact"/>
            </w:pPr>
            <w:r>
              <w:rPr>
                <w:sz w:val="20"/>
                <w:szCs w:val="20"/>
              </w:rPr>
              <w:t xml:space="preserve">LU_COM</w:t>
            </w:r>
          </w:p>
        </w:tc>
        <w:tc>
          <w:tcPr>
            <w:tcW w:w="0" w:type="auto"/>
          </w:tcPr>
          <w:p>
            <w:pPr>
              <w:spacing w:line="240" w:lineRule="auto" w:before="0" w:after="0"/>
              <w:pStyle w:val="Compact"/>
            </w:pPr>
            <w:r>
              <w:rPr>
                <w:sz w:val="20"/>
                <w:szCs w:val="20"/>
              </w:rPr>
              <w:t xml:space="preserve">Luxembourg</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0.07</w:t>
            </w:r>
          </w:p>
        </w:tc>
        <w:tc>
          <w:tcPr>
            <w:tcW w:w="0" w:type="auto"/>
          </w:tcPr>
          <w:p>
            <w:pPr>
              <w:spacing w:line="240" w:lineRule="auto" w:before="0" w:after="0"/>
              <w:pStyle w:val="Compact"/>
            </w:pPr>
            <w:r>
              <w:rPr>
                <w:sz w:val="20"/>
                <w:szCs w:val="20"/>
              </w:rPr>
              <w:t xml:space="preserve">0.61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52</w:t>
            </w:r>
          </w:p>
        </w:tc>
        <w:tc>
          <w:tcPr>
            <w:tcW w:w="0" w:type="auto"/>
          </w:tcPr>
          <w:p>
            <w:pPr>
              <w:spacing w:line="240" w:lineRule="auto" w:before="0" w:after="0"/>
              <w:pStyle w:val="Compact"/>
            </w:pPr>
            <w:r>
              <w:rPr>
                <w:sz w:val="20"/>
                <w:szCs w:val="20"/>
              </w:rPr>
              <w:t xml:space="preserve">0.96</w:t>
            </w:r>
          </w:p>
        </w:tc>
        <w:tc>
          <w:tcPr>
            <w:tcW w:w="0" w:type="auto"/>
          </w:tcPr>
          <w:p>
            <w:pPr>
              <w:spacing w:line="240" w:lineRule="auto" w:before="0" w:after="0"/>
              <w:pStyle w:val="Compact"/>
            </w:pPr>
            <w:r>
              <w:rPr>
                <w:sz w:val="20"/>
                <w:szCs w:val="20"/>
              </w:rPr>
              <w:t xml:space="preserve">260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(Luxembourg flag-of-registry commercial registrations 2010-2025); UCS Satellite Database</w:t>
            </w:r>
          </w:p>
        </w:tc>
      </w:tr>
      <w:tr>
        <w:tc>
          <w:tcPr>
            <w:tcW w:w="0" w:type="auto"/>
          </w:tcPr>
          <w:p>
            <w:pPr>
              <w:spacing w:line="240" w:lineRule="auto" w:before="0" w:after="0"/>
              <w:pStyle w:val="Compact"/>
            </w:pPr>
            <w:r>
              <w:rPr>
                <w:sz w:val="20"/>
                <w:szCs w:val="20"/>
              </w:rPr>
              <w:t xml:space="preserve">SG_COM</w:t>
            </w:r>
          </w:p>
        </w:tc>
        <w:tc>
          <w:tcPr>
            <w:tcW w:w="0" w:type="auto"/>
          </w:tcPr>
          <w:p>
            <w:pPr>
              <w:spacing w:line="240" w:lineRule="auto" w:before="0" w:after="0"/>
              <w:pStyle w:val="Compact"/>
            </w:pPr>
            <w:r>
              <w:rPr>
                <w:sz w:val="20"/>
                <w:szCs w:val="20"/>
              </w:rPr>
              <w:t xml:space="preserve">Singapore</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0.05</w:t>
            </w:r>
          </w:p>
        </w:tc>
        <w:tc>
          <w:tcPr>
            <w:tcW w:w="0" w:type="auto"/>
          </w:tcPr>
          <w:p>
            <w:pPr>
              <w:spacing w:line="240" w:lineRule="auto" w:before="0" w:after="0"/>
              <w:pStyle w:val="Compact"/>
            </w:pPr>
            <w:r>
              <w:rPr>
                <w:sz w:val="20"/>
                <w:szCs w:val="20"/>
              </w:rPr>
              <w:t xml:space="preserve">0.12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34</w:t>
            </w:r>
          </w:p>
        </w:tc>
        <w:tc>
          <w:tcPr>
            <w:tcW w:w="0" w:type="auto"/>
          </w:tcPr>
          <w:p>
            <w:pPr>
              <w:spacing w:line="240" w:lineRule="auto" w:before="0" w:after="0"/>
              <w:pStyle w:val="Compact"/>
            </w:pPr>
            <w:r>
              <w:rPr>
                <w:sz w:val="20"/>
                <w:szCs w:val="20"/>
              </w:rPr>
              <w:t xml:space="preserve">0.85</w:t>
            </w:r>
          </w:p>
        </w:tc>
        <w:tc>
          <w:tcPr>
            <w:tcW w:w="0" w:type="auto"/>
          </w:tcPr>
          <w:p>
            <w:pPr>
              <w:spacing w:line="240" w:lineRule="auto" w:before="0" w:after="0"/>
              <w:pStyle w:val="Compact"/>
            </w:pPr>
            <w:r>
              <w:rPr>
                <w:sz w:val="20"/>
                <w:szCs w:val="20"/>
              </w:rPr>
              <w:t xml:space="preserve">470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(Singapore commercial smallsat registrations 2010-2025); McDowell GCAT</w:t>
            </w:r>
          </w:p>
        </w:tc>
      </w:tr>
      <w:tr>
        <w:tc>
          <w:tcPr>
            <w:tcW w:w="0" w:type="auto"/>
          </w:tcPr>
          <w:p>
            <w:pPr>
              <w:spacing w:line="240" w:lineRule="auto" w:before="0" w:after="0"/>
              <w:pStyle w:val="Compact"/>
            </w:pPr>
            <w:r>
              <w:rPr>
                <w:sz w:val="20"/>
                <w:szCs w:val="20"/>
              </w:rPr>
              <w:t xml:space="preserve">AE_CIV</w:t>
            </w:r>
          </w:p>
        </w:tc>
        <w:tc>
          <w:tcPr>
            <w:tcW w:w="0" w:type="auto"/>
          </w:tcPr>
          <w:p>
            <w:pPr>
              <w:spacing w:line="240" w:lineRule="auto" w:before="0" w:after="0"/>
              <w:pStyle w:val="Compact"/>
            </w:pPr>
            <w:r>
              <w:rPr>
                <w:sz w:val="20"/>
                <w:szCs w:val="20"/>
              </w:rPr>
              <w:t xml:space="preserve">United Arab Emirates</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w:t>
            </w:r>
          </w:p>
        </w:tc>
        <w:tc>
          <w:tcPr>
            <w:tcW w:w="0" w:type="auto"/>
          </w:tcPr>
          <w:p>
            <w:pPr>
              <w:spacing w:line="240" w:lineRule="auto" w:before="0" w:after="0"/>
              <w:pStyle w:val="Compact"/>
            </w:pPr>
            <w:r>
              <w:rPr>
                <w:sz w:val="20"/>
                <w:szCs w:val="20"/>
              </w:rPr>
              <w:t xml:space="preserve">0.29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22</w:t>
            </w:r>
          </w:p>
        </w:tc>
        <w:tc>
          <w:tcPr>
            <w:tcW w:w="0" w:type="auto"/>
          </w:tcPr>
          <w:p>
            <w:pPr>
              <w:spacing w:line="240" w:lineRule="auto" w:before="0" w:after="0"/>
              <w:pStyle w:val="Compact"/>
            </w:pPr>
            <w:r>
              <w:rPr>
                <w:sz w:val="20"/>
                <w:szCs w:val="20"/>
              </w:rPr>
              <w:t xml:space="preserve">0.86</w:t>
            </w:r>
          </w:p>
        </w:tc>
        <w:tc>
          <w:tcPr>
            <w:tcW w:w="0" w:type="auto"/>
          </w:tcPr>
          <w:p>
            <w:pPr>
              <w:spacing w:line="240" w:lineRule="auto" w:before="0" w:after="0"/>
              <w:pStyle w:val="Compact"/>
            </w:pPr>
            <w:r>
              <w:rPr>
                <w:sz w:val="20"/>
                <w:szCs w:val="20"/>
              </w:rPr>
              <w:t xml:space="preserve">455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(UAE civil registrations 2010-2025); UCS Satellite Database</w:t>
            </w:r>
          </w:p>
        </w:tc>
      </w:tr>
      <w:tr>
        <w:tc>
          <w:tcPr>
            <w:tcW w:w="0" w:type="auto"/>
          </w:tcPr>
          <w:p>
            <w:pPr>
              <w:spacing w:line="240" w:lineRule="auto" w:before="0" w:after="0"/>
              <w:pStyle w:val="Compact"/>
            </w:pPr>
            <w:r>
              <w:rPr>
                <w:sz w:val="20"/>
                <w:szCs w:val="20"/>
              </w:rPr>
              <w:t xml:space="preserve">BR_CIV</w:t>
            </w:r>
          </w:p>
        </w:tc>
        <w:tc>
          <w:tcPr>
            <w:tcW w:w="0" w:type="auto"/>
          </w:tcPr>
          <w:p>
            <w:pPr>
              <w:spacing w:line="240" w:lineRule="auto" w:before="0" w:after="0"/>
              <w:pStyle w:val="Compact"/>
            </w:pPr>
            <w:r>
              <w:rPr>
                <w:sz w:val="20"/>
                <w:szCs w:val="20"/>
              </w:rPr>
              <w:t xml:space="preserve">Brazil</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0.18</w:t>
            </w:r>
          </w:p>
        </w:tc>
        <w:tc>
          <w:tcPr>
            <w:tcW w:w="0" w:type="auto"/>
          </w:tcPr>
          <w:p>
            <w:pPr>
              <w:spacing w:line="240" w:lineRule="auto" w:before="0" w:after="0"/>
              <w:pStyle w:val="Compact"/>
            </w:pPr>
            <w:r>
              <w:rPr>
                <w:sz w:val="20"/>
                <w:szCs w:val="20"/>
              </w:rPr>
              <w:t xml:space="preserve">0.44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19</w:t>
            </w:r>
          </w:p>
        </w:tc>
        <w:tc>
          <w:tcPr>
            <w:tcW w:w="0" w:type="auto"/>
          </w:tcPr>
          <w:p>
            <w:pPr>
              <w:spacing w:line="240" w:lineRule="auto" w:before="0" w:after="0"/>
              <w:pStyle w:val="Compact"/>
            </w:pPr>
            <w:r>
              <w:rPr>
                <w:sz w:val="20"/>
                <w:szCs w:val="20"/>
              </w:rPr>
              <w:t xml:space="preserve">0.84</w:t>
            </w:r>
          </w:p>
        </w:tc>
        <w:tc>
          <w:tcPr>
            <w:tcW w:w="0" w:type="auto"/>
          </w:tcPr>
          <w:p>
            <w:pPr>
              <w:spacing w:line="240" w:lineRule="auto" w:before="0" w:after="0"/>
              <w:pStyle w:val="Compact"/>
            </w:pPr>
            <w:r>
              <w:rPr>
                <w:sz w:val="20"/>
                <w:szCs w:val="20"/>
              </w:rPr>
              <w:t xml:space="preserve">490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(Brazil registrations 2010-2025); McDowell GCAT</w:t>
            </w:r>
          </w:p>
        </w:tc>
      </w:tr>
      <w:tr>
        <w:tc>
          <w:tcPr>
            <w:tcW w:w="0" w:type="auto"/>
          </w:tcPr>
          <w:p>
            <w:pPr>
              <w:spacing w:line="240" w:lineRule="auto" w:before="0" w:after="0"/>
              <w:pStyle w:val="Compact"/>
            </w:pPr>
            <w:r>
              <w:rPr>
                <w:sz w:val="20"/>
                <w:szCs w:val="20"/>
              </w:rPr>
              <w:t xml:space="preserve">ARG_CIV</w:t>
            </w:r>
          </w:p>
        </w:tc>
        <w:tc>
          <w:tcPr>
            <w:tcW w:w="0" w:type="auto"/>
          </w:tcPr>
          <w:p>
            <w:pPr>
              <w:spacing w:line="240" w:lineRule="auto" w:before="0" w:after="0"/>
              <w:pStyle w:val="Compact"/>
            </w:pPr>
            <w:r>
              <w:rPr>
                <w:sz w:val="20"/>
                <w:szCs w:val="20"/>
              </w:rPr>
              <w:t xml:space="preserve">Argentina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0.16</w:t>
            </w:r>
          </w:p>
        </w:tc>
        <w:tc>
          <w:tcPr>
            <w:tcW w:w="0" w:type="auto"/>
          </w:tcPr>
          <w:p>
            <w:pPr>
              <w:spacing w:line="240" w:lineRule="auto" w:before="0" w:after="0"/>
              <w:pStyle w:val="Compact"/>
            </w:pPr>
            <w:r>
              <w:rPr>
                <w:sz w:val="20"/>
                <w:szCs w:val="20"/>
              </w:rPr>
              <w:t xml:space="preserve">0.39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21</w:t>
            </w:r>
          </w:p>
        </w:tc>
        <w:tc>
          <w:tcPr>
            <w:tcW w:w="0" w:type="auto"/>
          </w:tcPr>
          <w:p>
            <w:pPr>
              <w:spacing w:line="240" w:lineRule="auto" w:before="0" w:after="0"/>
              <w:pStyle w:val="Compact"/>
            </w:pPr>
            <w:r>
              <w:rPr>
                <w:sz w:val="20"/>
                <w:szCs w:val="20"/>
              </w:rPr>
              <w:t xml:space="preserve">0.88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(Argentina CONAE registrations 2010-2025); UCS Satellite Database</w:t>
            </w:r>
          </w:p>
        </w:tc>
      </w:tr>
      <w:tr>
        <w:tc>
          <w:tcPr>
            <w:tcW w:w="0" w:type="auto"/>
          </w:tcPr>
          <w:p>
            <w:pPr>
              <w:spacing w:line="240" w:lineRule="auto" w:before="0" w:after="0"/>
              <w:pStyle w:val="Compact"/>
            </w:pPr>
            <w:r>
              <w:rPr>
                <w:sz w:val="20"/>
                <w:szCs w:val="20"/>
              </w:rPr>
              <w:t xml:space="preserve">ML_COM</w:t>
            </w:r>
          </w:p>
        </w:tc>
        <w:tc>
          <w:tcPr>
            <w:tcW w:w="0" w:type="auto"/>
          </w:tcPr>
          <w:p>
            <w:pPr>
              <w:spacing w:line="240" w:lineRule="auto" w:before="0" w:after="0"/>
              <w:pStyle w:val="Compact"/>
            </w:pPr>
            <w:r>
              <w:rPr>
                <w:sz w:val="20"/>
                <w:szCs w:val="20"/>
              </w:rPr>
              <w:t xml:space="preserve">Multinational/uncoded</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0.09</w:t>
            </w:r>
          </w:p>
        </w:tc>
        <w:tc>
          <w:tcPr>
            <w:tcW w:w="0" w:type="auto"/>
          </w:tcPr>
          <w:p>
            <w:pPr>
              <w:spacing w:line="240" w:lineRule="auto" w:before="0" w:after="0"/>
              <w:pStyle w:val="Compact"/>
            </w:pPr>
            <w:r>
              <w:rPr>
                <w:sz w:val="20"/>
                <w:szCs w:val="20"/>
              </w:rPr>
              <w:t xml:space="preserve">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310</w:t>
            </w:r>
          </w:p>
        </w:tc>
        <w:tc>
          <w:tcPr>
            <w:tcW w:w="0" w:type="auto"/>
          </w:tcPr>
          <w:p>
            <w:pPr>
              <w:spacing w:line="240" w:lineRule="auto" w:before="0" w:after="0"/>
              <w:pStyle w:val="Compact"/>
            </w:pPr>
            <w:r>
              <w:rPr>
                <w:sz w:val="20"/>
                <w:szCs w:val="20"/>
              </w:rPr>
              <w:t xml:space="preserve">0.62</w:t>
            </w:r>
          </w:p>
        </w:tc>
        <w:tc>
          <w:tcPr>
            <w:tcW w:w="0" w:type="auto"/>
          </w:tcPr>
          <w:p>
            <w:pPr>
              <w:spacing w:line="240" w:lineRule="auto" w:before="0" w:after="0"/>
              <w:pStyle w:val="Compact"/>
            </w:pPr>
            <w:r>
              <w:rPr>
                <w:sz w:val="20"/>
                <w:szCs w:val="20"/>
              </w:rPr>
              <w:t xml:space="preserve">860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McDowell GCAT objects lacking a matched UNOOSA registration entry 2010-2025 (residual unattributed payloads); Masson-Zwaan et al. 2024 never-registered tail [illustrative cohort mean lag where document-receipt date is absent]</w:t>
            </w:r>
          </w:p>
        </w:tc>
      </w:tr>
      <w:tr>
        <w:tc>
          <w:tcPr>
            <w:tcW w:w="0" w:type="auto"/>
          </w:tcPr>
          <w:p>
            <w:pPr>
              <w:spacing w:line="240" w:lineRule="auto" w:before="0" w:after="0"/>
              <w:pStyle w:val="Compact"/>
            </w:pPr>
            <w:r>
              <w:rPr>
                <w:sz w:val="20"/>
                <w:szCs w:val="20"/>
              </w:rPr>
              <w:t xml:space="preserve">ZA_CIV</w:t>
            </w:r>
          </w:p>
        </w:tc>
        <w:tc>
          <w:tcPr>
            <w:tcW w:w="0" w:type="auto"/>
          </w:tcPr>
          <w:p>
            <w:pPr>
              <w:spacing w:line="240" w:lineRule="auto" w:before="0" w:after="0"/>
              <w:pStyle w:val="Compact"/>
            </w:pPr>
            <w:r>
              <w:rPr>
                <w:sz w:val="20"/>
                <w:szCs w:val="20"/>
              </w:rPr>
              <w:t xml:space="preserve">South Africa</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0.19</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w:t>
            </w:r>
          </w:p>
        </w:tc>
        <w:tc>
          <w:tcPr>
            <w:tcW w:w="0" w:type="auto"/>
          </w:tcPr>
          <w:p>
            <w:pPr>
              <w:spacing w:line="240" w:lineRule="auto" w:before="0" w:after="0"/>
              <w:pStyle w:val="Compact"/>
            </w:pPr>
            <w:r>
              <w:rPr>
                <w:sz w:val="20"/>
                <w:szCs w:val="20"/>
              </w:rPr>
              <w:t xml:space="preserve">0.81</w:t>
            </w:r>
          </w:p>
        </w:tc>
        <w:tc>
          <w:tcPr>
            <w:tcW w:w="0" w:type="auto"/>
          </w:tcPr>
          <w:p>
            <w:pPr>
              <w:spacing w:line="240" w:lineRule="auto" w:before="0" w:after="0"/>
              <w:pStyle w:val="Compact"/>
            </w:pPr>
            <w:r>
              <w:rPr>
                <w:sz w:val="20"/>
                <w:szCs w:val="20"/>
              </w:rPr>
              <w:t xml:space="preserve">520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(South Africa registrations 2010-2025); McDowell GCAT</w:t>
            </w:r>
          </w:p>
        </w:tc>
      </w:tr>
      <w:tr>
        <w:tc>
          <w:tcPr>
            <w:tcW w:w="0" w:type="auto"/>
          </w:tcPr>
          <w:p>
            <w:pPr>
              <w:spacing w:line="240" w:lineRule="auto" w:before="0" w:after="0"/>
              <w:pStyle w:val="Compact"/>
            </w:pPr>
            <w:r>
              <w:rPr>
                <w:sz w:val="20"/>
                <w:szCs w:val="20"/>
              </w:rPr>
              <w:t xml:space="preserve">KZ_DEF</w:t>
            </w:r>
          </w:p>
        </w:tc>
        <w:tc>
          <w:tcPr>
            <w:tcW w:w="0" w:type="auto"/>
          </w:tcPr>
          <w:p>
            <w:pPr>
              <w:spacing w:line="240" w:lineRule="auto" w:before="0" w:after="0"/>
              <w:pStyle w:val="Compact"/>
            </w:pPr>
            <w:r>
              <w:rPr>
                <w:sz w:val="20"/>
                <w:szCs w:val="20"/>
              </w:rPr>
              <w:t xml:space="preserve">Kazakhstan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0.58</w:t>
            </w:r>
          </w:p>
        </w:tc>
        <w:tc>
          <w:tcPr>
            <w:tcW w:w="0" w:type="auto"/>
          </w:tcPr>
          <w:p>
            <w:pPr>
              <w:spacing w:line="240" w:lineRule="auto" w:before="0" w:after="0"/>
              <w:pStyle w:val="Compact"/>
            </w:pPr>
            <w:r>
              <w:rPr>
                <w:sz w:val="20"/>
                <w:szCs w:val="20"/>
              </w:rPr>
              <w:t xml:space="preserve">0.34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0.67</w:t>
            </w:r>
          </w:p>
        </w:tc>
        <w:tc>
          <w:tcPr>
            <w:tcW w:w="0" w:type="auto"/>
          </w:tcPr>
          <w:p>
            <w:pPr>
              <w:spacing w:line="240" w:lineRule="auto" w:before="0" w:after="0"/>
              <w:pStyle w:val="Compact"/>
            </w:pPr>
            <w:r>
              <w:rPr>
                <w:sz w:val="20"/>
                <w:szCs w:val="20"/>
              </w:rPr>
              <w:t xml:space="preserve">700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(Kazakhstan registration records 2010-2025); McDowell GCAT [illustrative defense_share where dual-use coding ambiguous]</w:t>
            </w:r>
          </w:p>
        </w:tc>
      </w:tr>
      <w:tr>
        <w:tc>
          <w:tcPr>
            <w:tcW w:w="0" w:type="auto"/>
          </w:tcPr>
          <w:p>
            <w:pPr>
              <w:spacing w:line="240" w:lineRule="auto" w:before="0" w:after="0"/>
              <w:pStyle w:val="Compact"/>
            </w:pPr>
            <w:r>
              <w:rPr>
                <w:sz w:val="20"/>
                <w:szCs w:val="20"/>
              </w:rPr>
              <w:t xml:space="preserve">NZ_COM</w:t>
            </w:r>
          </w:p>
        </w:tc>
        <w:tc>
          <w:tcPr>
            <w:tcW w:w="0" w:type="auto"/>
          </w:tcPr>
          <w:p>
            <w:pPr>
              <w:spacing w:line="240" w:lineRule="auto" w:before="0" w:after="0"/>
              <w:pStyle w:val="Compact"/>
            </w:pPr>
            <w:r>
              <w:rPr>
                <w:sz w:val="20"/>
                <w:szCs w:val="20"/>
              </w:rPr>
              <w:t xml:space="preserve">New Zealand</w:t>
            </w:r>
          </w:p>
        </w:tc>
        <w:tc>
          <w:tcPr>
            <w:tcW w:w="0" w:type="auto"/>
          </w:tcPr>
          <w:p>
            <w:pPr>
              <w:spacing w:line="240" w:lineRule="auto" w:before="0" w:after="0"/>
              <w:pStyle w:val="Compact"/>
            </w:pPr>
            <w:r>
              <w:rPr>
                <w:sz w:val="20"/>
                <w:szCs w:val="20"/>
              </w:rPr>
              <w:t xml:space="preserve">2017-2025</w:t>
            </w:r>
          </w:p>
        </w:tc>
        <w:tc>
          <w:tcPr>
            <w:tcW w:w="0" w:type="auto"/>
          </w:tcPr>
          <w:p>
            <w:pPr>
              <w:spacing w:line="240" w:lineRule="auto" w:before="0" w:after="0"/>
              <w:pStyle w:val="Compact"/>
            </w:pPr>
            <w:r>
              <w:rPr>
                <w:sz w:val="20"/>
                <w:szCs w:val="20"/>
              </w:rPr>
              <w:t xml:space="preserve">commercial</w:t>
            </w:r>
          </w:p>
        </w:tc>
        <w:tc>
          <w:tcPr>
            <w:tcW w:w="0" w:type="auto"/>
          </w:tcPr>
          <w:p>
            <w:pPr>
              <w:spacing w:line="240" w:lineRule="auto" w:before="0" w:after="0"/>
              <w:pStyle w:val="Compact"/>
            </w:pPr>
            <w:r>
              <w:rPr>
                <w:sz w:val="20"/>
                <w:szCs w:val="20"/>
              </w:rPr>
              <w:t xml:space="preserve">0.11</w:t>
            </w:r>
          </w:p>
        </w:tc>
        <w:tc>
          <w:tcPr>
            <w:tcW w:w="0" w:type="auto"/>
          </w:tcPr>
          <w:p>
            <w:pPr>
              <w:spacing w:line="240" w:lineRule="auto" w:before="0" w:after="0"/>
              <w:pStyle w:val="Compact"/>
            </w:pPr>
            <w:r>
              <w:rPr>
                <w:sz w:val="20"/>
                <w:szCs w:val="20"/>
              </w:rPr>
              <w:t xml:space="preserve">0.08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58</w:t>
            </w:r>
          </w:p>
        </w:tc>
        <w:tc>
          <w:tcPr>
            <w:tcW w:w="0" w:type="auto"/>
          </w:tcPr>
          <w:p>
            <w:pPr>
              <w:spacing w:line="240" w:lineRule="auto" w:before="0" w:after="0"/>
              <w:pStyle w:val="Compact"/>
            </w:pPr>
            <w:r>
              <w:rPr>
                <w:sz w:val="20"/>
                <w:szCs w:val="20"/>
              </w:rPr>
              <w:t xml:space="preserve">0.92</w:t>
            </w:r>
          </w:p>
        </w:tc>
        <w:tc>
          <w:tcPr>
            <w:tcW w:w="0" w:type="auto"/>
          </w:tcPr>
          <w:p>
            <w:pPr>
              <w:spacing w:line="240" w:lineRule="auto" w:before="0" w:after="0"/>
              <w:pStyle w:val="Compact"/>
            </w:pPr>
            <w:r>
              <w:rPr>
                <w:sz w:val="20"/>
                <w:szCs w:val="20"/>
              </w:rPr>
              <w:t xml:space="preserve">355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(New Zealand Rocket Lab-launched registrations 2017-2025); McDowell GCAT</w:t>
            </w:r>
          </w:p>
        </w:tc>
      </w:tr>
      <w:tr>
        <w:tc>
          <w:tcPr>
            <w:tcW w:w="0" w:type="auto"/>
          </w:tcPr>
          <w:p>
            <w:pPr>
              <w:spacing w:line="240" w:lineRule="auto" w:before="0" w:after="0"/>
              <w:pStyle w:val="Compact"/>
            </w:pPr>
            <w:r>
              <w:rPr>
                <w:sz w:val="20"/>
                <w:szCs w:val="20"/>
              </w:rPr>
              <w:t xml:space="preserve">ES_CIV</w:t>
            </w:r>
          </w:p>
        </w:tc>
        <w:tc>
          <w:tcPr>
            <w:tcW w:w="0" w:type="auto"/>
          </w:tcPr>
          <w:p>
            <w:pPr>
              <w:spacing w:line="240" w:lineRule="auto" w:before="0" w:after="0"/>
              <w:pStyle w:val="Compact"/>
            </w:pPr>
            <w:r>
              <w:rPr>
                <w:sz w:val="20"/>
                <w:szCs w:val="20"/>
              </w:rPr>
              <w:t xml:space="preserve">Spain</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civil</w:t>
            </w:r>
          </w:p>
        </w:tc>
        <w:tc>
          <w:tcPr>
            <w:tcW w:w="0" w:type="auto"/>
          </w:tcPr>
          <w:p>
            <w:pPr>
              <w:spacing w:line="240" w:lineRule="auto" w:before="0" w:after="0"/>
              <w:pStyle w:val="Compact"/>
            </w:pPr>
            <w:r>
              <w:rPr>
                <w:sz w:val="20"/>
                <w:szCs w:val="20"/>
              </w:rPr>
              <w:t xml:space="preserve">0.21</w:t>
            </w:r>
          </w:p>
        </w:tc>
        <w:tc>
          <w:tcPr>
            <w:tcW w:w="0" w:type="auto"/>
          </w:tcPr>
          <w:p>
            <w:pPr>
              <w:spacing w:line="240" w:lineRule="auto" w:before="0" w:after="0"/>
              <w:pStyle w:val="Compact"/>
            </w:pPr>
            <w:r>
              <w:rPr>
                <w:sz w:val="20"/>
                <w:szCs w:val="20"/>
              </w:rPr>
              <w:t xml:space="preserve">0.43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29</w:t>
            </w:r>
          </w:p>
        </w:tc>
        <w:tc>
          <w:tcPr>
            <w:tcW w:w="0" w:type="auto"/>
          </w:tcPr>
          <w:p>
            <w:pPr>
              <w:spacing w:line="240" w:lineRule="auto" w:before="0" w:after="0"/>
              <w:pStyle w:val="Compact"/>
            </w:pPr>
            <w:r>
              <w:rPr>
                <w:sz w:val="20"/>
                <w:szCs w:val="20"/>
              </w:rPr>
              <w:t xml:space="preserve">0.91</w:t>
            </w:r>
          </w:p>
        </w:tc>
        <w:tc>
          <w:tcPr>
            <w:tcW w:w="0" w:type="auto"/>
          </w:tcPr>
          <w:p>
            <w:pPr>
              <w:spacing w:line="240" w:lineRule="auto" w:before="0" w:after="0"/>
              <w:pStyle w:val="Compact"/>
            </w:pPr>
            <w:r>
              <w:rPr>
                <w:sz w:val="20"/>
                <w:szCs w:val="20"/>
              </w:rPr>
              <w:t xml:space="preserve">395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UNOOSA Online Index (Spain registrations 2010-2025); UCS Satellite Database</w:t>
            </w:r>
          </w:p>
        </w:tc>
      </w:tr>
      <w:tr>
        <w:tc>
          <w:tcPr>
            <w:tcW w:w="0" w:type="auto"/>
          </w:tcPr>
          <w:p>
            <w:pPr>
              <w:spacing w:line="240" w:lineRule="auto" w:before="0" w:after="0"/>
              <w:pStyle w:val="Compact"/>
            </w:pPr>
            <w:r>
              <w:rPr>
                <w:sz w:val="20"/>
                <w:szCs w:val="20"/>
              </w:rPr>
              <w:t xml:space="preserve">IT_DEF</w:t>
            </w:r>
          </w:p>
        </w:tc>
        <w:tc>
          <w:tcPr>
            <w:tcW w:w="0" w:type="auto"/>
          </w:tcPr>
          <w:p>
            <w:pPr>
              <w:spacing w:line="240" w:lineRule="auto" w:before="0" w:after="0"/>
              <w:pStyle w:val="Compact"/>
            </w:pPr>
            <w:r>
              <w:rPr>
                <w:sz w:val="20"/>
                <w:szCs w:val="20"/>
              </w:rPr>
              <w:t xml:space="preserve">Italy</w:t>
            </w:r>
          </w:p>
        </w:tc>
        <w:tc>
          <w:tcPr>
            <w:tcW w:w="0" w:type="auto"/>
          </w:tcPr>
          <w:p>
            <w:pPr>
              <w:spacing w:line="240" w:lineRule="auto" w:before="0" w:after="0"/>
              <w:pStyle w:val="Compact"/>
            </w:pPr>
            <w:r>
              <w:rPr>
                <w:sz w:val="20"/>
                <w:szCs w:val="20"/>
              </w:rPr>
              <w:t xml:space="preserve">2010-2025</w:t>
            </w:r>
          </w:p>
        </w:tc>
        <w:tc>
          <w:tcPr>
            <w:tcW w:w="0" w:type="auto"/>
          </w:tcPr>
          <w:p>
            <w:pPr>
              <w:spacing w:line="240" w:lineRule="auto" w:before="0" w:after="0"/>
              <w:pStyle w:val="Compact"/>
            </w:pPr>
            <w:r>
              <w:rPr>
                <w:sz w:val="20"/>
                <w:szCs w:val="20"/>
              </w:rPr>
              <w:t xml:space="preserve">defense</w:t>
            </w:r>
          </w:p>
        </w:tc>
        <w:tc>
          <w:tcPr>
            <w:tcW w:w="0" w:type="auto"/>
          </w:tcPr>
          <w:p>
            <w:pPr>
              <w:spacing w:line="240" w:lineRule="auto" w:before="0" w:after="0"/>
              <w:pStyle w:val="Compact"/>
            </w:pPr>
            <w:r>
              <w:rPr>
                <w:sz w:val="20"/>
                <w:szCs w:val="20"/>
              </w:rPr>
              <w:t xml:space="preserve">0.57</w:t>
            </w:r>
          </w:p>
        </w:tc>
        <w:tc>
          <w:tcPr>
            <w:tcW w:w="0" w:type="auto"/>
          </w:tcPr>
          <w:p>
            <w:pPr>
              <w:spacing w:line="240" w:lineRule="auto" w:before="0" w:after="0"/>
              <w:pStyle w:val="Compact"/>
            </w:pPr>
            <w:r>
              <w:rPr>
                <w:sz w:val="20"/>
                <w:szCs w:val="20"/>
              </w:rPr>
              <w:t xml:space="preserve">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33</w:t>
            </w:r>
          </w:p>
        </w:tc>
        <w:tc>
          <w:tcPr>
            <w:tcW w:w="0" w:type="auto"/>
          </w:tcPr>
          <w:p>
            <w:pPr>
              <w:spacing w:line="240" w:lineRule="auto" w:before="0" w:after="0"/>
              <w:pStyle w:val="Compact"/>
            </w:pPr>
            <w:r>
              <w:rPr>
                <w:sz w:val="20"/>
                <w:szCs w:val="20"/>
              </w:rPr>
              <w:t xml:space="preserve">0.79</w:t>
            </w:r>
          </w:p>
        </w:tc>
        <w:tc>
          <w:tcPr>
            <w:tcW w:w="0" w:type="auto"/>
          </w:tcPr>
          <w:p>
            <w:pPr>
              <w:spacing w:line="240" w:lineRule="auto" w:before="0" w:after="0"/>
              <w:pStyle w:val="Compact"/>
            </w:pPr>
            <w:r>
              <w:rPr>
                <w:sz w:val="20"/>
                <w:szCs w:val="20"/>
              </w:rPr>
              <w:t xml:space="preserve">560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UNOOSA Online Index (Italy COSMO-SkyMed/defense registrations 2010-2025); UCS Satellite Database military coding</w:t>
            </w:r>
          </w:p>
        </w:tc>
      </w:tr>
    </w:tbl>
    <w:bookmarkEnd w:id="80"/>
    <w:bookmarkStart w:id="81"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late_or_missing</w:t>
            </w:r>
          </w:p>
        </w:tc>
        <w:tc>
          <w:tcPr>
            <w:tcW w:w="0" w:type="auto"/>
          </w:tcPr>
          <w:p>
            <w:pPr>
              <w:spacing w:line="240" w:lineRule="auto" w:before="0" w:after="0"/>
              <w:pStyle w:val="Compact"/>
            </w:pPr>
            <w:r>
              <w:rPr>
                <w:sz w:val="20"/>
                <w:szCs w:val="20"/>
              </w:rPr>
              <w:t xml:space="preserve">Binary extensive-margin outcome: 1 if the launching-State cohort’s registration is delayed or incomplete (documented registration rate materially below the global benchmark or mean lag beyond roughly one year), 0 otherwise</w:t>
            </w:r>
          </w:p>
        </w:tc>
        <w:tc>
          <w:tcPr>
            <w:tcW w:w="0" w:type="auto"/>
          </w:tcPr>
          <w:p>
            <w:pPr>
              <w:spacing w:line="240" w:lineRule="auto" w:before="0" w:after="0"/>
              <w:pStyle w:val="Compact"/>
            </w:pPr>
            <w:r>
              <w:rPr>
                <w:sz w:val="20"/>
                <w:szCs w:val="20"/>
              </w:rPr>
              <w:t xml:space="preserve">Coded from UNOOSA Online Index registration counts versus McDowell GCAT launch counts and documented mean receipt-date lag</w:t>
            </w:r>
          </w:p>
        </w:tc>
      </w:tr>
      <w:tr>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Share of cohort objects affiliated with defense, military, or intelligence operators (0 to 1)</w:t>
            </w:r>
          </w:p>
        </w:tc>
        <w:tc>
          <w:tcPr>
            <w:tcW w:w="0" w:type="auto"/>
          </w:tcPr>
          <w:p>
            <w:pPr>
              <w:spacing w:line="240" w:lineRule="auto" w:before="0" w:after="0"/>
              <w:pStyle w:val="Compact"/>
            </w:pPr>
            <w:r>
              <w:rPr>
                <w:sz w:val="20"/>
                <w:szCs w:val="20"/>
              </w:rPr>
              <w:t xml:space="preserve">UCS Satellite Database operator coding and McDowell GCAT military-payload classification</w:t>
            </w:r>
          </w:p>
        </w:tc>
      </w:tr>
      <w:tr>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Share of cohort objects in geosynchronous or highly elliptical regimes versus low Earth orbit (0 to 1)</w:t>
            </w:r>
          </w:p>
        </w:tc>
        <w:tc>
          <w:tcPr>
            <w:tcW w:w="0" w:type="auto"/>
          </w:tcPr>
          <w:p>
            <w:pPr>
              <w:spacing w:line="240" w:lineRule="auto" w:before="0" w:after="0"/>
              <w:pStyle w:val="Compact"/>
            </w:pPr>
            <w:r>
              <w:rPr>
                <w:sz w:val="20"/>
                <w:szCs w:val="20"/>
              </w:rPr>
              <w:t xml:space="preserve">McDowell GCAT orbital-regime fields; UNOOSA Online Index orbital parameters</w:t>
            </w:r>
          </w:p>
        </w:tc>
      </w:tr>
      <w:tr>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Constellation-era indicator: 1 for cohorts whose launches fall in 2017-2025, 0 for 2010-2016</w:t>
            </w:r>
          </w:p>
        </w:tc>
        <w:tc>
          <w:tcPr>
            <w:tcW w:w="0" w:type="auto"/>
          </w:tcPr>
          <w:p>
            <w:pPr>
              <w:spacing w:line="240" w:lineRule="auto" w:before="0" w:after="0"/>
              <w:pStyle w:val="Compact"/>
            </w:pPr>
            <w:r>
              <w:rPr>
                <w:sz w:val="20"/>
                <w:szCs w:val="20"/>
              </w:rPr>
              <w:t xml:space="preserve">McDowell GCAT launch-date fields</w:t>
            </w:r>
          </w:p>
        </w:tc>
      </w:tr>
      <w:tr>
        <w:tc>
          <w:tcPr>
            <w:tcW w:w="0" w:type="auto"/>
          </w:tcPr>
          <w:p>
            <w:pPr>
              <w:spacing w:line="240" w:lineRule="auto" w:before="0" w:after="0"/>
              <w:pStyle w:val="Compact"/>
            </w:pPr>
            <w:r>
              <w:rPr>
                <w:sz w:val="20"/>
                <w:szCs w:val="20"/>
              </w:rPr>
              <w:t xml:space="preserve">reg_rate</w:t>
            </w:r>
          </w:p>
        </w:tc>
        <w:tc>
          <w:tcPr>
            <w:tcW w:w="0" w:type="auto"/>
          </w:tcPr>
          <w:p>
            <w:pPr>
              <w:spacing w:line="240" w:lineRule="auto" w:before="0" w:after="0"/>
              <w:pStyle w:val="Compact"/>
            </w:pPr>
            <w:r>
              <w:rPr>
                <w:sz w:val="20"/>
                <w:szCs w:val="20"/>
              </w:rPr>
              <w:t xml:space="preserve">Documented fraction of cohort objects with a matched UNOOSA registration record (descriptive, not a model regressor)</w:t>
            </w:r>
          </w:p>
        </w:tc>
        <w:tc>
          <w:tcPr>
            <w:tcW w:w="0" w:type="auto"/>
          </w:tcPr>
          <w:p>
            <w:pPr>
              <w:spacing w:line="240" w:lineRule="auto" w:before="0" w:after="0"/>
              <w:pStyle w:val="Compact"/>
            </w:pPr>
            <w:r>
              <w:rPr>
                <w:sz w:val="20"/>
                <w:szCs w:val="20"/>
              </w:rPr>
              <w:t xml:space="preserve">UNOOSA Online Index versus McDowell GCAT</w:t>
            </w:r>
          </w:p>
        </w:tc>
      </w:tr>
      <w:tr>
        <w:tc>
          <w:tcPr>
            <w:tcW w:w="0" w:type="auto"/>
          </w:tcPr>
          <w:p>
            <w:pPr>
              <w:spacing w:line="240" w:lineRule="auto" w:before="0" w:after="0"/>
              <w:pStyle w:val="Compact"/>
            </w:pPr>
            <w:r>
              <w:rPr>
                <w:sz w:val="20"/>
                <w:szCs w:val="20"/>
              </w:rPr>
              <w:t xml:space="preserve">mean_lag_days</w:t>
            </w:r>
          </w:p>
        </w:tc>
        <w:tc>
          <w:tcPr>
            <w:tcW w:w="0" w:type="auto"/>
          </w:tcPr>
          <w:p>
            <w:pPr>
              <w:spacing w:line="240" w:lineRule="auto" w:before="0" w:after="0"/>
              <w:pStyle w:val="Compact"/>
            </w:pPr>
            <w:r>
              <w:rPr>
                <w:sz w:val="20"/>
                <w:szCs w:val="20"/>
              </w:rPr>
              <w:t xml:space="preserve">Mean interval in days from independent on-orbit observation to UN registration-document receipt (descriptive)</w:t>
            </w:r>
          </w:p>
        </w:tc>
        <w:tc>
          <w:tcPr>
            <w:tcW w:w="0" w:type="auto"/>
          </w:tcPr>
          <w:p>
            <w:pPr>
              <w:spacing w:line="240" w:lineRule="auto" w:before="0" w:after="0"/>
              <w:pStyle w:val="Compact"/>
            </w:pPr>
            <w:r>
              <w:rPr>
                <w:sz w:val="20"/>
                <w:szCs w:val="20"/>
              </w:rPr>
              <w:t xml:space="preserve">UNOOSA Online Index receipt-date field; Masson-Zwaan et al., Acta Astronautica 223 (2024)</w:t>
            </w:r>
          </w:p>
        </w:tc>
      </w:tr>
    </w:tbl>
    <w:bookmarkEnd w:id="81"/>
    <w:bookmarkStart w:id="82"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-1.1068</w:t>
            </w:r>
          </w:p>
        </w:tc>
        <w:tc>
          <w:tcPr>
            <w:tcW w:w="0" w:type="auto"/>
          </w:tcPr>
          <w:p>
            <w:pPr>
              <w:spacing w:line="240" w:lineRule="auto" w:before="0" w:after="0"/>
              <w:pStyle w:val="Compact"/>
            </w:pPr>
            <w:r>
              <w:rPr>
                <w:sz w:val="20"/>
                <w:szCs w:val="20"/>
              </w:rPr>
              <w:t xml:space="preserve">2.1117</w:t>
            </w:r>
          </w:p>
        </w:tc>
        <w:tc>
          <w:tcPr>
            <w:tcW w:w="0" w:type="auto"/>
          </w:tcPr>
          <w:p>
            <w:pPr>
              <w:spacing w:line="240" w:lineRule="auto" w:before="0" w:after="0"/>
              <w:pStyle w:val="Compact"/>
            </w:pPr>
            <w:r>
              <w:rPr>
                <w:sz w:val="20"/>
                <w:szCs w:val="20"/>
              </w:rPr>
              <w:t xml:space="preserve">-0.5241</w:t>
            </w:r>
          </w:p>
        </w:tc>
        <w:tc>
          <w:tcPr>
            <w:tcW w:w="0" w:type="auto"/>
          </w:tcPr>
          <w:p>
            <w:pPr>
              <w:spacing w:line="240" w:lineRule="auto" w:before="0" w:after="0"/>
              <w:pStyle w:val="Compact"/>
            </w:pPr>
            <w:r>
              <w:rPr>
                <w:sz w:val="20"/>
                <w:szCs w:val="20"/>
              </w:rPr>
              <w:t xml:space="preserve">0.6002</w:t>
            </w:r>
          </w:p>
        </w:tc>
        <w:tc>
          <w:tcPr>
            <w:tcW w:w="0" w:type="auto"/>
          </w:tcPr>
          <w:p>
            <w:pPr>
              <w:spacing w:line="240" w:lineRule="auto" w:before="0" w:after="0"/>
              <w:pStyle w:val="Compact"/>
            </w:pPr>
            <w:r>
              <w:rPr>
                <w:sz w:val="20"/>
                <w:szCs w:val="20"/>
              </w:rPr>
              <w:t xml:space="preserve">[-5.2455, 3.032]</w:t>
            </w:r>
          </w:p>
        </w:tc>
      </w:tr>
      <w:tr>
        <w:tc>
          <w:tcPr>
            <w:tcW w:w="0" w:type="auto"/>
          </w:tcPr>
          <w:p>
            <w:pPr>
              <w:spacing w:line="240" w:lineRule="auto" w:before="0" w:after="0"/>
              <w:pStyle w:val="Compact"/>
            </w:pPr>
            <w:r>
              <w:rPr>
                <w:sz w:val="20"/>
                <w:szCs w:val="20"/>
              </w:rPr>
              <w:t xml:space="preserve">defense_share</w:t>
            </w:r>
          </w:p>
        </w:tc>
        <w:tc>
          <w:tcPr>
            <w:tcW w:w="0" w:type="auto"/>
          </w:tcPr>
          <w:p>
            <w:pPr>
              <w:spacing w:line="240" w:lineRule="auto" w:before="0" w:after="0"/>
              <w:pStyle w:val="Compact"/>
            </w:pPr>
            <w:r>
              <w:rPr>
                <w:sz w:val="20"/>
                <w:szCs w:val="20"/>
              </w:rPr>
              <w:t xml:space="preserve">27.6694</w:t>
            </w:r>
          </w:p>
        </w:tc>
        <w:tc>
          <w:tcPr>
            <w:tcW w:w="0" w:type="auto"/>
          </w:tcPr>
          <w:p>
            <w:pPr>
              <w:spacing w:line="240" w:lineRule="auto" w:before="0" w:after="0"/>
              <w:pStyle w:val="Compact"/>
            </w:pPr>
            <w:r>
              <w:rPr>
                <w:sz w:val="20"/>
                <w:szCs w:val="20"/>
              </w:rPr>
              <w:t xml:space="preserve">17.1614</w:t>
            </w:r>
          </w:p>
        </w:tc>
        <w:tc>
          <w:tcPr>
            <w:tcW w:w="0" w:type="auto"/>
          </w:tcPr>
          <w:p>
            <w:pPr>
              <w:spacing w:line="240" w:lineRule="auto" w:before="0" w:after="0"/>
              <w:pStyle w:val="Compact"/>
            </w:pPr>
            <w:r>
              <w:rPr>
                <w:sz w:val="20"/>
                <w:szCs w:val="20"/>
              </w:rPr>
              <w:t xml:space="preserve">1.6123</w:t>
            </w:r>
          </w:p>
        </w:tc>
        <w:tc>
          <w:tcPr>
            <w:tcW w:w="0" w:type="auto"/>
          </w:tcPr>
          <w:p>
            <w:pPr>
              <w:spacing w:line="240" w:lineRule="auto" w:before="0" w:after="0"/>
              <w:pStyle w:val="Compact"/>
            </w:pPr>
            <w:r>
              <w:rPr>
                <w:sz w:val="20"/>
                <w:szCs w:val="20"/>
              </w:rPr>
              <w:t xml:space="preserve">0.1069</w:t>
            </w:r>
          </w:p>
        </w:tc>
        <w:tc>
          <w:tcPr>
            <w:tcW w:w="0" w:type="auto"/>
          </w:tcPr>
          <w:p>
            <w:pPr>
              <w:spacing w:line="240" w:lineRule="auto" w:before="0" w:after="0"/>
              <w:pStyle w:val="Compact"/>
            </w:pPr>
            <w:r>
              <w:rPr>
                <w:sz w:val="20"/>
                <w:szCs w:val="20"/>
              </w:rPr>
              <w:t xml:space="preserve">[-5.9662, 61.3051]</w:t>
            </w:r>
          </w:p>
        </w:tc>
      </w:tr>
      <w:tr>
        <w:tc>
          <w:tcPr>
            <w:tcW w:w="0" w:type="auto"/>
          </w:tcPr>
          <w:p>
            <w:pPr>
              <w:spacing w:line="240" w:lineRule="auto" w:before="0" w:after="0"/>
              <w:pStyle w:val="Compact"/>
            </w:pPr>
            <w:r>
              <w:rPr>
                <w:sz w:val="20"/>
                <w:szCs w:val="20"/>
              </w:rPr>
              <w:t xml:space="preserve">geo_share</w:t>
            </w:r>
          </w:p>
        </w:tc>
        <w:tc>
          <w:tcPr>
            <w:tcW w:w="0" w:type="auto"/>
          </w:tcPr>
          <w:p>
            <w:pPr>
              <w:spacing w:line="240" w:lineRule="auto" w:before="0" w:after="0"/>
              <w:pStyle w:val="Compact"/>
            </w:pPr>
            <w:r>
              <w:rPr>
                <w:sz w:val="20"/>
                <w:szCs w:val="20"/>
              </w:rPr>
              <w:t xml:space="preserve">-11.0991</w:t>
            </w:r>
          </w:p>
        </w:tc>
        <w:tc>
          <w:tcPr>
            <w:tcW w:w="0" w:type="auto"/>
          </w:tcPr>
          <w:p>
            <w:pPr>
              <w:spacing w:line="240" w:lineRule="auto" w:before="0" w:after="0"/>
              <w:pStyle w:val="Compact"/>
            </w:pPr>
            <w:r>
              <w:rPr>
                <w:sz w:val="20"/>
                <w:szCs w:val="20"/>
              </w:rPr>
              <w:t xml:space="preserve">9.336</w:t>
            </w:r>
          </w:p>
        </w:tc>
        <w:tc>
          <w:tcPr>
            <w:tcW w:w="0" w:type="auto"/>
          </w:tcPr>
          <w:p>
            <w:pPr>
              <w:spacing w:line="240" w:lineRule="auto" w:before="0" w:after="0"/>
              <w:pStyle w:val="Compact"/>
            </w:pPr>
            <w:r>
              <w:rPr>
                <w:sz w:val="20"/>
                <w:szCs w:val="20"/>
              </w:rPr>
              <w:t xml:space="preserve">-1.1888</w:t>
            </w:r>
          </w:p>
        </w:tc>
        <w:tc>
          <w:tcPr>
            <w:tcW w:w="0" w:type="auto"/>
          </w:tcPr>
          <w:p>
            <w:pPr>
              <w:spacing w:line="240" w:lineRule="auto" w:before="0" w:after="0"/>
              <w:pStyle w:val="Compact"/>
            </w:pPr>
            <w:r>
              <w:rPr>
                <w:sz w:val="20"/>
                <w:szCs w:val="20"/>
              </w:rPr>
              <w:t xml:space="preserve">0.2345</w:t>
            </w:r>
          </w:p>
        </w:tc>
        <w:tc>
          <w:tcPr>
            <w:tcW w:w="0" w:type="auto"/>
          </w:tcPr>
          <w:p>
            <w:pPr>
              <w:spacing w:line="240" w:lineRule="auto" w:before="0" w:after="0"/>
              <w:pStyle w:val="Compact"/>
            </w:pPr>
            <w:r>
              <w:rPr>
                <w:sz w:val="20"/>
                <w:szCs w:val="20"/>
              </w:rPr>
              <w:t xml:space="preserve">[-29.3973, 7.1991]</w:t>
            </w:r>
          </w:p>
        </w:tc>
      </w:tr>
      <w:tr>
        <w:tc>
          <w:tcPr>
            <w:tcW w:w="0" w:type="auto"/>
          </w:tcPr>
          <w:p>
            <w:pPr>
              <w:spacing w:line="240" w:lineRule="auto" w:before="0" w:after="0"/>
              <w:pStyle w:val="Compact"/>
            </w:pPr>
            <w:r>
              <w:rPr>
                <w:sz w:val="20"/>
                <w:szCs w:val="20"/>
              </w:rPr>
              <w:t xml:space="preserve">epoch_post2017</w:t>
            </w:r>
          </w:p>
        </w:tc>
        <w:tc>
          <w:tcPr>
            <w:tcW w:w="0" w:type="auto"/>
          </w:tcPr>
          <w:p>
            <w:pPr>
              <w:spacing w:line="240" w:lineRule="auto" w:before="0" w:after="0"/>
              <w:pStyle w:val="Compact"/>
            </w:pPr>
            <w:r>
              <w:rPr>
                <w:sz w:val="20"/>
                <w:szCs w:val="20"/>
              </w:rPr>
              <w:t xml:space="preserve">-2.1245</w:t>
            </w:r>
          </w:p>
        </w:tc>
        <w:tc>
          <w:tcPr>
            <w:tcW w:w="0" w:type="auto"/>
          </w:tcPr>
          <w:p>
            <w:pPr>
              <w:spacing w:line="240" w:lineRule="auto" w:before="0" w:after="0"/>
              <w:pStyle w:val="Compact"/>
            </w:pPr>
            <w:r>
              <w:rPr>
                <w:sz w:val="20"/>
                <w:szCs w:val="20"/>
              </w:rPr>
              <w:t xml:space="preserve">1.984</w:t>
            </w:r>
          </w:p>
        </w:tc>
        <w:tc>
          <w:tcPr>
            <w:tcW w:w="0" w:type="auto"/>
          </w:tcPr>
          <w:p>
            <w:pPr>
              <w:spacing w:line="240" w:lineRule="auto" w:before="0" w:after="0"/>
              <w:pStyle w:val="Compact"/>
            </w:pPr>
            <w:r>
              <w:rPr>
                <w:sz w:val="20"/>
                <w:szCs w:val="20"/>
              </w:rPr>
              <w:t xml:space="preserve">-1.0708</w:t>
            </w:r>
          </w:p>
        </w:tc>
        <w:tc>
          <w:tcPr>
            <w:tcW w:w="0" w:type="auto"/>
          </w:tcPr>
          <w:p>
            <w:pPr>
              <w:spacing w:line="240" w:lineRule="auto" w:before="0" w:after="0"/>
              <w:pStyle w:val="Compact"/>
            </w:pPr>
            <w:r>
              <w:rPr>
                <w:sz w:val="20"/>
                <w:szCs w:val="20"/>
              </w:rPr>
              <w:t xml:space="preserve">0.2843</w:t>
            </w:r>
          </w:p>
        </w:tc>
        <w:tc>
          <w:tcPr>
            <w:tcW w:w="0" w:type="auto"/>
          </w:tcPr>
          <w:p>
            <w:pPr>
              <w:spacing w:line="240" w:lineRule="auto" w:before="0" w:after="0"/>
              <w:pStyle w:val="Compact"/>
            </w:pPr>
            <w:r>
              <w:rPr>
                <w:sz w:val="20"/>
                <w:szCs w:val="20"/>
              </w:rPr>
              <w:t xml:space="preserve">[-6.0131, 1.7641]</w:t>
            </w:r>
          </w:p>
        </w:tc>
      </w:tr>
    </w:tbl>
    <w:p>
      <w:pPr>
        <w:pStyle w:val="BodyText"/>
      </w:pPr>
      <w:r>
        <w:t xml:space="preserve">Fit: N = 30 pseudo_R2 = 0.6365 LL = -7.5342</w:t>
      </w:r>
    </w:p>
    <w:bookmarkEnd w:id="82"/>
    <w:bookmarkEnd w:id="83"/>
    <w:bookmarkEnd w:id="84"/>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abstractNum w:abstractNumId="991">
    <w:nsid w:val="0000A991"/>
    <w:multiLevelType w:val="multilevel"/>
    <w:lvl w:ilvl="0">
      <w:numFmt w:val="bullet"/>
      <w:lvlText w:val=""/>
      <w:lvlJc w:val="left"/>
      <w:pPr>
        <w:ind w:left="720" w:hanging="360"/>
      </w:pPr>
      <w:rPr>
        <w:rFonts w:ascii="Symbol" w:hAnsi="Symbol" w:cs="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cs="Wingdings" w:hint="default"/>
      </w:rPr>
    </w:lvl>
    <w:lvl w:ilvl="3">
      <w:numFmt w:val="bullet"/>
      <w:lvlText w:val=""/>
      <w:lvlJc w:val="left"/>
      <w:pPr>
        <w:ind w:left="2880" w:hanging="360"/>
      </w:pPr>
      <w:rPr>
        <w:rFonts w:ascii="Symbol" w:hAnsi="Symbol" w:cs="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cs="Wingdings" w:hint="default"/>
      </w:rPr>
    </w:lvl>
    <w:lvl w:ilvl="6">
      <w:numFmt w:val="bullet"/>
      <w:lvlText w:val=""/>
      <w:lvlJc w:val="left"/>
      <w:pPr>
        <w:ind w:left="5040" w:hanging="360"/>
      </w:pPr>
      <w:rPr>
        <w:rFonts w:ascii="Symbol" w:hAnsi="Symbol" w:cs="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cs="Wingdings" w:hint="default"/>
      </w:r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 w:numId="1001">
    <w:abstractNumId w:val="991"/>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6" Target="media/rId76.png" /><Relationship Type="http://schemas.openxmlformats.org/officeDocument/2006/relationships/hyperlink" Id="rId68" Target="https://doi.org/10.1016/j.actaastro.2020.04.056" TargetMode="External" /><Relationship Type="http://schemas.openxmlformats.org/officeDocument/2006/relationships/hyperlink" Id="rId70" Target="https://doi.org/10.1016/j.actaastro.2024.06.052" TargetMode="External" /><Relationship Type="http://schemas.openxmlformats.org/officeDocument/2006/relationships/hyperlink" Id="rId73" Target="https://doi.org/10.1016/j.actaastro.2025.01.042" TargetMode="External" /></Relationships>
</file>

<file path=word/_rels/footnotes.xml.rels><?xml version="1.0" encoding="UTF-8"?><Relationships xmlns="http://schemas.openxmlformats.org/package/2006/relationships"><Relationship Type="http://schemas.openxmlformats.org/officeDocument/2006/relationships/hyperlink" Id="rId68" Target="https://doi.org/10.1016/j.actaastro.2020.04.056" TargetMode="External" /><Relationship Type="http://schemas.openxmlformats.org/officeDocument/2006/relationships/hyperlink" Id="rId70" Target="https://doi.org/10.1016/j.actaastro.2024.06.052" TargetMode="External" /><Relationship Type="http://schemas.openxmlformats.org/officeDocument/2006/relationships/hyperlink" Id="rId73" Target="https://doi.org/10.1016/j.actaastro.2025.01.042"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2026-06-26T16:46:18Z</dcterms:created>
  <dcterms:modified xsi:type="dcterms:W3CDTF">2026-06-26T16:46:18Z</dcterms:modified>
</cp:coreProperties>
</file>

<file path=docProps/custom.xml><?xml version="1.0" encoding="utf-8"?>
<Properties xmlns="http://schemas.openxmlformats.org/officeDocument/2006/custom-properties" xmlns:vt="http://schemas.openxmlformats.org/officeDocument/2006/docPropsVTypes"/>
</file>