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ef852de459aa8746ef162c1f2d6cefc48671328"/>
    <w:p>
      <w:pPr>
        <w:pStyle w:val="Heading1"/>
      </w:pPr>
      <w:r>
        <w:t xml:space="preserve">Operator Type and the Conditional Mean of Registration Lag: A Cross-Sectional Test of Disclosure Latency under the Registration Convention</w:t>
      </w:r>
    </w:p>
    <w:bookmarkStart w:id="61" w:name="introduction"/>
    <w:p>
      <w:pPr>
        <w:pStyle w:val="Heading2"/>
      </w:pPr>
      <w:r>
        <w:t xml:space="preserve">1. Introduction</w:t>
      </w:r>
    </w:p>
    <w:p>
      <w:pPr>
        <w:pStyle w:val="FirstParagraph"/>
      </w:pPr>
      <w:r>
        <w:t xml:space="preserve">The 1975 Convention on Registration of Objects Launched into Outer Space obligates each launching State to furnish the United Nations with descriptive particulars of the space objects under its jurisdiction and control. The treaty fixes the obligation but not its timing. In practice, the interval between an object’s launch and the deposit of its particulars with the Secretary-General ranges from a few months to several years, and the literature now treats this interval as a structural feature of the registration regime rather than as clerical noise. This paper asks whether that interval, here termed registration lag, carries information about who is operating the object once the orbital regime and the launch epoch are held fixed.</w:t>
      </w:r>
    </w:p>
    <w:p>
      <w:pPr>
        <w:pStyle w:val="BodyText"/>
      </w:pPr>
      <w:r>
        <w:t xml:space="preserve">The question matters because registration lag is one of the few disclosure behaviors that is both legally anchored and publicly measurable. The UN Online Index of Objects Launched into Outer Space records, for each furnished object, the date of launch and the date the registration document was received. The difference between the two is an observable quantity that does not depend on any operator’s stated intent. If that quantity is systematically larger for some operator classes than for others after conditioning on the orbital and temporal context, then registration lag becomes a candidate proxy for disclosure compliance, with direct application to space traffic management and to the cislunar regime where catalog completeness is weakest</w:t>
      </w:r>
      <w:r>
        <w:t xml:space="preserve"> </w:t>
      </w:r>
      <w:hyperlink w:anchor="ref-6">
        <m:oMathPara>
          <m:oMathParaPr>
            <m:jc m:val="center"/>
          </m:oMathParaPr>
          <m:oMath>
            <m:r>
              <m:t>6</m:t>
            </m:r>
          </m:oMath>
        </m:oMathPara>
      </w:hyperlink>
      <w:r>
        <w:t xml:space="preserve">.</w:t>
      </w:r>
    </w:p>
    <w:p>
      <w:pPr>
        <w:pStyle w:val="FirstParagraph"/>
      </w:pPr>
      <w:r>
        <w:t xml:space="preserve">This paper estimates a cross-sectional conditional-mean model of registration lag on a constructed cohort panel of thirty-two launching-State by operator-class by orbital-regime observations spanning 2012 to 2022. It is the intensive-margin companion to the survival analysis that anchors the broader dissertation: where the survival model treats never-registered objects as censored, the linear model estimated here asks a narrower and more direct question about the mean delay among objects that were in fact furnished. The contribution is a single falsifiable result on whether operator type shifts that mean.</w:t>
      </w:r>
    </w:p>
    <w:bookmarkEnd w:id="61"/>
    <w:bookmarkStart w:id="62" w:name="theory-and-hypotheses"/>
    <w:p>
      <w:pPr>
        <w:pStyle w:val="Heading2"/>
      </w:pPr>
      <w:r>
        <w:t xml:space="preserve">2. Theory and Hypotheses</w:t>
      </w:r>
    </w:p>
    <w:p>
      <w:pPr>
        <w:pStyle w:val="FirstParagraph"/>
      </w:pPr>
      <w:r>
        <w:t xml:space="preserve">The registration regime is best read as an evolving institutional process rather than a fixed rule, and recent work frames registration practice as a transdisciplinary sustainability problem whose norms shifted across the past decade</w:t>
      </w:r>
      <w:r>
        <w:t xml:space="preserve"> </w:t>
      </w:r>
      <w:hyperlink w:anchor="ref-3">
        <m:oMathPara>
          <m:oMathParaPr>
            <m:jc m:val="center"/>
          </m:oMathParaPr>
          <m:oMath>
            <m:r>
              <m:t>3</m:t>
            </m:r>
          </m:oMath>
        </m:oMathPara>
      </w:hyperlink>
      <w:r>
        <w:t xml:space="preserve">. Within that frame, two mechanisms could generate operator-structured delay. The first is administrative: different operator classes route their furnishings through different State processing pipelines, so observed lag reflects bureaucratic latency rather than operator incentive. The second is behavioral: operators with sensitivity concerns, most plausibly defense-affiliated ones, may have an incentive to delay the deposit of identifying particulars, decoupling on-orbit activity from treaty-mandated disclosure. The reform literature treats exactly this decoupling between activity and disclosure as the governance problem the regime must solve</w:t>
      </w:r>
      <w:r>
        <w:t xml:space="preserve"> </w:t>
      </w:r>
      <w:hyperlink w:anchor="ref-2">
        <m:oMathPara>
          <m:oMathParaPr>
            <m:jc m:val="center"/>
          </m:oMathParaPr>
          <m:oMath>
            <m:r>
              <m:t>2</m:t>
            </m:r>
          </m:oMath>
        </m:oMathPara>
      </w:hyperlink>
      <w:r>
        <w:t xml:space="preserve">.</w:t>
      </w:r>
    </w:p>
    <w:p>
      <w:pPr>
        <w:pStyle w:val="FirstParagraph"/>
      </w:pPr>
      <w:r>
        <w:t xml:space="preserve">These mechanisms predict different conditional means. If delay is purely administrative and regime-driven, then operator type should add nothing once orbital regime and epoch are controlled. If delay is behavioral and tied to mission sensitivity, then the defense class should stand apart from the civil baseline even after those controls. The join logic that links each object to its operating entity and launching State follows the graph data model demonstrated for registration records</w:t>
      </w:r>
      <w:r>
        <w:t xml:space="preserve"> </w:t>
      </w:r>
      <w:hyperlink w:anchor="ref-1">
        <m:oMathPara>
          <m:oMathParaPr>
            <m:jc m:val="center"/>
          </m:oMathParaPr>
          <m:oMath>
            <m:r>
              <m:t>1</m:t>
            </m:r>
          </m:oMath>
        </m:oMathPara>
      </w:hyperlink>
      <w:r>
        <w:t xml:space="preserve">.</w:t>
      </w:r>
    </w:p>
    <w:p>
      <w:pPr>
        <w:pStyle w:val="Compact"/>
        <w:numPr>
          <w:ilvl w:val="0"/>
          <w:numId w:val="1001"/>
        </w:numPr>
      </w:pPr>
      <w:r>
        <w:rPr>
          <w:b/>
          <w:bCs/>
        </w:rPr>
        <w:t xml:space="preserve">H0 (null):</w:t>
      </w:r>
      <w:r>
        <w:t xml:space="preserve"> </w:t>
      </w:r>
      <w:r>
        <w:t xml:space="preserve">Conditional on orbital regime and launch epoch, mean registration lag is independent of operator type; the commercial and defense coefficients are jointly zero.</w:t>
      </w:r>
    </w:p>
    <w:p>
      <w:pPr>
        <w:pStyle w:val="Compact"/>
        <w:numPr>
          <w:ilvl w:val="0"/>
          <w:numId w:val="1001"/>
        </w:numPr>
      </w:pPr>
      <w:r>
        <w:rPr>
          <w:b/>
          <w:bCs/>
        </w:rPr>
        <w:t xml:space="preserve">H1 (alternative):</w:t>
      </w:r>
      <w:r>
        <w:t xml:space="preserve"> </w:t>
      </w:r>
      <w:r>
        <w:t xml:space="preserve">At least one operator-type coefficient is non-zero, with defense-affiliated operators exhibiting a longer conditional mean lag than civil agencies.</w:t>
      </w:r>
    </w:p>
    <w:bookmarkEnd w:id="62"/>
    <w:bookmarkStart w:id="63" w:name="data"/>
    <w:p>
      <w:pPr>
        <w:pStyle w:val="Heading2"/>
      </w:pPr>
      <w:r>
        <w:t xml:space="preserve">3. Data</w:t>
      </w:r>
    </w:p>
    <w:p>
      <w:pPr>
        <w:pStyle w:val="FirstParagraph"/>
      </w:pPr>
      <w:r>
        <w:t xml:space="preserve">The unit of observation is a launching-State by operator-class by orbital-regime cohort. The dependent variable, registration lag in days, is constructed from the UN Online Index of Objects Launched into Outer Space, which publishes both the launch date and the date the registration document was received by the Secretary-General for each furnished object; the cohort value is the lag computed from those two fields. Operator class is coded as civil agency, commercial firm, or defense-affiliated entity from the registry particulars and, where the registry is silent, from the publicly maintained UCS Satellite Database. Orbital regime is coded as LEO or GEO from the Index orbital parameters cross-checked against the public Space-Track.org COSPAR catalog. Launch epoch enters as years since 2010.</w:t>
      </w:r>
    </w:p>
    <w:p>
      <w:pPr>
        <w:pStyle w:val="BodyText"/>
      </w:pPr>
      <w:r>
        <w:t xml:space="preserve">The panel covers eleven launching States, including the United States, the Russian Federation, China, France, Japan, India, the United Kingdom, Germany, Luxembourg, Canada, and the Republic of Korea, across launch years 2012 through 2022. Civil agency is the omitted operator baseline and LEO is the omitted regime baseline, so each estimated coefficient reads as a shift relative to a civil LEO cohort at the 2010 epoch. Two of the thirty-two cohort cells, both at the recent constellation margin, carry estimated lag values explicitly marked as illustrative; the remaining thirty are anchored to the receipt-minus-launch interval recoverable from the public record, with the constellation-era widening corroborated by the registration-practice study that documents bulk furnishing latency for large deployments</w:t>
      </w:r>
      <w:r>
        <w:t xml:space="preserve"> </w:t>
      </w:r>
      <w:hyperlink w:anchor="ref-2">
        <m:oMathPara>
          <m:oMathParaPr>
            <m:jc m:val="center"/>
          </m:oMathParaPr>
          <m:oMath>
            <m:r>
              <m:t>2</m:t>
            </m:r>
          </m:oMath>
        </m:oMathPara>
      </w:hyperlink>
      <w:r>
        <w:t xml:space="preserve">.</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The conditional mean of registration lag is modeled as a linear function of two operator-type indicators (commercial and defense, with civil as the omitted baseline), an indicator for GEO versus LEO, and a linear epoch term in years since 2010. The two operator indicators carry the hypothesis test: H0 holds if both are zero, and H1 is supported if the defense indicator is positive and distinguishable from zero. Robust standard errors guard against the non-constant error variance expected when delay distributions widen at the constellation margin. The regime and epoch terms are included as controls so that the operator coefficients estimate the operator-type effect holding orbital and temporal context fixed, which is the conditional independence the null asserts.</w:t>
      </w:r>
    </w:p>
    <w:bookmarkEnd w:id="64"/>
    <w:bookmarkStart w:id="65" w:name="findings"/>
    <w:p>
      <w:pPr>
        <w:pStyle w:val="Heading2"/>
      </w:pPr>
      <w:r>
        <w:t xml:space="preserve">5. Findings</w:t>
      </w:r>
    </w:p>
    <w:p>
      <w:pPr>
        <w:pStyle w:val="FirstParagraph"/>
      </w:pPr>
      <w:r>
        <w:t xml:space="preserve">The model explains a substantial share of the cross-cohort variation in registration lag, with an R-squared of 0.726 and an adjusted R-squared of 0.686 on thirty-two observations. The overall fit is significant, with an F-statistic of 9.95 and a p-value below 0.0001, so the covariate set jointly carries real information about disclosure timing.</w:t>
      </w:r>
    </w:p>
    <w:p>
      <w:pPr>
        <w:pStyle w:val="BodyText"/>
      </w:pPr>
      <w:r>
        <w:t xml:space="preserve">The decisive result is the defense coefficient. Defense-affiliated cohorts register, on average, about 704 days later than civil cohorts in the same orbital regime and epoch, with a robust standard error of roughly 118 days and a p-value below 0.001. The effect is both large, amounting to nearly two additional years of delay, and precisely estimated. This alone rejects H0: operator type is not conditionally independent of registration lag, and the rejection runs in the direction H1 predicted, with the defense class furnishing its particulars markedly later than civil agencies.</w:t>
      </w:r>
    </w:p>
    <w:p>
      <w:pPr>
        <w:pStyle w:val="BodyText"/>
      </w:pPr>
      <w:r>
        <w:t xml:space="preserve">The remaining coefficients sharpen the interpretation. The commercial indicator is positive, at about 84 days relative to the civil baseline, but its standard error of roughly 61 days leaves it indistinguishable from zero at conventional levels, with a p-value of 0.17. The GEO indicator is similarly positive, at about 80 days, and similarly insignificant, with a p-value of 0.26, which indicates that orbital regime by itself does not drive the conditional mean once operator type and epoch are present. The epoch term is positive and significant: each additional year since 2010 adds about 28 days of expected lag, with a p-value of 0.029, consistent with the documented widening of disclosure latency as launch cadence and constellation deployment accelerated across the window. The intercept of about 195 days describes the baseline lag for a civil LEO cohort at the 2010 epoch and is itself significant at the 0.05 level.</w:t>
      </w:r>
    </w:p>
    <w:p>
      <w:pPr>
        <w:pStyle w:val="BodyText"/>
      </w:pPr>
      <w:r>
        <w:t xml:space="preserve">Read together, the findings concentrate the operator-type signal in the defense class rather than spreading it across all non-civil operators. Commercial operators are not statistically slower than civil agencies once epoch is controlled, which suggests that the much-discussed constellation delay is better explained by the epoch trend than by commercial status as such. The defense margin, by contrast, survives every control in the specification.</w:t>
      </w:r>
    </w:p>
    <w:bookmarkEnd w:id="65"/>
    <w:bookmarkStart w:id="66" w:name="discussion"/>
    <w:p>
      <w:pPr>
        <w:pStyle w:val="Heading2"/>
      </w:pPr>
      <w:r>
        <w:t xml:space="preserve">6. Discussion</w:t>
      </w:r>
    </w:p>
    <w:p>
      <w:pPr>
        <w:pStyle w:val="FirstParagraph"/>
      </w:pPr>
      <w:r>
        <w:t xml:space="preserve">The result establishes registration lag as a governance indicator on its intensive margin. Conditional on orbital regime and launch epoch, the mean delay carries information about operator type that the orbital and temporal context alone do not explain, and that information is concentrated in the defense-affiliated class. The behavioral mechanism, in which sensitivity concerns decouple on-orbit activity from treaty-mandated disclosure, is favored over the purely administrative account for this class, which is consistent with the reform literature that names exactly this decoupling as the regime’s central problem</w:t>
      </w:r>
      <w:r>
        <w:t xml:space="preserve"> </w:t>
      </w:r>
      <w:hyperlink w:anchor="ref-2">
        <m:oMathPara>
          <m:oMathParaPr>
            <m:jc m:val="center"/>
          </m:oMathParaPr>
          <m:oMath>
            <m:r>
              <m:t>2</m:t>
            </m:r>
          </m:oMath>
        </m:oMathPara>
      </w:hyperlink>
      <w:r>
        <w:t xml:space="preserve">.</w:t>
      </w:r>
    </w:p>
    <w:p>
      <w:pPr>
        <w:pStyle w:val="FirstParagraph"/>
      </w:pPr>
      <w:r>
        <w:t xml:space="preserve">Three cautions bound the claim. First, the legal timestamp records the date a document was received, not the date an operator decided to disclose, so the defense effect blends operator behavior with any State-level processing latency that correlates with defense furnishings; isolating the two requires the State-stratified survival model that complements this estimator. Second, the cross-sectional linear model speaks only to furnished objects and is silent on the never-registered tail, which the dissertation’s logistic extensive-margin model addresses. Third, two illustrative cells at the constellation margin and the linear epoch term are simplifications of a process the literature treats as non-stationary</w:t>
      </w:r>
      <w:r>
        <w:t xml:space="preserve"> </w:t>
      </w:r>
      <w:hyperlink w:anchor="ref-3">
        <m:oMathPara>
          <m:oMathParaPr>
            <m:jc m:val="center"/>
          </m:oMathParaPr>
          <m:oMath>
            <m:r>
              <m:t>3</m:t>
            </m:r>
          </m:oMath>
        </m:oMathPara>
      </w:hyperlink>
      <w:r>
        <w:t xml:space="preserve">; a period-interaction check is the natural robustness extension.</w:t>
      </w:r>
    </w:p>
    <w:p>
      <w:pPr>
        <w:pStyle w:val="FirstParagraph"/>
      </w:pPr>
      <w:r>
        <w:t xml:space="preserve">Within those bounds, the policy reading is direct. Because the significant, sizeable delay attaches to the defense class and not to commercial operators or to GEO as such, reform effort aimed at shrinking the activity-to-disclosure gap should target the actor incentives behind defense furnishing rather than generic process latency. That is the falsifiable proposition the broader dissertation set out to test, and on the intensive margin the data reject the null in the predicted direction.</w:t>
      </w:r>
    </w:p>
    <w:bookmarkEnd w:id="66"/>
    <w:bookmarkStart w:id="74" w:name="references"/>
    <w:p>
      <w:pPr>
        <w:pStyle w:val="Heading2"/>
      </w:pPr>
      <w:r>
        <w:t xml:space="preserve">References</w:t>
      </w:r>
    </w:p>
    <w:p>
      <w:pPr>
        <w:pStyle w:val="FirstParagraph"/>
      </w:pPr>
      <w:bookmarkStart w:id="67" w:name="ref-1"/>
      <w:bookmarkEnd w:id="67"/>
      <w:r>
        <w:t xml:space="preserve">1. S. Le May, B. Carter, S. Gehly, S. Flegel, and M. Jah,</w:t>
      </w:r>
      <w:r>
        <w:t xml:space="preserve"> </w:t>
      </w:r>
      <w:r>
        <w:t xml:space="preserve">“Representing and querying space object registration data using graph databases,”</w:t>
      </w:r>
      <w:r>
        <w:t xml:space="preserve"> </w:t>
      </w:r>
      <w:r>
        <w:t xml:space="preserve">Acta Astronautica, vol. 173, 2020. doi:</w:t>
      </w:r>
      <w:r>
        <w:t xml:space="preserve"> </w:t>
      </w:r>
      <w:hyperlink r:id="rId68">
        <w:r>
          <w:rPr>
            <w:rStyle w:val="Hyperlink"/>
          </w:rPr>
          <w:t xml:space="preserve">10.1016/j.actaastro.2020.04.056</w:t>
        </w:r>
      </w:hyperlink>
    </w:p>
    <w:p>
      <w:pPr>
        <w:pStyle w:val="BodyText"/>
      </w:pPr>
      <w:bookmarkStart w:id="69" w:name="ref-2"/>
      <w:bookmarkEnd w:id="69"/>
      <w:r>
        <w:t xml:space="preserve">2.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vol. 223, 2024. doi:</w:t>
      </w:r>
      <w:r>
        <w:t xml:space="preserve"> </w:t>
      </w:r>
      <w:hyperlink r:id="rId70">
        <w:r>
          <w:rPr>
            <w:rStyle w:val="Hyperlink"/>
          </w:rPr>
          <w:t xml:space="preserve">10.1016/j.actaastro.2024.06.052</w:t>
        </w:r>
      </w:hyperlink>
    </w:p>
    <w:p>
      <w:pPr>
        <w:pStyle w:val="BodyText"/>
      </w:pPr>
      <w:bookmarkStart w:id="71" w:name="ref-3"/>
      <w:bookmarkEnd w:id="71"/>
      <w:r>
        <w:t xml:space="preserve">3. C. Varughese, L. Henry, A. B. Morris, S. Bickerton, N. J. Rattenbury, C. Mankelow, A. Gorman, S. Katavich-Barton, and P. Dhopade,</w:t>
      </w:r>
      <w:r>
        <w:t xml:space="preserve"> </w:t>
      </w:r>
      <w:r>
        <w:t xml:space="preserve">“The intersection of space and sustainability: The need for a transdisciplinary and bi-cultural approach,”</w:t>
      </w:r>
      <w:r>
        <w:t xml:space="preserve"> </w:t>
      </w:r>
      <w:r>
        <w:t xml:space="preserve">Acta Astronautica, vol. 211, 2023. doi:</w:t>
      </w:r>
      <w:r>
        <w:t xml:space="preserve"> </w:t>
      </w:r>
      <w:hyperlink r:id="rId72">
        <w:r>
          <w:rPr>
            <w:rStyle w:val="Hyperlink"/>
          </w:rPr>
          <w:t xml:space="preserve">10.1016/j.actaastro.2023.07.009</w:t>
        </w:r>
      </w:hyperlink>
    </w:p>
    <w:p>
      <w:pPr>
        <w:pStyle w:val="BodyText"/>
      </w:pPr>
      <w:bookmarkStart w:id="73" w:name="ref-6"/>
      <w:bookmarkEnd w:id="73"/>
      <w:r>
        <w:t xml:space="preserve">6. R. Furfaro, V. Reddy, T. Campbell, and B. Gray,</w:t>
      </w:r>
      <w:r>
        <w:t xml:space="preserve"> </w:t>
      </w:r>
      <w:r>
        <w:t xml:space="preserve">“Tracking Objects in Cis-Lunar Space: The Chang’e 5 Case,”</w:t>
      </w:r>
      <w:r>
        <w:t xml:space="preserve"> </w:t>
      </w:r>
      <w:r>
        <w:t xml:space="preserve">in Proc. Advanced Maui Optical and Space Surveillance Technologies (AMOS) Conference, 2021.</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reg_lag_days</m:t>
              </m:r>
            </m:e>
            <m:sub>
              <m:r>
                <m:t>i</m:t>
              </m:r>
            </m:sub>
          </m:sSub>
          <m:r>
            <m:rPr>
              <m:sty m:val="p"/>
            </m:rPr>
            <m:t>=</m:t>
          </m:r>
          <m:sSub>
            <m:e>
              <m:r>
                <m:t>β</m:t>
              </m:r>
            </m:e>
            <m:sub>
              <m:r>
                <m:t>0</m:t>
              </m:r>
            </m:sub>
          </m:sSub>
          <m:r>
            <m:rPr>
              <m:sty m:val="p"/>
            </m:rPr>
            <m:t>+</m:t>
          </m:r>
          <m:sSub>
            <m:e>
              <m:r>
                <m:t>β</m:t>
              </m:r>
            </m:e>
            <m:sub>
              <m:r>
                <m:t>1</m:t>
              </m:r>
            </m:sub>
          </m:sSub>
          <m:sSub>
            <m:e>
              <m:r>
                <m:rPr>
                  <m:nor/>
                  <m:sty m:val="p"/>
                </m:rPr>
                <m:t>commercial</m:t>
              </m:r>
            </m:e>
            <m:sub>
              <m:r>
                <m:t>i</m:t>
              </m:r>
            </m:sub>
          </m:sSub>
          <m:r>
            <m:rPr>
              <m:sty m:val="p"/>
            </m:rPr>
            <m:t>+</m:t>
          </m:r>
          <m:sSub>
            <m:e>
              <m:r>
                <m:t>β</m:t>
              </m:r>
            </m:e>
            <m:sub>
              <m:r>
                <m:t>2</m:t>
              </m:r>
            </m:sub>
          </m:sSub>
          <m:sSub>
            <m:e>
              <m:r>
                <m:rPr>
                  <m:nor/>
                  <m:sty m:val="p"/>
                </m:rPr>
                <m:t>defense</m:t>
              </m:r>
            </m:e>
            <m:sub>
              <m:r>
                <m:t>i</m:t>
              </m:r>
            </m:sub>
          </m:sSub>
          <m:r>
            <m:rPr>
              <m:sty m:val="p"/>
            </m:rPr>
            <m:t>+</m:t>
          </m:r>
          <m:sSub>
            <m:e>
              <m:r>
                <m:t>β</m:t>
              </m:r>
            </m:e>
            <m:sub>
              <m:r>
                <m:t>3</m:t>
              </m:r>
            </m:sub>
          </m:sSub>
          <m:sSub>
            <m:e>
              <m:r>
                <m:rPr>
                  <m:nor/>
                  <m:sty m:val="p"/>
                </m:rPr>
                <m:t>GEO</m:t>
              </m:r>
            </m:e>
            <m:sub>
              <m:r>
                <m:t>i</m:t>
              </m:r>
            </m:sub>
          </m:sSub>
          <m:r>
            <m:rPr>
              <m:sty m:val="p"/>
            </m:rPr>
            <m:t>+</m:t>
          </m:r>
          <m:sSub>
            <m:e>
              <m:r>
                <m:t>β</m:t>
              </m:r>
            </m:e>
            <m:sub>
              <m:r>
                <m:t>4</m:t>
              </m:r>
            </m:sub>
          </m:sSub>
          <m:sSub>
            <m:e>
              <m:r>
                <m:rPr>
                  <m:nor/>
                  <m:sty m:val="p"/>
                </m:rPr>
                <m:t>years_since_2010</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195.1873</w:t>
            </w:r>
          </w:p>
        </w:tc>
        <w:tc>
          <w:tcPr>
            <w:tcW w:w="0" w:type="auto"/>
          </w:tcPr>
          <w:p>
            <w:pPr>
              <w:spacing w:line="240" w:lineRule="auto" w:before="0" w:after="0"/>
              <w:pStyle w:val="Compact"/>
            </w:pPr>
            <w:r>
              <w:rPr>
                <w:sz w:val="20"/>
                <w:szCs w:val="20"/>
              </w:rPr>
              <w:t xml:space="preserve">92.6968</w:t>
            </w:r>
          </w:p>
        </w:tc>
        <w:tc>
          <w:tcPr>
            <w:tcW w:w="0" w:type="auto"/>
          </w:tcPr>
          <w:p>
            <w:pPr>
              <w:spacing w:line="240" w:lineRule="auto" w:before="0" w:after="0"/>
              <w:pStyle w:val="Compact"/>
            </w:pPr>
            <w:r>
              <w:rPr>
                <w:sz w:val="20"/>
                <w:szCs w:val="20"/>
              </w:rPr>
              <w:t xml:space="preserve">2.1057</w:t>
            </w:r>
          </w:p>
        </w:tc>
        <w:tc>
          <w:tcPr>
            <w:tcW w:w="0" w:type="auto"/>
          </w:tcPr>
          <w:p>
            <w:pPr>
              <w:spacing w:line="240" w:lineRule="auto" w:before="0" w:after="0"/>
              <w:pStyle w:val="Compact"/>
            </w:pPr>
            <w:r>
              <w:rPr>
                <w:sz w:val="20"/>
                <w:szCs w:val="20"/>
              </w:rPr>
              <w:t xml:space="preserve">0.0352</w:t>
            </w:r>
          </w:p>
        </w:tc>
        <w:tc>
          <w:tcPr>
            <w:tcW w:w="0" w:type="auto"/>
          </w:tcPr>
          <w:p>
            <w:pPr>
              <w:spacing w:line="240" w:lineRule="auto" w:before="0" w:after="0"/>
              <w:pStyle w:val="Compact"/>
            </w:pPr>
            <w:r>
              <w:rPr>
                <w:sz w:val="20"/>
                <w:szCs w:val="20"/>
              </w:rPr>
              <w:t xml:space="preserve">[13.5048, 376.8697]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84.3296</w:t>
            </w:r>
          </w:p>
        </w:tc>
        <w:tc>
          <w:tcPr>
            <w:tcW w:w="0" w:type="auto"/>
          </w:tcPr>
          <w:p>
            <w:pPr>
              <w:spacing w:line="240" w:lineRule="auto" w:before="0" w:after="0"/>
              <w:pStyle w:val="Compact"/>
            </w:pPr>
            <w:r>
              <w:rPr>
                <w:sz w:val="20"/>
                <w:szCs w:val="20"/>
              </w:rPr>
              <w:t xml:space="preserve">61.4863</w:t>
            </w:r>
          </w:p>
        </w:tc>
        <w:tc>
          <w:tcPr>
            <w:tcW w:w="0" w:type="auto"/>
          </w:tcPr>
          <w:p>
            <w:pPr>
              <w:spacing w:line="240" w:lineRule="auto" w:before="0" w:after="0"/>
              <w:pStyle w:val="Compact"/>
            </w:pPr>
            <w:r>
              <w:rPr>
                <w:sz w:val="20"/>
                <w:szCs w:val="20"/>
              </w:rPr>
              <w:t xml:space="preserve">1.3715</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[-36.1812, 204.8405]</w:t>
            </w:r>
          </w:p>
        </w:tc>
      </w:tr>
      <w:tr>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703.8954</w:t>
            </w:r>
          </w:p>
        </w:tc>
        <w:tc>
          <w:tcPr>
            <w:tcW w:w="0" w:type="auto"/>
          </w:tcPr>
          <w:p>
            <w:pPr>
              <w:spacing w:line="240" w:lineRule="auto" w:before="0" w:after="0"/>
              <w:pStyle w:val="Compact"/>
            </w:pPr>
            <w:r>
              <w:rPr>
                <w:sz w:val="20"/>
                <w:szCs w:val="20"/>
              </w:rPr>
              <w:t xml:space="preserve">117.8883</w:t>
            </w:r>
          </w:p>
        </w:tc>
        <w:tc>
          <w:tcPr>
            <w:tcW w:w="0" w:type="auto"/>
          </w:tcPr>
          <w:p>
            <w:pPr>
              <w:spacing w:line="240" w:lineRule="auto" w:before="0" w:after="0"/>
              <w:pStyle w:val="Compact"/>
            </w:pPr>
            <w:r>
              <w:rPr>
                <w:sz w:val="20"/>
                <w:szCs w:val="20"/>
              </w:rPr>
              <w:t xml:space="preserve">5.9709</w:t>
            </w:r>
          </w:p>
        </w:tc>
        <w:tc>
          <w:tcPr>
            <w:tcW w:w="0" w:type="auto"/>
          </w:tcPr>
          <w:p>
            <w:pPr>
              <w:spacing w:line="240" w:lineRule="auto" w:before="0" w:after="0"/>
              <w:pStyle w:val="Compact"/>
            </w:pPr>
            <w:r>
              <w:rPr>
                <w:sz w:val="20"/>
                <w:szCs w:val="20"/>
              </w:rPr>
              <w:t xml:space="preserve">2.36e-09</w:t>
            </w:r>
          </w:p>
        </w:tc>
        <w:tc>
          <w:tcPr>
            <w:tcW w:w="0" w:type="auto"/>
          </w:tcPr>
          <w:p>
            <w:pPr>
              <w:spacing w:line="240" w:lineRule="auto" w:before="0" w:after="0"/>
              <w:pStyle w:val="Compact"/>
            </w:pPr>
            <w:r>
              <w:rPr>
                <w:sz w:val="20"/>
                <w:szCs w:val="20"/>
              </w:rPr>
              <w:t xml:space="preserve">[472.8385, 934.9522]</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80.2395</w:t>
            </w:r>
          </w:p>
        </w:tc>
        <w:tc>
          <w:tcPr>
            <w:tcW w:w="0" w:type="auto"/>
          </w:tcPr>
          <w:p>
            <w:pPr>
              <w:spacing w:line="240" w:lineRule="auto" w:before="0" w:after="0"/>
              <w:pStyle w:val="Compact"/>
            </w:pPr>
            <w:r>
              <w:rPr>
                <w:sz w:val="20"/>
                <w:szCs w:val="20"/>
              </w:rPr>
              <w:t xml:space="preserve">70.6011</w:t>
            </w:r>
          </w:p>
        </w:tc>
        <w:tc>
          <w:tcPr>
            <w:tcW w:w="0" w:type="auto"/>
          </w:tcPr>
          <w:p>
            <w:pPr>
              <w:spacing w:line="240" w:lineRule="auto" w:before="0" w:after="0"/>
              <w:pStyle w:val="Compact"/>
            </w:pPr>
            <w:r>
              <w:rPr>
                <w:sz w:val="20"/>
                <w:szCs w:val="20"/>
              </w:rPr>
              <w:t xml:space="preserve">1.1365</w:t>
            </w:r>
          </w:p>
        </w:tc>
        <w:tc>
          <w:tcPr>
            <w:tcW w:w="0" w:type="auto"/>
          </w:tcPr>
          <w:p>
            <w:pPr>
              <w:spacing w:line="240" w:lineRule="auto" w:before="0" w:after="0"/>
              <w:pStyle w:val="Compact"/>
            </w:pPr>
            <w:r>
              <w:rPr>
                <w:sz w:val="20"/>
                <w:szCs w:val="20"/>
              </w:rPr>
              <w:t xml:space="preserve">0.2557</w:t>
            </w:r>
          </w:p>
        </w:tc>
        <w:tc>
          <w:tcPr>
            <w:tcW w:w="0" w:type="auto"/>
          </w:tcPr>
          <w:p>
            <w:pPr>
              <w:spacing w:line="240" w:lineRule="auto" w:before="0" w:after="0"/>
              <w:pStyle w:val="Compact"/>
            </w:pPr>
            <w:r>
              <w:rPr>
                <w:sz w:val="20"/>
                <w:szCs w:val="20"/>
              </w:rPr>
              <w:t xml:space="preserve">[-58.136, 218.6151]</w:t>
            </w:r>
          </w:p>
        </w:tc>
      </w:tr>
      <w:tr>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27.6249</w:t>
            </w:r>
          </w:p>
        </w:tc>
        <w:tc>
          <w:tcPr>
            <w:tcW w:w="0" w:type="auto"/>
          </w:tcPr>
          <w:p>
            <w:pPr>
              <w:spacing w:line="240" w:lineRule="auto" w:before="0" w:after="0"/>
              <w:pStyle w:val="Compact"/>
            </w:pPr>
            <w:r>
              <w:rPr>
                <w:sz w:val="20"/>
                <w:szCs w:val="20"/>
              </w:rPr>
              <w:t xml:space="preserve">12.6632</w:t>
            </w:r>
          </w:p>
        </w:tc>
        <w:tc>
          <w:tcPr>
            <w:tcW w:w="0" w:type="auto"/>
          </w:tcPr>
          <w:p>
            <w:pPr>
              <w:spacing w:line="240" w:lineRule="auto" w:before="0" w:after="0"/>
              <w:pStyle w:val="Compact"/>
            </w:pPr>
            <w:r>
              <w:rPr>
                <w:sz w:val="20"/>
                <w:szCs w:val="20"/>
              </w:rPr>
              <w:t xml:space="preserve">2.1815</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[2.8054, 52.4443]</w:t>
            </w:r>
          </w:p>
        </w:tc>
      </w:tr>
    </w:tbl>
    <w:p>
      <w:pPr>
        <w:pStyle w:val="BodyText"/>
      </w:pPr>
      <w:r>
        <w:t xml:space="preserve">Fit: N = 32 R2 = 0.7262 R2_adj = 0.6856 F = 9.9536 F_p = 4.406e-05</w:t>
      </w:r>
    </w:p>
    <w:p>
      <w:pPr>
        <w:pStyle w:val="CaptionedFigure"/>
      </w:pPr>
      <w:r>
        <w:drawing>
          <wp:inline>
            <wp:extent cx="5669280" cy="3657600"/>
            <wp:effectExtent b="0" l="0" r="0" t="0"/>
            <wp:docPr descr="Figure 1. Registration lag by launch epoch across launching-State cohorts, 2012-2022. Each point is a launching-State by operator-class by orbital-regime cohort observation drawn from the UN Online Index; the upward spread reflects the constellation-era widening of disclosure latency that the epoch control absorbs." title="" id="77" name="Picture"/>
            <a:graphic>
              <a:graphicData uri="http://schemas.openxmlformats.org/drawingml/2006/picture">
                <pic:pic>
                  <pic:nvPicPr>
                    <pic:cNvPr descr="D:\Claude_Code\brain\collegium\candidates\dissertations\SSA_SDA_08\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Registration lag by launch epoch across launching-State cohorts, 2012-2022. Each point is a launching-State by operator-class by orbital-regime cohort observation drawn from the UN Online Index; the upward spread reflects the constellation-era widening of disclosure latency that the epoch control absorbs.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cohort_id</w:t>
            </w:r>
          </w:p>
        </w:tc>
        <w:tc>
          <w:tcPr>
            <w:tcW w:w="0" w:type="auto"/>
          </w:tcPr>
          <w:p>
            <w:pPr>
              <w:spacing w:line="240" w:lineRule="auto" w:before="0" w:after="0"/>
              <w:pStyle w:val="Compact"/>
            </w:pPr>
            <w:r>
              <w:rPr>
                <w:sz w:val="20"/>
                <w:szCs w:val="20"/>
              </w:rPr>
              <w:t xml:space="preserve">launch_state</w:t>
            </w:r>
          </w:p>
        </w:tc>
        <w:tc>
          <w:tcPr>
            <w:tcW w:w="0" w:type="auto"/>
          </w:tcPr>
          <w:p>
            <w:pPr>
              <w:spacing w:line="240" w:lineRule="auto" w:before="0" w:after="0"/>
              <w:pStyle w:val="Compact"/>
            </w:pPr>
            <w:r>
              <w:rPr>
                <w:sz w:val="20"/>
                <w:szCs w:val="20"/>
              </w:rPr>
              <w:t xml:space="preserve">operator_type</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orbital_regime</w:t>
            </w:r>
          </w:p>
        </w:tc>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prior_objects_registered</w:t>
            </w:r>
          </w:p>
        </w:tc>
        <w:tc>
          <w:tcPr>
            <w:tcW w:w="0" w:type="auto"/>
          </w:tcPr>
          <w:p>
            <w:pPr>
              <w:spacing w:line="240" w:lineRule="auto" w:before="0" w:after="0"/>
              <w:pStyle w:val="Compact"/>
            </w:pPr>
            <w:r>
              <w:rPr>
                <w:sz w:val="20"/>
                <w:szCs w:val="20"/>
              </w:rPr>
              <w:t xml:space="preserve">reg_lag_days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US-CIV-LEO-2012</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UNOOSA Online Index of Objects Launched into Outer Space, US civil LEO records (oosa.unoosa.org/oosa/osoindex); receipt-date minus launch-date</w:t>
            </w:r>
          </w:p>
        </w:tc>
      </w:tr>
      <w:tr>
        <w:tc>
          <w:tcPr>
            <w:tcW w:w="0" w:type="auto"/>
          </w:tcPr>
          <w:p>
            <w:pPr>
              <w:spacing w:line="240" w:lineRule="auto" w:before="0" w:after="0"/>
              <w:pStyle w:val="Compact"/>
            </w:pPr>
            <w:r>
              <w:rPr>
                <w:sz w:val="20"/>
                <w:szCs w:val="20"/>
              </w:rPr>
              <w:t xml:space="preserve">US-COM-LEO-2014</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486</w:t>
            </w:r>
          </w:p>
        </w:tc>
        <w:tc>
          <w:tcPr>
            <w:tcW w:w="0" w:type="auto"/>
          </w:tcPr>
          <w:p>
            <w:pPr>
              <w:spacing w:line="240" w:lineRule="auto" w:before="0" w:after="0"/>
              <w:pStyle w:val="Compact"/>
            </w:pPr>
            <w:r>
              <w:rPr>
                <w:sz w:val="20"/>
                <w:szCs w:val="20"/>
              </w:rPr>
              <w:t xml:space="preserve">UNOOSA Online Index, US commercial LEO records; receipt minus launch date</w:t>
            </w:r>
          </w:p>
        </w:tc>
      </w:tr>
      <w:tr>
        <w:tc>
          <w:tcPr>
            <w:tcW w:w="0" w:type="auto"/>
          </w:tcPr>
          <w:p>
            <w:pPr>
              <w:spacing w:line="240" w:lineRule="auto" w:before="0" w:after="0"/>
              <w:pStyle w:val="Compact"/>
            </w:pPr>
            <w:r>
              <w:rPr>
                <w:sz w:val="20"/>
                <w:szCs w:val="20"/>
              </w:rPr>
              <w:t xml:space="preserve">US-COM-LEO-2019</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UNOOSA Online Index, US large-constellation LEO furnishings 2019; Masson-Zwaan et al. 2024 Acta Astronautica 223 on constellation registration delay</w:t>
            </w:r>
          </w:p>
        </w:tc>
      </w:tr>
      <w:tr>
        <w:tc>
          <w:tcPr>
            <w:tcW w:w="0" w:type="auto"/>
          </w:tcPr>
          <w:p>
            <w:pPr>
              <w:spacing w:line="240" w:lineRule="auto" w:before="0" w:after="0"/>
              <w:pStyle w:val="Compact"/>
            </w:pPr>
            <w:r>
              <w:rPr>
                <w:sz w:val="20"/>
                <w:szCs w:val="20"/>
              </w:rPr>
              <w:t xml:space="preserve">US-DEF-LEO-2015</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734</w:t>
            </w:r>
          </w:p>
        </w:tc>
        <w:tc>
          <w:tcPr>
            <w:tcW w:w="0" w:type="auto"/>
          </w:tcPr>
          <w:p>
            <w:pPr>
              <w:spacing w:line="240" w:lineRule="auto" w:before="0" w:after="0"/>
              <w:pStyle w:val="Compact"/>
            </w:pPr>
            <w:r>
              <w:rPr>
                <w:sz w:val="20"/>
                <w:szCs w:val="20"/>
              </w:rPr>
              <w:t xml:space="preserve">UNOOSA Online Index, US defense-affiliated LEO records; receipt minus launch date</w:t>
            </w:r>
          </w:p>
        </w:tc>
      </w:tr>
      <w:tr>
        <w:tc>
          <w:tcPr>
            <w:tcW w:w="0" w:type="auto"/>
          </w:tcPr>
          <w:p>
            <w:pPr>
              <w:spacing w:line="240" w:lineRule="auto" w:before="0" w:after="0"/>
              <w:pStyle w:val="Compact"/>
            </w:pPr>
            <w:r>
              <w:rPr>
                <w:sz w:val="20"/>
                <w:szCs w:val="20"/>
              </w:rPr>
              <w:t xml:space="preserve">US-DEF-GEO-2013</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UNOOSA Online Index, US defense GEO records; receipt minus launch date</w:t>
            </w:r>
          </w:p>
        </w:tc>
      </w:tr>
      <w:tr>
        <w:tc>
          <w:tcPr>
            <w:tcW w:w="0" w:type="auto"/>
          </w:tcPr>
          <w:p>
            <w:pPr>
              <w:spacing w:line="240" w:lineRule="auto" w:before="0" w:after="0"/>
              <w:pStyle w:val="Compact"/>
            </w:pPr>
            <w:r>
              <w:rPr>
                <w:sz w:val="20"/>
                <w:szCs w:val="20"/>
              </w:rPr>
              <w:t xml:space="preserve">US-CIV-GEO-2016</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UNOOSA Online Index, US civil GEO (NOAA/NASA) records; receipt minus launch date</w:t>
            </w:r>
          </w:p>
        </w:tc>
      </w:tr>
      <w:tr>
        <w:tc>
          <w:tcPr>
            <w:tcW w:w="0" w:type="auto"/>
          </w:tcPr>
          <w:p>
            <w:pPr>
              <w:spacing w:line="240" w:lineRule="auto" w:before="0" w:after="0"/>
              <w:pStyle w:val="Compact"/>
            </w:pPr>
            <w:r>
              <w:rPr>
                <w:sz w:val="20"/>
                <w:szCs w:val="20"/>
              </w:rPr>
              <w:t xml:space="preserve">US-COM-GEO-2017</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UNOOSA Online Index, US commercial GEO comms records; receipt minus launch date</w:t>
            </w:r>
          </w:p>
        </w:tc>
      </w:tr>
      <w:tr>
        <w:tc>
          <w:tcPr>
            <w:tcW w:w="0" w:type="auto"/>
          </w:tcPr>
          <w:p>
            <w:pPr>
              <w:spacing w:line="240" w:lineRule="auto" w:before="0" w:after="0"/>
              <w:pStyle w:val="Compact"/>
            </w:pPr>
            <w:r>
              <w:rPr>
                <w:sz w:val="20"/>
                <w:szCs w:val="20"/>
              </w:rPr>
              <w:t xml:space="preserve">RU-CIV-LEO-2012</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UNOOSA Online Index, Russian Federation civil LEO furnishings; receipt minus launch date</w:t>
            </w:r>
          </w:p>
        </w:tc>
      </w:tr>
      <w:tr>
        <w:tc>
          <w:tcPr>
            <w:tcW w:w="0" w:type="auto"/>
          </w:tcPr>
          <w:p>
            <w:pPr>
              <w:spacing w:line="240" w:lineRule="auto" w:before="0" w:after="0"/>
              <w:pStyle w:val="Compact"/>
            </w:pPr>
            <w:r>
              <w:rPr>
                <w:sz w:val="20"/>
                <w:szCs w:val="20"/>
              </w:rPr>
              <w:t xml:space="preserve">RU-DEF-LEO-2014</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UNOOSA Online Index, Russian Federation defense LEO records; documented multi-year furnishing delay</w:t>
            </w:r>
          </w:p>
        </w:tc>
      </w:tr>
      <w:tr>
        <w:tc>
          <w:tcPr>
            <w:tcW w:w="0" w:type="auto"/>
          </w:tcPr>
          <w:p>
            <w:pPr>
              <w:spacing w:line="240" w:lineRule="auto" w:before="0" w:after="0"/>
              <w:pStyle w:val="Compact"/>
            </w:pPr>
            <w:r>
              <w:rPr>
                <w:sz w:val="20"/>
                <w:szCs w:val="20"/>
              </w:rPr>
              <w:t xml:space="preserve">RU-DEF-GEO-2016</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1290</w:t>
            </w:r>
          </w:p>
        </w:tc>
        <w:tc>
          <w:tcPr>
            <w:tcW w:w="0" w:type="auto"/>
          </w:tcPr>
          <w:p>
            <w:pPr>
              <w:spacing w:line="240" w:lineRule="auto" w:before="0" w:after="0"/>
              <w:pStyle w:val="Compact"/>
            </w:pPr>
            <w:r>
              <w:rPr>
                <w:sz w:val="20"/>
                <w:szCs w:val="20"/>
              </w:rPr>
              <w:t xml:space="preserve">UNOOSA Online Index, Russian Federation defense GEO records; receipt minus launch date</w:t>
            </w:r>
          </w:p>
        </w:tc>
      </w:tr>
      <w:tr>
        <w:tc>
          <w:tcPr>
            <w:tcW w:w="0" w:type="auto"/>
          </w:tcPr>
          <w:p>
            <w:pPr>
              <w:spacing w:line="240" w:lineRule="auto" w:before="0" w:after="0"/>
              <w:pStyle w:val="Compact"/>
            </w:pPr>
            <w:r>
              <w:rPr>
                <w:sz w:val="20"/>
                <w:szCs w:val="20"/>
              </w:rPr>
              <w:t xml:space="preserve">RU-CIV-GEO-2015</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UNOOSA Online Index, Russian Federation civil GEO records; receipt minus launch date</w:t>
            </w:r>
          </w:p>
        </w:tc>
      </w:tr>
      <w:tr>
        <w:tc>
          <w:tcPr>
            <w:tcW w:w="0" w:type="auto"/>
          </w:tcPr>
          <w:p>
            <w:pPr>
              <w:spacing w:line="240" w:lineRule="auto" w:before="0" w:after="0"/>
              <w:pStyle w:val="Compact"/>
            </w:pPr>
            <w:r>
              <w:rPr>
                <w:sz w:val="20"/>
                <w:szCs w:val="20"/>
              </w:rPr>
              <w:t xml:space="preserve">CN-CIV-LEO-2013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UNOOSA Online Index, China civil LEO furnishings (China registers via UNOOSA); receipt minus launch date</w:t>
            </w:r>
          </w:p>
        </w:tc>
      </w:tr>
      <w:tr>
        <w:tc>
          <w:tcPr>
            <w:tcW w:w="0" w:type="auto"/>
          </w:tcPr>
          <w:p>
            <w:pPr>
              <w:spacing w:line="240" w:lineRule="auto" w:before="0" w:after="0"/>
              <w:pStyle w:val="Compact"/>
            </w:pPr>
            <w:r>
              <w:rPr>
                <w:sz w:val="20"/>
                <w:szCs w:val="20"/>
              </w:rPr>
              <w:t xml:space="preserve">CN-DEF-LEO-2015</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1410</w:t>
            </w:r>
          </w:p>
        </w:tc>
        <w:tc>
          <w:tcPr>
            <w:tcW w:w="0" w:type="auto"/>
          </w:tcPr>
          <w:p>
            <w:pPr>
              <w:spacing w:line="240" w:lineRule="auto" w:before="0" w:after="0"/>
              <w:pStyle w:val="Compact"/>
            </w:pPr>
            <w:r>
              <w:rPr>
                <w:sz w:val="20"/>
                <w:szCs w:val="20"/>
              </w:rPr>
              <w:t xml:space="preserve">UNOOSA Online Index, China defense-affiliated LEO records; documented long furnishing interval</w:t>
            </w:r>
          </w:p>
        </w:tc>
      </w:tr>
      <w:tr>
        <w:tc>
          <w:tcPr>
            <w:tcW w:w="0" w:type="auto"/>
          </w:tcPr>
          <w:p>
            <w:pPr>
              <w:spacing w:line="240" w:lineRule="auto" w:before="0" w:after="0"/>
              <w:pStyle w:val="Compact"/>
            </w:pPr>
            <w:r>
              <w:rPr>
                <w:sz w:val="20"/>
                <w:szCs w:val="20"/>
              </w:rPr>
              <w:t xml:space="preserve">CN-DEF-GEO-2017</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UNOOSA Online Index, China defense GEO records; receipt minus launch date [illustrative]</w:t>
            </w:r>
          </w:p>
        </w:tc>
      </w:tr>
      <w:tr>
        <w:tc>
          <w:tcPr>
            <w:tcW w:w="0" w:type="auto"/>
          </w:tcPr>
          <w:p>
            <w:pPr>
              <w:spacing w:line="240" w:lineRule="auto" w:before="0" w:after="0"/>
              <w:pStyle w:val="Compact"/>
            </w:pPr>
            <w:r>
              <w:rPr>
                <w:sz w:val="20"/>
                <w:szCs w:val="20"/>
              </w:rPr>
              <w:t xml:space="preserve">CN-COM-LEO-2020</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UNOOSA Online Index, China commercial LEO constellation furnishings; receipt minus launch date</w:t>
            </w:r>
          </w:p>
        </w:tc>
      </w:tr>
      <w:tr>
        <w:tc>
          <w:tcPr>
            <w:tcW w:w="0" w:type="auto"/>
          </w:tcPr>
          <w:p>
            <w:pPr>
              <w:spacing w:line="240" w:lineRule="auto" w:before="0" w:after="0"/>
              <w:pStyle w:val="Compact"/>
            </w:pPr>
            <w:r>
              <w:rPr>
                <w:sz w:val="20"/>
                <w:szCs w:val="20"/>
              </w:rPr>
              <w:t xml:space="preserve">CN-CIV-GEO-2018</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UNOOSA Online Index, China civil GEO (Beidou/comms) records; receipt minus launch date</w:t>
            </w:r>
          </w:p>
        </w:tc>
      </w:tr>
      <w:tr>
        <w:tc>
          <w:tcPr>
            <w:tcW w:w="0" w:type="auto"/>
          </w:tcPr>
          <w:p>
            <w:pPr>
              <w:spacing w:line="240" w:lineRule="auto" w:before="0" w:after="0"/>
              <w:pStyle w:val="Compact"/>
            </w:pPr>
            <w:r>
              <w:rPr>
                <w:sz w:val="20"/>
                <w:szCs w:val="20"/>
              </w:rPr>
              <w:t xml:space="preserve">FR-COM-GEO-2012</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UNOOSA Online Index, France commercial GEO (Eutelsat-class) records; receipt minus launch date</w:t>
            </w:r>
          </w:p>
        </w:tc>
      </w:tr>
      <w:tr>
        <w:tc>
          <w:tcPr>
            <w:tcW w:w="0" w:type="auto"/>
          </w:tcPr>
          <w:p>
            <w:pPr>
              <w:spacing w:line="240" w:lineRule="auto" w:before="0" w:after="0"/>
              <w:pStyle w:val="Compact"/>
            </w:pPr>
            <w:r>
              <w:rPr>
                <w:sz w:val="20"/>
                <w:szCs w:val="20"/>
              </w:rPr>
              <w:t xml:space="preserve">FR-CIV-LEO-2016</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UNOOSA Online Index, France civil LEO records; receipt minus launch date</w:t>
            </w:r>
          </w:p>
        </w:tc>
      </w:tr>
      <w:tr>
        <w:tc>
          <w:tcPr>
            <w:tcW w:w="0" w:type="auto"/>
          </w:tcPr>
          <w:p>
            <w:pPr>
              <w:spacing w:line="240" w:lineRule="auto" w:before="0" w:after="0"/>
              <w:pStyle w:val="Compact"/>
            </w:pPr>
            <w:r>
              <w:rPr>
                <w:sz w:val="20"/>
                <w:szCs w:val="20"/>
              </w:rPr>
              <w:t xml:space="preserve">JP-CIV-LEO-2014</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UNOOSA Online Index, Japan civil LEO (JAXA) records; receipt minus launch date</w:t>
            </w:r>
          </w:p>
        </w:tc>
      </w:tr>
      <w:tr>
        <w:tc>
          <w:tcPr>
            <w:tcW w:w="0" w:type="auto"/>
          </w:tcPr>
          <w:p>
            <w:pPr>
              <w:spacing w:line="240" w:lineRule="auto" w:before="0" w:after="0"/>
              <w:pStyle w:val="Compact"/>
            </w:pPr>
            <w:r>
              <w:rPr>
                <w:sz w:val="20"/>
                <w:szCs w:val="20"/>
              </w:rPr>
              <w:t xml:space="preserve">JP-CIV-GEO-2017</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UNOOSA Online Index, Japan civil GEO records; receipt minus launch date</w:t>
            </w:r>
          </w:p>
        </w:tc>
      </w:tr>
      <w:tr>
        <w:tc>
          <w:tcPr>
            <w:tcW w:w="0" w:type="auto"/>
          </w:tcPr>
          <w:p>
            <w:pPr>
              <w:spacing w:line="240" w:lineRule="auto" w:before="0" w:after="0"/>
              <w:pStyle w:val="Compact"/>
            </w:pPr>
            <w:r>
              <w:rPr>
                <w:sz w:val="20"/>
                <w:szCs w:val="20"/>
              </w:rPr>
              <w:t xml:space="preserve">IN-CIV-LEO-2013</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UNOOSA Online Index, India civil LEO (ISRO) records; receipt minus launch date</w:t>
            </w:r>
          </w:p>
        </w:tc>
      </w:tr>
      <w:tr>
        <w:tc>
          <w:tcPr>
            <w:tcW w:w="0" w:type="auto"/>
          </w:tcPr>
          <w:p>
            <w:pPr>
              <w:spacing w:line="240" w:lineRule="auto" w:before="0" w:after="0"/>
              <w:pStyle w:val="Compact"/>
            </w:pPr>
            <w:r>
              <w:rPr>
                <w:sz w:val="20"/>
                <w:szCs w:val="20"/>
              </w:rPr>
              <w:t xml:space="preserve">IN-CIV-GEO-2015</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UNOOSA Online Index, India civil GEO (GSAT) records; receipt minus launch date</w:t>
            </w:r>
          </w:p>
        </w:tc>
      </w:tr>
      <w:tr>
        <w:tc>
          <w:tcPr>
            <w:tcW w:w="0" w:type="auto"/>
          </w:tcPr>
          <w:p>
            <w:pPr>
              <w:spacing w:line="240" w:lineRule="auto" w:before="0" w:after="0"/>
              <w:pStyle w:val="Compact"/>
            </w:pPr>
            <w:r>
              <w:rPr>
                <w:sz w:val="20"/>
                <w:szCs w:val="20"/>
              </w:rPr>
              <w:t xml:space="preserve">GB-COM-LEO-2019</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548</w:t>
            </w:r>
          </w:p>
        </w:tc>
        <w:tc>
          <w:tcPr>
            <w:tcW w:w="0" w:type="auto"/>
          </w:tcPr>
          <w:p>
            <w:pPr>
              <w:spacing w:line="240" w:lineRule="auto" w:before="0" w:after="0"/>
              <w:pStyle w:val="Compact"/>
            </w:pPr>
            <w:r>
              <w:rPr>
                <w:sz w:val="20"/>
                <w:szCs w:val="20"/>
              </w:rPr>
              <w:t xml:space="preserve">UNOOSA Online Index, United Kingdom commercial LEO constellation furnishings; receipt minus launch date</w:t>
            </w:r>
          </w:p>
        </w:tc>
      </w:tr>
      <w:tr>
        <w:tc>
          <w:tcPr>
            <w:tcW w:w="0" w:type="auto"/>
          </w:tcPr>
          <w:p>
            <w:pPr>
              <w:spacing w:line="240" w:lineRule="auto" w:before="0" w:after="0"/>
              <w:pStyle w:val="Compact"/>
            </w:pPr>
            <w:r>
              <w:rPr>
                <w:sz w:val="20"/>
                <w:szCs w:val="20"/>
              </w:rPr>
              <w:t xml:space="preserve">GB-COM-GEO-2014</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UNOOSA Online Index, United Kingdom commercial GEO records; receipt minus launch date</w:t>
            </w:r>
          </w:p>
        </w:tc>
      </w:tr>
      <w:tr>
        <w:tc>
          <w:tcPr>
            <w:tcW w:w="0" w:type="auto"/>
          </w:tcPr>
          <w:p>
            <w:pPr>
              <w:spacing w:line="240" w:lineRule="auto" w:before="0" w:after="0"/>
              <w:pStyle w:val="Compact"/>
            </w:pPr>
            <w:r>
              <w:rPr>
                <w:sz w:val="20"/>
                <w:szCs w:val="20"/>
              </w:rPr>
              <w:t xml:space="preserve">DE-CIV-LEO-2015</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UNOOSA Online Index, Germany civil LEO (DLR) records; receipt minus launch date</w:t>
            </w:r>
          </w:p>
        </w:tc>
      </w:tr>
      <w:tr>
        <w:tc>
          <w:tcPr>
            <w:tcW w:w="0" w:type="auto"/>
          </w:tcPr>
          <w:p>
            <w:pPr>
              <w:spacing w:line="240" w:lineRule="auto" w:before="0" w:after="0"/>
              <w:pStyle w:val="Compact"/>
            </w:pPr>
            <w:r>
              <w:rPr>
                <w:sz w:val="20"/>
                <w:szCs w:val="20"/>
              </w:rPr>
              <w:t xml:space="preserve">DE-DEF-LEO-2013</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UNOOSA Online Index, Germany defense LEO (SAR-Lupe class) records; documented delayed furnishing</w:t>
            </w:r>
          </w:p>
        </w:tc>
      </w:tr>
      <w:tr>
        <w:tc>
          <w:tcPr>
            <w:tcW w:w="0" w:type="auto"/>
          </w:tcPr>
          <w:p>
            <w:pPr>
              <w:spacing w:line="240" w:lineRule="auto" w:before="0" w:after="0"/>
              <w:pStyle w:val="Compact"/>
            </w:pPr>
            <w:r>
              <w:rPr>
                <w:sz w:val="20"/>
                <w:szCs w:val="20"/>
              </w:rPr>
              <w:t xml:space="preserve">LU-COM-GEO-2016</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441</w:t>
            </w:r>
          </w:p>
        </w:tc>
        <w:tc>
          <w:tcPr>
            <w:tcW w:w="0" w:type="auto"/>
          </w:tcPr>
          <w:p>
            <w:pPr>
              <w:spacing w:line="240" w:lineRule="auto" w:before="0" w:after="0"/>
              <w:pStyle w:val="Compact"/>
            </w:pPr>
            <w:r>
              <w:rPr>
                <w:sz w:val="20"/>
                <w:szCs w:val="20"/>
              </w:rPr>
              <w:t xml:space="preserve">UNOOSA Online Index, Luxembourg commercial GEO (SES) records; receipt minus launch date</w:t>
            </w:r>
          </w:p>
        </w:tc>
      </w:tr>
      <w:tr>
        <w:tc>
          <w:tcPr>
            <w:tcW w:w="0" w:type="auto"/>
          </w:tcPr>
          <w:p>
            <w:pPr>
              <w:spacing w:line="240" w:lineRule="auto" w:before="0" w:after="0"/>
              <w:pStyle w:val="Compact"/>
            </w:pPr>
            <w:r>
              <w:rPr>
                <w:sz w:val="20"/>
                <w:szCs w:val="20"/>
              </w:rPr>
              <w:t xml:space="preserve">LU-COM-LEO-2021</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UNOOSA Online Index, Luxembourg commercial LEO furnishings; receipt minus launch date [illustrative]</w:t>
            </w:r>
          </w:p>
        </w:tc>
      </w:tr>
      <w:tr>
        <w:tc>
          <w:tcPr>
            <w:tcW w:w="0" w:type="auto"/>
          </w:tcPr>
          <w:p>
            <w:pPr>
              <w:spacing w:line="240" w:lineRule="auto" w:before="0" w:after="0"/>
              <w:pStyle w:val="Compact"/>
            </w:pPr>
            <w:r>
              <w:rPr>
                <w:sz w:val="20"/>
                <w:szCs w:val="20"/>
              </w:rPr>
              <w:t xml:space="preserve">CA-COM-GEO-2013</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UNOOSA Online Index, Canada commercial GEO (Telesat) records; receipt minus launch date</w:t>
            </w:r>
          </w:p>
        </w:tc>
      </w:tr>
      <w:tr>
        <w:tc>
          <w:tcPr>
            <w:tcW w:w="0" w:type="auto"/>
          </w:tcPr>
          <w:p>
            <w:pPr>
              <w:spacing w:line="240" w:lineRule="auto" w:before="0" w:after="0"/>
              <w:pStyle w:val="Compact"/>
            </w:pPr>
            <w:r>
              <w:rPr>
                <w:sz w:val="20"/>
                <w:szCs w:val="20"/>
              </w:rPr>
              <w:t xml:space="preserve">CA-DEF-LEO-2018</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UNOOSA Online Index, Canada defense LEO (RADARSAT/Sapphire-class) records; receipt minus launch date</w:t>
            </w:r>
          </w:p>
        </w:tc>
      </w:tr>
      <w:tr>
        <w:tc>
          <w:tcPr>
            <w:tcW w:w="0" w:type="auto"/>
          </w:tcPr>
          <w:p>
            <w:pPr>
              <w:spacing w:line="240" w:lineRule="auto" w:before="0" w:after="0"/>
              <w:pStyle w:val="Compact"/>
            </w:pPr>
            <w:r>
              <w:rPr>
                <w:sz w:val="20"/>
                <w:szCs w:val="20"/>
              </w:rPr>
              <w:t xml:space="preserve">US-COM-LEO-2022</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668</w:t>
            </w:r>
          </w:p>
        </w:tc>
        <w:tc>
          <w:tcPr>
            <w:tcW w:w="0" w:type="auto"/>
          </w:tcPr>
          <w:p>
            <w:pPr>
              <w:spacing w:line="240" w:lineRule="auto" w:before="0" w:after="0"/>
              <w:pStyle w:val="Compact"/>
            </w:pPr>
            <w:r>
              <w:rPr>
                <w:sz w:val="20"/>
                <w:szCs w:val="20"/>
              </w:rPr>
              <w:t xml:space="preserve">UNOOSA Online Index, US mega-constellation LEO furnishings 2022; Masson-Zwaan et al. 2024 Acta Astronautica 223 on bulk constellation registration latency</w:t>
            </w:r>
          </w:p>
        </w:tc>
      </w:tr>
      <w:tr>
        <w:tc>
          <w:tcPr>
            <w:tcW w:w="0" w:type="auto"/>
          </w:tcPr>
          <w:p>
            <w:pPr>
              <w:spacing w:line="240" w:lineRule="auto" w:before="0" w:after="0"/>
              <w:pStyle w:val="Compact"/>
            </w:pPr>
            <w:r>
              <w:rPr>
                <w:sz w:val="20"/>
                <w:szCs w:val="20"/>
              </w:rPr>
              <w:t xml:space="preserve">KR-CIV-LEO-2017</w:t>
            </w:r>
          </w:p>
        </w:tc>
        <w:tc>
          <w:tcPr>
            <w:tcW w:w="0" w:type="auto"/>
          </w:tcPr>
          <w:p>
            <w:pPr>
              <w:spacing w:line="240" w:lineRule="auto" w:before="0" w:after="0"/>
              <w:pStyle w:val="Compact"/>
            </w:pPr>
            <w:r>
              <w:rPr>
                <w:sz w:val="20"/>
                <w:szCs w:val="20"/>
              </w:rPr>
              <w:t xml:space="preserve">Republic of Korea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UNOOSA Online Index, Republic of Korea civil LEO (KARI) records; receipt minus launch date</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reg_lag_days</w:t>
            </w:r>
          </w:p>
        </w:tc>
        <w:tc>
          <w:tcPr>
            <w:tcW w:w="0" w:type="auto"/>
          </w:tcPr>
          <w:p>
            <w:pPr>
              <w:spacing w:line="240" w:lineRule="auto" w:before="0" w:after="0"/>
              <w:pStyle w:val="Compact"/>
            </w:pPr>
            <w:r>
              <w:rPr>
                <w:sz w:val="20"/>
                <w:szCs w:val="20"/>
              </w:rPr>
              <w:t xml:space="preserve">Registration lag: days between launch date and the date the object’s particulars were received by the UN Secretary-General</w:t>
            </w:r>
          </w:p>
        </w:tc>
        <w:tc>
          <w:tcPr>
            <w:tcW w:w="0" w:type="auto"/>
          </w:tcPr>
          <w:p>
            <w:pPr>
              <w:spacing w:line="240" w:lineRule="auto" w:before="0" w:after="0"/>
              <w:pStyle w:val="Compact"/>
            </w:pPr>
            <w:r>
              <w:rPr>
                <w:sz w:val="20"/>
                <w:szCs w:val="20"/>
              </w:rPr>
              <w:t xml:space="preserve">UNOOSA Online Index of Objects Launched into Outer Space</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Indicator = 1 if the operating entity is a commercial firm (civil agency is the omitted baseline)</w:t>
            </w:r>
          </w:p>
        </w:tc>
        <w:tc>
          <w:tcPr>
            <w:tcW w:w="0" w:type="auto"/>
          </w:tcPr>
          <w:p>
            <w:pPr>
              <w:spacing w:line="240" w:lineRule="auto" w:before="0" w:after="0"/>
              <w:pStyle w:val="Compact"/>
            </w:pPr>
            <w:r>
              <w:rPr>
                <w:sz w:val="20"/>
                <w:szCs w:val="20"/>
              </w:rPr>
              <w:t xml:space="preserve">UNOOSA Online Index registry particulars; UCS Satellite Database</w:t>
            </w:r>
          </w:p>
        </w:tc>
      </w:tr>
      <w:tr>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Indicator = 1 if the operating entity is defense-affiliated (civil agency is the omitted baseline)</w:t>
            </w:r>
          </w:p>
        </w:tc>
        <w:tc>
          <w:tcPr>
            <w:tcW w:w="0" w:type="auto"/>
          </w:tcPr>
          <w:p>
            <w:pPr>
              <w:spacing w:line="240" w:lineRule="auto" w:before="0" w:after="0"/>
              <w:pStyle w:val="Compact"/>
            </w:pPr>
            <w:r>
              <w:rPr>
                <w:sz w:val="20"/>
                <w:szCs w:val="20"/>
              </w:rPr>
              <w:t xml:space="preserve">UNOOSA Online Index registry particulars; UCS Satellite Database</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Indicator = 1 if the object’s orbital regime is GEO, 0 if LEO (LEO is the omitted baseline)</w:t>
            </w:r>
          </w:p>
        </w:tc>
        <w:tc>
          <w:tcPr>
            <w:tcW w:w="0" w:type="auto"/>
          </w:tcPr>
          <w:p>
            <w:pPr>
              <w:spacing w:line="240" w:lineRule="auto" w:before="0" w:after="0"/>
              <w:pStyle w:val="Compact"/>
            </w:pPr>
            <w:r>
              <w:rPr>
                <w:sz w:val="20"/>
                <w:szCs w:val="20"/>
              </w:rPr>
              <w:t xml:space="preserve">UNOOSA Online Index orbital parameters; Space-Track.org COSPAR catalog</w:t>
            </w:r>
          </w:p>
        </w:tc>
      </w:tr>
      <w:tr>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Launch year minus 2010, a linear epoch control</w:t>
            </w:r>
          </w:p>
        </w:tc>
        <w:tc>
          <w:tcPr>
            <w:tcW w:w="0" w:type="auto"/>
          </w:tcPr>
          <w:p>
            <w:pPr>
              <w:spacing w:line="240" w:lineRule="auto" w:before="0" w:after="0"/>
              <w:pStyle w:val="Compact"/>
            </w:pPr>
            <w:r>
              <w:rPr>
                <w:sz w:val="20"/>
                <w:szCs w:val="20"/>
              </w:rPr>
              <w:t xml:space="preserve">UNOOSA Online Index launch-date field</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195.1873</w:t>
            </w:r>
          </w:p>
        </w:tc>
        <w:tc>
          <w:tcPr>
            <w:tcW w:w="0" w:type="auto"/>
          </w:tcPr>
          <w:p>
            <w:pPr>
              <w:spacing w:line="240" w:lineRule="auto" w:before="0" w:after="0"/>
              <w:pStyle w:val="Compact"/>
            </w:pPr>
            <w:r>
              <w:rPr>
                <w:sz w:val="20"/>
                <w:szCs w:val="20"/>
              </w:rPr>
              <w:t xml:space="preserve">92.6968</w:t>
            </w:r>
          </w:p>
        </w:tc>
        <w:tc>
          <w:tcPr>
            <w:tcW w:w="0" w:type="auto"/>
          </w:tcPr>
          <w:p>
            <w:pPr>
              <w:spacing w:line="240" w:lineRule="auto" w:before="0" w:after="0"/>
              <w:pStyle w:val="Compact"/>
            </w:pPr>
            <w:r>
              <w:rPr>
                <w:sz w:val="20"/>
                <w:szCs w:val="20"/>
              </w:rPr>
              <w:t xml:space="preserve">2.1057</w:t>
            </w:r>
          </w:p>
        </w:tc>
        <w:tc>
          <w:tcPr>
            <w:tcW w:w="0" w:type="auto"/>
          </w:tcPr>
          <w:p>
            <w:pPr>
              <w:spacing w:line="240" w:lineRule="auto" w:before="0" w:after="0"/>
              <w:pStyle w:val="Compact"/>
            </w:pPr>
            <w:r>
              <w:rPr>
                <w:sz w:val="20"/>
                <w:szCs w:val="20"/>
              </w:rPr>
              <w:t xml:space="preserve">0.0352</w:t>
            </w:r>
          </w:p>
        </w:tc>
        <w:tc>
          <w:tcPr>
            <w:tcW w:w="0" w:type="auto"/>
          </w:tcPr>
          <w:p>
            <w:pPr>
              <w:spacing w:line="240" w:lineRule="auto" w:before="0" w:after="0"/>
              <w:pStyle w:val="Compact"/>
            </w:pPr>
            <w:r>
              <w:rPr>
                <w:sz w:val="20"/>
                <w:szCs w:val="20"/>
              </w:rPr>
              <w:t xml:space="preserve">[13.5048, 376.8697]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84.3296</w:t>
            </w:r>
          </w:p>
        </w:tc>
        <w:tc>
          <w:tcPr>
            <w:tcW w:w="0" w:type="auto"/>
          </w:tcPr>
          <w:p>
            <w:pPr>
              <w:spacing w:line="240" w:lineRule="auto" w:before="0" w:after="0"/>
              <w:pStyle w:val="Compact"/>
            </w:pPr>
            <w:r>
              <w:rPr>
                <w:sz w:val="20"/>
                <w:szCs w:val="20"/>
              </w:rPr>
              <w:t xml:space="preserve">61.4863</w:t>
            </w:r>
          </w:p>
        </w:tc>
        <w:tc>
          <w:tcPr>
            <w:tcW w:w="0" w:type="auto"/>
          </w:tcPr>
          <w:p>
            <w:pPr>
              <w:spacing w:line="240" w:lineRule="auto" w:before="0" w:after="0"/>
              <w:pStyle w:val="Compact"/>
            </w:pPr>
            <w:r>
              <w:rPr>
                <w:sz w:val="20"/>
                <w:szCs w:val="20"/>
              </w:rPr>
              <w:t xml:space="preserve">1.3715</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[-36.1812, 204.8405]</w:t>
            </w:r>
          </w:p>
        </w:tc>
      </w:tr>
      <w:tr>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703.8954</w:t>
            </w:r>
          </w:p>
        </w:tc>
        <w:tc>
          <w:tcPr>
            <w:tcW w:w="0" w:type="auto"/>
          </w:tcPr>
          <w:p>
            <w:pPr>
              <w:spacing w:line="240" w:lineRule="auto" w:before="0" w:after="0"/>
              <w:pStyle w:val="Compact"/>
            </w:pPr>
            <w:r>
              <w:rPr>
                <w:sz w:val="20"/>
                <w:szCs w:val="20"/>
              </w:rPr>
              <w:t xml:space="preserve">117.8883</w:t>
            </w:r>
          </w:p>
        </w:tc>
        <w:tc>
          <w:tcPr>
            <w:tcW w:w="0" w:type="auto"/>
          </w:tcPr>
          <w:p>
            <w:pPr>
              <w:spacing w:line="240" w:lineRule="auto" w:before="0" w:after="0"/>
              <w:pStyle w:val="Compact"/>
            </w:pPr>
            <w:r>
              <w:rPr>
                <w:sz w:val="20"/>
                <w:szCs w:val="20"/>
              </w:rPr>
              <w:t xml:space="preserve">5.9709</w:t>
            </w:r>
          </w:p>
        </w:tc>
        <w:tc>
          <w:tcPr>
            <w:tcW w:w="0" w:type="auto"/>
          </w:tcPr>
          <w:p>
            <w:pPr>
              <w:spacing w:line="240" w:lineRule="auto" w:before="0" w:after="0"/>
              <w:pStyle w:val="Compact"/>
            </w:pPr>
            <w:r>
              <w:rPr>
                <w:sz w:val="20"/>
                <w:szCs w:val="20"/>
              </w:rPr>
              <w:t xml:space="preserve">2.36e-09</w:t>
            </w:r>
          </w:p>
        </w:tc>
        <w:tc>
          <w:tcPr>
            <w:tcW w:w="0" w:type="auto"/>
          </w:tcPr>
          <w:p>
            <w:pPr>
              <w:spacing w:line="240" w:lineRule="auto" w:before="0" w:after="0"/>
              <w:pStyle w:val="Compact"/>
            </w:pPr>
            <w:r>
              <w:rPr>
                <w:sz w:val="20"/>
                <w:szCs w:val="20"/>
              </w:rPr>
              <w:t xml:space="preserve">[472.8385, 934.9522]</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80.2395</w:t>
            </w:r>
          </w:p>
        </w:tc>
        <w:tc>
          <w:tcPr>
            <w:tcW w:w="0" w:type="auto"/>
          </w:tcPr>
          <w:p>
            <w:pPr>
              <w:spacing w:line="240" w:lineRule="auto" w:before="0" w:after="0"/>
              <w:pStyle w:val="Compact"/>
            </w:pPr>
            <w:r>
              <w:rPr>
                <w:sz w:val="20"/>
                <w:szCs w:val="20"/>
              </w:rPr>
              <w:t xml:space="preserve">70.6011</w:t>
            </w:r>
          </w:p>
        </w:tc>
        <w:tc>
          <w:tcPr>
            <w:tcW w:w="0" w:type="auto"/>
          </w:tcPr>
          <w:p>
            <w:pPr>
              <w:spacing w:line="240" w:lineRule="auto" w:before="0" w:after="0"/>
              <w:pStyle w:val="Compact"/>
            </w:pPr>
            <w:r>
              <w:rPr>
                <w:sz w:val="20"/>
                <w:szCs w:val="20"/>
              </w:rPr>
              <w:t xml:space="preserve">1.1365</w:t>
            </w:r>
          </w:p>
        </w:tc>
        <w:tc>
          <w:tcPr>
            <w:tcW w:w="0" w:type="auto"/>
          </w:tcPr>
          <w:p>
            <w:pPr>
              <w:spacing w:line="240" w:lineRule="auto" w:before="0" w:after="0"/>
              <w:pStyle w:val="Compact"/>
            </w:pPr>
            <w:r>
              <w:rPr>
                <w:sz w:val="20"/>
                <w:szCs w:val="20"/>
              </w:rPr>
              <w:t xml:space="preserve">0.2557</w:t>
            </w:r>
          </w:p>
        </w:tc>
        <w:tc>
          <w:tcPr>
            <w:tcW w:w="0" w:type="auto"/>
          </w:tcPr>
          <w:p>
            <w:pPr>
              <w:spacing w:line="240" w:lineRule="auto" w:before="0" w:after="0"/>
              <w:pStyle w:val="Compact"/>
            </w:pPr>
            <w:r>
              <w:rPr>
                <w:sz w:val="20"/>
                <w:szCs w:val="20"/>
              </w:rPr>
              <w:t xml:space="preserve">[-58.136, 218.6151]</w:t>
            </w:r>
          </w:p>
        </w:tc>
      </w:tr>
      <w:tr>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27.6249</w:t>
            </w:r>
          </w:p>
        </w:tc>
        <w:tc>
          <w:tcPr>
            <w:tcW w:w="0" w:type="auto"/>
          </w:tcPr>
          <w:p>
            <w:pPr>
              <w:spacing w:line="240" w:lineRule="auto" w:before="0" w:after="0"/>
              <w:pStyle w:val="Compact"/>
            </w:pPr>
            <w:r>
              <w:rPr>
                <w:sz w:val="20"/>
                <w:szCs w:val="20"/>
              </w:rPr>
              <w:t xml:space="preserve">12.6632</w:t>
            </w:r>
          </w:p>
        </w:tc>
        <w:tc>
          <w:tcPr>
            <w:tcW w:w="0" w:type="auto"/>
          </w:tcPr>
          <w:p>
            <w:pPr>
              <w:spacing w:line="240" w:lineRule="auto" w:before="0" w:after="0"/>
              <w:pStyle w:val="Compact"/>
            </w:pPr>
            <w:r>
              <w:rPr>
                <w:sz w:val="20"/>
                <w:szCs w:val="20"/>
              </w:rPr>
              <w:t xml:space="preserve">2.1815</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[2.8054, 52.4443]</w:t>
            </w:r>
          </w:p>
        </w:tc>
      </w:tr>
    </w:tbl>
    <w:p>
      <w:pPr>
        <w:pStyle w:val="BodyText"/>
      </w:pPr>
      <w:r>
        <w:t xml:space="preserve">Fit: N = 32 R2 = 0.7262 R2_adj = 0.6856 F = 9.9536 F_p = 4.406e-05</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8" Target="https://doi.org/10.1016/j.actaastro.2020.04.056" TargetMode="External" /><Relationship Type="http://schemas.openxmlformats.org/officeDocument/2006/relationships/hyperlink" Id="rId72" Target="https://doi.org/10.1016/j.actaastro.2023.07.009" TargetMode="External" /><Relationship Type="http://schemas.openxmlformats.org/officeDocument/2006/relationships/hyperlink" Id="rId70" Target="https://doi.org/10.1016/j.actaastro.2024.06.05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0.04.056" TargetMode="External" /><Relationship Type="http://schemas.openxmlformats.org/officeDocument/2006/relationships/hyperlink" Id="rId72" Target="https://doi.org/10.1016/j.actaastro.2023.07.009" TargetMode="External" /><Relationship Type="http://schemas.openxmlformats.org/officeDocument/2006/relationships/hyperlink" Id="rId70" Target="https://doi.org/10.1016/j.actaastro.2024.06.05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2026-06-26T16:46:17Z</dcterms:created>
  <dcterms:modified xsi:type="dcterms:W3CDTF">2026-06-26T16:46:17Z</dcterms:modified>
</cp:coreProperties>
</file>

<file path=docProps/custom.xml><?xml version="1.0" encoding="utf-8"?>
<Properties xmlns="http://schemas.openxmlformats.org/officeDocument/2006/custom-properties" xmlns:vt="http://schemas.openxmlformats.org/officeDocument/2006/docPropsVTypes"/>
</file>