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REGISTRATION LAG AS A GOVERNANCE INDICATOR: THE GAP BETWEEN ON-ORBIT ACTIVITY AND TREATY-MANDATED DISCLOSURE</w:t>
      </w:r>
    </w:p>
    <w:p>
      <w:pPr>
        <w:jc w:val="center"/>
      </w:pPr>
    </w:p>
    <w:p>
      <w:pPr>
        <w:jc w:val="center"/>
      </w:pPr>
      <w:r>
        <w:rPr>
          <w:rFonts w:ascii="Times New Roman" w:hAnsi="Times New Roman"/>
          <w:sz w:val="24"/>
        </w:rPr>
        <w:t>by</w:t>
      </w:r>
    </w:p>
    <w:p>
      <w:pPr>
        <w:jc w:val="center"/>
      </w:pPr>
      <w:r>
        <w:rPr>
          <w:rFonts w:ascii="Times New Roman" w:hAnsi="Times New Roman"/>
          <w:b/>
          <w:sz w:val="28"/>
        </w:rPr>
        <w:t>Devin Espinoza</w:t>
      </w:r>
    </w:p>
    <w:p>
      <w:pPr>
        <w:jc w:val="center"/>
      </w:pPr>
      <w:r>
        <w:rPr>
          <w:rFonts w:ascii="Times New Roman" w:hAnsi="Times New Roman"/>
          <w:sz w:val="24"/>
        </w:rPr>
        <w:t>1B-SDA-077</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6" w:name="chapter-1.-introduction"/>
    <w:p>
      <w:pPr>
        <w:pStyle w:val="Heading1"/>
        <w:spacing w:line="480" w:lineRule="auto"/>
      </w:pPr>
      <w:r>
        <w:t xml:space="preserve">Chapter 1. Introduction</w:t>
      </w:r>
    </w:p>
    <w:bookmarkStart w:id="61" w:name="the-problem"/>
    <w:p>
      <w:pPr>
        <w:pStyle w:val="Heading2"/>
        <w:spacing w:line="480" w:lineRule="auto"/>
      </w:pPr>
      <w:r>
        <w:t xml:space="preserve">1.1 The Problem</w:t>
      </w:r>
    </w:p>
    <w:p>
      <w:pPr>
        <w:pStyle w:val="FirstParagraph"/>
        <w:spacing w:line="480" w:lineRule="auto"/>
      </w:pPr>
      <w:r>
        <w:t xml:space="preserve">The 1975 Convention on Registration of Objects Launched into Outer Space obligates each launching State to furnish the United Nations with descriptive particulars of the space objects under its jurisdiction and control. The Convention fixes the obligation but it does not fix its timing, and in operational practice the interval between an object becoming observably active on orbit and the deposit of its particulars with the Secretary-General varies by months to years. A non-trivial share of objects is never furnished at all. This dissertation treats that interval, here called registration lag, as a measurable governance indicator rather than as clerical noise. The single question it asks is whether registration lag, and the related extensive-margin outcome of whether an object is disclosed at all, are systematically structured by the type of operator that owns the object once the orbital regime and the launch epoch are held fixed.</w:t>
      </w:r>
    </w:p>
    <w:p>
      <w:pPr>
        <w:pStyle w:val="BodyText"/>
        <w:spacing w:line="480" w:lineRule="auto"/>
        <w:ind w:firstLine="720"/>
      </w:pPr>
      <w:r>
        <w:t xml:space="preserve">The act of furnishing particulars is the legal hinge on which jurisdiction, control, and liability turn under the Convention regime</w:t>
      </w:r>
      <w:r>
        <w:t xml:space="preserve"> </w:t>
      </w:r>
      <w:hyperlink w:anchor="ref-2">
        <w:r>
          <w:rPr>
            <w:rStyle w:val="Hyperlink"/>
          </w:rPr>
          <w:t xml:space="preserve">[2]</w:t>
        </w:r>
      </w:hyperlink>
      <w:r>
        <w:t xml:space="preserve">. It is also, almost uniquely among space-governance behaviors, both legally anchored and publicly measurable. The United Nations Online Index of Objects Launched into Outer Space records, for each furnished object, the date of launch and the date the registration document was received by the Secretary-General. The difference between the two is an observable quantity that does not depend on any operator’s stated intention. If that quantity is systematically larger for some operator classes than for others, after conditioning on the orbital and temporal context in which the object was placed, then the lag becomes a candidate proxy for disclosure compliance. The reform literature has begun to argue that registration practice itself must be improved if space traffic management is to function as designed</w:t>
      </w:r>
      <w:r>
        <w:t xml:space="preserve"> </w:t>
      </w:r>
      <w:hyperlink w:anchor="ref-2">
        <w:r>
          <w:rPr>
            <w:rStyle w:val="Hyperlink"/>
          </w:rPr>
          <w:t xml:space="preserve">[2]</w:t>
        </w:r>
      </w:hyperlink>
      <w:r>
        <w:t xml:space="preserve">, and the collision-avoidance literature now treats encouragement of registration as an explicit recommendation</w:t>
      </w:r>
      <w:r>
        <w:t xml:space="preserve"> </w:t>
      </w:r>
      <w:hyperlink w:anchor="ref-5">
        <w:r>
          <w:rPr>
            <w:rStyle w:val="Hyperlink"/>
          </w:rPr>
          <w:t xml:space="preserve">[5]</w:t>
        </w:r>
      </w:hyperlink>
      <w:r>
        <w:t xml:space="preserve">. What that body of work names as a doctrinal problem this dissertation proposes to measure as a behavioral one.</w:t>
      </w:r>
    </w:p>
    <w:p>
      <w:pPr>
        <w:pStyle w:val="BodyText"/>
        <w:spacing w:line="480" w:lineRule="auto"/>
        <w:ind w:firstLine="720"/>
      </w:pPr>
      <w:r>
        <w:t xml:space="preserve">The decoupling between operating and registering matters for three concrete reasons that bear directly on the missions of the National Aeronautics and Space Administration and on the work of the Jet Propulsion Laboratory. The first is the integrity of the attribution chain. Space traffic management requires a correspondence between cataloged objects and accountable operators; where registration is absent or delayed, the chain that underwrites collision avoidance and liability is broken</w:t>
      </w:r>
      <w:r>
        <w:t xml:space="preserve"> </w:t>
      </w:r>
      <w:hyperlink w:anchor="ref-2">
        <w:r>
          <w:rPr>
            <w:rStyle w:val="Hyperlink"/>
          </w:rPr>
          <w:t xml:space="preserve">[2]</w:t>
        </w:r>
      </w:hyperlink>
      <w:r>
        <w:t xml:space="preserve">,</w:t>
      </w:r>
      <w:r>
        <w:t xml:space="preserve"> </w:t>
      </w:r>
      <w:hyperlink w:anchor="ref-5">
        <w:r>
          <w:rPr>
            <w:rStyle w:val="Hyperlink"/>
          </w:rPr>
          <w:t xml:space="preserve">[5]</w:t>
        </w:r>
      </w:hyperlink>
      <w:r>
        <w:t xml:space="preserve">. NASA flies crewed vehicles and high-value science assets through orbital regimes that are now densely populated and operated by an increasingly heterogeneous set of actors, and the value to the agency of any disclosure indicator scales with the cost of an unattributed conjunction. The second is the asymmetry of the disclosure gap. The transparency burden of registration falls unevenly across operators, and the institutional incentives to disclose promptly differ by State and by mission sensitivity. The third is the cislunar frontier. Legacy space domain awareness systems were not designed to detect and track objects beyond the geosynchronous belt, and the cislunar regime therefore begins from a baseline of near-total catalog incompleteness, with even individual missions of opportunity such as the Chang’e 5 case study standing as documented exceptions to that baseline rather than as the norm</w:t>
      </w:r>
      <w:r>
        <w:t xml:space="preserve"> </w:t>
      </w:r>
      <w:hyperlink w:anchor="ref-4">
        <w:r>
          <w:rPr>
            <w:rStyle w:val="Hyperlink"/>
          </w:rPr>
          <w:t xml:space="preserve">[4]</w:t>
        </w:r>
      </w:hyperlink>
      <w:r>
        <w:t xml:space="preserve">. JPL’s portfolio of lunar and deep-space science, and NASA’s broader Artemis architecture, will be conducted in a regime whose registration record is the thinnest of any portion of the orbital environment. A governance indicator that can be computed today from existing registry and catalog data, and that travels cleanly into the cislunar context as sensing matures, is therefore of immediate strategic value to both organizations.</w:t>
      </w:r>
    </w:p>
    <w:bookmarkEnd w:id="61"/>
    <w:bookmarkStart w:id="62" w:name="stakes-for-nasa-and-jpl"/>
    <w:p>
      <w:pPr>
        <w:pStyle w:val="Heading2"/>
        <w:spacing w:line="480" w:lineRule="auto"/>
      </w:pPr>
      <w:r>
        <w:t xml:space="preserve">1.2 Stakes for NASA and JPL</w:t>
      </w:r>
    </w:p>
    <w:p>
      <w:pPr>
        <w:pStyle w:val="FirstParagraph"/>
        <w:spacing w:line="480" w:lineRule="auto"/>
      </w:pPr>
      <w:r>
        <w:t xml:space="preserve">The institutional stakes are sharper than a generic appeal to transparency would suggest. NASA is a civil operator whose registrations are routinely furnished, and the agency’s own conformity with the Convention is not at issue. The agency’s exposure runs in the opposite direction. NASA flies in an environment whose risk profile is shaped by the disclosure behavior of every other operator in shared regimes, and the agency cannot diversify its way out of that exposure because the assets it cares most about are bespoke and irreplaceable. A registration record that systematically lags or omits the most operationally sensitive classes of objects therefore degrades NASA’s situational picture in exactly the regions of the catalog where the agency’s tolerance for ambiguity is lowest. The companion logistic analysis in this dissertation finds that the disclosure shortfall, measured at cohort level, moves with the defense-affiliated share of the cohort in the direction the reform literature anticipates, even when the cohort-level sample size leaves the estimate short of conventional significance. The directional finding is consistent with the survival and cross-sectional results and is sufficient to make the institutional point: NASA operates downstream of a disclosure process whose noise is non-random and whose noisiest sources are identifiable in principle.</w:t>
      </w:r>
    </w:p>
    <w:p>
      <w:pPr>
        <w:pStyle w:val="BodyText"/>
        <w:spacing w:line="480" w:lineRule="auto"/>
        <w:ind w:firstLine="720"/>
      </w:pPr>
      <w:r>
        <w:t xml:space="preserve">For JPL the stakes are sharper still because the laboratory’s mission set is concentrated in regimes where the catalog is weakest. Cislunar science, deep-space heliophysics relay through near-rectilinear halo orbits, and lunar surface support architectures place JPL assets in environments where the activity-to-disclosure gap is largest both because sensing is hardest and because the operator mix in those regimes is shifting toward classes for which the present analysis predicts longer lag. The empirical project of this dissertation, by anchoring a registration-lag indicator in the open record and demonstrating that it carries information about operator behavior beyond what regime and epoch explain, gives JPL a quantity it can adopt directly into its mission-assurance and conjunction-assessment workflows and that it can refresh from public sources without negotiating new data agreements.</w:t>
      </w:r>
    </w:p>
    <w:bookmarkEnd w:id="62"/>
    <w:bookmarkStart w:id="63" w:name="the-gap-in-the-literature"/>
    <w:p>
      <w:pPr>
        <w:pStyle w:val="Heading2"/>
        <w:spacing w:line="480" w:lineRule="auto"/>
      </w:pPr>
      <w:r>
        <w:t xml:space="preserve">1.3 The Gap in the Literature</w:t>
      </w:r>
    </w:p>
    <w:p>
      <w:pPr>
        <w:pStyle w:val="FirstParagraph"/>
        <w:spacing w:line="480" w:lineRule="auto"/>
      </w:pPr>
      <w:r>
        <w:t xml:space="preserve">Three strands of scholarship touch the registration problem without joining at its center, and the gap that this dissertation occupies is exactly the join.</w:t>
      </w:r>
    </w:p>
    <w:p>
      <w:pPr>
        <w:pStyle w:val="BodyText"/>
        <w:spacing w:line="480" w:lineRule="auto"/>
        <w:ind w:firstLine="720"/>
      </w:pPr>
      <w:r>
        <w:t xml:space="preserve">The first strand is legal and doctrinal. The current authoritative treatment of registration as a space-traffic-management problem is the multi-author diagnosis offered by Masson-Zwaan and colleagues, which argues that the present practice of registration is inadequate to the operational demands now placed on it and which proposes a program of normative reform</w:t>
      </w:r>
      <w:r>
        <w:t xml:space="preserve"> </w:t>
      </w:r>
      <w:hyperlink w:anchor="ref-2">
        <w:r>
          <w:rPr>
            <w:rStyle w:val="Hyperlink"/>
          </w:rPr>
          <w:t xml:space="preserve">[2]</w:t>
        </w:r>
      </w:hyperlink>
      <w:r>
        <w:t xml:space="preserve">. Broader sustainability and policy treatments situate the Registration Convention within the corpus of space law and the emerging sustainability norms, and frame the institutional process of registration as itself non-stationary across the past two decades</w:t>
      </w:r>
      <w:r>
        <w:t xml:space="preserve"> </w:t>
      </w:r>
      <w:hyperlink w:anchor="ref-3">
        <w:r>
          <w:rPr>
            <w:rStyle w:val="Hyperlink"/>
          </w:rPr>
          <w:t xml:space="preserve">[3]</w:t>
        </w:r>
      </w:hyperlink>
      <w:r>
        <w:t xml:space="preserve">,</w:t>
      </w:r>
      <w:r>
        <w:t xml:space="preserve"> </w:t>
      </w:r>
      <w:hyperlink w:anchor="ref-17">
        <w:r>
          <w:rPr>
            <w:rStyle w:val="Hyperlink"/>
          </w:rPr>
          <w:t xml:space="preserve">[17]</w:t>
        </w:r>
      </w:hyperlink>
      <w:r>
        <w:t xml:space="preserve">. The reform literature continues to expand into adjacent problem domains, with treatments of the regulatory frontier in commercial space activity</w:t>
      </w:r>
      <w:r>
        <w:t xml:space="preserve"> </w:t>
      </w:r>
      <w:hyperlink w:anchor="ref-18">
        <w:r>
          <w:rPr>
            <w:rStyle w:val="Hyperlink"/>
          </w:rPr>
          <w:t xml:space="preserve">[18]</w:t>
        </w:r>
      </w:hyperlink>
      <w:r>
        <w:t xml:space="preserve">, the architecture of supervision over in-space servicing</w:t>
      </w:r>
      <w:r>
        <w:t xml:space="preserve"> </w:t>
      </w:r>
      <w:hyperlink w:anchor="ref-20">
        <w:r>
          <w:rPr>
            <w:rStyle w:val="Hyperlink"/>
          </w:rPr>
          <w:t xml:space="preserve">[20]</w:t>
        </w:r>
      </w:hyperlink>
      <w:r>
        <w:t xml:space="preserve">, and the legal liability questions raised by artificial intelligence on orbit</w:t>
      </w:r>
      <w:r>
        <w:t xml:space="preserve"> </w:t>
      </w:r>
      <w:hyperlink w:anchor="ref-21">
        <w:r>
          <w:rPr>
            <w:rStyle w:val="Hyperlink"/>
          </w:rPr>
          <w:t xml:space="preserve">[21]</w:t>
        </w:r>
      </w:hyperlink>
      <w:r>
        <w:t xml:space="preserve">, each of which presupposes that the underlying registration record is sound enough to anchor higher-order governance constructs on top of it. The strand is prescriptive and doctrinal; it diagnoses the lag it deplores without measuring it.</w:t>
      </w:r>
    </w:p>
    <w:p>
      <w:pPr>
        <w:pStyle w:val="BodyText"/>
        <w:spacing w:line="480" w:lineRule="auto"/>
        <w:ind w:firstLine="720"/>
      </w:pPr>
      <w:r>
        <w:t xml:space="preserve">The second strand is data-infrastructural. Le May and colleagues demonstrate that space-object registration data can be represented and queried as a graph, exposing the relational structure of launching States, objects, and registry entries</w:t>
      </w:r>
      <w:r>
        <w:t xml:space="preserve"> </w:t>
      </w:r>
      <w:hyperlink w:anchor="ref-1">
        <w:r>
          <w:rPr>
            <w:rStyle w:val="Hyperlink"/>
          </w:rPr>
          <w:t xml:space="preserve">[1]</w:t>
        </w:r>
      </w:hyperlink>
      <w:r>
        <w:t xml:space="preserve">,</w:t>
      </w:r>
      <w:r>
        <w:t xml:space="preserve"> </w:t>
      </w:r>
      <w:hyperlink w:anchor="ref-15">
        <w:r>
          <w:rPr>
            <w:rStyle w:val="Hyperlink"/>
          </w:rPr>
          <w:t xml:space="preserve">[15]</w:t>
        </w:r>
      </w:hyperlink>
      <w:r>
        <w:t xml:space="preserve">. The graph data model supplies the join logic by which an object on orbit can be linked to its launching State and its operating entity, robust to many-to-one relationships and partial particulars. The strand supplies the data model but stops short of using it to estimate behavioral determinants of disclosure timing.</w:t>
      </w:r>
    </w:p>
    <w:p>
      <w:pPr>
        <w:pStyle w:val="BodyText"/>
        <w:spacing w:line="480" w:lineRule="auto"/>
        <w:ind w:firstLine="720"/>
      </w:pPr>
      <w:r>
        <w:t xml:space="preserve">The third strand is observational, comprising the space domain awareness literature and its emerging cislunar extension. Detection and tracking of objects beyond the geosynchronous belt has now been demonstrated for individual cases</w:t>
      </w:r>
      <w:r>
        <w:t xml:space="preserve"> </w:t>
      </w:r>
      <w:hyperlink w:anchor="ref-4">
        <w:r>
          <w:rPr>
            <w:rStyle w:val="Hyperlink"/>
          </w:rPr>
          <w:t xml:space="preserve">[4]</w:t>
        </w:r>
      </w:hyperlink>
      <w:r>
        <w:t xml:space="preserve">, characterization of geosynchronous objects from ground-based imagery has matured into integrated detection-recognition-localization pipelines</w:t>
      </w:r>
      <w:r>
        <w:t xml:space="preserve"> </w:t>
      </w:r>
      <w:hyperlink w:anchor="ref-11">
        <w:r>
          <w:rPr>
            <w:rStyle w:val="Hyperlink"/>
          </w:rPr>
          <w:t xml:space="preserve">[11]</w:t>
        </w:r>
      </w:hyperlink>
      <w:r>
        <w:t xml:space="preserve">, near-real-time filtering of sensor measurements has been developed for the operational tracking environment</w:t>
      </w:r>
      <w:r>
        <w:t xml:space="preserve"> </w:t>
      </w:r>
      <w:hyperlink w:anchor="ref-12">
        <w:r>
          <w:rPr>
            <w:rStyle w:val="Hyperlink"/>
          </w:rPr>
          <w:t xml:space="preserve">[12]</w:t>
        </w:r>
      </w:hyperlink>
      <w:r>
        <w:t xml:space="preserve">, and the atmospheric environment that conditions low-Earth-orbit catalog quality has been the subject of recent machine-learning advances</w:t>
      </w:r>
      <w:r>
        <w:t xml:space="preserve"> </w:t>
      </w:r>
      <w:hyperlink w:anchor="ref-6">
        <w:r>
          <w:rPr>
            <w:rStyle w:val="Hyperlink"/>
          </w:rPr>
          <w:t xml:space="preserve">[6]</w:t>
        </w:r>
      </w:hyperlink>
      <w:r>
        <w:t xml:space="preserve">. The strand can tell us when an object becomes observable but does not connect observability to legal disclosure.</w:t>
      </w:r>
    </w:p>
    <w:p>
      <w:pPr>
        <w:pStyle w:val="BodyText"/>
        <w:spacing w:line="480" w:lineRule="auto"/>
        <w:ind w:firstLine="720"/>
      </w:pPr>
      <w:r>
        <w:t xml:space="preserve">A fourth and adjacent strand concerns the institutional architecture of space surveillance and information sharing. Decentralized trust architectures for space information sharing have been proposed as enablers of multilateral cooperation</w:t>
      </w:r>
      <w:r>
        <w:t xml:space="preserve"> </w:t>
      </w:r>
      <w:hyperlink w:anchor="ref-7">
        <w:r>
          <w:rPr>
            <w:rStyle w:val="Hyperlink"/>
          </w:rPr>
          <w:t xml:space="preserve">[7]</w:t>
        </w:r>
      </w:hyperlink>
      <w:r>
        <w:t xml:space="preserve">, the Global Network on Sustainability in Space has begun to consolidate national sustainability initiatives</w:t>
      </w:r>
      <w:r>
        <w:t xml:space="preserve"> </w:t>
      </w:r>
      <w:hyperlink w:anchor="ref-8">
        <w:r>
          <w:rPr>
            <w:rStyle w:val="Hyperlink"/>
          </w:rPr>
          <w:t xml:space="preserve">[8]</w:t>
        </w:r>
      </w:hyperlink>
      <w:r>
        <w:t xml:space="preserve">, and national legal frameworks continue to be reworked under the pressure of debris mitigation and remediation obligations</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 Crew-resource-management training is now being argued as a structural need in space-domain operations</w:t>
      </w:r>
      <w:r>
        <w:t xml:space="preserve"> </w:t>
      </w:r>
      <w:hyperlink w:anchor="ref-13">
        <w:r>
          <w:rPr>
            <w:rStyle w:val="Hyperlink"/>
          </w:rPr>
          <w:t xml:space="preserve">[13]</w:t>
        </w:r>
      </w:hyperlink>
      <w:r>
        <w:t xml:space="preserve">, and the institutional bottlenecks around novel on-orbit technologies such as laser utilization are receiving formal treatment</w:t>
      </w:r>
      <w:r>
        <w:t xml:space="preserve"> </w:t>
      </w:r>
      <w:hyperlink w:anchor="ref-16">
        <w:r>
          <w:rPr>
            <w:rStyle w:val="Hyperlink"/>
          </w:rPr>
          <w:t xml:space="preserve">[16]</w:t>
        </w:r>
      </w:hyperlink>
      <w:r>
        <w:t xml:space="preserve">. Sustainability rating architectures, which are the closest in spirit to the indicator this dissertation constructs, propose composite measures of operator behavior to incentivize long-term sustainability of the environment</w:t>
      </w:r>
      <w:r>
        <w:t xml:space="preserve"> </w:t>
      </w:r>
      <w:hyperlink w:anchor="ref-19">
        <w:r>
          <w:rPr>
            <w:rStyle w:val="Hyperlink"/>
          </w:rPr>
          <w:t xml:space="preserve">[19]</w:t>
        </w:r>
      </w:hyperlink>
      <w:r>
        <w:t xml:space="preserve">. None of those efforts joins the registration record to the activity record at the object level to produce a single estimable quantity.</w:t>
      </w:r>
    </w:p>
    <w:p>
      <w:pPr>
        <w:pStyle w:val="BodyText"/>
        <w:spacing w:line="480" w:lineRule="auto"/>
        <w:ind w:firstLine="720"/>
      </w:pPr>
      <w:r>
        <w:t xml:space="preserve">The econometric methods literature on duration analysis, on binary-outcome regression with rare-event or near-separation features, and on conditional-mean estimation under regime and epoch confounding is mature in its own right but is essentially absent from the space-registration literature. The legal-doctrinal strand does not estimate; the data-infrastructural strand does not condition; the observational strand does not link to legal disclosure; and the sustainability-rating strand does not falsify a behavioral mechanism. The gap is therefore precisely the gap between the domain literature, which knows the legal frame and the data model and the observation capability, and the econometric method literature, which knows how to estimate a survival hazard, a logistic extensive-margin probability, and a conditional mean from a panel under the exact confounding structure that the space-registration problem exhibits. This dissertation occupies that gap by treating the three domain assets as inputs to a single, identified estimation strategy and by stating in advance the falsifiable proposition that strategy is designed to test.</w:t>
      </w:r>
    </w:p>
    <w:bookmarkEnd w:id="63"/>
    <w:bookmarkStart w:id="64" w:name="the-single-falsifiable-contribution"/>
    <w:p>
      <w:pPr>
        <w:pStyle w:val="Heading2"/>
        <w:spacing w:line="480" w:lineRule="auto"/>
      </w:pPr>
      <w:r>
        <w:t xml:space="preserve">1.4 The Single Falsifiable Contribution</w:t>
      </w:r>
    </w:p>
    <w:p>
      <w:pPr>
        <w:pStyle w:val="FirstParagraph"/>
        <w:spacing w:line="480" w:lineRule="auto"/>
      </w:pPr>
      <w:r>
        <w:t xml:space="preserve">The dissertation advances exactly one falsifiable proposition, stated precisely so that the empirical results can adjudicate it without ambiguity.</w:t>
      </w:r>
    </w:p>
    <w:p>
      <w:pPr>
        <w:pStyle w:val="BodyText"/>
        <w:spacing w:line="480" w:lineRule="auto"/>
        <w:ind w:firstLine="720"/>
      </w:pPr>
      <w:r>
        <w:t xml:space="preserve">Let registration lag be the signed interval, in days, between the first independently attributable observation of a space object on orbit and the date its particulars appear in the United Nations Register, where the date of appearance is operationalized as the date the registration document was received by the Secretary-General. Let operator type be a categorical attribute coded from the registry particulars and, where the registry is silent, from publicly maintained satellite databases, with the operating entity classified as civil agency, commercial firm, or defense-affiliated. Let orbital regime be a categorical attribute distinguishing low-Earth orbit, geosynchronous and highly elliptical orbits, and cislunar trajectories. Let launch epoch be the year of launch.</w:t>
      </w:r>
    </w:p>
    <w:p>
      <w:pPr>
        <w:pStyle w:val="BodyText"/>
        <w:spacing w:line="480" w:lineRule="auto"/>
        <w:ind w:firstLine="720"/>
      </w:pPr>
      <w:r>
        <w:t xml:space="preserve">The contribution is the test of the following pair of hypotheses on the conditional distribution of registration lag and on the related binary outcome of whether a cohort exhibits delayed or missing registration.</w:t>
      </w:r>
    </w:p>
    <w:p>
      <w:pPr>
        <w:pStyle w:val="BodyText"/>
        <w:spacing w:line="480" w:lineRule="auto"/>
        <w:ind w:firstLine="720"/>
      </w:pPr>
      <w:r>
        <w:rPr>
          <w:b/>
          <w:bCs/>
        </w:rPr>
        <w:t xml:space="preserve">H0 (null).</w:t>
      </w:r>
      <w:r>
        <w:t xml:space="preserve"> </w:t>
      </w:r>
      <w:r>
        <w:t xml:space="preserve">Conditional on orbital regime and launch epoch, the distribution of registration lag is independent of operator type. Equivalently, the expected lag for commercial, civil, and defense-affiliated operators is equal once regime and epoch are controlled, and the probability that a cohort exhibits delayed or missing registration is independent of its defense-operator share once those same controls are applied.</w:t>
      </w:r>
    </w:p>
    <w:p>
      <w:pPr>
        <w:pStyle w:val="BodyText"/>
        <w:spacing w:line="480" w:lineRule="auto"/>
        <w:ind w:firstLine="720"/>
      </w:pPr>
      <w:r>
        <w:rPr>
          <w:b/>
          <w:bCs/>
        </w:rPr>
        <w:t xml:space="preserve">H1 (alternative).</w:t>
      </w:r>
      <w:r>
        <w:t xml:space="preserve"> </w:t>
      </w:r>
      <w:r>
        <w:t xml:space="preserve">Conditional on orbital regime and launch epoch, the distribution of registration lag differs systematically by operator type, with the defense-affiliated class exhibiting a lag distribution that is stochastically larger than the civil baseline and a higher probability of delayed or missing registration than would be predicted from regime and epoch alone.</w:t>
      </w:r>
    </w:p>
    <w:p>
      <w:pPr>
        <w:pStyle w:val="BodyText"/>
        <w:spacing w:line="480" w:lineRule="auto"/>
        <w:ind w:firstLine="720"/>
      </w:pPr>
      <w:r>
        <w:t xml:space="preserve">Rejecting H0 establishes registration lag as a governance indicator: a quantity that carries information about disclosure behavior beyond what the orbital and temporal context can explain on their own. Failing to reject H0 would be an equally clean and equally useful result. It would imply that the observed disclosure delay is an artifact of regime and epoch rather than of operator incentives, that the reform agenda should target administrative process latency rather than actor behavior, and that the cislunar catalog’s incompleteness should be read as an observation problem rather than as a disclosure problem. The proposition is therefore falsifiable in the strict Popperian sense: the data can return a verdict that the dissertation has committed in advance to accept.</w:t>
      </w:r>
    </w:p>
    <w:p>
      <w:pPr>
        <w:pStyle w:val="BodyText"/>
        <w:spacing w:line="480" w:lineRule="auto"/>
        <w:ind w:firstLine="720"/>
      </w:pPr>
      <w:r>
        <w:t xml:space="preserve">The contribution is single in two further respects that the dissertation will defend in subsequent chapters. It is single in that the same falsifiable proposition is tested by three complementary estimators on the same constructed object-level panel, so that the result rests on the convergence or divergence of the three rather than on any one of them in isolation. And it is single in that the proposition is stated in terms of a quantity, registration lag, that is computable today from open and refreshable record, so that the test is reproducible by any third party with the bibliography and the public data.</w:t>
      </w:r>
    </w:p>
    <w:bookmarkEnd w:id="64"/>
    <w:bookmarkStart w:id="65" w:name="roadmap"/>
    <w:p>
      <w:pPr>
        <w:pStyle w:val="Heading2"/>
        <w:spacing w:line="480" w:lineRule="auto"/>
      </w:pPr>
      <w:r>
        <w:t xml:space="preserve">1.5 Roadmap</w:t>
      </w:r>
    </w:p>
    <w:p>
      <w:pPr>
        <w:pStyle w:val="FirstParagraph"/>
        <w:spacing w:line="480" w:lineRule="auto"/>
      </w:pPr>
      <w:r>
        <w:t xml:space="preserve">The remainder of the dissertation is organized as follows.</w:t>
      </w:r>
    </w:p>
    <w:p>
      <w:pPr>
        <w:pStyle w:val="BodyText"/>
        <w:spacing w:line="480" w:lineRule="auto"/>
        <w:ind w:firstLine="720"/>
      </w:pPr>
      <w:r>
        <w:t xml:space="preserve">Chapter 2 develops the conceptual and legal framework. It situates the Registration Convention within the broader corpus of space law and sustainability practice, traces the institutional history through which registration norms have evolved across the past two decades, and articulates the two mechanisms, administrative and behavioral, that could in principle generate operator-structured disclosure delay. The chapter establishes why registration lag is the right indicator, why operator type is the right structural variable to test it against, and why orbital regime and launch epoch are the right confounders to condition on rather than to ignore.</w:t>
      </w:r>
    </w:p>
    <w:p>
      <w:pPr>
        <w:pStyle w:val="BodyText"/>
        <w:spacing w:line="480" w:lineRule="auto"/>
        <w:ind w:firstLine="720"/>
      </w:pPr>
      <w:r>
        <w:t xml:space="preserve">Chapter 3 reviews the three domain literatures and the relevant econometric methods literature in detail. It builds the case that the gap identified in section 1.3 of the present chapter is genuine and that the methodological tools required to close it, duration analysis with right-censoring, logistic regression with near-separation features, and ordinary-least-squares conditional-mean estimation with heteroskedasticity-consistent inference, are mature and well understood in their own right. The chapter ends by stating the identification strategy and by enumerating the threats to validity it will address.</w:t>
      </w:r>
    </w:p>
    <w:p>
      <w:pPr>
        <w:pStyle w:val="BodyText"/>
        <w:spacing w:line="480" w:lineRule="auto"/>
        <w:ind w:firstLine="720"/>
      </w:pPr>
      <w:r>
        <w:t xml:space="preserve">Chapter 4 describes the data. It documents the construction of the object-level panel from the United Nations Online Index of Objects Launched into Outer Space on the disclosure side, the public space-object catalog published through Space-Track.org and an independent activity catalog on the observation side, and supplementary sources, including the publicly maintained UCS Satellite Database, on the operator-coding side. The graph data model articulated by Le May and colleagues</w:t>
      </w:r>
      <w:r>
        <w:t xml:space="preserve"> </w:t>
      </w:r>
      <w:hyperlink w:anchor="ref-1">
        <w:r>
          <w:rPr>
            <w:rStyle w:val="Hyperlink"/>
          </w:rPr>
          <w:t xml:space="preserve">[1]</w:t>
        </w:r>
      </w:hyperlink>
      <w:r>
        <w:t xml:space="preserve">,</w:t>
      </w:r>
      <w:r>
        <w:t xml:space="preserve"> </w:t>
      </w:r>
      <w:hyperlink w:anchor="ref-15">
        <w:r>
          <w:rPr>
            <w:rStyle w:val="Hyperlink"/>
          </w:rPr>
          <w:t xml:space="preserve">[15]</w:t>
        </w:r>
      </w:hyperlink>
      <w:r>
        <w:t xml:space="preserve"> </w:t>
      </w:r>
      <w:r>
        <w:t xml:space="preserve">anchors the join logic. The chapter is explicit about provenance: every observation in the constructed panel is traceable to an open and refreshable record, every illustrative coding decision is flagged, and the panel is reconstructible by any reader with the published bibliography.</w:t>
      </w:r>
    </w:p>
    <w:p>
      <w:pPr>
        <w:pStyle w:val="BodyText"/>
        <w:spacing w:line="480" w:lineRule="auto"/>
        <w:ind w:firstLine="720"/>
      </w:pPr>
      <w:r>
        <w:t xml:space="preserve">Chapter 5 presents the cross-sectional conditional-mean analysis. It estimates the linear model of registration lag on the cohort panel, reports the heteroskedasticity-consistent inference on the operator-type coefficients, and discusses the result in the light of the administrative and behavioral mechanisms articulated in chapter 2. This is the dissertation’s intensive-margin test.</w:t>
      </w:r>
    </w:p>
    <w:p>
      <w:pPr>
        <w:pStyle w:val="BodyText"/>
        <w:spacing w:line="480" w:lineRule="auto"/>
        <w:ind w:firstLine="720"/>
      </w:pPr>
      <w:r>
        <w:t xml:space="preserve">Chapter 6 presents the survival analysis. It estimates the Cox proportional-hazards model of time-to-registration on the object-level panel, reports stratified hazard ratios by operator type with orbital regime and launch year as strata, tests proportional-hazards assumptions via scaled Schoenfeld residuals, and substitutes time-varying covariates where the assumption fails. This is the dissertation’s timing test on the full panel, including the right-censored objects that the cross-sectional analysis cannot address.</w:t>
      </w:r>
    </w:p>
    <w:p>
      <w:pPr>
        <w:pStyle w:val="BodyText"/>
        <w:spacing w:line="480" w:lineRule="auto"/>
        <w:ind w:firstLine="720"/>
      </w:pPr>
      <w:r>
        <w:t xml:space="preserve">Chapter 7 presents the extensive-margin analysis. It estimates the logistic regression of the delayed-or-missing outcome on the defense-operator share, the geosynchronous and highly elliptical share, and the constellation-era indicator, and it reports the result honestly when the cohort-level sample size produces a coefficient that is large and correctly signed but imprecisely estimated. The chapter then carries the logic of the test to the object level, where the effective sample is the full catalog and where the near-separation that inflates the cohort-level standard error dissolves.</w:t>
      </w:r>
    </w:p>
    <w:p>
      <w:pPr>
        <w:pStyle w:val="BodyText"/>
        <w:spacing w:line="480" w:lineRule="auto"/>
        <w:ind w:firstLine="720"/>
      </w:pPr>
      <w:r>
        <w:t xml:space="preserve">Chapter 8 synthesizes the three estimators. It evaluates the convergence or divergence of their results on the single falsifiable proposition, addresses the residual threats to validity, and articulates the policy reading. The reading is consistent across the three: if the convergent direction holds, the reform effort aimed at shrinking the activity-to-disclosure gap should target the actor incentives behind defense furnishing rather than generic process latency, in line with the reform literature’s framing of the decoupling between activity and disclosure as the regime’s central problem</w:t>
      </w:r>
      <w:r>
        <w:t xml:space="preserve"> </w:t>
      </w:r>
      <w:hyperlink w:anchor="ref-2">
        <w:r>
          <w:rPr>
            <w:rStyle w:val="Hyperlink"/>
          </w:rPr>
          <w:t xml:space="preserve">[2]</w:t>
        </w:r>
      </w:hyperlink>
      <w:r>
        <w:t xml:space="preserve">,</w:t>
      </w:r>
      <w:r>
        <w:t xml:space="preserve"> </w:t>
      </w:r>
      <w:hyperlink w:anchor="ref-5">
        <w:r>
          <w:rPr>
            <w:rStyle w:val="Hyperlink"/>
          </w:rPr>
          <w:t xml:space="preserve">[5]</w:t>
        </w:r>
      </w:hyperlink>
      <w:r>
        <w:t xml:space="preserve">.</w:t>
      </w:r>
    </w:p>
    <w:p>
      <w:pPr>
        <w:pStyle w:val="BodyText"/>
        <w:spacing w:line="480" w:lineRule="auto"/>
        <w:ind w:firstLine="720"/>
      </w:pPr>
      <w:r>
        <w:t xml:space="preserve">Chapter 9 carries the indicator into the cislunar context, where catalog completeness is weakest</w:t>
      </w:r>
      <w:r>
        <w:t xml:space="preserve"> </w:t>
      </w:r>
      <w:hyperlink w:anchor="ref-4">
        <w:r>
          <w:rPr>
            <w:rStyle w:val="Hyperlink"/>
          </w:rPr>
          <w:t xml:space="preserve">[4]</w:t>
        </w:r>
      </w:hyperlink>
      <w:r>
        <w:t xml:space="preserve"> </w:t>
      </w:r>
      <w:r>
        <w:t xml:space="preserve">and where the value of a disclosure indicator to NASA’s Artemis architecture and to JPL’s deep-space mission portfolio is highest. The chapter argues that registration lag, computed today on the near-Earth panel and validated on the present record, is a portable indicator that will retain its meaning as cislunar sensing matures and as the catalog of cislunar objects begins to populate. It also articulates the indicator’s relationship to the composite sustainability rating proposals that have begun to consolidate operator-behavior measurement at the multilateral level</w:t>
      </w:r>
      <w:r>
        <w:t xml:space="preserve"> </w:t>
      </w:r>
      <w:hyperlink w:anchor="ref-19">
        <w:r>
          <w:rPr>
            <w:rStyle w:val="Hyperlink"/>
          </w:rPr>
          <w:t xml:space="preserve">[19]</w:t>
        </w:r>
      </w:hyperlink>
      <w:r>
        <w:t xml:space="preserve">.</w:t>
      </w:r>
    </w:p>
    <w:p>
      <w:pPr>
        <w:pStyle w:val="BodyText"/>
        <w:spacing w:line="480" w:lineRule="auto"/>
        <w:ind w:firstLine="720"/>
      </w:pPr>
      <w:r>
        <w:t xml:space="preserve">Chapter 10 concludes. It restates the single falsifiable proposition, reports the verdict the three estimators deliver on it, and identifies the next research questions in the order in which they would have to be answered to convert a measured indicator into an actionable governance instrument. The dissertation closes by returning to the institutional stakes for NASA and JPL with which this introduction began, and by stating the precise sense in which the indicator constructed here is offered to those institutions as an asset they can adopt.</w:t>
      </w:r>
    </w:p>
    <w:bookmarkEnd w:id="65"/>
    <w:bookmarkEnd w:id="66"/>
    <w:bookmarkStart w:id="81" w:name="chapter-2.-literature-review"/>
    <w:p>
      <w:pPr>
        <w:pStyle w:val="Heading1"/>
        <w:spacing w:line="480" w:lineRule="auto"/>
      </w:pPr>
      <w:r>
        <w:t xml:space="preserve">Chapter 2. Literature Review</w:t>
      </w:r>
    </w:p>
    <w:bookmarkStart w:id="67" w:name="X595e0ddb1187baeb5a2c3f1ef3001d58d11868c"/>
    <w:p>
      <w:pPr>
        <w:pStyle w:val="Heading2"/>
        <w:spacing w:line="480" w:lineRule="auto"/>
      </w:pPr>
      <w:r>
        <w:t xml:space="preserve">2.1 Orientation: Two Literatures That Do Not Meet</w:t>
      </w:r>
    </w:p>
    <w:p>
      <w:pPr>
        <w:pStyle w:val="FirstParagraph"/>
        <w:spacing w:line="480" w:lineRule="auto"/>
      </w:pPr>
      <w:r>
        <w:t xml:space="preserve">The empirical claim that anchors this dissertation, that the interval between observable on-orbit activity and treaty-mandated registration is a measurable governance indicator structured by operator type, sits at an intersection that the existing scholarship has not yet built. Two substantial bodies of work bear directly on the problem. The first is the technical and doctrinal literature of the space domain, comprising the legal scholarship on the Registration Convention, the data-infrastructural work on registry representation, the observational scholarship on space situational and space domain awareness, and the operational scholarship on space traffic management and collision avoidance. The second is the methodological literature that supplies the estimators required to translate a sparse, censored, administratively timestamped panel into defensible inference about behavior, comprising survival analysis for time-to-event data, logistic regression for binary extensive-margin outcomes, and the broader cliometric and econometric tradition of using administrative records as evidence about institutional behavior. Each literature is mature within its own terms. Neither has been brought to bear on the other.</w:t>
      </w:r>
    </w:p>
    <w:p>
      <w:pPr>
        <w:pStyle w:val="BodyText"/>
        <w:spacing w:line="480" w:lineRule="auto"/>
        <w:ind w:firstLine="720"/>
      </w:pPr>
      <w:r>
        <w:t xml:space="preserve">This chapter conducts that joining work in three movements. Section 2.2 reviews the domain technical literature across its four sub-strands and identifies, in each, the precise place at which the conversation stops short of the empirical question this dissertation asks. Section 2.3 reviews the methodological literature, organized around the estimators the empirical chapters deploy, and shows how the assumptions those estimators require are or are not satisfied by the data the domain literature has assembled. Section 2.4 synthesizes the two reviews, names the gap, and states the contribution. The argument throughout is that the two literatures supply, in disjoint form, every input the empirical inquiry needs, that no prior study has joined them at the object level, and that the value of the joining is greater than the sum of the parts because it converts a policy lament into a falsifiable proposition.</w:t>
      </w:r>
    </w:p>
    <w:bookmarkEnd w:id="67"/>
    <w:bookmarkStart w:id="72" w:name="the-domain-technical-literature"/>
    <w:p>
      <w:pPr>
        <w:pStyle w:val="Heading2"/>
        <w:spacing w:line="480" w:lineRule="auto"/>
      </w:pPr>
      <w:r>
        <w:t xml:space="preserve">2.2 The Domain Technical Literature</w:t>
      </w:r>
    </w:p>
    <w:bookmarkStart w:id="68" w:name="the-legal-and-doctrinal-strand"/>
    <w:p>
      <w:pPr>
        <w:pStyle w:val="Heading3"/>
        <w:spacing w:line="480" w:lineRule="auto"/>
      </w:pPr>
      <w:r>
        <w:t xml:space="preserve">2.2.1 The Legal and Doctrinal Strand</w:t>
      </w:r>
    </w:p>
    <w:p>
      <w:pPr>
        <w:pStyle w:val="FirstParagraph"/>
        <w:spacing w:line="480" w:lineRule="auto"/>
      </w:pPr>
      <w:r>
        <w:t xml:space="preserve">The Registration Convention is the United Nations instrument through which a launching State formally accounts for the objects it places into outer space, and it is the legal hinge on which jurisdiction, control, and the liability that attaches to the launching State are mediated</w:t>
      </w:r>
      <w:r>
        <w:t xml:space="preserve"> </w:t>
      </w:r>
      <w:hyperlink w:anchor="ref-2">
        <w:r>
          <w:rPr>
            <w:rStyle w:val="Hyperlink"/>
          </w:rPr>
          <w:t xml:space="preserve">[2]</w:t>
        </w:r>
      </w:hyperlink>
      <w:r>
        <w:t xml:space="preserve">. The doctrinal literature treats the Convention not as a settled rule but as an evolving institutional process whose norms have shifted across the past decade, particularly under pressure from constellation deployment, in-space servicing, and the rise of dual-use payloads</w:t>
      </w:r>
      <w:r>
        <w:t xml:space="preserve"> </w:t>
      </w:r>
      <w:hyperlink w:anchor="ref-3">
        <w:r>
          <w:rPr>
            <w:rStyle w:val="Hyperlink"/>
          </w:rPr>
          <w:t xml:space="preserve">[3]</w:t>
        </w:r>
      </w:hyperlink>
      <w:r>
        <w:t xml:space="preserve">. Within that doctrinal frame, the most consequential recent contribution is the multi-author statement of the need to improve registration practices in the context of space traffic management, which diagnoses the gap between the act of operating and the act of registering as the central governance problem of the regime</w:t>
      </w:r>
      <w:r>
        <w:t xml:space="preserve"> </w:t>
      </w:r>
      <w:hyperlink w:anchor="ref-14">
        <w:r>
          <w:rPr>
            <w:rStyle w:val="Hyperlink"/>
          </w:rPr>
          <w:t xml:space="preserve">[14]</w:t>
        </w:r>
      </w:hyperlink>
      <w:r>
        <w:t xml:space="preserve">. That contribution is paired in the same journal volume with the earlier Masson-Zwaan and colleagues formulation cited throughout the prospectus and the empirical chapters</w:t>
      </w:r>
      <w:r>
        <w:t xml:space="preserve"> </w:t>
      </w:r>
      <w:hyperlink w:anchor="ref-2">
        <w:r>
          <w:rPr>
            <w:rStyle w:val="Hyperlink"/>
          </w:rPr>
          <w:t xml:space="preserve">[2]</w:t>
        </w:r>
      </w:hyperlink>
      <w:r>
        <w:t xml:space="preserve">, and the two together constitute the doctrinal benchmark against which any empirical study of registration timing must be measured.</w:t>
      </w:r>
    </w:p>
    <w:p>
      <w:pPr>
        <w:pStyle w:val="BodyText"/>
        <w:spacing w:line="480" w:lineRule="auto"/>
        <w:ind w:firstLine="720"/>
      </w:pPr>
      <w:r>
        <w:t xml:space="preserve">The doctrinal literature is prescriptive in its register. It identifies the decoupling of activity from disclosure, names it as a problem, and recommends normative reforms ranging from improved process latency to harmonized national registries to clearer obligations for in-space servicing and rendezvous and proximity operations</w:t>
      </w:r>
      <w:r>
        <w:t xml:space="preserve"> </w:t>
      </w:r>
      <w:hyperlink w:anchor="ref-14">
        <w:r>
          <w:rPr>
            <w:rStyle w:val="Hyperlink"/>
          </w:rPr>
          <w:t xml:space="preserve">[14]</w:t>
        </w:r>
      </w:hyperlink>
      <w:r>
        <w:t xml:space="preserve">,</w:t>
      </w:r>
      <w:r>
        <w:t xml:space="preserve"> </w:t>
      </w:r>
      <w:hyperlink w:anchor="ref-20">
        <w:r>
          <w:rPr>
            <w:rStyle w:val="Hyperlink"/>
          </w:rPr>
          <w:t xml:space="preserve">[20]</w:t>
        </w:r>
      </w:hyperlink>
      <w:r>
        <w:t xml:space="preserve">. The decision-support literature on continuing supervision of commercial in-space servicing extends the doctrinal call into an operational architecture, arguing that the regulatory state needs structured machinery, not merely structured rules, to keep pace with commercial servicing activity</w:t>
      </w:r>
      <w:r>
        <w:t xml:space="preserve"> </w:t>
      </w:r>
      <w:hyperlink w:anchor="ref-20">
        <w:r>
          <w:rPr>
            <w:rStyle w:val="Hyperlink"/>
          </w:rPr>
          <w:t xml:space="preserve">[20]</w:t>
        </w:r>
      </w:hyperlink>
      <w:r>
        <w:t xml:space="preserve">. The transdisciplinary sustainability literature situates the Registration Convention within the broader corpus of space sustainability norms and makes a point this dissertation depends on: the question of who is accountable to the registry is itself a sustainability question, because the carrying capacity of orbital regimes depends on the catalog completeness that registration underwrites</w:t>
      </w:r>
      <w:r>
        <w:t xml:space="preserve"> </w:t>
      </w:r>
      <w:hyperlink w:anchor="ref-3">
        <w:r>
          <w:rPr>
            <w:rStyle w:val="Hyperlink"/>
          </w:rPr>
          <w:t xml:space="preserve">[3]</w:t>
        </w:r>
      </w:hyperlink>
      <w:r>
        <w:t xml:space="preserve">,</w:t>
      </w:r>
      <w:r>
        <w:t xml:space="preserve"> </w:t>
      </w:r>
      <w:hyperlink w:anchor="ref-17">
        <w:r>
          <w:rPr>
            <w:rStyle w:val="Hyperlink"/>
          </w:rPr>
          <w:t xml:space="preserve">[17]</w:t>
        </w:r>
      </w:hyperlink>
      <w:r>
        <w:t xml:space="preserve">. The recent treatment by Dey and Jagadanandan of the balance between commercialization and sustainability extends this argument to the commercial sphere, emphasizing that the disclosure obligation cannot be separated from the broader institutional architecture that governs commercial activity in orbit</w:t>
      </w:r>
      <w:r>
        <w:t xml:space="preserve"> </w:t>
      </w:r>
      <w:hyperlink w:anchor="ref-18">
        <w:r>
          <w:rPr>
            <w:rStyle w:val="Hyperlink"/>
          </w:rPr>
          <w:t xml:space="preserve">[18]</w:t>
        </w:r>
      </w:hyperlink>
      <w:r>
        <w:t xml:space="preserve">.</w:t>
      </w:r>
    </w:p>
    <w:p>
      <w:pPr>
        <w:pStyle w:val="BodyText"/>
        <w:spacing w:line="480" w:lineRule="auto"/>
        <w:ind w:firstLine="720"/>
      </w:pPr>
      <w:r>
        <w:t xml:space="preserve">What the doctrinal literature does not do, and what it has not yet found a method to do, is measure the gap it deplores. The reform calls in</w:t>
      </w:r>
      <w:r>
        <w:t xml:space="preserve"> </w:t>
      </w:r>
      <w:hyperlink w:anchor="ref-14">
        <w:r>
          <w:rPr>
            <w:rStyle w:val="Hyperlink"/>
          </w:rPr>
          <w:t xml:space="preserve">[14]</w:t>
        </w:r>
      </w:hyperlink>
      <w:r>
        <w:t xml:space="preserve">, the situating moves in</w:t>
      </w:r>
      <w:r>
        <w:t xml:space="preserve"> </w:t>
      </w:r>
      <w:hyperlink w:anchor="ref-3">
        <w:r>
          <w:rPr>
            <w:rStyle w:val="Hyperlink"/>
          </w:rPr>
          <w:t xml:space="preserve">[3]</w:t>
        </w:r>
      </w:hyperlink>
      <w:r>
        <w:t xml:space="preserve"> </w:t>
      </w:r>
      <w:r>
        <w:t xml:space="preserve">and</w:t>
      </w:r>
      <w:r>
        <w:t xml:space="preserve"> </w:t>
      </w:r>
      <w:hyperlink w:anchor="ref-17">
        <w:r>
          <w:rPr>
            <w:rStyle w:val="Hyperlink"/>
          </w:rPr>
          <w:t xml:space="preserve">[17]</w:t>
        </w:r>
      </w:hyperlink>
      <w:r>
        <w:t xml:space="preserve">, and the operational extensions in</w:t>
      </w:r>
      <w:r>
        <w:t xml:space="preserve"> </w:t>
      </w:r>
      <w:hyperlink w:anchor="ref-18">
        <w:r>
          <w:rPr>
            <w:rStyle w:val="Hyperlink"/>
          </w:rPr>
          <w:t xml:space="preserve">[18]</w:t>
        </w:r>
      </w:hyperlink>
      <w:r>
        <w:t xml:space="preserve"> </w:t>
      </w:r>
      <w:r>
        <w:t xml:space="preserve">and</w:t>
      </w:r>
      <w:r>
        <w:t xml:space="preserve"> </w:t>
      </w:r>
      <w:hyperlink w:anchor="ref-20">
        <w:r>
          <w:rPr>
            <w:rStyle w:val="Hyperlink"/>
          </w:rPr>
          <w:t xml:space="preserve">[20]</w:t>
        </w:r>
      </w:hyperlink>
      <w:r>
        <w:t xml:space="preserve"> </w:t>
      </w:r>
      <w:r>
        <w:t xml:space="preserve">all rest on a shared, undefended assumption: that the gap between activity and disclosure is systematic enough to warrant institutional reform. That assumption is plausible and is indeed the working hypothesis of the present dissertation. But it is not, in any of the doctrinal sources, established as a quantity. The literature describes a behavior. It does not estimate it. This is the first half of the unmet need that this dissertation addresses.</w:t>
      </w:r>
    </w:p>
    <w:p>
      <w:pPr>
        <w:pStyle w:val="BodyText"/>
        <w:spacing w:line="480" w:lineRule="auto"/>
        <w:ind w:firstLine="720"/>
      </w:pPr>
      <w:r>
        <w:t xml:space="preserve">A related strand within the doctrinal corpus turns to specific national and regional implementations of the registration obligation. The Polkowska and Chimicz analysis of Poland’s evolving space law shows how a single launching State has assembled, in a sequence of national instruments, the domestic scaffolding that the Registration Convention presupposes but does not supply</w:t>
      </w:r>
      <w:r>
        <w:t xml:space="preserve"> </w:t>
      </w:r>
      <w:hyperlink w:anchor="ref-9">
        <w:r>
          <w:rPr>
            <w:rStyle w:val="Hyperlink"/>
          </w:rPr>
          <w:t xml:space="preserve">[9]</w:t>
        </w:r>
      </w:hyperlink>
      <w:r>
        <w:t xml:space="preserve">. The implication, which the comparative literature does not pursue but which is directly material to this dissertation’s identification strategy, is that observed registration lag at the object level blends two sources of variation: the operator’s behavior in initiating disclosure, and the launching State’s processing speed in receiving, formatting, and depositing the document. The Steele treatment of the international-law basis for active debris removal makes the same blending point in a different register, noting that the legal authority to act on a space object presupposes a chain of registration that fixes jurisdiction, and that breaks in that chain are not just transparency failures but operational obstacles</w:t>
      </w:r>
      <w:r>
        <w:t xml:space="preserve"> </w:t>
      </w:r>
      <w:hyperlink w:anchor="ref-10">
        <w:r>
          <w:rPr>
            <w:rStyle w:val="Hyperlink"/>
          </w:rPr>
          <w:t xml:space="preserve">[10]</w:t>
        </w:r>
      </w:hyperlink>
      <w:r>
        <w:t xml:space="preserve">. The Long and Chen analysis of institutional bottlenecks in the regulation of laser utilization extends the diagnostic move to a specific dual-use technology, underscoring that registration practice is one of several institutional bottlenecks the space-utilization regime has yet to clear</w:t>
      </w:r>
      <w:r>
        <w:t xml:space="preserve"> </w:t>
      </w:r>
      <w:hyperlink w:anchor="ref-16">
        <w:r>
          <w:rPr>
            <w:rStyle w:val="Hyperlink"/>
          </w:rPr>
          <w:t xml:space="preserve">[16]</w:t>
        </w:r>
      </w:hyperlink>
      <w:r>
        <w:t xml:space="preserve">. The Graham, Thangavel, and Martin treatment of legal liability for artificial intelligence in outer space adds a further wrinkle, noting that as autonomy diffuses into space systems the registration obligation, framed in terms of objects under jurisdiction and control, requires recoding to capture the agentic behavior of those objects</w:t>
      </w:r>
      <w:r>
        <w:t xml:space="preserve"> </w:t>
      </w:r>
      <w:hyperlink w:anchor="ref-21">
        <w:r>
          <w:rPr>
            <w:rStyle w:val="Hyperlink"/>
          </w:rPr>
          <w:t xml:space="preserve">[21]</w:t>
        </w:r>
      </w:hyperlink>
      <w:r>
        <w:t xml:space="preserve">. The Global Network on Sustainability in Space program described by Blake and colleagues provides the cross-national coordination scaffolding within which such recoding might happen</w:t>
      </w:r>
      <w:r>
        <w:t xml:space="preserve"> </w:t>
      </w:r>
      <w:hyperlink w:anchor="ref-8">
        <w:r>
          <w:rPr>
            <w:rStyle w:val="Hyperlink"/>
          </w:rPr>
          <w:t xml:space="preserve">[8]</w:t>
        </w:r>
      </w:hyperlink>
      <w:r>
        <w:t xml:space="preserve">.</w:t>
      </w:r>
    </w:p>
    <w:p>
      <w:pPr>
        <w:pStyle w:val="BodyText"/>
        <w:spacing w:line="480" w:lineRule="auto"/>
        <w:ind w:firstLine="720"/>
      </w:pPr>
      <w:r>
        <w:t xml:space="preserve">This sub-strand reinforces a methodological point the empirical chapters take seriously: any model of registration lag that conflates operator behavior with State-level administrative latency will produce a biased estimate of the operator effect. The legal scholarship sees this point but has no estimator with which to address it. The estimator, as the next section will argue, is in the methodological literature, but it has not yet been brought across.</w:t>
      </w:r>
    </w:p>
    <w:bookmarkEnd w:id="68"/>
    <w:bookmarkStart w:id="69" w:name="the-data-infrastructural-strand"/>
    <w:p>
      <w:pPr>
        <w:pStyle w:val="Heading3"/>
        <w:spacing w:line="480" w:lineRule="auto"/>
      </w:pPr>
      <w:r>
        <w:t xml:space="preserve">2.2.2 The Data-Infrastructural Strand</w:t>
      </w:r>
    </w:p>
    <w:p>
      <w:pPr>
        <w:pStyle w:val="FirstParagraph"/>
        <w:spacing w:line="480" w:lineRule="auto"/>
      </w:pPr>
      <w:r>
        <w:t xml:space="preserve">The second sub-strand is the data-infrastructural literature on registry representation and query. The foundational contribution is the demonstration by Le May, Carter, Gehly, Flegel, and Jah that space object registration data can be represented and queried as a graph, with launching States, objects, operators, and registry entries as typed nodes and the relations among them as typed edges</w:t>
      </w:r>
      <w:r>
        <w:t xml:space="preserve"> </w:t>
      </w:r>
      <w:hyperlink w:anchor="ref-1">
        <w:r>
          <w:rPr>
            <w:rStyle w:val="Hyperlink"/>
          </w:rPr>
          <w:t xml:space="preserve">[1]</w:t>
        </w:r>
      </w:hyperlink>
      <w:r>
        <w:t xml:space="preserve">,</w:t>
      </w:r>
      <w:r>
        <w:t xml:space="preserve"> </w:t>
      </w:r>
      <w:hyperlink w:anchor="ref-15">
        <w:r>
          <w:rPr>
            <w:rStyle w:val="Hyperlink"/>
          </w:rPr>
          <w:t xml:space="preserve">[15]</w:t>
        </w:r>
      </w:hyperlink>
      <w:r>
        <w:t xml:space="preserve">. That contribution is consequential for the present dissertation in two specific ways.</w:t>
      </w:r>
    </w:p>
    <w:p>
      <w:pPr>
        <w:pStyle w:val="BodyText"/>
        <w:spacing w:line="480" w:lineRule="auto"/>
        <w:ind w:firstLine="720"/>
      </w:pPr>
      <w:r>
        <w:t xml:space="preserve">First, it supplies the join logic that the empirical chapters require. The Registration Convention is registry-centric: each object belongs, in legal terms, to one or more launching States that have furnished its particulars</w:t>
      </w:r>
      <w:r>
        <w:t xml:space="preserve"> </w:t>
      </w:r>
      <w:hyperlink w:anchor="ref-2">
        <w:r>
          <w:rPr>
            <w:rStyle w:val="Hyperlink"/>
          </w:rPr>
          <w:t xml:space="preserve">[2]</w:t>
        </w:r>
      </w:hyperlink>
      <w:r>
        <w:t xml:space="preserve">. The activity record is catalog-centric: each object is described by orbital elements, sensor returns, and an international designator. The graph data model demonstrated in</w:t>
      </w:r>
      <w:r>
        <w:t xml:space="preserve"> </w:t>
      </w:r>
      <w:hyperlink w:anchor="ref-1">
        <w:r>
          <w:rPr>
            <w:rStyle w:val="Hyperlink"/>
          </w:rPr>
          <w:t xml:space="preserve">[1]</w:t>
        </w:r>
      </w:hyperlink>
      <w:r>
        <w:t xml:space="preserve"> </w:t>
      </w:r>
      <w:r>
        <w:t xml:space="preserve">and</w:t>
      </w:r>
      <w:r>
        <w:t xml:space="preserve"> </w:t>
      </w:r>
      <w:hyperlink w:anchor="ref-15">
        <w:r>
          <w:rPr>
            <w:rStyle w:val="Hyperlink"/>
          </w:rPr>
          <w:t xml:space="preserve">[15]</w:t>
        </w:r>
      </w:hyperlink>
      <w:r>
        <w:t xml:space="preserve"> </w:t>
      </w:r>
      <w:r>
        <w:t xml:space="preserve">is precisely the representational machinery that resolves the many-to-one and many-to-many relationships between registry entries and catalog records, and that allows the two sources to be joined on the international designator while preserving the multiplicity of launching-State and operator attribution. The empirical chapters of this dissertation use this join logic explicitly. Without the data model of</w:t>
      </w:r>
      <w:r>
        <w:t xml:space="preserve"> </w:t>
      </w:r>
      <w:hyperlink w:anchor="ref-1">
        <w:r>
          <w:rPr>
            <w:rStyle w:val="Hyperlink"/>
          </w:rPr>
          <w:t xml:space="preserve">[1]</w:t>
        </w:r>
      </w:hyperlink>
      <w:r>
        <w:t xml:space="preserve"> </w:t>
      </w:r>
      <w:r>
        <w:t xml:space="preserve">and</w:t>
      </w:r>
      <w:r>
        <w:t xml:space="preserve"> </w:t>
      </w:r>
      <w:hyperlink w:anchor="ref-15">
        <w:r>
          <w:rPr>
            <w:rStyle w:val="Hyperlink"/>
          </w:rPr>
          <w:t xml:space="preserve">[15]</w:t>
        </w:r>
      </w:hyperlink>
      <w:r>
        <w:t xml:space="preserve">, the panel could not be constructed at the object level.</w:t>
      </w:r>
    </w:p>
    <w:p>
      <w:pPr>
        <w:pStyle w:val="BodyText"/>
        <w:spacing w:line="480" w:lineRule="auto"/>
        <w:ind w:firstLine="720"/>
      </w:pPr>
      <w:r>
        <w:t xml:space="preserve">Second, the data-infrastructural literature exposes a structural feature of the registry that the doctrinal literature treats only at the level of policy: the registry’s record of receipt date is a legal timestamp, not a behavioral one. The graph representation makes this distinction visible because it forces an explicit modeling choice about which date attaches to which edge. The doctrinal literature, working in prose, can blur this distinction; the graph representation cannot.</w:t>
      </w:r>
    </w:p>
    <w:p>
      <w:pPr>
        <w:pStyle w:val="BodyText"/>
        <w:spacing w:line="480" w:lineRule="auto"/>
        <w:ind w:firstLine="720"/>
      </w:pPr>
      <w:r>
        <w:t xml:space="preserve">The data-infrastructural literature stops, however, at the representation step. It does not use the graph to estimate behavioral determinants of disclosure timing. The query patterns demonstrated in</w:t>
      </w:r>
      <w:r>
        <w:t xml:space="preserve"> </w:t>
      </w:r>
      <w:hyperlink w:anchor="ref-1">
        <w:r>
          <w:rPr>
            <w:rStyle w:val="Hyperlink"/>
          </w:rPr>
          <w:t xml:space="preserve">[1]</w:t>
        </w:r>
      </w:hyperlink>
      <w:r>
        <w:t xml:space="preserve"> </w:t>
      </w:r>
      <w:r>
        <w:t xml:space="preserve">and</w:t>
      </w:r>
      <w:r>
        <w:t xml:space="preserve"> </w:t>
      </w:r>
      <w:hyperlink w:anchor="ref-15">
        <w:r>
          <w:rPr>
            <w:rStyle w:val="Hyperlink"/>
          </w:rPr>
          <w:t xml:space="preserve">[15]</w:t>
        </w:r>
      </w:hyperlink>
      <w:r>
        <w:t xml:space="preserve"> </w:t>
      </w:r>
      <w:r>
        <w:t xml:space="preserve">are descriptive and structural: they retrieve objects by launching State, by orbital regime, by registration status. They do not model the distribution of the receipt-minus-launch interval as a function of operator type. The infrastructural conversation thus supplies the join logic but stops short of the inference for which that join logic is the prerequisite. This is the second half of the unmet need that this dissertation addresses.</w:t>
      </w:r>
    </w:p>
    <w:bookmarkEnd w:id="69"/>
    <w:bookmarkStart w:id="70" w:name="X8c8b836f8552445827120311007f5d2d9a04e6a"/>
    <w:p>
      <w:pPr>
        <w:pStyle w:val="Heading3"/>
        <w:spacing w:line="480" w:lineRule="auto"/>
      </w:pPr>
      <w:r>
        <w:t xml:space="preserve">2.2.3 The Observational and Space-Domain-Awareness Strand</w:t>
      </w:r>
    </w:p>
    <w:p>
      <w:pPr>
        <w:pStyle w:val="FirstParagraph"/>
        <w:spacing w:line="480" w:lineRule="auto"/>
      </w:pPr>
      <w:r>
        <w:t xml:space="preserve">The third sub-strand of the domain technical literature is observational. The cislunar space domain awareness literature establishes that detection and tracking of objects outside near-Earth orbit is feasible but architecturally demanding, with the Chang’e 5 case demonstrating concretely that legacy space domain awareness systems were not designed to track objects beyond the geosynchronous belt and that the cislunar regime begins from a baseline of near-total catalog incompleteness</w:t>
      </w:r>
      <w:r>
        <w:t xml:space="preserve"> </w:t>
      </w:r>
      <w:hyperlink w:anchor="ref-4">
        <w:r>
          <w:rPr>
            <w:rStyle w:val="Hyperlink"/>
          </w:rPr>
          <w:t xml:space="preserve">[4]</w:t>
        </w:r>
      </w:hyperlink>
      <w:r>
        <w:t xml:space="preserve">. This observation has direct implications for the present dissertation’s identification strategy: the observation-side timestamp is itself censored where detection is weakest, and the censoring is not random with respect to operator type or orbital regime. The empirical chapters address this by bounding the analysis sample to regimes with documented catalog completeness and by treating the cislunar tail as a domain to which the indicator must travel as sensing matures rather than as a population from which it can currently be estimated.</w:t>
      </w:r>
    </w:p>
    <w:p>
      <w:pPr>
        <w:pStyle w:val="BodyText"/>
        <w:spacing w:line="480" w:lineRule="auto"/>
        <w:ind w:firstLine="720"/>
      </w:pPr>
      <w:r>
        <w:t xml:space="preserve">The near-Earth observational literature complements the cislunar work in a different register. The Gazak and colleagues demonstration of simultaneous detection, recognition, and localization of geosynchronous satellites from ground-based imagery shows that the geosynchronous belt, the regime where individual objects are highest-value and most visible, is now amenable to automated catalog construction with substantial coverage and reliability</w:t>
      </w:r>
      <w:r>
        <w:t xml:space="preserve"> </w:t>
      </w:r>
      <w:hyperlink w:anchor="ref-11">
        <w:r>
          <w:rPr>
            <w:rStyle w:val="Hyperlink"/>
          </w:rPr>
          <w:t xml:space="preserve">[11]</w:t>
        </w:r>
      </w:hyperlink>
      <w:r>
        <w:t xml:space="preserve">. The Müller and Stoll treatment of near-real-time continuous filtering of sensor measurements using data stream management systems supplies the data engineering layer beneath such cataloging, showing that the latency of the observation timestamp itself can be driven below the resolution of any registry-receipt timestamp</w:t>
      </w:r>
      <w:r>
        <w:t xml:space="preserve"> </w:t>
      </w:r>
      <w:hyperlink w:anchor="ref-12">
        <w:r>
          <w:rPr>
            <w:rStyle w:val="Hyperlink"/>
          </w:rPr>
          <w:t xml:space="preserve">[12]</w:t>
        </w:r>
      </w:hyperlink>
      <w:r>
        <w:t xml:space="preserve">. The Briden, Siew, Rodriguez-Fernandez, and Linares contribution on transformer-based atmospheric density forecasting addresses an adjacent problem in low Earth orbit, where the propagation of catalog state to the present requires modeling of the drag environment</w:t>
      </w:r>
      <w:r>
        <w:t xml:space="preserve"> </w:t>
      </w:r>
      <w:hyperlink w:anchor="ref-6">
        <w:r>
          <w:rPr>
            <w:rStyle w:val="Hyperlink"/>
          </w:rPr>
          <w:t xml:space="preserve">[6]</w:t>
        </w:r>
      </w:hyperlink>
      <w:r>
        <w:t xml:space="preserve">. The Goldberg and Waltz treatment of crew resource management in space domain operations situates the entire observational architecture within a sociotechnical frame, underscoring that the catalog is not produced by sensors alone but by analysts operating sensors under operational protocols</w:t>
      </w:r>
      <w:r>
        <w:t xml:space="preserve"> </w:t>
      </w:r>
      <w:hyperlink w:anchor="ref-13">
        <w:r>
          <w:rPr>
            <w:rStyle w:val="Hyperlink"/>
          </w:rPr>
          <w:t xml:space="preserve">[13]</w:t>
        </w:r>
      </w:hyperlink>
      <w:r>
        <w:t xml:space="preserve">.</w:t>
      </w:r>
    </w:p>
    <w:p>
      <w:pPr>
        <w:pStyle w:val="BodyText"/>
        <w:spacing w:line="480" w:lineRule="auto"/>
        <w:ind w:firstLine="720"/>
      </w:pPr>
      <w:r>
        <w:t xml:space="preserve">The observational literature, taken as a whole, is the source of the first half of the registration-lag measurement: the observable timestamp at which an object becomes attributable on orbit. It is silent, however, on the link from observation to disclosure. The observation literature can tell us when an object becomes catalog-resolvable; it does not connect catalog resolvability to legal furnishing. The lag measure that this dissertation estimates lives precisely at the join between the observational timestamp and the registry timestamp. The observational literature supplies one anchor of that join. It does not supply the other, and it does not estimate the gap.</w:t>
      </w:r>
    </w:p>
    <w:bookmarkEnd w:id="70"/>
    <w:bookmarkStart w:id="71" w:name="Xff7d0e48c6a583490dcc0b7af699fca50f2e3a0"/>
    <w:p>
      <w:pPr>
        <w:pStyle w:val="Heading3"/>
        <w:spacing w:line="480" w:lineRule="auto"/>
      </w:pPr>
      <w:r>
        <w:t xml:space="preserve">2.2.4 The Space-Traffic-Management and Sustainability-Indicator Strand</w:t>
      </w:r>
    </w:p>
    <w:p>
      <w:pPr>
        <w:pStyle w:val="FirstParagraph"/>
        <w:spacing w:line="480" w:lineRule="auto"/>
      </w:pPr>
      <w:r>
        <w:t xml:space="preserve">The fourth sub-strand of the domain technical literature is the operational and indicator-design conversation around space traffic management. The Sorge and colleagues treatment of improvements to spacecraft collision avoidance is the operational benchmark, recommending explicitly that encouraging registration of all space objects is a precondition for functioning collision avoidance because the conjunction-screening pipeline depends on a correspondence between cataloged objects and accountable operators</w:t>
      </w:r>
      <w:r>
        <w:t xml:space="preserve"> </w:t>
      </w:r>
      <w:hyperlink w:anchor="ref-5">
        <w:r>
          <w:rPr>
            <w:rStyle w:val="Hyperlink"/>
          </w:rPr>
          <w:t xml:space="preserve">[5]</w:t>
        </w:r>
      </w:hyperlink>
      <w:r>
        <w:t xml:space="preserve">. The Reed, Dailey, Stilwell, and Weeden treatment of decentralized space information sharing develops the architectural pre-conditions for trust in such a pipeline, noting that the disclosure layer and the data-sharing layer are coupled and that institutional design at one must respect institutional design at the other</w:t>
      </w:r>
      <w:r>
        <w:t xml:space="preserve"> </w:t>
      </w:r>
      <w:hyperlink w:anchor="ref-7">
        <w:r>
          <w:rPr>
            <w:rStyle w:val="Hyperlink"/>
          </w:rPr>
          <w:t xml:space="preserve">[7]</w:t>
        </w:r>
      </w:hyperlink>
      <w:r>
        <w:t xml:space="preserve">. The Rathnasabapathy and colleagues space sustainability rating proposes a composite indicator that incentivizes operators to pursue long-term sustainability of the space environment, and is the most directly relevant precedent for the present dissertation’s framing of registration lag as a composite-quality indicator</w:t>
      </w:r>
      <w:r>
        <w:t xml:space="preserve"> </w:t>
      </w:r>
      <w:hyperlink w:anchor="ref-19">
        <w:r>
          <w:rPr>
            <w:rStyle w:val="Hyperlink"/>
          </w:rPr>
          <w:t xml:space="preserve">[19]</w:t>
        </w:r>
      </w:hyperlink>
      <w:r>
        <w:t xml:space="preserve">.</w:t>
      </w:r>
    </w:p>
    <w:p>
      <w:pPr>
        <w:pStyle w:val="BodyText"/>
        <w:spacing w:line="480" w:lineRule="auto"/>
        <w:ind w:firstLine="720"/>
      </w:pPr>
      <w:r>
        <w:t xml:space="preserve">The space sustainability rating literature is informative for this dissertation in three respects. First, it treats indicator design as a substantive scholarly task with its own methodological commitments, rather than as administrative housekeeping. Second, it establishes that composite indicators that aggregate operator behaviors into a scalar score can change operator behavior when they are made public and made comparable across operators. Third, it stops short, however, of treating disclosure-timing behavior itself as a component of the rating. Registration lag is not, in the current space sustainability rating architecture, a measured quantity. The contribution of this dissertation, when read alongside</w:t>
      </w:r>
      <w:r>
        <w:t xml:space="preserve"> </w:t>
      </w:r>
      <w:hyperlink w:anchor="ref-19">
        <w:r>
          <w:rPr>
            <w:rStyle w:val="Hyperlink"/>
          </w:rPr>
          <w:t xml:space="preserve">[19]</w:t>
        </w:r>
      </w:hyperlink>
      <w:r>
        <w:t xml:space="preserve">, is to supply a candidate component that could be added to such ratings. The methodological precondition for that addition is that registration lag must be shown to be informative beyond the orbital and temporal context in which an object is launched, which is the falsifiable proposition that the empirical chapters test.</w:t>
      </w:r>
    </w:p>
    <w:p>
      <w:pPr>
        <w:pStyle w:val="BodyText"/>
        <w:spacing w:line="480" w:lineRule="auto"/>
        <w:ind w:firstLine="720"/>
      </w:pPr>
      <w:r>
        <w:t xml:space="preserve">The collision-avoidance literature is informative for this dissertation in a different respect. The Sorge and colleagues recommendation that all space objects be registered</w:t>
      </w:r>
      <w:r>
        <w:t xml:space="preserve"> </w:t>
      </w:r>
      <w:hyperlink w:anchor="ref-5">
        <w:r>
          <w:rPr>
            <w:rStyle w:val="Hyperlink"/>
          </w:rPr>
          <w:t xml:space="preserve">[5]</w:t>
        </w:r>
      </w:hyperlink>
      <w:r>
        <w:t xml:space="preserve"> </w:t>
      </w:r>
      <w:r>
        <w:t xml:space="preserve">is not a methodological claim; it is a policy recommendation. The methodological question it begs is whether the failure to register is structured by operator type or whether it is randomly distributed across launching States and missions. If the latter, then a uniform reform suffices. If the former, then reform must be targeted, and registration lag becomes a diagnostic for targeting. The empirical chapters of this dissertation address that diagnostic question directly. The collision-avoidance literature names the need. It does not estimate the structure.</w:t>
      </w:r>
    </w:p>
    <w:bookmarkEnd w:id="71"/>
    <w:bookmarkEnd w:id="72"/>
    <w:bookmarkStart w:id="76" w:name="X07fe73e594277fc276c6392b9242153367417e1"/>
    <w:p>
      <w:pPr>
        <w:pStyle w:val="Heading2"/>
        <w:spacing w:line="480" w:lineRule="auto"/>
      </w:pPr>
      <w:r>
        <w:t xml:space="preserve">2.3 The Cliometric and Econometric Methodology Literature</w:t>
      </w:r>
    </w:p>
    <w:p>
      <w:pPr>
        <w:pStyle w:val="FirstParagraph"/>
        <w:spacing w:line="480" w:lineRule="auto"/>
      </w:pPr>
      <w:r>
        <w:t xml:space="preserve">The second literature this chapter reviews is methodological. It does not address the space domain. It addresses the broader problem of using administrative records to estimate institutional behavior, and it supplies the estimators that translate the panel described in the prospectus into defensible inference. Three methodological traditions are directly relevant: survival analysis for time-to-event data, logistic regression for binary extensive-margin outcomes, and the cliometric tradition of treating administrative timestamps as evidence about institutional process. Each is reviewed in turn, with attention to the assumptions the empirical chapters depend on.</w:t>
      </w:r>
    </w:p>
    <w:bookmarkStart w:id="73" w:name="X71c2d542a53fc488cadf6392b5b5487c4493e76"/>
    <w:p>
      <w:pPr>
        <w:pStyle w:val="Heading3"/>
        <w:spacing w:line="480" w:lineRule="auto"/>
      </w:pPr>
      <w:r>
        <w:t xml:space="preserve">2.3.1 Survival Analysis and the Modeling of Time-to-Registration</w:t>
      </w:r>
    </w:p>
    <w:p>
      <w:pPr>
        <w:pStyle w:val="FirstParagraph"/>
        <w:spacing w:line="480" w:lineRule="auto"/>
      </w:pPr>
      <w:r>
        <w:t xml:space="preserve">The first estimator the dissertation deploys is a survival model. The hazard of registration, defined as the instantaneous probability that an object is furnished to the registry given that it has not yet been furnished, is the natural object of inference for the intensive-margin question. The Cox proportional-hazards specification is the standard tool, and the methodological commitments it carries are well understood: the proportional-hazards assumption requires that the ratio of hazards between any two covariate strata is constant in time, an assumption that must be tested rather than assumed, and that can be relaxed by stratification or by time-varying covariates where it fails. The treatment in the present dissertation follows standard practice, testing the assumption via scaled Schoenfeld residuals and substituting stratification or time-varying specifications where the assumption is violated.</w:t>
      </w:r>
    </w:p>
    <w:p>
      <w:pPr>
        <w:pStyle w:val="BodyText"/>
        <w:spacing w:line="480" w:lineRule="auto"/>
        <w:ind w:firstLine="720"/>
      </w:pPr>
      <w:r>
        <w:t xml:space="preserve">The methodological literature treats survival models as the natural estimator whenever the event of interest is a one-time transition whose timing varies across units and whose tail is right-censored by the close of the observation window. Registration is exactly such an event. An object that is observable on orbit but has not yet been registered at the close of the window is right-censored: the survival framework treats it as having an unrealized event time, not as having no event. This is the methodological point that separates the survival treatment from the cross-sectional treatment in the first research paper of this dissertation: the cross-sectional model conditions on objects that have been registered, while the survival model uses the full panel including the censored tail.</w:t>
      </w:r>
    </w:p>
    <w:p>
      <w:pPr>
        <w:pStyle w:val="BodyText"/>
        <w:spacing w:line="480" w:lineRule="auto"/>
        <w:ind w:firstLine="720"/>
      </w:pPr>
      <w:r>
        <w:t xml:space="preserve">The domain technical literature offers no direct guidance on survival modeling of disclosure timing, because no prior study has framed registration as a time-to-event problem at the object level. The closest analog within the domain literature is the documentation of bulk furnishing latency for large deployments described in</w:t>
      </w:r>
      <w:r>
        <w:t xml:space="preserve"> </w:t>
      </w:r>
      <w:hyperlink w:anchor="ref-14">
        <w:r>
          <w:rPr>
            <w:rStyle w:val="Hyperlink"/>
          </w:rPr>
          <w:t xml:space="preserve">[14]</w:t>
        </w:r>
      </w:hyperlink>
      <w:r>
        <w:t xml:space="preserve">, which observes that constellation registrations exhibit characteristic delay patterns. The observation is descriptive, not estimated. The survival framework supplies the estimator that converts the observation into inference. The methodological literature has supplied this estimator since the late twentieth century; the application to registration data is what is new.</w:t>
      </w:r>
    </w:p>
    <w:bookmarkEnd w:id="73"/>
    <w:bookmarkStart w:id="74" w:name="Xffb1d97d77e92e9bd77698d222d1b9d16d64a91"/>
    <w:p>
      <w:pPr>
        <w:pStyle w:val="Heading3"/>
        <w:spacing w:line="480" w:lineRule="auto"/>
      </w:pPr>
      <w:r>
        <w:t xml:space="preserve">2.3.2 Logistic Regression and the Extensive Margin</w:t>
      </w:r>
    </w:p>
    <w:p>
      <w:pPr>
        <w:pStyle w:val="FirstParagraph"/>
        <w:spacing w:line="480" w:lineRule="auto"/>
      </w:pPr>
      <w:r>
        <w:t xml:space="preserve">The second estimator is a logistic regression of a binary delayed-or-missing outcome on the same covariate set. The methodological commitments of the logit are standard: linearity of the log-odds in the covariates, independence of observations, and absence of perfect or near-perfect separation. The third commitment is the one that most directly conditions the present application. The second research paper of this dissertation reports a coefficient on the defense-operator share that is large, correctly signed, and short of conventional significance, and identifies near-separation as the source of the inflated standard error. The methodological literature treats near-separation as a known feature of small-sample logit estimation when a predictor is strongly associated with the outcome, and recommends penalized likelihood methods (such as the Firth correction) or, more directly, increasing the effective sample size by moving from cohort-level to object-level estimation. The dissertation’s anticipated remedy follows the latter route.</w:t>
      </w:r>
    </w:p>
    <w:p>
      <w:pPr>
        <w:pStyle w:val="BodyText"/>
        <w:spacing w:line="480" w:lineRule="auto"/>
        <w:ind w:firstLine="720"/>
      </w:pPr>
      <w:r>
        <w:t xml:space="preserve">The methodological pairing of survival analysis with a logit on the binary outcome of ever-registered is the standard two-margin treatment in the labor-economics and political-science literatures, where it is used to separate intensive-margin questions about timing from extensive-margin questions about whether the event ever happens. The pairing is not new methodologically. Its application to space-object registration is.</w:t>
      </w:r>
    </w:p>
    <w:bookmarkEnd w:id="74"/>
    <w:bookmarkStart w:id="75" w:name="X15c5041640e18d80f2ad2c3a9ee24b4b7c25f9b"/>
    <w:p>
      <w:pPr>
        <w:pStyle w:val="Heading3"/>
        <w:spacing w:line="480" w:lineRule="auto"/>
      </w:pPr>
      <w:r>
        <w:t xml:space="preserve">2.3.3 Cliometrics and the Use of Administrative Timestamps as Evidence</w:t>
      </w:r>
    </w:p>
    <w:p>
      <w:pPr>
        <w:pStyle w:val="FirstParagraph"/>
        <w:spacing w:line="480" w:lineRule="auto"/>
      </w:pPr>
      <w:r>
        <w:t xml:space="preserve">The third methodological tradition relevant to this dissertation is cliometric. The cliometric tradition treats administrative timestamps in registries, censuses, court records, customs ledgers, and parish registers as primary evidence about institutional behavior, on the explicit understanding that the timestamp records the date of administrative action, not the date of the underlying behavior. The methodological challenge is to recover an estimate of the underlying behavior from the administrative record, given that the administrative record is itself an output of an institutional process that has its own latency, error structure, and incentive distortions.</w:t>
      </w:r>
    </w:p>
    <w:p>
      <w:pPr>
        <w:pStyle w:val="BodyText"/>
        <w:spacing w:line="480" w:lineRule="auto"/>
        <w:ind w:firstLine="720"/>
      </w:pPr>
      <w:r>
        <w:t xml:space="preserve">The cliometric tradition supplies several methodological moves directly relevant to the present application. First, it treats the administrative timestamp as informative about the joint behavior of the underlying actor and the administrative process, and recommends that any estimator condition on features of the administrative process where possible. The empirical chapters of this dissertation do exactly this, conditioning on the launching State as a proxy for the administrative pipeline through which the registration document was routed. Second, the cliometric tradition treats the never-registered tail as a substantively meaningful population, not as a missing-data problem to be imputed away. The dissertation’s logit treats the never-registered tail in exactly this manner. Third, the cliometric tradition treats temporal non-stationarity as the rule rather than the exception in administrative data, and recommends explicit modeling of period effects. The dissertation’s epoch covariate and its period-interaction robustness check are the operationalization of this recommendation.</w:t>
      </w:r>
    </w:p>
    <w:p>
      <w:pPr>
        <w:pStyle w:val="BodyText"/>
        <w:spacing w:line="480" w:lineRule="auto"/>
        <w:ind w:firstLine="720"/>
      </w:pPr>
      <w:r>
        <w:t xml:space="preserve">The domain literature has not, to the knowledge of this review, engaged the cliometric tradition. The doctrinal literature describes the administrative process. The data-infrastructural literature represents the records. The observational literature anchors the timestamps to physical reality. None of them has framed registry behavior as an object of cliometric estimation. The methodological literature, conversely, has not engaged the registry of objects launched into outer space as a corpus of administrative records. The two literatures are not in conversation.</w:t>
      </w:r>
    </w:p>
    <w:bookmarkEnd w:id="75"/>
    <w:bookmarkEnd w:id="76"/>
    <w:bookmarkStart w:id="80" w:name="the-gap-and-the-contribution"/>
    <w:p>
      <w:pPr>
        <w:pStyle w:val="Heading2"/>
        <w:spacing w:line="480" w:lineRule="auto"/>
      </w:pPr>
      <w:r>
        <w:t xml:space="preserve">2.4 The Gap and the Contribution</w:t>
      </w:r>
    </w:p>
    <w:bookmarkStart w:id="77" w:name="the-gap"/>
    <w:p>
      <w:pPr>
        <w:pStyle w:val="Heading3"/>
        <w:spacing w:line="480" w:lineRule="auto"/>
      </w:pPr>
      <w:r>
        <w:t xml:space="preserve">2.4.1 The Gap</w:t>
      </w:r>
    </w:p>
    <w:p>
      <w:pPr>
        <w:pStyle w:val="FirstParagraph"/>
        <w:spacing w:line="480" w:lineRule="auto"/>
      </w:pPr>
      <w:r>
        <w:t xml:space="preserve">The two literatures reviewed in this chapter are mature within their own terms and disjoint in their concerns. The domain technical literature, across its four sub-strands, has assembled every input the empirical inquiry requires: the doctrinal frame within which registration carries legal force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14">
        <w:r>
          <w:rPr>
            <w:rStyle w:val="Hyperlink"/>
          </w:rPr>
          <w:t xml:space="preserve">[14]</w:t>
        </w:r>
      </w:hyperlink>
      <w:r>
        <w:t xml:space="preserve">; the data model that resolves the join between registry and catalog</w:t>
      </w:r>
      <w:r>
        <w:t xml:space="preserve"> </w:t>
      </w:r>
      <w:hyperlink w:anchor="ref-1">
        <w:r>
          <w:rPr>
            <w:rStyle w:val="Hyperlink"/>
          </w:rPr>
          <w:t xml:space="preserve">[1]</w:t>
        </w:r>
      </w:hyperlink>
      <w:r>
        <w:t xml:space="preserve">,</w:t>
      </w:r>
      <w:r>
        <w:t xml:space="preserve"> </w:t>
      </w:r>
      <w:hyperlink w:anchor="ref-15">
        <w:r>
          <w:rPr>
            <w:rStyle w:val="Hyperlink"/>
          </w:rPr>
          <w:t xml:space="preserve">[15]</w:t>
        </w:r>
      </w:hyperlink>
      <w:r>
        <w:t xml:space="preserve">; the observational timestamps that anchor the first end of the lag measure</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 and the operational and indicator-design conversations that would consume a defensible measure of disclosure behavior if one existed</w:t>
      </w:r>
      <w:r>
        <w:t xml:space="preserve"> </w:t>
      </w:r>
      <w:hyperlink w:anchor="ref-5">
        <w:r>
          <w:rPr>
            <w:rStyle w:val="Hyperlink"/>
          </w:rPr>
          <w:t xml:space="preserve">[5]</w:t>
        </w:r>
      </w:hyperlink>
      <w:r>
        <w:t xml:space="preserve">,</w:t>
      </w:r>
      <w:r>
        <w:t xml:space="preserve"> </w:t>
      </w:r>
      <w:hyperlink w:anchor="ref-7">
        <w:r>
          <w:rPr>
            <w:rStyle w:val="Hyperlink"/>
          </w:rPr>
          <w:t xml:space="preserve">[7]</w:t>
        </w:r>
      </w:hyperlink>
      <w:r>
        <w:t xml:space="preserve">,</w:t>
      </w:r>
      <w:r>
        <w:t xml:space="preserve"> </w:t>
      </w:r>
      <w:hyperlink w:anchor="ref-19">
        <w:r>
          <w:rPr>
            <w:rStyle w:val="Hyperlink"/>
          </w:rPr>
          <w:t xml:space="preserve">[19]</w:t>
        </w:r>
      </w:hyperlink>
      <w:r>
        <w:t xml:space="preserve">,</w:t>
      </w:r>
      <w:r>
        <w:t xml:space="preserve"> </w:t>
      </w:r>
      <w:hyperlink w:anchor="ref-20">
        <w:r>
          <w:rPr>
            <w:rStyle w:val="Hyperlink"/>
          </w:rPr>
          <w:t xml:space="preserve">[20]</w:t>
        </w:r>
      </w:hyperlink>
      <w:r>
        <w:t xml:space="preserve">. The methodological literature has assembled the estimators required to convert that input into inference: survival models for the intensive margin, logits for the extensive margin, and the cliometric tradition for treating administrative timestamps as evidence of institutional behavior.</w:t>
      </w:r>
    </w:p>
    <w:p>
      <w:pPr>
        <w:pStyle w:val="BodyText"/>
        <w:spacing w:line="480" w:lineRule="auto"/>
        <w:ind w:firstLine="720"/>
      </w:pPr>
      <w:r>
        <w:t xml:space="preserve">What is missing is the joining. No prior study has joined the observed activity record to the treaty-mandated disclosure record at the object level, defined the interval between them as the dependent variable, and estimated its conditional distribution as a function of operator type. The doctrinal literature has described the gap, the data-infrastructural literature has supplied the data model, the observational literature has supplied the activity timestamp, and the methodological literature has supplied the estimators. None of these has performed the join, and the conversation across the four sub-strands of the domain literature has not yet incorporated the methodological apparatus that would make the join inferentially defensible.</w:t>
      </w:r>
    </w:p>
    <w:p>
      <w:pPr>
        <w:pStyle w:val="BodyText"/>
        <w:spacing w:line="480" w:lineRule="auto"/>
        <w:ind w:firstLine="720"/>
      </w:pPr>
      <w:r>
        <w:t xml:space="preserve">This gap is consequential, not merely lacunal. The doctrinal reform literature rests on an undefended empirical premise: that registration lag is large, structured, and worth reforming. If the premise is true, the reform calls are warranted but undertargeted, because the reform literature does not know which operators or which regimes the structure concentrates in. If the premise is false, the reform calls are wasted effort, and the institutional energy of the regime is better directed at process latency than at actor incentives. The empirical question can be answered only by joining the two literatures. The cost of not joining them is that the regime’s reform conversation continues to operate on assumption rather than measurement.</w:t>
      </w:r>
    </w:p>
    <w:bookmarkEnd w:id="77"/>
    <w:bookmarkStart w:id="78" w:name="X00876f9149394ed8a459e371835fd3f3d103e8e"/>
    <w:p>
      <w:pPr>
        <w:pStyle w:val="Heading3"/>
        <w:spacing w:line="480" w:lineRule="auto"/>
      </w:pPr>
      <w:r>
        <w:t xml:space="preserve">2.4.2 The Contribution and Its Position in the Two Literatures</w:t>
      </w:r>
    </w:p>
    <w:p>
      <w:pPr>
        <w:pStyle w:val="FirstParagraph"/>
        <w:spacing w:line="480" w:lineRule="auto"/>
      </w:pPr>
      <w:r>
        <w:t xml:space="preserve">The contribution of this dissertation, situated against the two literatures, can now be stated precisely. The dissertation joins the observed activity record</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 </w:t>
      </w:r>
      <w:r>
        <w:t xml:space="preserve">to the treaty-mandated disclosure record</w:t>
      </w:r>
      <w:r>
        <w:t xml:space="preserve"> </w:t>
      </w:r>
      <w:hyperlink w:anchor="ref-2">
        <w:r>
          <w:rPr>
            <w:rStyle w:val="Hyperlink"/>
          </w:rPr>
          <w:t xml:space="preserve">[2]</w:t>
        </w:r>
      </w:hyperlink>
      <w:r>
        <w:t xml:space="preserve">,</w:t>
      </w:r>
      <w:r>
        <w:t xml:space="preserve"> </w:t>
      </w:r>
      <w:hyperlink w:anchor="ref-14">
        <w:r>
          <w:rPr>
            <w:rStyle w:val="Hyperlink"/>
          </w:rPr>
          <w:t xml:space="preserve">[14]</w:t>
        </w:r>
      </w:hyperlink>
      <w:r>
        <w:t xml:space="preserve">, using the graph-based data model demonstrated by Le May and colleagues</w:t>
      </w:r>
      <w:r>
        <w:t xml:space="preserve"> </w:t>
      </w:r>
      <w:hyperlink w:anchor="ref-1">
        <w:r>
          <w:rPr>
            <w:rStyle w:val="Hyperlink"/>
          </w:rPr>
          <w:t xml:space="preserve">[1]</w:t>
        </w:r>
      </w:hyperlink>
      <w:r>
        <w:t xml:space="preserve">,</w:t>
      </w:r>
      <w:r>
        <w:t xml:space="preserve"> </w:t>
      </w:r>
      <w:hyperlink w:anchor="ref-15">
        <w:r>
          <w:rPr>
            <w:rStyle w:val="Hyperlink"/>
          </w:rPr>
          <w:t xml:space="preserve">[15]</w:t>
        </w:r>
      </w:hyperlink>
      <w:r>
        <w:t xml:space="preserve"> </w:t>
      </w:r>
      <w:r>
        <w:t xml:space="preserve">as the join logic, and estimates the conditional distribution of the resulting interval as a function of operator type using survival and logit estimators drawn from the methodological literature. The single falsifiable proposition that organizes the empirical chapters, that conditional on orbital regime and launch epoch the registration-lag distribution differs systematically by operator type, is a proposition that neither literature has stated in falsifiable form, because neither literature has had the apparatus to state it that way.</w:t>
      </w:r>
    </w:p>
    <w:p>
      <w:pPr>
        <w:pStyle w:val="BodyText"/>
        <w:spacing w:line="480" w:lineRule="auto"/>
        <w:ind w:firstLine="720"/>
      </w:pPr>
      <w:r>
        <w:t xml:space="preserve">The contribution speaks back to each of the four sub-strands of the domain literature. To the doctrinal literature, it converts a normative claim about decoupling</w:t>
      </w:r>
      <w:r>
        <w:t xml:space="preserve"> </w:t>
      </w:r>
      <w:hyperlink w:anchor="ref-2">
        <w:r>
          <w:rPr>
            <w:rStyle w:val="Hyperlink"/>
          </w:rPr>
          <w:t xml:space="preserve">[2]</w:t>
        </w:r>
      </w:hyperlink>
      <w:r>
        <w:t xml:space="preserve">,</w:t>
      </w:r>
      <w:r>
        <w:t xml:space="preserve"> </w:t>
      </w:r>
      <w:hyperlink w:anchor="ref-14">
        <w:r>
          <w:rPr>
            <w:rStyle w:val="Hyperlink"/>
          </w:rPr>
          <w:t xml:space="preserve">[14]</w:t>
        </w:r>
      </w:hyperlink>
      <w:r>
        <w:t xml:space="preserve"> </w:t>
      </w:r>
      <w:r>
        <w:t xml:space="preserve">into an estimated quantity that can be debated on its merits. To the data-infrastructural literature, it demonstrates that the graph representation</w:t>
      </w:r>
      <w:r>
        <w:t xml:space="preserve"> </w:t>
      </w:r>
      <w:hyperlink w:anchor="ref-1">
        <w:r>
          <w:rPr>
            <w:rStyle w:val="Hyperlink"/>
          </w:rPr>
          <w:t xml:space="preserve">[1]</w:t>
        </w:r>
      </w:hyperlink>
      <w:r>
        <w:t xml:space="preserve">,</w:t>
      </w:r>
      <w:r>
        <w:t xml:space="preserve"> </w:t>
      </w:r>
      <w:hyperlink w:anchor="ref-15">
        <w:r>
          <w:rPr>
            <w:rStyle w:val="Hyperlink"/>
          </w:rPr>
          <w:t xml:space="preserve">[15]</w:t>
        </w:r>
      </w:hyperlink>
      <w:r>
        <w:t xml:space="preserve"> </w:t>
      </w:r>
      <w:r>
        <w:t xml:space="preserve">is not merely a representational convenience but the prerequisite for behavioral inference about disclosure timing. To the observational literature, it shows that the catalog timestamps</w:t>
      </w:r>
      <w:r>
        <w:t xml:space="preserve"> </w:t>
      </w:r>
      <w:hyperlink w:anchor="ref-4">
        <w:r>
          <w:rPr>
            <w:rStyle w:val="Hyperlink"/>
          </w:rPr>
          <w:t xml:space="preserve">[4]</w:t>
        </w:r>
      </w:hyperlink>
      <w:r>
        <w:t xml:space="preserv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 </w:t>
      </w:r>
      <w:r>
        <w:t xml:space="preserve">carry inferential weight beyond their immediate operational use, by anchoring the first end of a governance indicator that the regime currently lacks. To the operational and indicator-design literature, it supplies a candidate component for composite sustainability indicators</w:t>
      </w:r>
      <w:r>
        <w:t xml:space="preserve"> </w:t>
      </w:r>
      <w:hyperlink w:anchor="ref-19">
        <w:r>
          <w:rPr>
            <w:rStyle w:val="Hyperlink"/>
          </w:rPr>
          <w:t xml:space="preserve">[19]</w:t>
        </w:r>
      </w:hyperlink>
      <w:r>
        <w:t xml:space="preserve"> </w:t>
      </w:r>
      <w:r>
        <w:t xml:space="preserve">that does not currently exist in the indicator architecture. To the collision-avoidance literature, it operationalizes the call to register all space objects</w:t>
      </w:r>
      <w:r>
        <w:t xml:space="preserve"> </w:t>
      </w:r>
      <w:hyperlink w:anchor="ref-5">
        <w:r>
          <w:rPr>
            <w:rStyle w:val="Hyperlink"/>
          </w:rPr>
          <w:t xml:space="preserve">[5]</w:t>
        </w:r>
      </w:hyperlink>
      <w:r>
        <w:t xml:space="preserve"> </w:t>
      </w:r>
      <w:r>
        <w:t xml:space="preserve">by providing a diagnostic that identifies where the failure to register concentrates.</w:t>
      </w:r>
    </w:p>
    <w:p>
      <w:pPr>
        <w:pStyle w:val="BodyText"/>
        <w:spacing w:line="480" w:lineRule="auto"/>
        <w:ind w:firstLine="720"/>
      </w:pPr>
      <w:r>
        <w:t xml:space="preserve">The contribution also speaks back to the methodological literature, though more modestly. The application of survival analysis and logistic regression to space-object registration data is not a methodological advance in the sense of producing a new estimator. It is, however, a substantive demonstration that the cliometric tradition’s treatment of administrative timestamps as behavioral evidence travels intact into a treaty-mandated registry of objects in outer space. The empirical chapters thereby make a small but specific case that the methodological apparatus of the historical and social sciences is available to the space-governance literature on terms the latter has not yet exploited.</w:t>
      </w:r>
    </w:p>
    <w:bookmarkEnd w:id="78"/>
    <w:bookmarkStart w:id="79" w:name="concluding-the-review"/>
    <w:p>
      <w:pPr>
        <w:pStyle w:val="Heading3"/>
        <w:spacing w:line="480" w:lineRule="auto"/>
      </w:pPr>
      <w:r>
        <w:t xml:space="preserve">2.4.3 Concluding the Review</w:t>
      </w:r>
    </w:p>
    <w:p>
      <w:pPr>
        <w:pStyle w:val="FirstParagraph"/>
        <w:spacing w:line="480" w:lineRule="auto"/>
      </w:pPr>
      <w:r>
        <w:t xml:space="preserve">The literature on the Registration Convention has been calling for measurement of the gap between activity and disclosure for at least a decade</w:t>
      </w:r>
      <w:r>
        <w:t xml:space="preserve"> </w:t>
      </w:r>
      <w:hyperlink w:anchor="ref-2">
        <w:r>
          <w:rPr>
            <w:rStyle w:val="Hyperlink"/>
          </w:rPr>
          <w:t xml:space="preserve">[2]</w:t>
        </w:r>
      </w:hyperlink>
      <w:r>
        <w:t xml:space="preserve">. The literature on cliometric estimation of institutional behavior has been measuring analogous gaps in adjacent administrative domains for considerably longer. The literature on space domain awareness has been delivering increasingly precise timestamps of on-orbit activity throughout the same period</w:t>
      </w:r>
      <w:r>
        <w:t xml:space="preserve"> </w:t>
      </w:r>
      <w:hyperlink w:anchor="ref-4">
        <w:r>
          <w:rPr>
            <w:rStyle w:val="Hyperlink"/>
          </w:rPr>
          <w:t xml:space="preserve">[4]</w:t>
        </w:r>
      </w:hyperlink>
      <w:r>
        <w:t xml:space="preserv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 The literature on registry representation has supplied the join logic that links these inputs together</w:t>
      </w:r>
      <w:r>
        <w:t xml:space="preserve"> </w:t>
      </w:r>
      <w:hyperlink w:anchor="ref-1">
        <w:r>
          <w:rPr>
            <w:rStyle w:val="Hyperlink"/>
          </w:rPr>
          <w:t xml:space="preserve">[1]</w:t>
        </w:r>
      </w:hyperlink>
      <w:r>
        <w:t xml:space="preserve">,</w:t>
      </w:r>
      <w:r>
        <w:t xml:space="preserve"> </w:t>
      </w:r>
      <w:hyperlink w:anchor="ref-15">
        <w:r>
          <w:rPr>
            <w:rStyle w:val="Hyperlink"/>
          </w:rPr>
          <w:t xml:space="preserve">[15]</w:t>
        </w:r>
      </w:hyperlink>
      <w:r>
        <w:t xml:space="preserve">. The conditions for the empirical inquiry that this dissertation undertakes have, in this sense, been ripe for some time. What has been missing is a single study that performs the join, deploys the estimators, and reports the result as a falsifiable proposition. The next three chapters describe the data, the method, and the result of doing exactly that.</w:t>
      </w:r>
    </w:p>
    <w:p>
      <w:pPr>
        <w:pStyle w:val="BodyText"/>
        <w:spacing w:line="480" w:lineRule="auto"/>
        <w:ind w:firstLine="720"/>
      </w:pPr>
      <w:r>
        <w:t xml:space="preserve">The remainder of the dissertation proceeds from this synthesis. Chapter 3 details the construction of the object-level panel, the variable definitions, and the data-quality decisions that follow from the threats to validity identified in the prospectus and sharpened in this chapter. Chapter 4 specifies the survival estimator and the logistic-regression estimator that, taken together, address the intensive and extensive margins of disclosure. Chapters 5 and 6 report the cross-sectional and extensive-margin results respectively, integrating the findings already reported in the two research papers that prefigure them. Chapter 7 returns to the synthesis presented here, asking what the joining of the two literatures, once performed, implies for the next decade of the registration regime and for the cislunar architecture in which catalog completeness is weakest and the need for a portable governance indicator is most acute.</w:t>
      </w:r>
    </w:p>
    <w:bookmarkEnd w:id="79"/>
    <w:bookmarkEnd w:id="80"/>
    <w:bookmarkEnd w:id="81"/>
    <w:bookmarkStart w:id="91" w:name="Xcfcc00a3ded59aed0c781c16bfc121f2a509603"/>
    <w:p>
      <w:pPr>
        <w:pStyle w:val="Heading1"/>
        <w:spacing w:line="480" w:lineRule="auto"/>
      </w:pPr>
      <w:r>
        <w:t xml:space="preserve">Chapter 3. Theoretical Framework and Hypotheses</w:t>
      </w:r>
    </w:p>
    <w:bookmarkStart w:id="82" w:name="orientation"/>
    <w:p>
      <w:pPr>
        <w:pStyle w:val="Heading2"/>
        <w:spacing w:line="480" w:lineRule="auto"/>
      </w:pPr>
      <w:r>
        <w:t xml:space="preserve">3.1 Orientation</w:t>
      </w:r>
    </w:p>
    <w:p>
      <w:pPr>
        <w:pStyle w:val="FirstParagraph"/>
        <w:spacing w:line="480" w:lineRule="auto"/>
      </w:pPr>
      <w:r>
        <w:t xml:space="preserve">The preceding chapters established that the Registration Convention obligates a launching State to furnish the United Nations with descriptive particulars of the space objects under its jurisdiction and control, and that the interval between the moment an object becomes operationally consequential and the moment its particulars are deposited with the Secretary-General varies substantially across the cohort of objects launched between 2010 and 2025. The literature review located three strands of relevant scholarship: a legal-institutional strand that diagnoses the inadequacy of current registration practice and proposes normative reform</w:t>
      </w:r>
      <w:r>
        <w:t xml:space="preserve"> </w:t>
      </w:r>
      <w:hyperlink w:anchor="ref-2">
        <w:r>
          <w:rPr>
            <w:rStyle w:val="Hyperlink"/>
          </w:rPr>
          <w:t xml:space="preserve">[2]</w:t>
        </w:r>
      </w:hyperlink>
      <w:r>
        <w:t xml:space="preserve">,</w:t>
      </w:r>
      <w:r>
        <w:t xml:space="preserve"> </w:t>
      </w:r>
      <w:hyperlink w:anchor="ref-14">
        <w:r>
          <w:rPr>
            <w:rStyle w:val="Hyperlink"/>
          </w:rPr>
          <w:t xml:space="preserve">[14]</w:t>
        </w:r>
      </w:hyperlink>
      <w:r>
        <w:t xml:space="preserve">; a data-infrastructural strand that supplies a relational data model for joining objects, launching States, and registry entries</w:t>
      </w:r>
      <w:r>
        <w:t xml:space="preserve"> </w:t>
      </w:r>
      <w:hyperlink w:anchor="ref-1">
        <w:r>
          <w:rPr>
            <w:rStyle w:val="Hyperlink"/>
          </w:rPr>
          <w:t xml:space="preserve">[1]</w:t>
        </w:r>
      </w:hyperlink>
      <w:r>
        <w:t xml:space="preserve">,</w:t>
      </w:r>
      <w:r>
        <w:t xml:space="preserve"> </w:t>
      </w:r>
      <w:hyperlink w:anchor="ref-15">
        <w:r>
          <w:rPr>
            <w:rStyle w:val="Hyperlink"/>
          </w:rPr>
          <w:t xml:space="preserve">[15]</w:t>
        </w:r>
      </w:hyperlink>
      <w:r>
        <w:t xml:space="preserve">; and an observational strand that establishes the feasibility and the limits of detecting and tracking objects in near-Earth and cislunar regimes</w:t>
      </w:r>
      <w:r>
        <w:t xml:space="preserve"> </w:t>
      </w:r>
      <w:hyperlink w:anchor="ref-4">
        <w:r>
          <w:rPr>
            <w:rStyle w:val="Hyperlink"/>
          </w:rPr>
          <w:t xml:space="preserve">[4]</w:t>
        </w:r>
      </w:hyperlink>
      <w:r>
        <w:t xml:space="preserve">. None of these strands, taken alone or jointly, supplies a behavioral theory of the timing of disclosure. The present chapter constructs that theory. It identifies the mechanism by which structural features of the launching State and the operator translate into observable variation in registration lag, derives the causal logic that links operator type to expected delay once orbital regime and launch epoch are held fixed, and states the single falsifiable proposition that the empirical chapters will test.</w:t>
      </w:r>
    </w:p>
    <w:p>
      <w:pPr>
        <w:pStyle w:val="BodyText"/>
        <w:spacing w:line="480" w:lineRule="auto"/>
        <w:ind w:firstLine="720"/>
      </w:pPr>
      <w:r>
        <w:t xml:space="preserve">The chapter proceeds in five sections. Section 3.2 fixes the definitions on which everything that follows depends, and locates registration lag within a small but precise typology of disclosure failures. Section 3.3 develops the theoretical mechanism in three layers, treating the regime as an institutional setting, the operator as the proximate decision unit, and the launching State as the administrative conduit through which any disclosure must pass. Section 3.4 sets out the causal logic and the identification strategy it implies, distinguishing the operator-behavior pathway from the State-administrative pathway and showing why orbital regime and launch epoch enter as the two confounders that must be conditioned out. Section 3.5 formalizes the null and the alternative hypotheses, mapping each to the survival and logistic estimators introduced in Chapter 2 and to the cross-sectional and extensive-margin results already obtained in the two research papers that accompany this dissertation. Section 3.6 anticipates the principal threats to the framework and clarifies the scope conditions under which the hypotheses are well posed.</w:t>
      </w:r>
    </w:p>
    <w:bookmarkEnd w:id="82"/>
    <w:bookmarkStart w:id="83" w:name="definitions-and-the-disclosure-object"/>
    <w:p>
      <w:pPr>
        <w:pStyle w:val="Heading2"/>
        <w:spacing w:line="480" w:lineRule="auto"/>
      </w:pPr>
      <w:r>
        <w:t xml:space="preserve">3.2 Definitions and the Disclosure Object</w:t>
      </w:r>
    </w:p>
    <w:p>
      <w:pPr>
        <w:pStyle w:val="FirstParagraph"/>
        <w:spacing w:line="480" w:lineRule="auto"/>
      </w:pPr>
      <w:r>
        <w:t xml:space="preserve">Three constructs require precise definition before the theoretical mechanism can be specified. The first is the observable activity timestamp. For each object launched into Earth orbit during the study window, the activity timestamp is the date of the earliest independently attributable observation of the object as a distinct, propagable resident space object. In the operational catalog maintained by the United States Space Force eighteenth Space Defense Squadron and published through Space-Track.org, that date corresponds to the earliest two-line element set carrying the object’s international designator. For objects whose orbital regime degrades catalog completeness, including small objects and objects beyond the geosynchronous belt, the activity timestamp is necessarily a censored proxy, a point to which Section 3.6 returns</w:t>
      </w:r>
      <w:r>
        <w:t xml:space="preserve"> </w:t>
      </w:r>
      <w:hyperlink w:anchor="ref-4">
        <w:r>
          <w:rPr>
            <w:rStyle w:val="Hyperlink"/>
          </w:rPr>
          <w:t xml:space="preserve">[4]</w:t>
        </w:r>
      </w:hyperlink>
      <w:r>
        <w:t xml:space="preserve">.</w:t>
      </w:r>
    </w:p>
    <w:p>
      <w:pPr>
        <w:pStyle w:val="BodyText"/>
        <w:spacing w:line="480" w:lineRule="auto"/>
        <w:ind w:firstLine="720"/>
      </w:pPr>
      <w:r>
        <w:t xml:space="preserve">The second construct is the legal disclosure timestamp. For each object whose launching State has furnished particulars, the legal disclosure timestamp is the date on which the Secretary-General of the United Nations recorded receipt of the corresponding registration document, as published in the UN Online Index of Objects Launched into Outer Space. The receipt date is the legally operative anchor under the Registration Convention because it is the date on which the international community is placed on notice of the launching State’s claim of jurisdiction and control. It is not the date on which the operator decided to disclose, nor the date on which the State internally transmitted the document, and this distinction will reappear as one of the framework’s identification challenges.</w:t>
      </w:r>
    </w:p>
    <w:p>
      <w:pPr>
        <w:pStyle w:val="BodyText"/>
        <w:spacing w:line="480" w:lineRule="auto"/>
        <w:ind w:firstLine="720"/>
      </w:pPr>
      <w:r>
        <w:t xml:space="preserve">The third construct, registration lag, is the signed interval in days between the activity timestamp and the legal disclosure timestamp. For objects that are observed and subsequently furnished within the study window, the lag is finite and positive. For objects that are observed but not furnished by the close of the window, the lag is right-censored. For objects that are observed and never expected to be furnished, the lag is properly treated as a separate extensive-margin failure rather than a long-tailed timing outcome, a distinction that motivates the dual-estimator design carried forward from Chapter 2 and from the logistic extensive-margin model already reported</w:t>
      </w:r>
      <w:r>
        <w:t xml:space="preserve"> </w:t>
      </w:r>
      <w:hyperlink w:anchor="ref-2">
        <w:r>
          <w:rPr>
            <w:rStyle w:val="Hyperlink"/>
          </w:rPr>
          <w:t xml:space="preserve">[2]</w:t>
        </w:r>
      </w:hyperlink>
      <w:r>
        <w:t xml:space="preserve">.</w:t>
      </w:r>
    </w:p>
    <w:p>
      <w:pPr>
        <w:pStyle w:val="BodyText"/>
        <w:spacing w:line="480" w:lineRule="auto"/>
        <w:ind w:firstLine="720"/>
      </w:pPr>
      <w:r>
        <w:t xml:space="preserve">These three constructs allow a typology of disclosure outcomes that the rest of the chapter will use. A cohort exhibits timely disclosure when most of its objects move from activity to legal disclosure within a short interval. It exhibits delayed disclosure when the typical interval is long but bounded. It exhibits missing disclosure when a meaningful share of objects never appears in the legal record despite being operationally consequential on orbit. The reform literature treats the second and third outcomes as variants of a single governance failure, namely the decoupling of activity from disclosure that the Registration Convention was designed to prevent</w:t>
      </w:r>
      <w:r>
        <w:t xml:space="preserve"> </w:t>
      </w:r>
      <w:hyperlink w:anchor="ref-2">
        <w:r>
          <w:rPr>
            <w:rStyle w:val="Hyperlink"/>
          </w:rPr>
          <w:t xml:space="preserve">[2]</w:t>
        </w:r>
      </w:hyperlink>
      <w:r>
        <w:t xml:space="preserve">,</w:t>
      </w:r>
      <w:r>
        <w:t xml:space="preserve"> </w:t>
      </w:r>
      <w:hyperlink w:anchor="ref-14">
        <w:r>
          <w:rPr>
            <w:rStyle w:val="Hyperlink"/>
          </w:rPr>
          <w:t xml:space="preserve">[14]</w:t>
        </w:r>
      </w:hyperlink>
      <w:r>
        <w:t xml:space="preserve">. The theoretical contribution of this chapter is to argue that the two outcomes are generated by a common mechanism and can therefore be tested together, while remaining distinct enough that they require separate estimators.</w:t>
      </w:r>
    </w:p>
    <w:bookmarkEnd w:id="83"/>
    <w:bookmarkStart w:id="87" w:name="the-theoretical-mechanism"/>
    <w:p>
      <w:pPr>
        <w:pStyle w:val="Heading2"/>
        <w:spacing w:line="480" w:lineRule="auto"/>
      </w:pPr>
      <w:r>
        <w:t xml:space="preserve">3.3 The Theoretical Mechanism</w:t>
      </w:r>
    </w:p>
    <w:p>
      <w:pPr>
        <w:pStyle w:val="FirstParagraph"/>
        <w:spacing w:line="480" w:lineRule="auto"/>
      </w:pPr>
      <w:r>
        <w:t xml:space="preserve">The framework treats observed registration lag as the joint output of three layers: the institutional regime within which disclosure occurs, the operator that originates the obligation, and the State that discharges it. Each layer contributes a distinct component of variance, and the empirical strategy of this dissertation depends on partitioning that variance correctly.</w:t>
      </w:r>
    </w:p>
    <w:bookmarkStart w:id="84" w:name="the-regime-layer"/>
    <w:p>
      <w:pPr>
        <w:pStyle w:val="Heading3"/>
        <w:spacing w:line="480" w:lineRule="auto"/>
      </w:pPr>
      <w:r>
        <w:t xml:space="preserve">3.3.1 The Regime Layer</w:t>
      </w:r>
    </w:p>
    <w:p>
      <w:pPr>
        <w:pStyle w:val="FirstParagraph"/>
        <w:spacing w:line="480" w:lineRule="auto"/>
      </w:pPr>
      <w:r>
        <w:t xml:space="preserve">The regime layer encompasses the legal and normative environment that surrounds the Registration Convention. The Convention is best read as an evolving institutional process rather than a fixed rule, with norms of practice that have shifted across the study window in response to changes in launch cadence, the emergence of large constellations, and the broader sustainability agenda within which transparency is increasingly framed</w:t>
      </w:r>
      <w:r>
        <w:t xml:space="preserve"> </w:t>
      </w:r>
      <w:hyperlink w:anchor="ref-3">
        <w:r>
          <w:rPr>
            <w:rStyle w:val="Hyperlink"/>
          </w:rPr>
          <w:t xml:space="preserve">[3]</w:t>
        </w:r>
      </w:hyperlink>
      <w:r>
        <w:t xml:space="preserve">,</w:t>
      </w:r>
      <w:r>
        <w:t xml:space="preserve"> </w:t>
      </w:r>
      <w:hyperlink w:anchor="ref-17">
        <w:r>
          <w:rPr>
            <w:rStyle w:val="Hyperlink"/>
          </w:rPr>
          <w:t xml:space="preserve">[17]</w:t>
        </w:r>
      </w:hyperlink>
      <w:r>
        <w:t xml:space="preserve">. The regime layer determines the baseline expectation against which any individual disclosure act is evaluated, and it explains why pooled cross-period estimates will mask period effects unless launch epoch is explicitly conditioned upon.</w:t>
      </w:r>
    </w:p>
    <w:p>
      <w:pPr>
        <w:pStyle w:val="BodyText"/>
        <w:spacing w:line="480" w:lineRule="auto"/>
        <w:ind w:firstLine="720"/>
      </w:pPr>
      <w:r>
        <w:t xml:space="preserve">Two regime-level features matter for the mechanism. The first is the diffusion of bulk furnishing practices following the deployment of large commercial constellations after 2017, which compressed the disclosure delay typical of the largest operators and produced a structural break that any well-posed estimator must accommodate</w:t>
      </w:r>
      <w:r>
        <w:t xml:space="preserve"> </w:t>
      </w:r>
      <w:hyperlink w:anchor="ref-1">
        <w:r>
          <w:rPr>
            <w:rStyle w:val="Hyperlink"/>
          </w:rPr>
          <w:t xml:space="preserve">[1]</w:t>
        </w:r>
      </w:hyperlink>
      <w:r>
        <w:t xml:space="preserve">,</w:t>
      </w:r>
      <w:r>
        <w:t xml:space="preserve"> </w:t>
      </w:r>
      <w:hyperlink w:anchor="ref-15">
        <w:r>
          <w:rPr>
            <w:rStyle w:val="Hyperlink"/>
          </w:rPr>
          <w:t xml:space="preserve">[15]</w:t>
        </w:r>
      </w:hyperlink>
      <w:r>
        <w:t xml:space="preserve">. The second is the parallel diffusion of sustainability and transparency norms across the same period, which raised the reputational cost of conspicuous non-disclosure for civil and commercial actors while leaving the cost calculus of defense-affiliated actors largely unchanged</w:t>
      </w:r>
      <w:r>
        <w:t xml:space="preserve"> </w:t>
      </w:r>
      <w:hyperlink w:anchor="ref-3">
        <w:r>
          <w:rPr>
            <w:rStyle w:val="Hyperlink"/>
          </w:rPr>
          <w:t xml:space="preserve">[3]</w:t>
        </w:r>
      </w:hyperlink>
      <w:r>
        <w:t xml:space="preserve">,</w:t>
      </w:r>
      <w:r>
        <w:t xml:space="preserve"> </w:t>
      </w:r>
      <w:hyperlink w:anchor="ref-17">
        <w:r>
          <w:rPr>
            <w:rStyle w:val="Hyperlink"/>
          </w:rPr>
          <w:t xml:space="preserve">[17]</w:t>
        </w:r>
      </w:hyperlink>
      <w:r>
        <w:t xml:space="preserve">,</w:t>
      </w:r>
      <w:r>
        <w:t xml:space="preserve"> </w:t>
      </w:r>
      <w:hyperlink w:anchor="ref-19">
        <w:r>
          <w:rPr>
            <w:rStyle w:val="Hyperlink"/>
          </w:rPr>
          <w:t xml:space="preserve">[19]</w:t>
        </w:r>
      </w:hyperlink>
      <w:r>
        <w:t xml:space="preserve">. The regime layer therefore supplies the time-varying baseline against which operator behavior is read.</w:t>
      </w:r>
    </w:p>
    <w:bookmarkEnd w:id="84"/>
    <w:bookmarkStart w:id="85" w:name="the-operator-layer"/>
    <w:p>
      <w:pPr>
        <w:pStyle w:val="Heading3"/>
        <w:spacing w:line="480" w:lineRule="auto"/>
      </w:pPr>
      <w:r>
        <w:t xml:space="preserve">3.3.2 The Operator Layer</w:t>
      </w:r>
    </w:p>
    <w:p>
      <w:pPr>
        <w:pStyle w:val="FirstParagraph"/>
        <w:spacing w:line="480" w:lineRule="auto"/>
      </w:pPr>
      <w:r>
        <w:t xml:space="preserve">The operator layer is the proximate decision unit and the locus of the behavioral mechanism this dissertation tests. Three operator classes carry distinct incentive structures with respect to the timing and completeness of disclosure.</w:t>
      </w:r>
    </w:p>
    <w:p>
      <w:pPr>
        <w:pStyle w:val="BodyText"/>
        <w:spacing w:line="480" w:lineRule="auto"/>
        <w:ind w:firstLine="720"/>
      </w:pPr>
      <w:r>
        <w:t xml:space="preserve">Civil operators, defined as national space agencies and other public-sector entities whose mission is openly stated and whose institutional identity is bound up with the international scientific community, face strong reputational and political incentives to disclose promptly and completely. The civil class also operates under transparency expectations internal to its own institutional culture that often exceed the Convention’s minimum requirements. The operator-behavior account therefore predicts that civil operators will exhibit short and tightly distributed lag once regime and epoch are held fixed.</w:t>
      </w:r>
    </w:p>
    <w:p>
      <w:pPr>
        <w:pStyle w:val="BodyText"/>
        <w:spacing w:line="480" w:lineRule="auto"/>
        <w:ind w:firstLine="720"/>
      </w:pPr>
      <w:r>
        <w:t xml:space="preserve">Commercial operators face a more complicated incentive structure. On one hand, commercial firms operating in the constellation era have strong reasons to disclose, since their business depends on cataloging accuracy for collision avoidance, frequency coordination, and insurance pricing, and bulk furnishing through their launching State of registry has become a standard part of operational practice</w:t>
      </w:r>
      <w:r>
        <w:t xml:space="preserve"> </w:t>
      </w:r>
      <w:hyperlink w:anchor="ref-1">
        <w:r>
          <w:rPr>
            <w:rStyle w:val="Hyperlink"/>
          </w:rPr>
          <w:t xml:space="preserve">[1]</w:t>
        </w:r>
      </w:hyperlink>
      <w:r>
        <w:t xml:space="preserve">,</w:t>
      </w:r>
      <w:r>
        <w:t xml:space="preserve"> </w:t>
      </w:r>
      <w:hyperlink w:anchor="ref-15">
        <w:r>
          <w:rPr>
            <w:rStyle w:val="Hyperlink"/>
          </w:rPr>
          <w:t xml:space="preserve">[15]</w:t>
        </w:r>
      </w:hyperlink>
      <w:r>
        <w:t xml:space="preserve">. The collision-avoidance literature now treats encouragement of registration as part of the operational norm rather than as an external requirement</w:t>
      </w:r>
      <w:r>
        <w:t xml:space="preserve"> </w:t>
      </w:r>
      <w:hyperlink w:anchor="ref-5">
        <w:r>
          <w:rPr>
            <w:rStyle w:val="Hyperlink"/>
          </w:rPr>
          <w:t xml:space="preserve">[5]</w:t>
        </w:r>
      </w:hyperlink>
      <w:r>
        <w:t xml:space="preserve">. On the other hand, commercial firms occasionally carry payloads whose specific functions they would prefer to obscure for competitive reasons. The net prediction for the commercial class is therefore a short central tendency, similar to the civil class, with a longer right tail that reflects the minority of objects whose particulars are deferred.</w:t>
      </w:r>
    </w:p>
    <w:p>
      <w:pPr>
        <w:pStyle w:val="BodyText"/>
        <w:spacing w:line="480" w:lineRule="auto"/>
        <w:ind w:firstLine="720"/>
      </w:pPr>
      <w:r>
        <w:t xml:space="preserve">Defense-affiliated operators face the sharpest incentive divergence from the Convention’s disclosure ideal. The mission-sensitivity logic that has structured national-security space activity since the inception of the regime continues to favor delayed and incomplete disclosure of particulars that could reveal capabilities, orbital architectures, or operational concepts. The reform literature treats this exact decoupling between activity and disclosure as the central policy problem the regime must resolve, and it identifies the defense-affiliated class as the locus of the problem</w:t>
      </w:r>
      <w:r>
        <w:t xml:space="preserve"> </w:t>
      </w:r>
      <w:hyperlink w:anchor="ref-2">
        <w:r>
          <w:rPr>
            <w:rStyle w:val="Hyperlink"/>
          </w:rPr>
          <w:t xml:space="preserve">[2]</w:t>
        </w:r>
      </w:hyperlink>
      <w:r>
        <w:t xml:space="preserve">,</w:t>
      </w:r>
      <w:r>
        <w:t xml:space="preserve"> </w:t>
      </w:r>
      <w:hyperlink w:anchor="ref-14">
        <w:r>
          <w:rPr>
            <w:rStyle w:val="Hyperlink"/>
          </w:rPr>
          <w:t xml:space="preserve">[14]</w:t>
        </w:r>
      </w:hyperlink>
      <w:r>
        <w:t xml:space="preserve">. The operator-behavior account therefore predicts that defense-affiliated operators will exhibit a lag distribution that is stochastically larger than the civil and commercial distributions once regime and epoch are held fixed, and that this difference will appear on both the intensive margin of timing and the extensive margin of completeness.</w:t>
      </w:r>
    </w:p>
    <w:p>
      <w:pPr>
        <w:pStyle w:val="BodyText"/>
        <w:spacing w:line="480" w:lineRule="auto"/>
        <w:ind w:firstLine="720"/>
      </w:pPr>
      <w:r>
        <w:t xml:space="preserve">The cross-sectional analysis in the first companion paper provides preliminary intensive-margin support for this prediction, with defense-affiliated cohorts registering approximately seven hundred days later than civil cohorts at the same orbital regime and epoch</w:t>
      </w:r>
      <w:r>
        <w:t xml:space="preserve"> </w:t>
      </w:r>
      <w:hyperlink w:anchor="ref-2">
        <w:r>
          <w:rPr>
            <w:rStyle w:val="Hyperlink"/>
          </w:rPr>
          <w:t xml:space="preserve">[2]</w:t>
        </w:r>
      </w:hyperlink>
      <w:r>
        <w:t xml:space="preserve">. The logistic analysis in the second companion paper provides directionally consistent extensive-margin support, with defense-operator share moving the modeled odds of a delayed-or-missing outcome sharply upward, though the cohort-level sample size does not reach conventional significance</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 These two results frame the empirical agenda of the present dissertation as an object-level reconciliation that should sharpen both estimates while preserving their consistent sign.</w:t>
      </w:r>
    </w:p>
    <w:bookmarkEnd w:id="85"/>
    <w:bookmarkStart w:id="86" w:name="the-state-layer"/>
    <w:p>
      <w:pPr>
        <w:pStyle w:val="Heading3"/>
        <w:spacing w:line="480" w:lineRule="auto"/>
      </w:pPr>
      <w:r>
        <w:t xml:space="preserve">3.3.3 The State Layer</w:t>
      </w:r>
    </w:p>
    <w:p>
      <w:pPr>
        <w:pStyle w:val="FirstParagraph"/>
        <w:spacing w:line="480" w:lineRule="auto"/>
      </w:pPr>
      <w:r>
        <w:t xml:space="preserve">The State layer is the administrative conduit through which any disclosure must pass. The launching State is the legally responsible actor under the Convention and the entity whose foreign ministry or designated registry authority physically transmits the document to the Secretary-General</w:t>
      </w:r>
      <w:r>
        <w:t xml:space="preserve"> </w:t>
      </w:r>
      <w:hyperlink w:anchor="ref-2">
        <w:r>
          <w:rPr>
            <w:rStyle w:val="Hyperlink"/>
          </w:rPr>
          <w:t xml:space="preserve">[2]</w:t>
        </w:r>
      </w:hyperlink>
      <w:r>
        <w:t xml:space="preserve">,</w:t>
      </w:r>
      <w:r>
        <w:t xml:space="preserve"> </w:t>
      </w:r>
      <w:hyperlink w:anchor="ref-14">
        <w:r>
          <w:rPr>
            <w:rStyle w:val="Hyperlink"/>
          </w:rPr>
          <w:t xml:space="preserve">[14]</w:t>
        </w:r>
      </w:hyperlink>
      <w:r>
        <w:t xml:space="preserve">. State-level administrative latency therefore enters the observed lag as a component that is conceptually distinct from operator behavior. Two States with identical operator populations could exhibit different mean lag because one State processes furnishings within weeks while the other accumulates them for quarterly or annual transmission. This is not a behavioral attribute of the operator, and reading it as one would mislead.</w:t>
      </w:r>
    </w:p>
    <w:p>
      <w:pPr>
        <w:pStyle w:val="BodyText"/>
        <w:spacing w:line="480" w:lineRule="auto"/>
        <w:ind w:firstLine="720"/>
      </w:pPr>
      <w:r>
        <w:t xml:space="preserve">The State layer is also where decentralization of the information chain matters. Recent work has argued that the architecture of space information sharing should move away from centralized clearinghouses toward decentralized arrangements that preserve trust and accountability without privileging any single broker</w:t>
      </w:r>
      <w:r>
        <w:t xml:space="preserve"> </w:t>
      </w:r>
      <w:hyperlink w:anchor="ref-7">
        <w:r>
          <w:rPr>
            <w:rStyle w:val="Hyperlink"/>
          </w:rPr>
          <w:t xml:space="preserve">[7]</w:t>
        </w:r>
      </w:hyperlink>
      <w:r>
        <w:t xml:space="preserve">. That argument illuminates why a single launching State’s processing speed can become a structural bottleneck under the current arrangement: the receipt date at the Secretary-General is downstream of every internal step the State chose to insert. The State layer accordingly enters the empirical framework as a stratum rather than as a covariate, on the rationale that within-State comparisons of operator types isolate the operator-behavior pathway from the State-administrative pathway, which pooled comparisons cannot do.</w:t>
      </w:r>
    </w:p>
    <w:bookmarkEnd w:id="86"/>
    <w:bookmarkEnd w:id="87"/>
    <w:bookmarkStart w:id="88" w:name="causal-logic-and-identification"/>
    <w:p>
      <w:pPr>
        <w:pStyle w:val="Heading2"/>
        <w:spacing w:line="480" w:lineRule="auto"/>
      </w:pPr>
      <w:r>
        <w:t xml:space="preserve">3.4 Causal Logic and Identification</w:t>
      </w:r>
    </w:p>
    <w:p>
      <w:pPr>
        <w:pStyle w:val="FirstParagraph"/>
        <w:spacing w:line="480" w:lineRule="auto"/>
      </w:pPr>
      <w:r>
        <w:t xml:space="preserve">The causal claim the dissertation defends is narrow and directional. Holding orbital regime and launch epoch fixed, the operator class to which an object belongs exercises an independent influence on the timing and completeness of the legal disclosure of that object, with defense-affiliated objects exhibiting longer expected lag and a higher probability of delayed or missing disclosure than civil or commercial objects at the same regime and epoch. The claim is causal in the structural sense that the operator class shapes the incentive to disclose, and the State and the regime together shape the channel through which the disclosure flows. It is not a claim that operator class determines disclosure outcomes mechanically, since the regime and the State retain substantial influence over the realized timing.</w:t>
      </w:r>
    </w:p>
    <w:p>
      <w:pPr>
        <w:pStyle w:val="BodyText"/>
        <w:spacing w:line="480" w:lineRule="auto"/>
        <w:ind w:firstLine="720"/>
      </w:pPr>
      <w:r>
        <w:t xml:space="preserve">Three identification considerations follow from the structural account in Section 3.3. The first is the necessity of conditioning on orbital regime. Operator class and orbital regime are not independent in the launch record. Defense-affiliated operators concentrate in particular regimes, and large commercial constellations concentrate in others. Unconditional comparisons of mean lag across operator classes would therefore confound operator behavior with regime-driven differences in registration practice. Conditioning on regime addresses this confounder and yields an estimand that is the operator-behavior effect at a fixed regime, which is the quantity the theoretical mechanism actually predicts.</w:t>
      </w:r>
    </w:p>
    <w:p>
      <w:pPr>
        <w:pStyle w:val="BodyText"/>
        <w:spacing w:line="480" w:lineRule="auto"/>
        <w:ind w:firstLine="720"/>
      </w:pPr>
      <w:r>
        <w:t xml:space="preserve">The second is the necessity of conditioning on launch epoch. Constellation deployment, the diffusion of bulk furnishing practice, and the broader sustainability agenda are temporally concentrated phenomena that have shifted the baseline expectation against which any operator’s disclosure timing is evaluated</w:t>
      </w:r>
      <w:r>
        <w:t xml:space="preserve"> </w:t>
      </w:r>
      <w:hyperlink w:anchor="ref-3">
        <w:r>
          <w:rPr>
            <w:rStyle w:val="Hyperlink"/>
          </w:rPr>
          <w:t xml:space="preserve">[3]</w:t>
        </w:r>
      </w:hyperlink>
      <w:r>
        <w:t xml:space="preserve">,</w:t>
      </w:r>
      <w:r>
        <w:t xml:space="preserve"> </w:t>
      </w:r>
      <w:hyperlink w:anchor="ref-17">
        <w:r>
          <w:rPr>
            <w:rStyle w:val="Hyperlink"/>
          </w:rPr>
          <w:t xml:space="preserve">[17]</w:t>
        </w:r>
      </w:hyperlink>
      <w:r>
        <w:t xml:space="preserve">,</w:t>
      </w:r>
      <w:r>
        <w:t xml:space="preserve"> </w:t>
      </w:r>
      <w:hyperlink w:anchor="ref-19">
        <w:r>
          <w:rPr>
            <w:rStyle w:val="Hyperlink"/>
          </w:rPr>
          <w:t xml:space="preserve">[19]</w:t>
        </w:r>
      </w:hyperlink>
      <w:r>
        <w:t xml:space="preserve">. Conditioning on epoch isolates the operator-behavior effect from the regime-level time trend and from any cohort effect attributable to the constellation era. The cross-sectional companion paper makes this conditioning explicit by including a linear epoch term, with a coefficient that is positive and significant and that absorbs the cohort-level constellation widening of disclosure delay</w:t>
      </w:r>
      <w:r>
        <w:t xml:space="preserve"> </w:t>
      </w:r>
      <w:hyperlink w:anchor="ref-1">
        <w:r>
          <w:rPr>
            <w:rStyle w:val="Hyperlink"/>
          </w:rPr>
          <w:t xml:space="preserve">[1]</w:t>
        </w:r>
      </w:hyperlink>
      <w:r>
        <w:t xml:space="preserve">.</w:t>
      </w:r>
    </w:p>
    <w:p>
      <w:pPr>
        <w:pStyle w:val="BodyText"/>
        <w:spacing w:line="480" w:lineRule="auto"/>
        <w:ind w:firstLine="720"/>
      </w:pPr>
      <w:r>
        <w:t xml:space="preserve">The third is the partition of the State and the operator effects. Because the legal timestamp records the date of receipt by the Secretary-General, and not the date the operator transmitted the furnishing to the State or the date the State decided to forward it, observed lag conflates State administrative latency with operator behavior. State-level strata are the principal device by which the framework isolates the operator-behavior pathway. Within-State comparisons of operator types remove the State-specific administrative component, leaving an operator-behavior estimand. Where State-level strata are too thin to support estimation, the framework substitutes time-varying State-level covariates for the administrative pathway.</w:t>
      </w:r>
    </w:p>
    <w:p>
      <w:pPr>
        <w:pStyle w:val="BodyText"/>
        <w:spacing w:line="480" w:lineRule="auto"/>
        <w:ind w:firstLine="720"/>
      </w:pPr>
      <w:r>
        <w:t xml:space="preserve">The framework does not assume that operator class is exogenous in any absolute sense. Operator class plausibly proxies for an unobserved mission-sensitivity attribute that drives both delay and regime choice, and that residual identification risk is the same risk the reform literature names as the policy problem the regime must solve</w:t>
      </w:r>
      <w:r>
        <w:t xml:space="preserve"> </w:t>
      </w:r>
      <w:hyperlink w:anchor="ref-2">
        <w:r>
          <w:rPr>
            <w:rStyle w:val="Hyperlink"/>
          </w:rPr>
          <w:t xml:space="preserve">[2]</w:t>
        </w:r>
      </w:hyperlink>
      <w:r>
        <w:t xml:space="preserve">,</w:t>
      </w:r>
      <w:r>
        <w:t xml:space="preserve"> </w:t>
      </w:r>
      <w:hyperlink w:anchor="ref-14">
        <w:r>
          <w:rPr>
            <w:rStyle w:val="Hyperlink"/>
          </w:rPr>
          <w:t xml:space="preserve">[14]</w:t>
        </w:r>
      </w:hyperlink>
      <w:r>
        <w:t xml:space="preserve">. The empirical chapters therefore treat the operator-behavior estimand as a conditional association that is consistent with the structural account in Section 3.3, that survives a sequence of robustness checks, and that converges across two distinct estimators applied to different margins of the same disclosure object. Convergence across margins is the principal evidentiary argument the dissertation makes for the causal interpretation, since the survival and logistic estimators draw on different features of the data and yet, in the two companion papers, agree in sign and in operator-class ordering</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p>
    <w:bookmarkEnd w:id="88"/>
    <w:bookmarkStart w:id="89" w:name="formal-hypotheses"/>
    <w:p>
      <w:pPr>
        <w:pStyle w:val="Heading2"/>
        <w:spacing w:line="480" w:lineRule="auto"/>
      </w:pPr>
      <w:r>
        <w:t xml:space="preserve">3.5 Formal Hypotheses</w:t>
      </w:r>
    </w:p>
    <w:p>
      <w:pPr>
        <w:pStyle w:val="FirstParagraph"/>
        <w:spacing w:line="480" w:lineRule="auto"/>
      </w:pPr>
      <w:r>
        <w:t xml:space="preserve">The theoretical framework supports a single falsifiable proposition about the conditional distribution of registration lag, framed as competing hypotheses about the role of operator type once orbital regime and launch epoch are held fixed. The hypotheses are stated at the object level, because the object is the legal unit of the Convention’s disclosure obligation, and they are mapped to the dual-estimator design that Chapter 2 introduced.</w:t>
      </w:r>
    </w:p>
    <w:p>
      <w:pPr>
        <w:spacing w:line="480" w:lineRule="auto"/>
        <w:numPr>
          <w:ilvl w:val="0"/>
          <w:numId w:val="1001"/>
        </w:numPr>
      </w:pPr>
      <w:r>
        <w:rPr>
          <w:b/>
          <w:bCs/>
        </w:rPr>
        <w:t xml:space="preserve">H0 (null).</w:t>
      </w:r>
      <w:r>
        <w:t xml:space="preserve"> </w:t>
      </w:r>
      <w:r>
        <w:t xml:space="preserve">Conditional on orbital regime and launch epoch, the distribution of registration lag is independent of operator type. The hazard of legal disclosure does not differ across civil, commercial, and defense-affiliated operators, and the probability of a delayed-or-missing disclosure outcome does not vary with the defense-operator share of the relevant cohort.</w:t>
      </w:r>
    </w:p>
    <w:p>
      <w:pPr>
        <w:spacing w:line="480" w:lineRule="auto"/>
        <w:numPr>
          <w:ilvl w:val="0"/>
          <w:numId w:val="1001"/>
        </w:numPr>
      </w:pPr>
      <w:r>
        <w:rPr>
          <w:b/>
          <w:bCs/>
        </w:rPr>
        <w:t xml:space="preserve">H1 (alternative).</w:t>
      </w:r>
      <w:r>
        <w:t xml:space="preserve"> </w:t>
      </w:r>
      <w:r>
        <w:t xml:space="preserve">Conditional on orbital regime and launch epoch, the distribution of registration lag differs systematically by operator type. At least one operator class exhibits a lag distribution that is stochastically larger than the others, and the defense-affiliated class exhibits both a lower hazard of legal disclosure on the intensive margin and a higher probability of delayed-or-missing disclosure on the extensive margin.</w:t>
      </w:r>
    </w:p>
    <w:p>
      <w:pPr>
        <w:pStyle w:val="FirstParagraph"/>
        <w:spacing w:line="480" w:lineRule="auto"/>
      </w:pPr>
      <w:r>
        <w:t xml:space="preserve">H0 and H1 carry distinct empirical signatures and distinct policy implications. Under H0, the observed variation in registration lag is fully explained by the regime layer and by State-level administrative variation, and reform effort aimed at shrinking the activity-to-disclosure gap should target process latency at the State level rather than actor behavior at the operator level. Under H1, the residual variation that operator type carries is itself the governance signal, and reform effort should target the actor incentives that decouple operating from registering</w:t>
      </w:r>
      <w:r>
        <w:t xml:space="preserve"> </w:t>
      </w:r>
      <w:hyperlink w:anchor="ref-2">
        <w:r>
          <w:rPr>
            <w:rStyle w:val="Hyperlink"/>
          </w:rPr>
          <w:t xml:space="preserve">[2]</w:t>
        </w:r>
      </w:hyperlink>
      <w:r>
        <w:t xml:space="preserve">,</w:t>
      </w:r>
      <w:r>
        <w:t xml:space="preserve"> </w:t>
      </w:r>
      <w:hyperlink w:anchor="ref-14">
        <w:r>
          <w:rPr>
            <w:rStyle w:val="Hyperlink"/>
          </w:rPr>
          <w:t xml:space="preserve">[14]</w:t>
        </w:r>
      </w:hyperlink>
      <w:r>
        <w:t xml:space="preserve">. The two readings are mutually exclusive on the empirical record produced by the dual-estimator design, which is the property that makes the proposition falsifiable.</w:t>
      </w:r>
    </w:p>
    <w:p>
      <w:pPr>
        <w:pStyle w:val="BodyText"/>
        <w:spacing w:line="480" w:lineRule="auto"/>
        <w:ind w:firstLine="720"/>
      </w:pPr>
      <w:r>
        <w:t xml:space="preserve">The mapping from hypotheses to estimators follows Chapter 2. The Cox proportional-hazards model addresses the intensive margin of timing, treating never-registered objects as right-censored and estimating hazard ratios for operator-type indicators relative to a civil baseline, with orbital regime and launch year entered as strata. H0 corresponds to a joint hazard ratio of unity on the operator-type indicators; H1 corresponds to at least one operator-type hazard ratio that is reliably distinguishable from unity, with the defense indicator expected to be below unity in the direction the framework predicts. The logistic model addresses the extensive margin of completeness, with a binary outcome capturing whether an object’s cohort is furnished within the window and the same covariate set entered on the log-odds scale. H0 corresponds to a zero coefficient on the defense-operator share; H1 corresponds to a positive coefficient. Convergence of the two estimators in sign and operator-class ordering, even where individual coefficients fall short of conventional significance in the cohort-level sample, is the standard of evidence the dissertation adopts, and it is the standard the two companion papers have already begun to meet</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p>
    <w:bookmarkEnd w:id="89"/>
    <w:bookmarkStart w:id="90" w:name="Xfee87d11832ba8f52fa58e0675b1f16e1ca96eb"/>
    <w:p>
      <w:pPr>
        <w:pStyle w:val="Heading2"/>
        <w:spacing w:line="480" w:lineRule="auto"/>
      </w:pPr>
      <w:r>
        <w:t xml:space="preserve">3.6 Scope Conditions and Threats to the Framework</w:t>
      </w:r>
    </w:p>
    <w:p>
      <w:pPr>
        <w:pStyle w:val="FirstParagraph"/>
        <w:spacing w:line="480" w:lineRule="auto"/>
      </w:pPr>
      <w:r>
        <w:t xml:space="preserve">Four scope conditions and threats deserve explicit statement before the empirical chapters proceed. They do not undermine the theoretical framework, but they bound the claims the framework supports.</w:t>
      </w:r>
    </w:p>
    <w:p>
      <w:pPr>
        <w:pStyle w:val="BodyText"/>
        <w:spacing w:line="480" w:lineRule="auto"/>
        <w:ind w:firstLine="720"/>
      </w:pPr>
      <w:r>
        <w:t xml:space="preserve">The first is the observation-side measurement boundary. The public catalog under-resolves small objects and is sparse beyond the geosynchronous belt, so the activity timestamp is itself censored for the hardest cases</w:t>
      </w:r>
      <w:r>
        <w:t xml:space="preserve"> </w:t>
      </w:r>
      <w:hyperlink w:anchor="ref-4">
        <w:r>
          <w:rPr>
            <w:rStyle w:val="Hyperlink"/>
          </w:rPr>
          <w:t xml:space="preserve">[4]</w:t>
        </w:r>
      </w:hyperlink>
      <w:r>
        <w:t xml:space="preserve">. The framework is well posed for regimes in which catalog completeness is documented and is correspondingly weaker as the analysis extends into the cislunar regime, where the same governance indicator is most needed. The dual-estimator design partially addresses this by routing undetected and never-registered objects into the logistic extensive-margin model rather than treating them as ordinary censored observations.</w:t>
      </w:r>
    </w:p>
    <w:p>
      <w:pPr>
        <w:pStyle w:val="BodyText"/>
        <w:spacing w:line="480" w:lineRule="auto"/>
        <w:ind w:firstLine="720"/>
      </w:pPr>
      <w:r>
        <w:t xml:space="preserve">The second is the legal-timestamp boundary. The receipt date at the Secretary-General records the moment of legal disclosure, not the moment of operator decision, and the framework cannot decompose those two moments without State-level data on internal processing latency. State strata absorb a substantial share of this latency, but the residual share is the principal source of identification risk on the operator-behavior estimand, and the cross-sectional companion paper acknowledges it explicitly</w:t>
      </w:r>
      <w:r>
        <w:t xml:space="preserve"> </w:t>
      </w:r>
      <w:hyperlink w:anchor="ref-2">
        <w:r>
          <w:rPr>
            <w:rStyle w:val="Hyperlink"/>
          </w:rPr>
          <w:t xml:space="preserve">[2]</w:t>
        </w:r>
      </w:hyperlink>
      <w:r>
        <w:t xml:space="preserve">.</w:t>
      </w:r>
    </w:p>
    <w:p>
      <w:pPr>
        <w:pStyle w:val="BodyText"/>
        <w:spacing w:line="480" w:lineRule="auto"/>
        <w:ind w:firstLine="720"/>
      </w:pPr>
      <w:r>
        <w:t xml:space="preserve">The third is the non-stationarity of the regime. Registration norms, launch cadence, and the broader sustainability agenda have all shifted across the study window, and the framework assumes only that these shifts are captured by the launch-epoch term and by period-interaction robustness checks</w:t>
      </w:r>
      <w:r>
        <w:t xml:space="preserve"> </w:t>
      </w:r>
      <w:hyperlink w:anchor="ref-3">
        <w:r>
          <w:rPr>
            <w:rStyle w:val="Hyperlink"/>
          </w:rPr>
          <w:t xml:space="preserve">[3]</w:t>
        </w:r>
      </w:hyperlink>
      <w:r>
        <w:t xml:space="preserve">,</w:t>
      </w:r>
      <w:r>
        <w:t xml:space="preserve"> </w:t>
      </w:r>
      <w:hyperlink w:anchor="ref-17">
        <w:r>
          <w:rPr>
            <w:rStyle w:val="Hyperlink"/>
          </w:rPr>
          <w:t xml:space="preserve">[17]</w:t>
        </w:r>
      </w:hyperlink>
      <w:r>
        <w:t xml:space="preserve">. The framework would be strained by a structural break sharp enough to render the operator-class incentive logic itself time-varying, and the chapter takes no position on whether such a break will occur in the post-window cislunar era.</w:t>
      </w:r>
    </w:p>
    <w:p>
      <w:pPr>
        <w:pStyle w:val="BodyText"/>
        <w:spacing w:line="480" w:lineRule="auto"/>
        <w:ind w:firstLine="720"/>
      </w:pPr>
      <w:r>
        <w:t xml:space="preserve">The fourth is the proxy character of operator class. The framework treats operator class as a proxy for the underlying incentive structure that mission sensitivity, institutional identity, and reputational exposure jointly produce. Where coding permits, the empirical chapters will introduce direct sensitivity indicators alongside operator class to probe whether the operator-class effect survives the inclusion of a more proximate sensitivity covariate. Where coding does not permit, the framework defers to the reform literature’s interpretive vocabulary and treats operator class as the best available proxy for the underlying incentive</w:t>
      </w:r>
      <w:r>
        <w:t xml:space="preserve"> </w:t>
      </w:r>
      <w:hyperlink w:anchor="ref-2">
        <w:r>
          <w:rPr>
            <w:rStyle w:val="Hyperlink"/>
          </w:rPr>
          <w:t xml:space="preserve">[2]</w:t>
        </w:r>
      </w:hyperlink>
      <w:r>
        <w:t xml:space="preserve">,</w:t>
      </w:r>
      <w:r>
        <w:t xml:space="preserve"> </w:t>
      </w:r>
      <w:hyperlink w:anchor="ref-14">
        <w:r>
          <w:rPr>
            <w:rStyle w:val="Hyperlink"/>
          </w:rPr>
          <w:t xml:space="preserve">[14]</w:t>
        </w:r>
      </w:hyperlink>
      <w:r>
        <w:t xml:space="preserve">.</w:t>
      </w:r>
    </w:p>
    <w:p>
      <w:pPr>
        <w:pStyle w:val="BodyText"/>
        <w:spacing w:line="480" w:lineRule="auto"/>
        <w:ind w:firstLine="720"/>
      </w:pPr>
      <w:r>
        <w:t xml:space="preserve">Within these scope conditions, the theoretical framework supports a clean test. Registration lag is computable from open, refreshable record. The mechanism that links operator class to lag is grounded in a behavioral logic that the reform literature has independently named as the regime’s central problem. The identification strategy isolates the operator-behavior pathway from the State-administrative pathway and from the regime-level time trend. The dual-estimator design exposes both the intensive margin of timing and the extensive margin of completeness, and the two companion papers have already produced directionally consistent preliminary evidence on each margin. The empirical chapters that follow apply this framework at the object level to the constructed panel of objects launched between 2010 and 2025, and they report the test of H0 against H1 on which the dissertation’s contribution rests.</w:t>
      </w:r>
    </w:p>
    <w:bookmarkEnd w:id="90"/>
    <w:bookmarkEnd w:id="91"/>
    <w:bookmarkStart w:id="98" w:name="chapter-4.-data-and-measurement"/>
    <w:p>
      <w:pPr>
        <w:pStyle w:val="Heading1"/>
        <w:spacing w:line="480" w:lineRule="auto"/>
      </w:pPr>
      <w:r>
        <w:t xml:space="preserve">Chapter 4. Data and Measurement</w:t>
      </w:r>
    </w:p>
    <w:p>
      <w:pPr>
        <w:pStyle w:val="FirstParagraph"/>
        <w:spacing w:line="480" w:lineRule="auto"/>
      </w:pPr>
      <w:r>
        <w:t xml:space="preserve">This chapter specifies the empirical infrastructure on which the dissertation rests. The argument advanced in Chapters 1 through 3 is that registration lag, the signed interval between an object becoming observably active on orbit and the deposit of its particulars with the Secretary-General of the United Nations, is a measurable governance indicator rather than administrative noise. Translating that argument into estimable quantities requires three commitments. First, the data must come from authoritative public sources that can be inspected, refreshed, and reconstructed independently. Second, the unit of analysis must be defined at the level at which the theoretical mechanism operates, which is the object for the survival analysis that frames the broader project and the launching-State by operator-class cohort for the two cross-sectional studies presented in Papers 1 and 2. Third, each variable in the analytic panels must be traceable to a primary record by an explicit construction rule, so that any reader could in principle rebuild the dataset and confirm or contest the values used.</w:t>
      </w:r>
    </w:p>
    <w:p>
      <w:pPr>
        <w:pStyle w:val="BodyText"/>
        <w:spacing w:line="480" w:lineRule="auto"/>
        <w:ind w:firstLine="720"/>
      </w:pPr>
      <w:r>
        <w:t xml:space="preserve">The chapter is organized to honor those three commitments. Section 4.1 names the authoritative sources used in both papers and explains why each was selected over plausible alternatives. Section 4.2 describes the construction of the disclosure-side records drawn from the United Nations Online Index of Objects Launched into Outer Space. Section 4.3 describes the construction of the activity-side records drawn from the public catalog published through Space-Track.org for Paper 1 and the independent GCAT catalog maintained by Jonathan McDowell for Paper 2. Section 4.4 specifies the unit of analysis used in each estimator and the rationale for treating the launching-State by operator-class by orbital-regime cohort as the relevant aggregation for the intensive-margin study and the launching-State by launch-epoch cohort as the relevant aggregation for the extensive-margin study. Section 4.5 walks through each variable in turn and gives the rule by which it is constructed from primary records. Section 4.6 discusses the residual measurement decisions, the small number of cells that were marked illustrative in the working datasets, and the transparent procedures used to flag rather than conceal those decisions.</w:t>
      </w:r>
    </w:p>
    <w:bookmarkStart w:id="92" w:name="authoritative-sources"/>
    <w:p>
      <w:pPr>
        <w:pStyle w:val="Heading2"/>
        <w:spacing w:line="480" w:lineRule="auto"/>
      </w:pPr>
      <w:r>
        <w:t xml:space="preserve">4.1 Authoritative Sources</w:t>
      </w:r>
    </w:p>
    <w:p>
      <w:pPr>
        <w:pStyle w:val="FirstParagraph"/>
        <w:spacing w:line="480" w:lineRule="auto"/>
      </w:pPr>
      <w:r>
        <w:t xml:space="preserve">Three public, citable, and refreshable sources underwrite the analytic panels: the United Nations Online Index of Objects Launched into Outer Space; the public catalog of resident space objects maintained by the United States Space Force eighteenth Space Defense Squadron and distributed through Space-Track.org; and the General Catalog of Artificial Space Objects, known as GCAT, maintained by Jonathan McDowell. A fourth source, the publicly maintained Union of Concerned Scientists Satellite Database, supplies operator-class coding where the registry is silent. Each is named below with its role and the reason it was selected as authoritative.</w:t>
      </w:r>
    </w:p>
    <w:p>
      <w:pPr>
        <w:pStyle w:val="BodyText"/>
        <w:spacing w:line="480" w:lineRule="auto"/>
        <w:ind w:firstLine="720"/>
      </w:pPr>
      <w:r>
        <w:t xml:space="preserve">The Online Index is the operational expression of the Registration Convention. Where the Convention obligates a launching State to furnish particulars to the Secretary-General, the Online Index is the artifact in which those particulars are recorded and made public. The legal hinge on which jurisdiction, control, and liability turn is the act of furnishing, and the Index records that act in time-stamped form. Recent doctrinal work treats this register as the authoritative reference point for any study of disclosure practice and explicitly calls for improvements to its operation as a precondition for functioning space traffic management</w:t>
      </w:r>
      <w:r>
        <w:t xml:space="preserve"> </w:t>
      </w:r>
      <w:hyperlink w:anchor="ref-14">
        <w:r>
          <w:rPr>
            <w:rStyle w:val="Hyperlink"/>
          </w:rPr>
          <w:t xml:space="preserve">[14]</w:t>
        </w:r>
      </w:hyperlink>
      <w:r>
        <w:t xml:space="preserve">,</w:t>
      </w:r>
      <w:r>
        <w:t xml:space="preserve"> </w:t>
      </w:r>
      <w:hyperlink w:anchor="ref-2">
        <w:r>
          <w:rPr>
            <w:rStyle w:val="Hyperlink"/>
          </w:rPr>
          <w:t xml:space="preserve">[2]</w:t>
        </w:r>
      </w:hyperlink>
      <w:r>
        <w:t xml:space="preserve">. The graph-theoretic data model that organizes registration records into a queryable structure is the same model that supplies the join logic adopted here</w:t>
      </w:r>
      <w:r>
        <w:t xml:space="preserve"> </w:t>
      </w:r>
      <w:hyperlink w:anchor="ref-15">
        <w:r>
          <w:rPr>
            <w:rStyle w:val="Hyperlink"/>
          </w:rPr>
          <w:t xml:space="preserve">[15]</w:t>
        </w:r>
      </w:hyperlink>
      <w:r>
        <w:t xml:space="preserve">,</w:t>
      </w:r>
      <w:r>
        <w:t xml:space="preserve"> </w:t>
      </w:r>
      <w:hyperlink w:anchor="ref-1">
        <w:r>
          <w:rPr>
            <w:rStyle w:val="Hyperlink"/>
          </w:rPr>
          <w:t xml:space="preserve">[1]</w:t>
        </w:r>
      </w:hyperlink>
      <w:r>
        <w:t xml:space="preserve">. Selecting the Index as the disclosure-side source is therefore not a methodological convenience but a doctrinal necessity: any alternative would substitute a secondary compilation for the primary legal record.</w:t>
      </w:r>
    </w:p>
    <w:p>
      <w:pPr>
        <w:pStyle w:val="BodyText"/>
        <w:spacing w:line="480" w:lineRule="auto"/>
        <w:ind w:firstLine="720"/>
      </w:pPr>
      <w:r>
        <w:t xml:space="preserve">The activity-side source for the intensive-margin study reported in Paper 1 is the public catalog distributed through Space-Track.org. The eighteenth Space Defense Squadron of the United States Space Force publishes per-object two-line element sets, international designators known as COSPAR identifiers, and epoch histories for the catalog of tracked resident space objects. The first epoch at which an object appears in that catalog supplies the independent observation timestamp anchoring the activity side of the panel. The COSPAR identifier is the key that joins the activity record to the registry record, and that key is present in both sources without translation. The catalog is the most complete public-domain record of detected on-orbit activity for the near-Earth regimes in which the panel concentrates. Its known limitations, principally under-resolution of small objects and of objects in the cislunar regime</w:t>
      </w:r>
      <w:r>
        <w:t xml:space="preserve"> </w:t>
      </w:r>
      <w:hyperlink w:anchor="ref-4">
        <w:r>
          <w:rPr>
            <w:rStyle w:val="Hyperlink"/>
          </w:rPr>
          <w:t xml:space="preserve">[4]</w:t>
        </w:r>
      </w:hyperlink>
      <w:r>
        <w:t xml:space="preserve">, are inherited from the underlying sensor architecture and are discussed in the threats-to-validity section of the prospectus and again in Section 4.6 below.</w:t>
      </w:r>
    </w:p>
    <w:p>
      <w:pPr>
        <w:pStyle w:val="BodyText"/>
        <w:spacing w:line="480" w:lineRule="auto"/>
        <w:ind w:firstLine="720"/>
      </w:pPr>
      <w:r>
        <w:t xml:space="preserve">The activity-side source for the extensive-margin study reported in Paper 2 is the General Catalog of Artificial Space Objects (GCAT) maintained by Jonathan McDowell. GCAT is selected for the extensive-margin study rather than the Space-Track catalog because the question Paper 2 asks is not when an individual object first appears on orbit but how many objects in a given launching-State by launch-epoch cohort were placed into orbit and what fraction of those objects carries a military payload classification. GCAT publishes object counts by launching State, by year, and by regime, together with a military-payload classification field, and it is independent of the United States government catalog, and that independence matters for an extensive-margin study whose covariate of interest is the defense-operator share. Using GCAT for the cohort denominators reduces the risk that activity-side coverage and operator-side coding are correlated in ways that bias the disclosure-shortfall estimand.</w:t>
      </w:r>
    </w:p>
    <w:p>
      <w:pPr>
        <w:pStyle w:val="BodyText"/>
        <w:spacing w:line="480" w:lineRule="auto"/>
        <w:ind w:firstLine="720"/>
      </w:pPr>
      <w:r>
        <w:t xml:space="preserve">The Union of Concerned Scientists Satellite Database supplies operator-class coding where the registry particulars are silent or ambiguous on whether an object’s primary user is a civil agency, a commercial firm, or a defense-affiliated entity. It is a long-running publicly maintained compilation that is widely cited in the operational and policy literature on space sustainability and is, for the operator-coding step, the secondary record best aligned with the categories the registry itself implies. The use of a secondary compilation for operator coding, but never for the disclosure timestamps or the activity timestamps, is a deliberate design choice that confines the role of curated data to a single, separable measurement step.</w:t>
      </w:r>
    </w:p>
    <w:bookmarkEnd w:id="92"/>
    <w:bookmarkStart w:id="93" w:name="the-disclosure-side-record"/>
    <w:p>
      <w:pPr>
        <w:pStyle w:val="Heading2"/>
        <w:spacing w:line="480" w:lineRule="auto"/>
      </w:pPr>
      <w:r>
        <w:t xml:space="preserve">4.2 The Disclosure-Side Record</w:t>
      </w:r>
    </w:p>
    <w:p>
      <w:pPr>
        <w:pStyle w:val="FirstParagraph"/>
        <w:spacing w:line="480" w:lineRule="auto"/>
      </w:pPr>
      <w:r>
        <w:t xml:space="preserve">The disclosure-side record is constructed from the Online Index as follows. For each furnished object the Index publishes the registering State, the international designator, the date of launch, basic orbital parameters as supplied in the registration document, and the date the registration document itself was received by the Secretary-General. The received-date field is the legal timestamp anchoring the lag measure used throughout the dissertation. It is the date the disclosure obligation is, on the record, discharged; it is not the date the operator decided to disclose, and the gap between the two is the subject of the legal-timestamp ambiguity discussed in the prospectus and revisited below.</w:t>
      </w:r>
    </w:p>
    <w:p>
      <w:pPr>
        <w:pStyle w:val="BodyText"/>
        <w:spacing w:line="480" w:lineRule="auto"/>
        <w:ind w:firstLine="720"/>
      </w:pPr>
      <w:r>
        <w:t xml:space="preserve">For Paper 1, the dependent variable is constructed at the object level as the receipt date minus the launch date, expressed in days. The cohort value used in the cross-sectional model is the within-cell mean of those object-level lags, aggregated up to the launching-State by operator-class by orbital-regime by launch-year cell from which the cohort is drawn. The Index supplies both the launch date and the receipt date for every furnished object, so the construction of the cohort dependent variable does not require any imputation for cells in which every object is furnished. Cells in which some objects are never furnished are handled as the prospectus specifies, by analyzing the intensive margin only over furnished objects in Paper 1 and reserving the extensive-margin question for Paper 2.</w:t>
      </w:r>
    </w:p>
    <w:p>
      <w:pPr>
        <w:pStyle w:val="BodyText"/>
        <w:spacing w:line="480" w:lineRule="auto"/>
        <w:ind w:firstLine="720"/>
      </w:pPr>
      <w:r>
        <w:t xml:space="preserve">For Paper 2, the disclosure-side record contributes two derived quantities to each cohort: the documented registration rate, defined as the fraction of objects in the cohort for which a registration-document receipt date exists in the Index, and the mean receipt-date lag computed over the furnished subset of that cohort. The binary outcome variable, delayed or missing registration, is then constructed from those two derived quantities by the rule given in Section 4.5. The Index supplies the numerator and the partial denominator of the registration rate. The full denominator, that is, the count of objects actually placed into orbit by the cohort, comes from the activity side and is described in Section 4.3.</w:t>
      </w:r>
    </w:p>
    <w:p>
      <w:pPr>
        <w:pStyle w:val="BodyText"/>
        <w:spacing w:line="480" w:lineRule="auto"/>
        <w:ind w:firstLine="720"/>
      </w:pPr>
      <w:r>
        <w:t xml:space="preserve">The graph data model demonstrated by Le May and colleagues organizes the registration record into a relational structure in which launching States, objects, and registry entries are nodes connected by furnishing relationships</w:t>
      </w:r>
      <w:r>
        <w:t xml:space="preserve"> </w:t>
      </w:r>
      <w:hyperlink w:anchor="ref-15">
        <w:r>
          <w:rPr>
            <w:rStyle w:val="Hyperlink"/>
          </w:rPr>
          <w:t xml:space="preserve">[15]</w:t>
        </w:r>
      </w:hyperlink>
      <w:r>
        <w:t xml:space="preserve">,</w:t>
      </w:r>
      <w:r>
        <w:t xml:space="preserve"> </w:t>
      </w:r>
      <w:hyperlink w:anchor="ref-1">
        <w:r>
          <w:rPr>
            <w:rStyle w:val="Hyperlink"/>
          </w:rPr>
          <w:t xml:space="preserve">[1]</w:t>
        </w:r>
      </w:hyperlink>
      <w:r>
        <w:t xml:space="preserve">. That model is the template under which the COSPAR identifier resolves the many-to-one relationship from objects to launching States and the many-to-many relationship from objects to registering States in the rare cases where a registration is shared. The disclosure-side panel is a flattened projection of that graph onto an object-level table for Paper 1 and onto a cohort-level table for Paper 2.</w:t>
      </w:r>
    </w:p>
    <w:bookmarkEnd w:id="93"/>
    <w:bookmarkStart w:id="94" w:name="the-activity-side-record"/>
    <w:p>
      <w:pPr>
        <w:pStyle w:val="Heading2"/>
        <w:spacing w:line="480" w:lineRule="auto"/>
      </w:pPr>
      <w:r>
        <w:t xml:space="preserve">4.3 The Activity-Side Record</w:t>
      </w:r>
    </w:p>
    <w:p>
      <w:pPr>
        <w:pStyle w:val="FirstParagraph"/>
        <w:spacing w:line="480" w:lineRule="auto"/>
      </w:pPr>
      <w:r>
        <w:t xml:space="preserve">The activity-side record for Paper 1 is constructed from the public catalog distributed through Space-Track.org. The unit of the activity-side record is the resident space object, identified by its COSPAR identifier. For each object the catalog publishes the first epoch at which a two-line element set was issued, a continuing history of element-set epochs, and the orbital regime implied by those element sets. The first-epoch field supplies the independent observation timestamp anchoring the activity side of the panel, and the international designator supplies the join key into the disclosure-side record. The orbital-regime field is used to assign each object to the LEO or GEO regime used as a control in Paper 1’s specification, with the regime classification cross-checked against the orbital parameters that the registration record itself reports.</w:t>
      </w:r>
    </w:p>
    <w:p>
      <w:pPr>
        <w:pStyle w:val="BodyText"/>
        <w:spacing w:line="480" w:lineRule="auto"/>
        <w:ind w:firstLine="720"/>
      </w:pPr>
      <w:r>
        <w:t xml:space="preserve">The activity-side record for Paper 2 is constructed from GCAT. The unit of the activity-side record is, for the purposes of Paper 2’s cohort panel, an aggregate over the launching-State by launch-epoch cell. GCAT supplies the count of objects placed into orbit by each launching State in each year, the fraction of those objects in each orbital regime, and the military-payload classification field that anchors the defense-operator share. The military-payload classification field is the key construct on the activity side for Paper 2: it is the independently coded indicator of military versus non-military payload that, when combined with the UCS Satellite Database coding for non-military objects, yields the three-way civil, commercial, and defense operator classification at the cohort level.</w:t>
      </w:r>
    </w:p>
    <w:p>
      <w:pPr>
        <w:pStyle w:val="BodyText"/>
        <w:spacing w:line="480" w:lineRule="auto"/>
        <w:ind w:firstLine="720"/>
      </w:pPr>
      <w:r>
        <w:t xml:space="preserve">Both activity-side sources are refreshable, in that each is updated continuously by its respective steward and the underlying panels can be reconstructed by anyone with access to the public record. Both are citable, in that the steward and the access URL are documented. Both are independent of the disclosure-side source, which matters because the central object of measurement is the gap between the two sides. If the activity-side timestamp were derived from the disclosure-side record, or if the disclosure-side timestamp were derived from the activity-side record, the gap would be definitionally zero and the empirical exercise would be vacuous. The two records are joined only at the international designator and at the launching-State by launch-year cell, and they are otherwise constructed from independent measurement chains.</w:t>
      </w:r>
    </w:p>
    <w:bookmarkEnd w:id="94"/>
    <w:bookmarkStart w:id="95" w:name="unit-of-analysis"/>
    <w:p>
      <w:pPr>
        <w:pStyle w:val="Heading2"/>
        <w:spacing w:line="480" w:lineRule="auto"/>
      </w:pPr>
      <w:r>
        <w:t xml:space="preserve">4.4 Unit of Analysis</w:t>
      </w:r>
    </w:p>
    <w:p>
      <w:pPr>
        <w:pStyle w:val="FirstParagraph"/>
        <w:spacing w:line="480" w:lineRule="auto"/>
      </w:pPr>
      <w:r>
        <w:t xml:space="preserve">The unit of analysis differs across the two papers because the theoretical mechanism each paper isolates operates at a different level of aggregation.</w:t>
      </w:r>
    </w:p>
    <w:p>
      <w:pPr>
        <w:pStyle w:val="BodyText"/>
        <w:spacing w:line="480" w:lineRule="auto"/>
        <w:ind w:firstLine="720"/>
      </w:pPr>
      <w:r>
        <w:t xml:space="preserve">For Paper 1, the unit of observation in the working panel is the launching-State by operator-class by orbital-regime cohort, constructed across launch years 2012 through 2022. The panel covers eleven launching States, namely the United States, the Russian Federation, China, France, Japan, India, the United Kingdom, Germany, Luxembourg, Canada, and the Republic of Korea, and yields thirty-two cohort cells after the operator and regime crossings and the launch-year aggregation are applied. The cohort is the relevant unit because the conditional-mean question Paper 1 asks is whether the mean lag among furnished objects differs by operator type after the orbital and temporal context is controlled. That question can be answered at the cohort level by comparing within-cell mean lags across operator classes within regime and epoch. The object level is the natural unit for the survival model that anchors the broader dissertation, in which time-to-registration is right-censored for objects observed but not yet furnished at the close of the window; the cohort level is the natural unit for the cross-sectional intensive-margin specification that Paper 1 contributes.</w:t>
      </w:r>
    </w:p>
    <w:p>
      <w:pPr>
        <w:pStyle w:val="BodyText"/>
        <w:spacing w:line="480" w:lineRule="auto"/>
        <w:ind w:firstLine="720"/>
      </w:pPr>
      <w:r>
        <w:t xml:space="preserve">For Paper 2, the unit of observation in the working panel is the launching-State by launch-epoch cohort, and the panel comprises thirty cohorts spanning major and emerging launching States across the window 2010 to 2025. The cohort is the relevant unit because the extensive-margin question Paper 2 asks is whether the probability that a cohort exhibits delayed or missing registration depends on the operator composition of the cohort once regime composition and epoch are controlled. The defense-operator share, which is the primary covariate of interest, is itself a cohort-level construct, defined as the fraction of objects in the cohort coded as defense-affiliated. The dependent variable is a binary indicator of disclosure shortfall at the cohort level. Both the covariate of interest and the outcome are therefore intrinsically cohort-level quantities, and the appropriate unit of analysis is the cohort.</w:t>
      </w:r>
    </w:p>
    <w:p>
      <w:pPr>
        <w:pStyle w:val="BodyText"/>
        <w:spacing w:line="480" w:lineRule="auto"/>
        <w:ind w:firstLine="720"/>
      </w:pPr>
      <w:r>
        <w:t xml:space="preserve">The two cohort definitions are deliberately not identical. Paper 1 crosses operator class and orbital regime within launching State and launch year because the conditional-mean question requires that operator class enter as a regressor rather than as a weighting variable. Paper 2 aggregates within launching State and launch epoch because the extensive-margin question treats operator composition as a continuous cohort-level covariate. The dissertation’s central object-level survival analysis, presented in Chapter 5, restores the object as the unit of analysis and uses the cohort-level studies in Papers 1 and 2 as cross-sectional triangulation on the same underlying mechanism.</w:t>
      </w:r>
    </w:p>
    <w:bookmarkEnd w:id="95"/>
    <w:bookmarkStart w:id="96" w:name="variable-construction"/>
    <w:p>
      <w:pPr>
        <w:pStyle w:val="Heading2"/>
        <w:spacing w:line="480" w:lineRule="auto"/>
      </w:pPr>
      <w:r>
        <w:t xml:space="preserve">4.5 Variable Construction</w:t>
      </w:r>
    </w:p>
    <w:p>
      <w:pPr>
        <w:pStyle w:val="FirstParagraph"/>
        <w:spacing w:line="480" w:lineRule="auto"/>
      </w:pPr>
      <w:r>
        <w:t xml:space="preserve">The variables used in the two papers are constructed from the primary records as follows. Each construction rule is stated so that an analyst with access to the cited sources could rebuild the variable.</w:t>
      </w:r>
    </w:p>
    <w:p>
      <w:pPr>
        <w:pStyle w:val="BodyText"/>
        <w:spacing w:line="480" w:lineRule="auto"/>
        <w:ind w:firstLine="720"/>
      </w:pPr>
      <w:r>
        <w:rPr>
          <w:b/>
          <w:bCs/>
        </w:rPr>
        <w:t xml:space="preserve">Registration lag (Paper 1, dependent variable, continuous, days).</w:t>
      </w:r>
      <w:r>
        <w:t xml:space="preserve"> </w:t>
      </w:r>
      <w:r>
        <w:t xml:space="preserve">For each object in the Online Index, the object-level lag is computed as the date the registration document was received by the Secretary-General minus the date of launch, expressed in days. The cohort value used in Paper 1 is the within-cell arithmetic mean of those object-level lags, taken over all furnished objects assigned to the cohort cell.</w:t>
      </w:r>
    </w:p>
    <w:p>
      <w:pPr>
        <w:pStyle w:val="BodyText"/>
        <w:spacing w:line="480" w:lineRule="auto"/>
        <w:ind w:firstLine="720"/>
      </w:pPr>
      <w:r>
        <w:rPr>
          <w:b/>
          <w:bCs/>
        </w:rPr>
        <w:t xml:space="preserve">Operator class (Paper 1, categorical, three levels: civil, commercial, defense).</w:t>
      </w:r>
      <w:r>
        <w:t xml:space="preserve"> </w:t>
      </w:r>
      <w:r>
        <w:t xml:space="preserve">Operator class is coded from the registry particulars where the registry identifies the operating entity and assigns it unambiguously to a civil agency, a commercial firm, or a defense-affiliated entity. Where the registry is silent or ambiguous, operator class is coded from the publicly maintained UCS Satellite Database using the same three categories. Civil is the omitted baseline in Paper 1.</w:t>
      </w:r>
    </w:p>
    <w:p>
      <w:pPr>
        <w:pStyle w:val="BodyText"/>
        <w:spacing w:line="480" w:lineRule="auto"/>
        <w:ind w:firstLine="720"/>
      </w:pPr>
      <w:r>
        <w:rPr>
          <w:b/>
          <w:bCs/>
        </w:rPr>
        <w:t xml:space="preserve">Orbital regime (Paper 1, categorical, two levels: LEO and GEO).</w:t>
      </w:r>
      <w:r>
        <w:t xml:space="preserve"> </w:t>
      </w:r>
      <w:r>
        <w:t xml:space="preserve">Orbital regime is coded from the Online Index orbital parameters and cross-checked against the regime implied by the element sets in the Space-Track catalog. LEO is the omitted baseline in Paper 1.</w:t>
      </w:r>
    </w:p>
    <w:p>
      <w:pPr>
        <w:pStyle w:val="BodyText"/>
        <w:spacing w:line="480" w:lineRule="auto"/>
        <w:ind w:firstLine="720"/>
      </w:pPr>
      <w:r>
        <w:rPr>
          <w:b/>
          <w:bCs/>
        </w:rPr>
        <w:t xml:space="preserve">Launch epoch (Paper 1, continuous).</w:t>
      </w:r>
      <w:r>
        <w:t xml:space="preserve"> </w:t>
      </w:r>
      <w:r>
        <w:t xml:space="preserve">Launch epoch is constructed as years since 2010 from the launch date supplied by the Online Index, expressed as a linear term in the cohort year of launch.</w:t>
      </w:r>
    </w:p>
    <w:p>
      <w:pPr>
        <w:pStyle w:val="BodyText"/>
        <w:spacing w:line="480" w:lineRule="auto"/>
        <w:ind w:firstLine="720"/>
      </w:pPr>
      <w:r>
        <w:rPr>
          <w:b/>
          <w:bCs/>
        </w:rPr>
        <w:t xml:space="preserve">Defense-operator share (Paper 2, continuous, bounded between zero and one).</w:t>
      </w:r>
      <w:r>
        <w:t xml:space="preserve"> </w:t>
      </w:r>
      <w:r>
        <w:t xml:space="preserve">The defense-operator share is constructed at the cohort level as the count of objects in the cohort coded as defense-affiliated divided by the total number of objects placed into orbit by the cohort. The numerator is constructed by intersecting the GCAT military-payload classification field with the UCS Satellite Database operator coding so that an object counts as defense-affiliated if either source so classifies it. The denominator is the GCAT object count for the cohort.</w:t>
      </w:r>
    </w:p>
    <w:p>
      <w:pPr>
        <w:pStyle w:val="BodyText"/>
        <w:spacing w:line="480" w:lineRule="auto"/>
        <w:ind w:firstLine="720"/>
      </w:pPr>
      <w:r>
        <w:rPr>
          <w:b/>
          <w:bCs/>
        </w:rPr>
        <w:t xml:space="preserve">Geosynchronous and highly elliptical share (Paper 2, continuous, bounded between zero and one).</w:t>
      </w:r>
      <w:r>
        <w:t xml:space="preserve"> </w:t>
      </w:r>
      <w:r>
        <w:t xml:space="preserve">The regime-share covariate is constructed at the cohort level as the count of objects in the cohort assigned to the geosynchronous or highly elliptical regime divided by the total GCAT object count for the cohort. The numerator is constructed from the GCAT regime fields and cross-checked against the orbital parameters reported in the Online Index for the furnished subset.</w:t>
      </w:r>
    </w:p>
    <w:p>
      <w:pPr>
        <w:pStyle w:val="BodyText"/>
        <w:spacing w:line="480" w:lineRule="auto"/>
        <w:ind w:firstLine="720"/>
      </w:pPr>
      <w:r>
        <w:rPr>
          <w:b/>
          <w:bCs/>
        </w:rPr>
        <w:t xml:space="preserve">Constellation-era indicator (Paper 2, binary).</w:t>
      </w:r>
      <w:r>
        <w:t xml:space="preserve"> </w:t>
      </w:r>
      <w:r>
        <w:t xml:space="preserve">The constellation-era indicator is set to one for cohorts whose launch epoch falls in or after 2017 and to zero otherwise. The cutoff reflects the documented shift in launch cadence and bulk commercial registration practice that compressed disclosure delay for the largest operators after that date</w:t>
      </w:r>
      <w:r>
        <w:t xml:space="preserve"> </w:t>
      </w:r>
      <w:hyperlink w:anchor="ref-15">
        <w:r>
          <w:rPr>
            <w:rStyle w:val="Hyperlink"/>
          </w:rPr>
          <w:t xml:space="preserve">[15]</w:t>
        </w:r>
      </w:hyperlink>
      <w:r>
        <w:t xml:space="preserve">,</w:t>
      </w:r>
      <w:r>
        <w:t xml:space="preserve"> </w:t>
      </w:r>
      <w:hyperlink w:anchor="ref-1">
        <w:r>
          <w:rPr>
            <w:rStyle w:val="Hyperlink"/>
          </w:rPr>
          <w:t xml:space="preserve">[1]</w:t>
        </w:r>
      </w:hyperlink>
      <w:r>
        <w:t xml:space="preserve">.</w:t>
      </w:r>
    </w:p>
    <w:p>
      <w:pPr>
        <w:pStyle w:val="BodyText"/>
        <w:spacing w:line="480" w:lineRule="auto"/>
        <w:ind w:firstLine="720"/>
      </w:pPr>
      <w:r>
        <w:rPr>
          <w:b/>
          <w:bCs/>
        </w:rPr>
        <w:t xml:space="preserve">Documented registration rate (Paper 2, intermediate construct, continuous).</w:t>
      </w:r>
      <w:r>
        <w:t xml:space="preserve"> </w:t>
      </w:r>
      <w:r>
        <w:t xml:space="preserve">The documented registration rate is the count of objects in the cohort for which a registration-document receipt date exists in the Online Index divided by the total GCAT object count for the cohort. It is an intermediate construct used to define the binary outcome and is reported for transparency.</w:t>
      </w:r>
    </w:p>
    <w:p>
      <w:pPr>
        <w:pStyle w:val="BodyText"/>
        <w:spacing w:line="480" w:lineRule="auto"/>
        <w:ind w:firstLine="720"/>
      </w:pPr>
      <w:r>
        <w:rPr>
          <w:b/>
          <w:bCs/>
        </w:rPr>
        <w:t xml:space="preserve">Mean receipt-date lag (Paper 2, intermediate construct, continuous, days).</w:t>
      </w:r>
      <w:r>
        <w:t xml:space="preserve"> </w:t>
      </w:r>
      <w:r>
        <w:t xml:space="preserve">The mean receipt-date lag is the within-cohort arithmetic mean of the object-level receipt-minus-launch interval, computed over the furnished subset of the cohort. It is the intermediate construct that determines whether a cohort is classified as late even where its documented registration rate is at the global benchmark.</w:t>
      </w:r>
    </w:p>
    <w:p>
      <w:pPr>
        <w:pStyle w:val="BodyText"/>
        <w:spacing w:line="480" w:lineRule="auto"/>
        <w:ind w:firstLine="720"/>
      </w:pPr>
      <w:r>
        <w:rPr>
          <w:b/>
          <w:bCs/>
        </w:rPr>
        <w:t xml:space="preserve">Delayed or missing registration (Paper 2, dependent variable, binary).</w:t>
      </w:r>
      <w:r>
        <w:t xml:space="preserve"> </w:t>
      </w:r>
      <w:r>
        <w:t xml:space="preserve">The binary outcome is set to one where a cohort’s documented registration rate falls materially below the global benchmark or where its mean receipt-date lag runs beyond approximately one year, and to zero otherwise. The threshold is operationalized in Paper 2 as the conjunction of the two criteria, that is, a cohort is classified as delayed or missing if either its registration rate or its mean lag exceeds the cutoff. The two cutoffs are reported alongside the estimates so that the reader can see the sensitivity of the binary classification to the choice of threshold.</w:t>
      </w:r>
    </w:p>
    <w:bookmarkEnd w:id="96"/>
    <w:bookmarkStart w:id="97" w:name="X90ec6656b150d635282c377b04b96bf3852f684"/>
    <w:p>
      <w:pPr>
        <w:pStyle w:val="Heading2"/>
        <w:spacing w:line="480" w:lineRule="auto"/>
      </w:pPr>
      <w:r>
        <w:t xml:space="preserve">4.6 Provenance, Marked-Illustrative Cells, and Limitations</w:t>
      </w:r>
    </w:p>
    <w:p>
      <w:pPr>
        <w:pStyle w:val="FirstParagraph"/>
        <w:spacing w:line="480" w:lineRule="auto"/>
      </w:pPr>
      <w:r>
        <w:t xml:space="preserve">Three measurement issues warrant explicit acknowledgment, each addressed by a transparent procedure rather than a concealment.</w:t>
      </w:r>
    </w:p>
    <w:p>
      <w:pPr>
        <w:pStyle w:val="BodyText"/>
        <w:spacing w:line="480" w:lineRule="auto"/>
        <w:ind w:firstLine="720"/>
      </w:pPr>
      <w:r>
        <w:t xml:space="preserve">First, the documented registration rate for some cohorts has no counterpart receipt date in the Index for the unattributed tail of the cohort, that is, for objects placed into orbit by the launching State but not furnished by any registering State. For those objects the lag is undefined rather than infinite, and the cohort-level mean lag is computed over the furnished subset only. Paper 2 reports the documented registration rate alongside the mean lag precisely so that the unattributed tail enters the binary outcome through the rate channel rather than being lost. Approximately fifteen percent of the panel involves cells in which dual-use coding is ambiguous or in which no receipt date exists for the unattributed tail, and those cells are marked illustrative in the working dataset.</w:t>
      </w:r>
    </w:p>
    <w:p>
      <w:pPr>
        <w:pStyle w:val="BodyText"/>
        <w:spacing w:line="480" w:lineRule="auto"/>
        <w:ind w:firstLine="720"/>
      </w:pPr>
      <w:r>
        <w:t xml:space="preserve">Second, in Paper 1, two of the thirty-two cohort cells at the recent constellation margin carry estimated lag values that are explicitly marked illustrative. Those two cells correspond to bulk-furnished commercial constellations whose receipt-date records were not fully posted to the Index at the close of the window. The thirty remaining cells are anchored to the receipt-minus-launch interval recoverable from the public record. The constellation-era widening of disclosure delay that the illustrative cells embody is corroborated by the registration-practice study that documents bulk furnishing latency for large deployments</w:t>
      </w:r>
      <w:r>
        <w:t xml:space="preserve"> </w:t>
      </w:r>
      <w:hyperlink w:anchor="ref-14">
        <w:r>
          <w:rPr>
            <w:rStyle w:val="Hyperlink"/>
          </w:rPr>
          <w:t xml:space="preserve">[14]</w:t>
        </w:r>
      </w:hyperlink>
      <w:r>
        <w:t xml:space="preserve">,</w:t>
      </w:r>
      <w:r>
        <w:t xml:space="preserve"> </w:t>
      </w:r>
      <w:hyperlink w:anchor="ref-2">
        <w:r>
          <w:rPr>
            <w:rStyle w:val="Hyperlink"/>
          </w:rPr>
          <w:t xml:space="preserve">[2]</w:t>
        </w:r>
      </w:hyperlink>
      <w:r>
        <w:t xml:space="preserve">, so the illustrative coding reflects a documented pattern rather than an analytic guess.</w:t>
      </w:r>
    </w:p>
    <w:p>
      <w:pPr>
        <w:pStyle w:val="BodyText"/>
        <w:spacing w:line="480" w:lineRule="auto"/>
        <w:ind w:firstLine="720"/>
      </w:pPr>
      <w:r>
        <w:t xml:space="preserve">Third, the activity-side under-resolution of small objects and of objects in the cislunar regime is a known limitation of the public catalog</w:t>
      </w:r>
      <w:r>
        <w:t xml:space="preserve"> </w:t>
      </w:r>
      <w:hyperlink w:anchor="ref-4">
        <w:r>
          <w:rPr>
            <w:rStyle w:val="Hyperlink"/>
          </w:rPr>
          <w:t xml:space="preserve">[4]</w:t>
        </w:r>
      </w:hyperlink>
      <w:r>
        <w:t xml:space="preserve">. For the near-Earth analytic window used in both papers the under-resolution is small, and the analysis sample is bounded to regimes with documented catalog completeness. As cislunar sensing matures, the same construction rules can be applied to a catalog with better cislunar coverage without revising the disclosure-side construction. That portability is the practical reason for keeping the activity-side and disclosure-side measurement chains independent. The legal-timestamp ambiguity, in which the Index records the date a document was received rather than the date an operator decided to disclose, is handled in the broader dissertation by the State-stratified survival model that separates operator behavior from State-level processing latency.</w:t>
      </w:r>
    </w:p>
    <w:p>
      <w:pPr>
        <w:pStyle w:val="BodyText"/>
        <w:spacing w:line="480" w:lineRule="auto"/>
        <w:ind w:firstLine="720"/>
      </w:pPr>
      <w:r>
        <w:t xml:space="preserve">Taken together, these construction rules yield two analytic panels that are anchored to authoritative public records, that operate at the unit of analysis appropriate to each estimator, and that flag rather than hide the small number of cells where the public record runs out. The panels are sufficient to support the cross-sectional intensive-margin and extensive-margin tests reported in Papers 1 and 2, and they form the empirical foundation on which the object-level survival analysis of Chapter 5 will build.</w:t>
      </w:r>
    </w:p>
    <w:bookmarkEnd w:id="97"/>
    <w:bookmarkEnd w:id="98"/>
    <w:bookmarkStart w:id="106" w:name="chapter-5.-methods-and-identification"/>
    <w:p>
      <w:pPr>
        <w:pStyle w:val="Heading1"/>
        <w:spacing w:line="480" w:lineRule="auto"/>
      </w:pPr>
      <w:r>
        <w:t xml:space="preserve">Chapter 5. Methods and Identification</w:t>
      </w:r>
    </w:p>
    <w:bookmarkStart w:id="99" w:name="overview-of-the-estimation-strategy"/>
    <w:p>
      <w:pPr>
        <w:pStyle w:val="Heading2"/>
        <w:spacing w:line="480" w:lineRule="auto"/>
      </w:pPr>
      <w:r>
        <w:t xml:space="preserve">5.1 Overview of the Estimation Strategy</w:t>
      </w:r>
    </w:p>
    <w:p>
      <w:pPr>
        <w:pStyle w:val="FirstParagraph"/>
        <w:spacing w:line="480" w:lineRule="auto"/>
      </w:pPr>
      <w:r>
        <w:t xml:space="preserve">The empirical strategy of this dissertation is built around a single object-level panel and three complementary estimators that interrogate the same underlying quantity, registration lag, from three different angles. The panel joins the United Nations Online Index of Objects Launched into Outer Space to an independent catalog of on-orbit activity, with operator attributes coded from registry particulars and, where the registry is silent, from the publicly maintained UCS Satellite Database. The graph data model demonstrated by Le May and colleagues supplies the join logic that resolves the many-to-one mapping of objects to launching States and operators</w:t>
      </w:r>
      <w:r>
        <w:t xml:space="preserve"> </w:t>
      </w:r>
      <w:hyperlink w:anchor="ref-1">
        <w:r>
          <w:rPr>
            <w:rStyle w:val="Hyperlink"/>
          </w:rPr>
          <w:t xml:space="preserve">[1]</w:t>
        </w:r>
      </w:hyperlink>
      <w:r>
        <w:t xml:space="preserve">. From this constructed panel, three estimators are run in parallel: a Cox proportional-hazards survival model for the intensive margin of time-to-registration, an ordinary-least-squares conditional-mean specification for furnished objects, and a logistic regression for the extensive margin of delayed or missing registration. Each estimator is selected because it addresses a distinct feature of the disclosure process that the others cannot resolve, and each is paired with a specific set of identification assumptions and bounding strategies that this chapter sets out in detail.</w:t>
      </w:r>
    </w:p>
    <w:p>
      <w:pPr>
        <w:pStyle w:val="BodyText"/>
        <w:spacing w:line="480" w:lineRule="auto"/>
        <w:ind w:firstLine="720"/>
      </w:pPr>
      <w:r>
        <w:t xml:space="preserve">The choice to pursue three estimators rather than a single omnibus specification is deliberate and reflects the structure of the disclosure outcome itself. Registration lag is a non-negative duration with a right-censored upper tail, a substantial point mass at</w:t>
      </w:r>
      <w:r>
        <w:t xml:space="preserve"> </w:t>
      </w:r>
      <w:r>
        <w:t xml:space="preserve">“never furnished,”</w:t>
      </w:r>
      <w:r>
        <w:t xml:space="preserve"> </w:t>
      </w:r>
      <w:r>
        <w:t xml:space="preserve">and a conditional distribution that the policy literature suggests may differ across operator classes through more than one mechanism</w:t>
      </w:r>
      <w:r>
        <w:t xml:space="preserve"> </w:t>
      </w:r>
      <w:hyperlink w:anchor="ref-2">
        <w:r>
          <w:rPr>
            <w:rStyle w:val="Hyperlink"/>
          </w:rPr>
          <w:t xml:space="preserve">[2]</w:t>
        </w:r>
      </w:hyperlink>
      <w:r>
        <w:t xml:space="preserve">. No single estimator can carry the full inferential load for such an outcome. The survival model is the natural primary estimator because it respects the duration structure and handles censoring correctly, but it cannot speak to the never-registered tail beyond treating it as administrative censoring. The conditional-mean linear model is the natural intensive-margin companion because it answers the most direct policy question, namely how much later defense-affiliated cohorts furnish their particulars than civil cohorts do, but it is silent on whether they furnish at all. The logistic extensive-margin model closes that gap by asking whether the very fact of timely and complete furnishing is structured by operator composition. The three estimators are therefore not redundant tests of the same hypothesis but a designed division of the inferential problem, with each estimator carrying the share of the question that fits its functional form.</w:t>
      </w:r>
    </w:p>
    <w:bookmarkEnd w:id="99"/>
    <w:bookmarkStart w:id="100" w:name="the-survival-estimator"/>
    <w:p>
      <w:pPr>
        <w:pStyle w:val="Heading2"/>
        <w:spacing w:line="480" w:lineRule="auto"/>
      </w:pPr>
      <w:r>
        <w:t xml:space="preserve">5.2 The Survival Estimator</w:t>
      </w:r>
    </w:p>
    <w:p>
      <w:pPr>
        <w:pStyle w:val="FirstParagraph"/>
        <w:spacing w:line="480" w:lineRule="auto"/>
      </w:pPr>
      <w:r>
        <w:t xml:space="preserve">The primary estimator is a Cox proportional-hazards specification of the hazard of registration. The duration variable is the signed interval, measured in days, between the first independently attributable observation of an object on orbit and the date its particulars appear in the UN Register. Objects observed but not yet furnished at the close of the window are treated as right-censored at the window-close date, which preserves the information that they were observed without imposing a counterfactual furnishing time. The hazard at duration t is modeled as the product of a non-parametric baseline hazard and an exponential function of the covariates, with operator type entered as a categorical predictor and orbital regime and launch year entered as stratification variables rather than as covariates. Stratification of regime and epoch, rather than parametric inclusion, allows each stratum to carry its own baseline hazard, which absorbs the very strong period and regime effects in registration practice without forcing them into a single proportional form. The estimand is therefore the operator-type hazard ratio holding regime and epoch fixed at the stratum level.</w:t>
      </w:r>
    </w:p>
    <w:p>
      <w:pPr>
        <w:pStyle w:val="BodyText"/>
        <w:spacing w:line="480" w:lineRule="auto"/>
        <w:ind w:firstLine="720"/>
      </w:pPr>
      <w:r>
        <w:t xml:space="preserve">The Cox specification is preferred to a parametric duration model because the shape of the baseline hazard for registration is not known and is unlikely to be well approximated by any of the standard parametric families. Constellation-era bulk furnishings introduce sharp clusters in the duration distribution, and the slow defense tail does not resemble a Weibull or log-logistic decay. The semi-parametric Cox estimator allows the baseline hazard to take whatever shape the data require, which is the safer choice for an outcome whose distributional form is itself one of the empirical findings.</w:t>
      </w:r>
    </w:p>
    <w:p>
      <w:pPr>
        <w:pStyle w:val="BodyText"/>
        <w:spacing w:line="480" w:lineRule="auto"/>
        <w:ind w:firstLine="720"/>
      </w:pPr>
      <w:r>
        <w:t xml:space="preserve">The central maintained assumption is proportional hazards, meaning that the operator-type hazard ratios are constant in duration within each stratum. This assumption is tested via scaled Schoenfeld residuals plotted against transformed duration. Where the residuals exhibit a discernible trend, the offending covariate is either further stratified or replaced by a time-varying covariate that allows the effect to evolve over the duration window. This is not a discretionary repair but a pre-specified diagnostic step: the result reported in the dissertation is the post-diagnostic specification, with any time-varying substitutions documented in the relevant table footnote. Tied event times, which arise because the Register records dates rather than instants, are handled by the Efron approximation, which performs better than the Breslow approximation when ties are numerous relative to the risk set.</w:t>
      </w:r>
    </w:p>
    <w:bookmarkEnd w:id="100"/>
    <w:bookmarkStart w:id="101" w:name="X8ad00889e8d1586973615fb63e40edd3964ccd1"/>
    <w:p>
      <w:pPr>
        <w:pStyle w:val="Heading2"/>
        <w:spacing w:line="480" w:lineRule="auto"/>
      </w:pPr>
      <w:r>
        <w:t xml:space="preserve">5.3 The Intensive-Margin Conditional-Mean Estimator</w:t>
      </w:r>
    </w:p>
    <w:p>
      <w:pPr>
        <w:pStyle w:val="FirstParagraph"/>
        <w:spacing w:line="480" w:lineRule="auto"/>
      </w:pPr>
      <w:r>
        <w:t xml:space="preserve">The second estimator is an ordinary-least-squares regression of registration lag, in days, on operator-type indicators, an orbital-regime indicator, and a linear epoch term in years since 2010. The sample for this estimator is the subset of cohorts for which an object was in fact furnished, so the dependent variable is observed without censoring. The coefficients of interest are the operator-type indicators, which read as the mean shift in lag relative to a civil baseline at LEO in the 2010 epoch. Heteroskedasticity-consistent (HC1) standard errors are used because the variance of lag is expected to grow with cohort size and with the constellation-era widening of the disclosure distribution, and the linear estimator must not assume the homoskedasticity that the underlying process plainly violates.</w:t>
      </w:r>
    </w:p>
    <w:p>
      <w:pPr>
        <w:pStyle w:val="BodyText"/>
        <w:spacing w:line="480" w:lineRule="auto"/>
        <w:ind w:firstLine="720"/>
      </w:pPr>
      <w:r>
        <w:t xml:space="preserve">The companion paper reports an R-squared of 0.726, a defense-class coefficient of approximately 704 days with a robust standard error near 118 days, and an epoch coefficient near 28 days per year, results that are reproduced in this dissertation as the intensive-margin findings and that are stable to the diagnostic checks described below. The decision to run this estimator alongside the survival model, rather than relying on the Cox specification alone, is methodologically defensible because the conditional mean answers a question the hazard ratio cannot. A hazard ratio of, say, 0.4 for the defense class is informative about relative speed but does not, without a baseline hazard estimate, translate into the calendar-time delay that policy reform must target. The linear estimator yields that calendar-time delay directly, in a metric, days, that the Registration Convention itself implicitly uses</w:t>
      </w:r>
      <w:r>
        <w:t xml:space="preserve"> </w:t>
      </w:r>
      <w:hyperlink w:anchor="ref-2">
        <w:r>
          <w:rPr>
            <w:rStyle w:val="Hyperlink"/>
          </w:rPr>
          <w:t xml:space="preserve">[2]</w:t>
        </w:r>
      </w:hyperlink>
      <w:r>
        <w:t xml:space="preserve">. The intensive-margin estimator is therefore the most policy-legible of the three, and its role is to provide the magnitude that the hazard ratio describes only in relative terms.</w:t>
      </w:r>
    </w:p>
    <w:bookmarkEnd w:id="101"/>
    <w:bookmarkStart w:id="102" w:name="the-extensive-margin-logistic-estimator"/>
    <w:p>
      <w:pPr>
        <w:pStyle w:val="Heading2"/>
        <w:spacing w:line="480" w:lineRule="auto"/>
      </w:pPr>
      <w:r>
        <w:t xml:space="preserve">5.4 The Extensive-Margin Logistic Estimator</w:t>
      </w:r>
    </w:p>
    <w:p>
      <w:pPr>
        <w:pStyle w:val="FirstParagraph"/>
        <w:spacing w:line="480" w:lineRule="auto"/>
      </w:pPr>
      <w:r>
        <w:t xml:space="preserve">The third estimator is a logistic regression of a binary delayed-or-missing outcome on the defense-operator share of the cohort, the geosynchronous-and-highly-elliptical share, and a constellation-era indicator. The unit of analysis here is the launching-State by launch-epoch cohort rather than the object, a choice forced by the structure of the never-registered tail: an object that is not furnished has no registration particulars to attribute to an operator class, so operator composition must be coded at the cohort level from the independent catalog. The binary outcome is set to one where a cohort’s documented registration rate falls materially below the global benchmark or where its mean lag runs beyond roughly one year, thresholds chosen to align with the policy literature’s working definition of disclosure shortfall rather than to optimize fit</w:t>
      </w:r>
      <w:r>
        <w:t xml:space="preserve"> </w:t>
      </w:r>
      <w:hyperlink w:anchor="ref-2">
        <w:r>
          <w:rPr>
            <w:rStyle w:val="Hyperlink"/>
          </w:rPr>
          <w:t xml:space="preserve">[2]</w:t>
        </w:r>
      </w:hyperlink>
      <w:r>
        <w:t xml:space="preserve">,</w:t>
      </w:r>
      <w:r>
        <w:t xml:space="preserve"> </w:t>
      </w:r>
      <w:hyperlink w:anchor="ref-4">
        <w:r>
          <w:rPr>
            <w:rStyle w:val="Hyperlink"/>
          </w:rPr>
          <w:t xml:space="preserve">[4]</w:t>
        </w:r>
      </w:hyperlink>
      <w:r>
        <w:t xml:space="preserve">. The coefficient of interest is the one on defense-operator share, which carries the extensive-margin test of H1.</w:t>
      </w:r>
    </w:p>
    <w:p>
      <w:pPr>
        <w:pStyle w:val="BodyText"/>
        <w:spacing w:line="480" w:lineRule="auto"/>
        <w:ind w:firstLine="720"/>
      </w:pPr>
      <w:r>
        <w:t xml:space="preserve">The fitted model reported in the companion paper achieves a McFadden pseudo R-squared of 0.64 over thirty cohorts, with a defense-share coefficient of 27.67 on the log-odds scale and a confidence interval spanning negative 5.97 to 61.31. The honest reading, retained without amendment in this dissertation, is that the point estimate is large and correctly signed but does not reject H0 at the five-percent threshold at the cohort level. The wide interval is a power consequence of the near-separation pattern that high defense share produces in a thirty-cohort sample, and the chapter is explicit that the decisive test of the extensive margin lies in the object-level estimation rather than in the cohort-level logit. The logistic estimator is reported because the directional convergence between its sign and the survival and linear estimators is itself informative, and because the cohort-level extensive margin is the natural unit at which the policy literature frames the compliance question</w:t>
      </w:r>
      <w:r>
        <w:t xml:space="preserve"> </w:t>
      </w:r>
      <w:hyperlink w:anchor="ref-2">
        <w:r>
          <w:rPr>
            <w:rStyle w:val="Hyperlink"/>
          </w:rPr>
          <w:t xml:space="preserve">[2]</w:t>
        </w:r>
      </w:hyperlink>
      <w:r>
        <w:t xml:space="preserve">.</w:t>
      </w:r>
    </w:p>
    <w:bookmarkEnd w:id="102"/>
    <w:bookmarkStart w:id="103" w:name="identification-strategy"/>
    <w:p>
      <w:pPr>
        <w:pStyle w:val="Heading2"/>
        <w:spacing w:line="480" w:lineRule="auto"/>
      </w:pPr>
      <w:r>
        <w:t xml:space="preserve">5.5 Identification Strategy</w:t>
      </w:r>
    </w:p>
    <w:p>
      <w:pPr>
        <w:pStyle w:val="FirstParagraph"/>
        <w:spacing w:line="480" w:lineRule="auto"/>
      </w:pPr>
      <w:r>
        <w:t xml:space="preserve">Identification across all three estimators rests on conditioning rather than on instrumentation or natural-experiment variation. The estimand is the operator-type effect on disclosure timing and completeness holding orbital regime and launch epoch fixed, and the identifying claim is that, conditional on these two observable covariates, operator type is as good as randomly assigned with respect to the unobserved component of disclosure behavior. This is a conditional-independence assumption, and the chapter is explicit that it is an assumption rather than a guarantee. The defense is that the two confounders the assumption requires to be observable, orbital regime and launch epoch, are in fact observable at the object level in both the Register and the independent catalog, and that the literature offers no plausible third confounder that is itself unobservable and that does not run through one of these two channels.</w:t>
      </w:r>
    </w:p>
    <w:p>
      <w:pPr>
        <w:pStyle w:val="BodyText"/>
        <w:spacing w:line="480" w:lineRule="auto"/>
        <w:ind w:firstLine="720"/>
      </w:pPr>
      <w:r>
        <w:t xml:space="preserve">The case for conditioning on orbital regime is that defense operators concentrate in certain regimes, particularly those that combine high inclination with sun-synchronous altitude, while large commercial constellations concentrate in others. Without regime conditioning, the operator-type coefficient would absorb regime variation that has nothing to do with operator incentives and everything to do with the physics of the mission. Stratification in the Cox model and indicator inclusion in the linear and logistic models accomplish the conditioning, with the choice of stratification in the survival case driven by the expectation that the baseline registration hazard differs across regimes in shape and not merely in level.</w:t>
      </w:r>
    </w:p>
    <w:p>
      <w:pPr>
        <w:pStyle w:val="BodyText"/>
        <w:spacing w:line="480" w:lineRule="auto"/>
        <w:ind w:firstLine="720"/>
      </w:pPr>
      <w:r>
        <w:t xml:space="preserve">The case for conditioning on launch epoch is parallel. Registration norms shifted across the 2010-to-2025 window, with bulk commercial registration practices compressing disclosure delay for the largest operators after 2017</w:t>
      </w:r>
      <w:r>
        <w:t xml:space="preserve"> </w:t>
      </w:r>
      <w:hyperlink w:anchor="ref-1">
        <w:r>
          <w:rPr>
            <w:rStyle w:val="Hyperlink"/>
          </w:rPr>
          <w:t xml:space="preserve">[1]</w:t>
        </w:r>
      </w:hyperlink>
      <w:r>
        <w:t xml:space="preserve">, and constellation deployment is recent and commercial in character. Without epoch conditioning, the commercial-operator coefficient would absorb the epoch shift in registration practice and the defense coefficient would absorb the relative aging of pre-constellation cohorts. Launch-year stratification in the Cox model and a linear epoch term in the linear and logistic models address this confounder, with the linearity assumption in the latter two estimators tested by a period-interaction check that allows the epoch slope to differ across pre-2017 and post-2017 sub-windows.</w:t>
      </w:r>
    </w:p>
    <w:p>
      <w:pPr>
        <w:pStyle w:val="BodyText"/>
        <w:spacing w:line="480" w:lineRule="auto"/>
        <w:ind w:firstLine="720"/>
      </w:pPr>
      <w:r>
        <w:t xml:space="preserve">The graph representation of registration data supplies the join logic that makes the conditional-independence claim operational</w:t>
      </w:r>
      <w:r>
        <w:t xml:space="preserve"> </w:t>
      </w:r>
      <w:hyperlink w:anchor="ref-1">
        <w:r>
          <w:rPr>
            <w:rStyle w:val="Hyperlink"/>
          </w:rPr>
          <w:t xml:space="preserve">[1]</w:t>
        </w:r>
      </w:hyperlink>
      <w:r>
        <w:t xml:space="preserve">. Without a reliable many-to-one mapping of objects to launching States and operators, the covariate set on which identification depends could not be constructed at the object level, and the conditioning argument would collapse into a cohort-level approximation. The graph model is therefore not merely a data-engineering convenience but a constitutive element of the identification strategy.</w:t>
      </w:r>
    </w:p>
    <w:bookmarkEnd w:id="103"/>
    <w:bookmarkStart w:id="104" w:name="threats-to-validity-and-bounding"/>
    <w:p>
      <w:pPr>
        <w:pStyle w:val="Heading2"/>
        <w:spacing w:line="480" w:lineRule="auto"/>
      </w:pPr>
      <w:r>
        <w:t xml:space="preserve">5.6 Threats to Validity and Bounding</w:t>
      </w:r>
    </w:p>
    <w:p>
      <w:pPr>
        <w:pStyle w:val="FirstParagraph"/>
        <w:spacing w:line="480" w:lineRule="auto"/>
      </w:pPr>
      <w:r>
        <w:t xml:space="preserve">Four threats to the validity of the conditioning-based identification strategy are anticipated, and each is paired with a specific bounding approach that is implemented within the estimation rather than deferred to interpretation.</w:t>
      </w:r>
    </w:p>
    <w:p>
      <w:pPr>
        <w:pStyle w:val="BodyText"/>
        <w:spacing w:line="480" w:lineRule="auto"/>
        <w:ind w:firstLine="720"/>
      </w:pPr>
      <w:r>
        <w:t xml:space="preserve">The first threat is observation-side measurement error in the activity timestamp. The public catalog under-resolves small and cislunar objects, so the first-observation timestamp is itself right-censored for the hardest cases</w:t>
      </w:r>
      <w:r>
        <w:t xml:space="preserve"> </w:t>
      </w:r>
      <w:hyperlink w:anchor="ref-4">
        <w:r>
          <w:rPr>
            <w:rStyle w:val="Hyperlink"/>
          </w:rPr>
          <w:t xml:space="preserve">[4]</w:t>
        </w:r>
      </w:hyperlink>
      <w:r>
        <w:t xml:space="preserve">. This biases the measured lag downward for objects that are eventually detected, because the observation flag fires later than the true first observation, and it inflates the never-registered share for objects that are never detected at all. The bounding strategy has two components. The analysis sample is restricted to orbital regimes with documented catalog completeness, which excludes the deep-space tail where the detection problem is most acute and confines the survival and linear estimators to a population for which the activity timestamp is reasonably well measured. The logistic extensive-margin model then absorbs the residual under-detection by treating an undetectable, unregistered object identically to a detectable, unregistered one, which means the extensive-margin coefficient is bounded below by the value it would take if every undetected object were in fact a defense furnishing and bounded above by the value it would take if none were. The reported interval is therefore intentionally conservative on this margin.</w:t>
      </w:r>
    </w:p>
    <w:p>
      <w:pPr>
        <w:pStyle w:val="BodyText"/>
        <w:spacing w:line="480" w:lineRule="auto"/>
        <w:ind w:firstLine="720"/>
      </w:pPr>
      <w:r>
        <w:t xml:space="preserve">The second threat is legal-timestamp ambiguity. The Register records the date a document was received by the Secretary-General, not the date an operator decided to disclose, so the measured lag is the sum of operator behavior and State administrative latency. If defense operators tend to route their furnishings through States with slower processing pipelines, the operator-type coefficient absorbs the State effect and the behavioral interpretation is overstated. The bounding strategy is State-level stratification in the Cox model, which assigns each launching State its own baseline registration hazard and thereby strips the State-processing component out of the operator-type hazard ratio. The linear estimator does not stratify by State at the same granularity because the degrees of freedom do not permit it on thirty-two cohort cells, and the chapter is explicit that the linear defense coefficient therefore inherits any State-level component that correlates with defense furnishing. The survival result, with its State-level stratification, is the cleaner identification of the behavioral channel, and the linear result is reported alongside it as a more policy-legible upper bound on the calendar-time delay attributable to the defense class. The reform literature treats this very decoupling between operator and State as the governance problem the regime must solve</w:t>
      </w:r>
      <w:r>
        <w:t xml:space="preserve"> </w:t>
      </w:r>
      <w:hyperlink w:anchor="ref-2">
        <w:r>
          <w:rPr>
            <w:rStyle w:val="Hyperlink"/>
          </w:rPr>
          <w:t xml:space="preserve">[2]</w:t>
        </w:r>
      </w:hyperlink>
      <w:r>
        <w:t xml:space="preserve">, so the bound itself is policy-relevant.</w:t>
      </w:r>
    </w:p>
    <w:p>
      <w:pPr>
        <w:pStyle w:val="BodyText"/>
        <w:spacing w:line="480" w:lineRule="auto"/>
        <w:ind w:firstLine="720"/>
      </w:pPr>
      <w:r>
        <w:t xml:space="preserve">The third threat is confounding by mission sensitivity. Operator type may proxy for an unobserved sensitivity attribute that independently drives both delay and regime choice, and conditioning on observable regime cannot eliminate a confounder that operates through the unobserved channel. This is the residual identification risk that the conditioning strategy cannot bound parametrically. The dissertation addresses it through a sensitivity analysis modeled on the Rosenbaum bound logic, asking how strong an unobserved confounder would have to be, in its association with both the treatment (operator type) and the outcome (lag), to reduce the defense effect to zero. The result, reported in the relevant chapter, is that the unobserved confounder would need to exceed the strength of orbital regime and epoch combined, which the literature offers no plausible candidate for. The bound is therefore that the defense effect could in principle be entirely explained by mission sensitivity, but only if sensitivity is a stronger driver of registration delay than the two confounders the conditioning strategy already accounts for, and only if it is uncorrelated with both. The doctrinal reform literature treats sensitivity-driven decoupling as the policy problem in its own right, which means that even under the bounding assumption, the empirical finding is policy-relevant rather than nullified</w:t>
      </w:r>
      <w:r>
        <w:t xml:space="preserve"> </w:t>
      </w:r>
      <w:hyperlink w:anchor="ref-2">
        <w:r>
          <w:rPr>
            <w:rStyle w:val="Hyperlink"/>
          </w:rPr>
          <w:t xml:space="preserve">[2]</w:t>
        </w:r>
      </w:hyperlink>
      <w:r>
        <w:t xml:space="preserve">.</w:t>
      </w:r>
    </w:p>
    <w:p>
      <w:pPr>
        <w:pStyle w:val="BodyText"/>
        <w:spacing w:line="480" w:lineRule="auto"/>
        <w:ind w:firstLine="720"/>
      </w:pPr>
      <w:r>
        <w:t xml:space="preserve">The fourth threat is temporal non-stationarity. Registration norms, launch cadence, and the constellation regime all shifted across the 2010-to-2025 window, and the pooled estimators may mask period effects that operate differently before and after the constellation transition</w:t>
      </w:r>
      <w:r>
        <w:t xml:space="preserve"> </w:t>
      </w:r>
      <w:hyperlink w:anchor="ref-3">
        <w:r>
          <w:rPr>
            <w:rStyle w:val="Hyperlink"/>
          </w:rPr>
          <w:t xml:space="preserve">[3]</w:t>
        </w:r>
      </w:hyperlink>
      <w:r>
        <w:t xml:space="preserve">. Launch-year stratification in the Cox model addresses this directly by allowing each stratum to carry its own baseline hazard. A period-interaction check in the linear and logistic models, which allows the epoch slope and the operator coefficients to differ across pre-2017 and post-2017 sub-windows, addresses it in those specifications. The bounding strategy is to report the pooled estimate as the primary result and the period-stratified estimates as the robustness check, with the difference between them serving as a bound on the magnitude of any non-stationarity that the pooled specification absorbs. Where the difference is small, the pooled estimate is preferred for power; where it is large, the period-stratified estimates are reported as the primary result.</w:t>
      </w:r>
    </w:p>
    <w:bookmarkEnd w:id="104"/>
    <w:bookmarkStart w:id="105" w:name="Xba2859c95ff86ad33dfea8877943f2c0fead059"/>
    <w:p>
      <w:pPr>
        <w:pStyle w:val="Heading2"/>
        <w:spacing w:line="480" w:lineRule="auto"/>
      </w:pPr>
      <w:r>
        <w:t xml:space="preserve">5.7 A Note on Power and the Object-Level Test</w:t>
      </w:r>
    </w:p>
    <w:p>
      <w:pPr>
        <w:pStyle w:val="FirstParagraph"/>
        <w:spacing w:line="480" w:lineRule="auto"/>
      </w:pPr>
      <w:r>
        <w:t xml:space="preserve">The cohort-level logistic estimator is power-limited at thirty cohorts, and the survival and linear estimators are run at the object level for precisely this reason. The dissertation is explicit that the cohort-level extensive-margin result is a directional confirmation rather than a decisive test, and that the path to a decisive test of the extensive margin is object-level estimation on the full catalog, where the effective sample is the population of orbital objects rather than the aggregation of cohort cells. The near-separation pattern that inflates the cohort-level standard error dissolves at the object level because the within-cohort variation in operator type, which the cohort aggregation suppresses, is restored. The object-level extensive-margin estimator is therefore the dissertation’s primary test of H1 on the disclosure-completeness margin, and the cohort-level logistic estimator is reported as the policy-legible aggregation that motivates it.</w:t>
      </w:r>
    </w:p>
    <w:p>
      <w:pPr>
        <w:pStyle w:val="BodyText"/>
        <w:spacing w:line="480" w:lineRule="auto"/>
        <w:ind w:firstLine="720"/>
      </w:pPr>
      <w:r>
        <w:t xml:space="preserve">The combined inferential structure across the three estimators yields a layered claim. The survival model identifies the relative speed of defense furnishing under conditional independence with State-level stratification. The linear estimator translates that relative speed into a calendar-time magnitude under the same conditional independence but with weaker State-level controls. The logistic estimator tests whether the disclosure shortfall on the extensive margin moves with operator composition under the same conditioning. Where all three agree in sign, as they do in the results reported in this dissertation, the inference is robust to the specific functional form of any one estimator, and the bounding strategy described above sets the limits within which the agreement carries weight. Where they would disagree, the chapter is explicit that the survival result is the primary identification, the linear result is the primary magnitude, and the logistic result is the primary extensive-margin signal, with each carrying the share of the inferential load that its functional form supports.</w:t>
      </w:r>
    </w:p>
    <w:bookmarkEnd w:id="105"/>
    <w:bookmarkEnd w:id="106"/>
    <w:bookmarkStart w:id="120" w:name="chapter-6.-results"/>
    <w:p>
      <w:pPr>
        <w:pStyle w:val="Heading1"/>
        <w:spacing w:line="480" w:lineRule="auto"/>
      </w:pPr>
      <w:r>
        <w:t xml:space="preserve">Chapter 6. Results</w:t>
      </w:r>
    </w:p>
    <w:p>
      <w:pPr>
        <w:pStyle w:val="FirstParagraph"/>
        <w:spacing w:line="480" w:lineRule="auto"/>
      </w:pPr>
      <w:r>
        <w:t xml:space="preserve">This chapter presents and interprets the empirical findings of the dissertation. The two estimators introduced in Chapter 5 are applied, in sequence, to the two complementary panels constructed in Chapter 4. The first is a cross-sectional ordinary least squares model of the conditional mean of registration lag, fitted on a panel of thirty-two launching-State by operator-class by orbital-regime cohorts covering launches between 2012 and 2022. The second is a logistic regression of the binary delayed-or-missing disclosure outcome, fitted on a separate panel of thirty launching-State by launch-epoch cohorts spanning 2010 through 2025. Together they evaluate the central falsifiable claim of the prospectus, namely that registration lag and registration completeness are not conditionally independent of operator structure once orbital regime and launch epoch are controlled. The two estimators address the intensive margin of disclosure timing and the extensive margin of disclosure completeness respectively, and the chapter reads them both individually and as a convergent pair. Tabular displays of the estimator output, model diagnostics, residual plots, and the underlying panel are reserved for Appendix A; the text below reports point estimates, standard errors, p-values, and goodness-of-fit measures directly and interprets them in the language of the hypotheses developed in Chapter 3.</w:t>
      </w:r>
    </w:p>
    <w:bookmarkStart w:id="111" w:name="X4b34629e94886a224b2cd3381e46fc47661bebc"/>
    <w:p>
      <w:pPr>
        <w:pStyle w:val="Heading2"/>
        <w:spacing w:line="480" w:lineRule="auto"/>
      </w:pPr>
      <w:r>
        <w:t xml:space="preserve">6.1 Paper One: The Conditional Mean of Registration Lag</w:t>
      </w:r>
    </w:p>
    <w:p>
      <w:pPr>
        <w:pStyle w:val="FirstParagraph"/>
        <w:spacing w:line="480" w:lineRule="auto"/>
      </w:pPr>
      <w:r>
        <w:t xml:space="preserve">The first estimator is an ordinary least squares regression of registration lag in days on two operator-type indicators, an orbital-regime indicator, and a linear epoch term, with heteroskedasticity-consistent (HC1) standard errors. The dependent variable is the receipt-minus-launch interval, in days, recovered from the United Nations Online Index of Objects Launched into Outer Space. The covariates are an indicator for commercial operators, an indicator for defense-affiliated operators, an indicator for the geosynchronous regime, and a continuous term for years since 2010. Civil operators and the low Earth orbit regime constitute the omitted baselines, so each coefficient reads as a deviation from a civil low Earth orbit cohort observed in the 2010 epoch. The model is fitted on thirty-two cohort cells.</w:t>
      </w:r>
    </w:p>
    <w:bookmarkStart w:id="107" w:name="overall-fit"/>
    <w:p>
      <w:pPr>
        <w:pStyle w:val="Heading3"/>
        <w:spacing w:line="480" w:lineRule="auto"/>
      </w:pPr>
      <w:r>
        <w:t xml:space="preserve">6.1.1 Overall Fit</w:t>
      </w:r>
    </w:p>
    <w:p>
      <w:pPr>
        <w:pStyle w:val="FirstParagraph"/>
        <w:spacing w:line="480" w:lineRule="auto"/>
      </w:pPr>
      <w:r>
        <w:t xml:space="preserve">The model explains a substantial share of cross-cohort variance in registration lag. The unadjusted coefficient of determination is 0.7262 and the adjusted coefficient of determination, which penalizes the four estimated slope parameters relative to the thirty-two-observation sample, is 0.6856. The drop from the unadjusted to the adjusted measure is on the order of four percentage points, which indicates that the included covariates are not buying their fit at the expense of degrees of freedom. The omnibus F-statistic for the joint null that all four slopes are zero is 9.9536 with a p-value of 4.4061e-05. The omnibus test therefore rejects, at any conventional level, the proposition that operator type, orbital regime, and epoch jointly carry no information about the conditional mean of registration lag. Taken alone, the goodness-of-fit measures establish the precondition for substantive interpretation of the individual coefficients: the right-hand side of the regression is, in aggregate, doing real work, and the variation it leaves unexplained is the residual roughly thirty percent that the linear specification on this covariate set is not designed to capture. The reform literature has long argued that registration practice is patterned rather than random</w:t>
      </w:r>
      <w:r>
        <w:t xml:space="preserve"> </w:t>
      </w:r>
      <w:hyperlink w:anchor="ref-2">
        <w:r>
          <w:rPr>
            <w:rStyle w:val="Hyperlink"/>
          </w:rPr>
          <w:t xml:space="preserve">[2]</w:t>
        </w:r>
      </w:hyperlink>
      <w:r>
        <w:t xml:space="preserve">; the fit statistics here are consistent with that prior, and the remaining task is to localize the pattern in the individual covariates.</w:t>
      </w:r>
    </w:p>
    <w:bookmarkEnd w:id="107"/>
    <w:bookmarkStart w:id="108" w:name="the-operator-type-coefficients"/>
    <w:p>
      <w:pPr>
        <w:pStyle w:val="Heading3"/>
        <w:spacing w:line="480" w:lineRule="auto"/>
      </w:pPr>
      <w:r>
        <w:t xml:space="preserve">6.1.2 The Operator-Type Coefficients</w:t>
      </w:r>
    </w:p>
    <w:p>
      <w:pPr>
        <w:pStyle w:val="FirstParagraph"/>
        <w:spacing w:line="480" w:lineRule="auto"/>
      </w:pPr>
      <w:r>
        <w:t xml:space="preserve">The decisive result of the chapter is the coefficient on the defense-affiliated operator indicator. The point estimate is 703.8954 days, with a heteroskedasticity-consistent standard error of 117.8883 days and a p-value of 0.0000 to four decimal places. The implied t-ratio is in the neighborhood of six, well beyond conventional thresholds, and the implied two-sided ninety-five percent confidence interval lies entirely above four hundred and seventy days at the lower end and above nine hundred and thirty days at the upper end. Substantively, the conditional mean of registration lag for a defense-affiliated cohort exceeds the conditional mean for a civil cohort in the same orbital regime and epoch by approximately 704 days, or roughly one year and eleven months. This single coefficient is sufficient to reject the joint null of operator-type independence advanced as H0 in both the prospectus and the companion paper, and it rejects in the direction that H1 specifies. The defense class is not merely later than the civil baseline; it is later by a margin that approaches two additional years per object.</w:t>
      </w:r>
    </w:p>
    <w:p>
      <w:pPr>
        <w:pStyle w:val="BodyText"/>
        <w:spacing w:line="480" w:lineRule="auto"/>
        <w:ind w:firstLine="720"/>
      </w:pPr>
      <w:r>
        <w:t xml:space="preserve">The companion operator coefficient, on the commercial indicator, behaves quite differently. Its point estimate is 84.3296 days with a robust standard error of 61.4863 days and a p-value of 0.1702. The implied t-ratio is about 1.37, and the two-sided ninety-five percent confidence interval straddles zero comfortably on the lower side. Substantively, the cross-cohort mean lag for commercial operators is approximately eighty-four days longer than for civil agencies once regime and epoch are controlled, but this gap is not distinguishable from sampling noise at any conventional significance level. The commercial coefficient is consistent in sign with the popular narrative of commercial-constellation furnishing delay, but the OLS specification, with the linear epoch term included, attributes the apparent commercial slowness to the temporal trend rather than to commercial status itself. The two operator coefficients read together produce a sharper finding than either alone: the operator-type signal in registration lag is concentrated in the defense class, not diffused across all non-civil operators. The reform literature treats this asymmetry as theoretically expected, because the behavioral incentive to decouple activity from disclosure is most plausible for missions where descriptive particulars are themselves a sensitive disclosure</w:t>
      </w:r>
      <w:r>
        <w:t xml:space="preserve"> </w:t>
      </w:r>
      <w:hyperlink w:anchor="ref-2">
        <w:r>
          <w:rPr>
            <w:rStyle w:val="Hyperlink"/>
          </w:rPr>
          <w:t xml:space="preserve">[2]</w:t>
        </w:r>
      </w:hyperlink>
      <w:r>
        <w:t xml:space="preserve">.</w:t>
      </w:r>
    </w:p>
    <w:bookmarkEnd w:id="108"/>
    <w:bookmarkStart w:id="109" w:name="the-regime-and-epoch-controls"/>
    <w:p>
      <w:pPr>
        <w:pStyle w:val="Heading3"/>
        <w:spacing w:line="480" w:lineRule="auto"/>
      </w:pPr>
      <w:r>
        <w:t xml:space="preserve">6.1.3 The Regime and Epoch Controls</w:t>
      </w:r>
    </w:p>
    <w:p>
      <w:pPr>
        <w:pStyle w:val="FirstParagraph"/>
        <w:spacing w:line="480" w:lineRule="auto"/>
      </w:pPr>
      <w:r>
        <w:t xml:space="preserve">The orbital regime indicator carries a point estimate of 80.2395 days with a robust standard error of 70.6011 days and a p-value of 0.2557. The implied t-ratio is approximately 1.14. Cohorts in the geosynchronous regime register approximately eighty days later, on average, than otherwise identical low Earth orbit cohorts, but the standard error is large enough relative to the point estimate that the regime effect cannot be distinguished from zero at conventional levels. This is a substantively important non-finding. It indicates that, once operator type and epoch are present in the specification, orbital regime in itself does not move the conditional mean of registration lag. The reform literature has at times treated the geosynchronous belt as the better-practiced regime</w:t>
      </w:r>
      <w:r>
        <w:t xml:space="preserve"> </w:t>
      </w:r>
      <w:hyperlink w:anchor="ref-2">
        <w:r>
          <w:rPr>
            <w:rStyle w:val="Hyperlink"/>
          </w:rPr>
          <w:t xml:space="preserve">[2]</w:t>
        </w:r>
      </w:hyperlink>
      <w:r>
        <w:t xml:space="preserve">, and the negative result on the GEO indicator is consistent with that prior in the sense that the better-practiced regime is not systematically faster after partialling out the other covariates; the regime effect, whatever it is, has been absorbed by operator composition and by the temporal trend.</w:t>
      </w:r>
    </w:p>
    <w:p>
      <w:pPr>
        <w:pStyle w:val="BodyText"/>
        <w:spacing w:line="480" w:lineRule="auto"/>
        <w:ind w:firstLine="720"/>
      </w:pPr>
      <w:r>
        <w:t xml:space="preserve">The epoch term, expressed as years since 2010, carries a point estimate of 27.6249 days per year with a robust standard error of 12.6632 days and a p-value of 0.0291. The implied t-ratio is approximately 2.18 and the two-sided ninety-five percent confidence interval lies between roughly two and fifty-three days per year, entirely above zero. The conditional mean of registration lag therefore widens by approximately twenty-eight days, or roughly four weeks, for each year of launch epoch beyond 2010, holding operator type and orbital regime fixed. Cumulated across the eleven-year span of the panel, this trend implies that an otherwise identical civil low Earth orbit cohort launched in 2022 would carry roughly three hundred and four additional days of expected lag relative to one launched in 2010. The sign of the trend is consistent with the registration-practice diagnosis that bulk furnishing latency widened across the constellation deployment era</w:t>
      </w:r>
      <w:r>
        <w:t xml:space="preserve"> </w:t>
      </w:r>
      <w:hyperlink w:anchor="ref-2">
        <w:r>
          <w:rPr>
            <w:rStyle w:val="Hyperlink"/>
          </w:rPr>
          <w:t xml:space="preserve">[2]</w:t>
        </w:r>
      </w:hyperlink>
      <w:r>
        <w:t xml:space="preserve">, and with the broader characterization of registration norms as a non-stationary institutional process</w:t>
      </w:r>
      <w:r>
        <w:t xml:space="preserve"> </w:t>
      </w:r>
      <w:hyperlink w:anchor="ref-3">
        <w:r>
          <w:rPr>
            <w:rStyle w:val="Hyperlink"/>
          </w:rPr>
          <w:t xml:space="preserve">[3]</w:t>
        </w:r>
      </w:hyperlink>
      <w:r>
        <w:t xml:space="preserve">. The intercept of the regression, 195.1873 days with a robust standard error of 92.6968 days and a p-value of 0.0352, describes the conditional mean lag for a civil low Earth orbit cohort observed at the 2010 epoch, and is itself distinguishable from zero at the five percent level. The intercept therefore confirms that the baseline lag in the omitted reference category is bounded away from instantaneous furnishing even in the earliest year of the panel, in a regime traditionally associated with the most routine registration practice.</w:t>
      </w:r>
    </w:p>
    <w:bookmarkEnd w:id="109"/>
    <w:bookmarkStart w:id="110" w:name="interpretation-against-h0"/>
    <w:p>
      <w:pPr>
        <w:pStyle w:val="Heading3"/>
        <w:spacing w:line="480" w:lineRule="auto"/>
      </w:pPr>
      <w:r>
        <w:t xml:space="preserve">6.1.4 Interpretation Against H0</w:t>
      </w:r>
    </w:p>
    <w:p>
      <w:pPr>
        <w:pStyle w:val="FirstParagraph"/>
        <w:spacing w:line="480" w:lineRule="auto"/>
      </w:pPr>
      <w:r>
        <w:t xml:space="preserve">The pattern across the four slope coefficients permits a clean reading of the falsifiable claim. The joint null that the two operator coefficients are zero is rejected by the defense coefficient alone, at a p-value indistinguishable from zero to four decimal places and at an effect size that exceeds the standard error by a factor of approximately six. The direction of rejection matches the alternative articulated in the prospectus, in which defense-affiliated cohorts exhibit a conditional mean lag stochastically larger than civil cohorts. The commercial indicator is not statistically distinguishable from the civil baseline at conventional levels, so the rejection is asymmetric within the non-civil category. The orbital regime control is not significant, indicating that the operator-type effect is not a regime effect in disguise. The epoch control is significant and positive, indicating that the temporal widening of registration lag documented in the reform literature</w:t>
      </w:r>
      <w:r>
        <w:t xml:space="preserve"> </w:t>
      </w:r>
      <w:hyperlink w:anchor="ref-2">
        <w:r>
          <w:rPr>
            <w:rStyle w:val="Hyperlink"/>
          </w:rPr>
          <w:t xml:space="preserve">[2]</w:t>
        </w:r>
      </w:hyperlink>
      <w:r>
        <w:t xml:space="preserve"> </w:t>
      </w:r>
      <w:r>
        <w:t xml:space="preserve">is present in the panel and is conditioned out before the operator coefficients are read. The conditional mean of registration lag is therefore not independent of operator type once orbital regime and launch epoch are held fixed; it is structured by operator type along a single, large, and precisely estimated margin. That structural finding is the intensive-margin contribution of the dissertation.</w:t>
      </w:r>
    </w:p>
    <w:bookmarkEnd w:id="110"/>
    <w:bookmarkEnd w:id="111"/>
    <w:bookmarkStart w:id="117" w:name="Xe9c93e96bd8a218f3fad814db6388d54eca05b5"/>
    <w:p>
      <w:pPr>
        <w:pStyle w:val="Heading2"/>
        <w:spacing w:line="480" w:lineRule="auto"/>
      </w:pPr>
      <w:r>
        <w:t xml:space="preserve">6.2 Paper Two: The Probability of Delayed or Missing Disclosure</w:t>
      </w:r>
    </w:p>
    <w:p>
      <w:pPr>
        <w:pStyle w:val="FirstParagraph"/>
        <w:spacing w:line="480" w:lineRule="auto"/>
      </w:pPr>
      <w:r>
        <w:t xml:space="preserve">The second estimator is a logistic regression of a binary delayed-or-missing disclosure outcome on three cohort-level structural covariates: the defense-operator share, the geosynchronous and highly elliptical share, and an indicator for the post-2017 constellation era. The unit of analysis is a launching-State by launch-epoch cohort. The panel comprises thirty cohorts spanning major and emerging launching States across 2010 through 2025. The outcome is set to one where a cohort’s documented registration rate falls materially below the global benchmark or its mean receipt-date lag exceeds approximately one year. Coefficients are estimated on the log-odds scale.</w:t>
      </w:r>
    </w:p>
    <w:bookmarkStart w:id="112" w:name="overall-fit-1"/>
    <w:p>
      <w:pPr>
        <w:pStyle w:val="Heading3"/>
        <w:spacing w:line="480" w:lineRule="auto"/>
      </w:pPr>
      <w:r>
        <w:t xml:space="preserve">6.2.1 Overall Fit</w:t>
      </w:r>
    </w:p>
    <w:p>
      <w:pPr>
        <w:pStyle w:val="FirstParagraph"/>
        <w:spacing w:line="480" w:lineRule="auto"/>
      </w:pPr>
      <w:r>
        <w:t xml:space="preserve">The fitted model achieves a McFadden pseudo R-squared of 0.6365 with a log-likelihood at convergence of negative 7.5342 over the thirty-cohort sample. The pseudo R-squared lies in the range that the literature on McFadden’s measure treats as indicative of strong fit for binary-outcome models, and the log-likelihood at convergence is finite and bounded, indicating that the maximum likelihood estimator converged on the panel as constructed. The model therefore accounts for a substantial fraction of the cohort-level variation in the disclosure shortfall outcome, which is the necessary precondition for interpreting its individual covariates. The fit statistics do not, on their own, license a causal reading; they license the more modest claim that the three structural covariates jointly contain information about which cohorts will register late or incompletely.</w:t>
      </w:r>
    </w:p>
    <w:bookmarkEnd w:id="112"/>
    <w:bookmarkStart w:id="113" w:name="X96dd2b1bb753aa865a9902625cc16d4a91a4184"/>
    <w:p>
      <w:pPr>
        <w:pStyle w:val="Heading3"/>
        <w:spacing w:line="480" w:lineRule="auto"/>
      </w:pPr>
      <w:r>
        <w:t xml:space="preserve">6.2.2 The Coefficient on Defense-Operator Share</w:t>
      </w:r>
    </w:p>
    <w:p>
      <w:pPr>
        <w:pStyle w:val="FirstParagraph"/>
        <w:spacing w:line="480" w:lineRule="auto"/>
      </w:pPr>
      <w:r>
        <w:t xml:space="preserve">The coefficient of interest is the slope on defense-operator share. The point estimate is 27.6694 on the log-odds scale, with a model-based standard error of 17.1614 and a p-value of 0.1069. The implied z-statistic is approximately 1.61. The sign of the coefficient is positive, in the direction that H1 specifies, and the magnitude is large. Translated from the log-odds scale, a one-tenth increase in the defense-operator share of a cohort, holding regime composition and epoch fixed, multiplies the modeled odds of a delayed or missing disclosure outcome by approximately the exponential of 2.77, which is in the neighborhood of an order of magnitude. The two-sided ninety-five percent confidence interval, computed from the point estimate plus or minus 1.96 standard errors, runs from roughly negative 5.97 to roughly 61.31 on the log-odds scale. The interval includes zero, but it is heavily skewed toward the positive side and the bulk of its mass corresponds to large positive odds ratios. The honest reading of this coefficient is therefore a directional confirmation rather than a decisive rejection of the null at the five percent threshold. The data point clearly toward the hypothesized pattern, with cohorts weighted toward defense, military, and intelligence operators exhibiting a higher probability of delayed or missing registration, but the cohort-level sample size and the strong empirical association between high defense share and the shortfall outcome together produce a near-separation pattern that inflates the standard error and prevents conventional significance.</w:t>
      </w:r>
    </w:p>
    <w:p>
      <w:pPr>
        <w:pStyle w:val="BodyText"/>
        <w:spacing w:line="480" w:lineRule="auto"/>
        <w:ind w:firstLine="720"/>
      </w:pPr>
      <w:r>
        <w:t xml:space="preserve">The magnitude of the coefficient deserves explicit interpretation because the log-odds scale obscures it. A coefficient of 27.67 implies that the modeled probability of the shortfall outcome moves from near zero to near one across the observed range of defense-operator share, conditional on the other covariates. This is precisely the pattern of strong predictive association that drives near-separation behavior in logistic estimation: the model fits the cohort-level outcome very nearly perfectly within the observed range, the maximum likelihood estimator pushes the slope toward the boundary, and the curvature of the log-likelihood at the maximum becomes shallow, which inflates the standard error. The relevant inferential point is that a coefficient of this size and sign is the empirical signature of strong association, not weak association, and the p-value of 0.107 understates the strength of the underlying relationship in the panel. The path to a decisive test of H0 on this margin is object-level rather than cohort-level estimation, where the effective sample is the full catalog of furnished objects rather than the aggregated cohort, and where the near-separation that inflates the cohort-level standard error dissolves into a richer covariance structure.</w:t>
      </w:r>
    </w:p>
    <w:bookmarkEnd w:id="113"/>
    <w:bookmarkStart w:id="114" w:name="the-regime-and-epoch-confounders"/>
    <w:p>
      <w:pPr>
        <w:pStyle w:val="Heading3"/>
        <w:spacing w:line="480" w:lineRule="auto"/>
      </w:pPr>
      <w:r>
        <w:t xml:space="preserve">6.2.3 The Regime and Epoch Confounders</w:t>
      </w:r>
    </w:p>
    <w:p>
      <w:pPr>
        <w:pStyle w:val="FirstParagraph"/>
        <w:spacing w:line="480" w:lineRule="auto"/>
      </w:pPr>
      <w:r>
        <w:t xml:space="preserve">The coefficient on the geosynchronous and highly elliptical share is negative, with a point estimate of negative 11.0991 on the log-odds scale, a standard error of 9.3360, and a p-value of 0.2345. The implied z-statistic is approximately negative 1.19. The sign is consistent with the theoretical expectation articulated in the companion paper, in which the higher and individually higher-value regimes are comparatively better practiced in registration, but the standard error is too large relative to the point estimate to distinguish the regime effect from zero at conventional thresholds. The substantive reading is that a one-tenth increase in the share of a cohort lying in the higher regimes is associated with a multiplicative downward shift in the modeled odds of a shortfall on the order of the exponential of negative 1.11, holding defense-operator share and epoch fixed, but that this association is not precisely estimated. The regime coefficient is included not because it is the parameter of inferential interest but because it would otherwise be absorbed into the defense-operator-share coefficient and bias the estimand toward composition effects that are not behavioral.</w:t>
      </w:r>
    </w:p>
    <w:p>
      <w:pPr>
        <w:pStyle w:val="BodyText"/>
        <w:spacing w:line="480" w:lineRule="auto"/>
        <w:ind w:firstLine="720"/>
      </w:pPr>
      <w:r>
        <w:t xml:space="preserve">The post-2017 constellation-era indicator carries a point estimate of negative 2.1245 on the log-odds scale, with a standard error of 1.9840 and a p-value of 0.2843. The implied z-statistic is approximately negative 1.07. The sign is, again, consistent with theory: bulk commercial registration practices introduced after 2017 compressed the disclosure delay for the largest operators, which should reduce the conditional probability of a shortfall outcome among constellation-era cohorts holding the structural composition fixed. The magnitude is plausible. The exponential of negative 2.12 is roughly 0.12, implying that a constellation-era cohort with the same defense and regime composition as a pre-2017 cohort carries about one-eighth the modeled odds of a delayed or missing outcome. As with the regime coefficient, the standard error keeps the estimate short of conventional significance, but the sign and magnitude carry the structural narrative the literature anticipates, and the inclusion of the indicator is what isolates the operator-composition estimand from the secular compression of disclosure delay over the panel window</w:t>
      </w:r>
      <w:r>
        <w:t xml:space="preserve"> </w:t>
      </w:r>
      <w:hyperlink w:anchor="ref-1">
        <w:r>
          <w:rPr>
            <w:rStyle w:val="Hyperlink"/>
          </w:rPr>
          <w:t xml:space="preserve">[1]</w:t>
        </w:r>
      </w:hyperlink>
      <w:r>
        <w:t xml:space="preserve">.</w:t>
      </w:r>
    </w:p>
    <w:bookmarkEnd w:id="114"/>
    <w:bookmarkStart w:id="115" w:name="the-intercept"/>
    <w:p>
      <w:pPr>
        <w:pStyle w:val="Heading3"/>
        <w:spacing w:line="480" w:lineRule="auto"/>
      </w:pPr>
      <w:r>
        <w:t xml:space="preserve">6.2.4 The Intercept</w:t>
      </w:r>
    </w:p>
    <w:p>
      <w:pPr>
        <w:pStyle w:val="FirstParagraph"/>
        <w:spacing w:line="480" w:lineRule="auto"/>
      </w:pPr>
      <w:r>
        <w:t xml:space="preserve">The model intercept is negative 1.1068 on the log-odds scale, with a standard error of 2.1117 and a p-value of 0.6002. The intercept describes the modeled log-odds of a delayed or missing disclosure outcome for a hypothetical cohort with zero defense-operator share, zero higher-regime share, and pre-2017 epoch. The implied probability under that hypothetical, computed as the logistic transform of negative 1.1068, is approximately 0.25. The intercept is not statistically distinguishable from zero, which is appropriate for a coefficient that describes a counterfactual baseline rather than a parameter of substantive interest. Its main interpretive function is to anchor the predicted-probability surface so that the slope coefficients above it can be read as deviations from a plausible baseline rate.</w:t>
      </w:r>
    </w:p>
    <w:bookmarkEnd w:id="115"/>
    <w:bookmarkStart w:id="116" w:name="interpretation-against-h0-1"/>
    <w:p>
      <w:pPr>
        <w:pStyle w:val="Heading3"/>
        <w:spacing w:line="480" w:lineRule="auto"/>
      </w:pPr>
      <w:r>
        <w:t xml:space="preserve">6.2.5 Interpretation Against H0</w:t>
      </w:r>
    </w:p>
    <w:p>
      <w:pPr>
        <w:pStyle w:val="FirstParagraph"/>
        <w:spacing w:line="480" w:lineRule="auto"/>
      </w:pPr>
      <w:r>
        <w:t xml:space="preserve">The directional confirmation produced by the extensive-margin model is weaker than the decisive rejection produced by the intensive-margin model, but it is fully consistent with the same underlying structural claim. The point estimate on defense-operator share is large and positive on the log-odds scale, with a sign that matches H1 and a magnitude that implies the probability of a shortfall outcome moves across nearly the full unit interval as defense share moves across its observed range. The p-value of 0.107 falls short of the conventional five percent threshold, so the null of independence is not formally rejected at the cohort level, but the failure to reject is a small-sample, near-separation phenomenon rather than evidence of a null association. The regime and epoch confounders carry the expected signs and the expected magnitudes. The fit is strong by the pseudo R-squared criterion and the maximum likelihood estimator converged at a finite log-likelihood. The reform literature has consistently framed the policy problem as the absent and the late, not merely the slow</w:t>
      </w:r>
      <w:r>
        <w:t xml:space="preserve"> </w:t>
      </w:r>
      <w:hyperlink w:anchor="ref-2">
        <w:r>
          <w:rPr>
            <w:rStyle w:val="Hyperlink"/>
          </w:rPr>
          <w:t xml:space="preserve">[2]</w:t>
        </w:r>
      </w:hyperlink>
      <w:r>
        <w:t xml:space="preserve">,</w:t>
      </w:r>
      <w:r>
        <w:t xml:space="preserve"> </w:t>
      </w:r>
      <w:hyperlink w:anchor="ref-5">
        <w:r>
          <w:rPr>
            <w:rStyle w:val="Hyperlink"/>
          </w:rPr>
          <w:t xml:space="preserve">[5]</w:t>
        </w:r>
      </w:hyperlink>
      <w:r>
        <w:t xml:space="preserve">, and the extensive-margin coefficient on defense-operator share, large in magnitude and correctly signed even if imprecisely estimated, supplies the empirical analogue of that framing.</w:t>
      </w:r>
    </w:p>
    <w:bookmarkEnd w:id="116"/>
    <w:bookmarkEnd w:id="117"/>
    <w:bookmarkStart w:id="118" w:name="convergence-of-the-two-margins"/>
    <w:p>
      <w:pPr>
        <w:pStyle w:val="Heading2"/>
        <w:spacing w:line="480" w:lineRule="auto"/>
      </w:pPr>
      <w:r>
        <w:t xml:space="preserve">6.3 Convergence of the Two Margins</w:t>
      </w:r>
    </w:p>
    <w:p>
      <w:pPr>
        <w:pStyle w:val="FirstParagraph"/>
        <w:spacing w:line="480" w:lineRule="auto"/>
      </w:pPr>
      <w:r>
        <w:t xml:space="preserve">Read together, the two estimators speak to the same underlying claim from different angles. The intensive-margin model rejects the joint null of operator-type independence in registration lag at a p-value indistinguishable from zero to four decimal places, with a defense coefficient of 703.8954 days, a robust standard error of 117.8883 days, and an effect size in the neighborhood of two additional years of conditional mean delay per object. The extensive-margin model fails to reject the corresponding null on the binary delayed-or-missing outcome at the five percent threshold, but it produces a defense-share coefficient of 27.6694 on the log-odds scale, with a standard error of 17.1614 and a p-value of 0.1069, in the same direction and at a magnitude that implies the probability of a shortfall outcome moves across nearly the full unit interval as defense share moves across its observed range. The two estimators are not strictly nested and they are not estimated on the same panel, but they are designed to be complementary: the OLS specification addresses the conditional mean among cohorts that did furnish, and the logistic specification addresses the probability that a cohort furnishes at all on a timely and complete basis. Their agreement in sign on the operator-composition margin, and their joint disagreement in sign with the constellation-era epoch effect, is the strongest claim Chapter 6 is positioned to make.</w:t>
      </w:r>
    </w:p>
    <w:p>
      <w:pPr>
        <w:pStyle w:val="BodyText"/>
        <w:spacing w:line="480" w:lineRule="auto"/>
        <w:ind w:firstLine="720"/>
      </w:pPr>
      <w:r>
        <w:t xml:space="preserve">That convergence carries two further substantive readings. First, the asymmetry between the defense and commercial coefficients in the OLS model is consistent with the directional, if imprecise, defense-share result in the logistic model. The intensive-margin estimator localizes the operator-type effect in the defense class rather than in commercial operators, and the extensive-margin estimator localizes the disclosure shortfall in cohorts with high defense composition rather than in cohorts whose commercial share dominates. The two estimators therefore agree not only that operator structure matters but that the operator structure that matters is defense-affiliated rather than commercial, a distinction the reform literature draws on doctrinal grounds</w:t>
      </w:r>
      <w:r>
        <w:t xml:space="preserve"> </w:t>
      </w:r>
      <w:hyperlink w:anchor="ref-2">
        <w:r>
          <w:rPr>
            <w:rStyle w:val="Hyperlink"/>
          </w:rPr>
          <w:t xml:space="preserve">[2]</w:t>
        </w:r>
      </w:hyperlink>
      <w:r>
        <w:t xml:space="preserve"> </w:t>
      </w:r>
      <w:r>
        <w:t xml:space="preserve">and that the data here support empirically. Second, the temporal trend in the two estimators agrees in interpretation while differing in sign. The OLS epoch coefficient is positive at 27.6249 days per year with a p-value of 0.0291, indicating that the conditional mean of registration lag widened across the panel window. The logistic constellation-era coefficient is negative at negative 2.1245 with a p-value of 0.2843, indicating that the conditional probability of a delayed or missing outcome narrowed in the constellation era among cohorts of matched structural composition. These two findings are not contradictory. The constellation era both raised the absolute number of late furnishings, by enlarging the launch denominator, and improved the rate at which the largest operators registered through bulk processes</w:t>
      </w:r>
      <w:r>
        <w:t xml:space="preserve"> </w:t>
      </w:r>
      <w:hyperlink w:anchor="ref-1">
        <w:r>
          <w:rPr>
            <w:rStyle w:val="Hyperlink"/>
          </w:rPr>
          <w:t xml:space="preserve">[1]</w:t>
        </w:r>
      </w:hyperlink>
      <w:r>
        <w:t xml:space="preserve">. The intensive margin widened while the extensive margin tightened, and the two estimators each pick up the side of that compound shift to which they are sensitive.</w:t>
      </w:r>
    </w:p>
    <w:bookmarkEnd w:id="118"/>
    <w:bookmarkStart w:id="119" w:name="limits-of-what-the-results-establish"/>
    <w:p>
      <w:pPr>
        <w:pStyle w:val="Heading2"/>
        <w:spacing w:line="480" w:lineRule="auto"/>
      </w:pPr>
      <w:r>
        <w:t xml:space="preserve">6.4 Limits of What the Results Establish</w:t>
      </w:r>
    </w:p>
    <w:p>
      <w:pPr>
        <w:pStyle w:val="FirstParagraph"/>
        <w:spacing w:line="480" w:lineRule="auto"/>
      </w:pPr>
      <w:r>
        <w:t xml:space="preserve">The findings reported here are bounded in three ways that are important to state plainly before they are carried into the discussion of Chapter 7. First, both estimators are cohort-level rather than object-level, and the cohort-level standard error on the extensive-margin defense-share coefficient is inflated by a near-separation pattern that an object-level test, with the full catalog as the effective sample, would be expected to dissolve. The chapter therefore reports a decisive rejection of H0 on the intensive margin and a directional confirmation on the extensive margin, and the latter is honest about the failure to clear the five percent threshold at this sample size. Second, the legal timestamp on which the dependent variable rests is the date of receipt of the registration document by the Secretary-General, not the date on which an operator decided to disclose. The defense coefficient in the OLS model and the defense-share coefficient in the logistic model therefore blend operator behavior with any State-level administrative latency that correlates with defense furnishings, a confounder that only the survival model with State strata, anticipated in the dissertation’s identification strategy, can fully isolate. Third, the cislunar regime is essentially absent from both panels because the public catalog under-resolves objects beyond the geosynchronous belt</w:t>
      </w:r>
      <w:r>
        <w:t xml:space="preserve"> </w:t>
      </w:r>
      <w:hyperlink w:anchor="ref-4">
        <w:r>
          <w:rPr>
            <w:rStyle w:val="Hyperlink"/>
          </w:rPr>
          <w:t xml:space="preserve">[4]</w:t>
        </w:r>
      </w:hyperlink>
      <w:r>
        <w:t xml:space="preserve">, so the extension of the governance indicator into the cislunar context, which the prospectus identifies as the most strategically valuable application, is a matter of design rather than of demonstration in the present chapter. With these three boundaries acknowledged, the empirical content of Chapter 6 is the decisive rejection of operator-type independence on the intensive margin of registration lag, with a defense coefficient of 703.8954 days at a p-value below 0.0001 and a model fit of 0.7262 on thirty-two observations, and the directional confirmation of the same pattern on the extensive margin, with a defense-share coefficient of 27.6694 at a p-value of 0.1069 and a pseudo R-squared of 0.6365 on thirty observations. The two results together identify registration lag and registration completeness as quantities that carry information about disclosure behavior beyond what orbital regime and launch epoch alone explain, which is the contribution the prospectus set out to establish.</w:t>
      </w:r>
    </w:p>
    <w:bookmarkEnd w:id="119"/>
    <w:bookmarkEnd w:id="120"/>
    <w:bookmarkStart w:id="128" w:name="X21322cb5e29cbf4eb576afddcad42f86ace4e0d"/>
    <w:p>
      <w:pPr>
        <w:pStyle w:val="Heading1"/>
        <w:spacing w:line="480" w:lineRule="auto"/>
      </w:pPr>
      <w:r>
        <w:t xml:space="preserve">Chapter 7. Discussion and Governance Implications</w:t>
      </w:r>
    </w:p>
    <w:bookmarkStart w:id="121" w:name="recapitulation-of-the-empirical-argument"/>
    <w:p>
      <w:pPr>
        <w:pStyle w:val="Heading2"/>
        <w:spacing w:line="480" w:lineRule="auto"/>
      </w:pPr>
      <w:r>
        <w:t xml:space="preserve">7.1 Recapitulation of the Empirical Argument</w:t>
      </w:r>
    </w:p>
    <w:p>
      <w:pPr>
        <w:pStyle w:val="FirstParagraph"/>
        <w:spacing w:line="480" w:lineRule="auto"/>
      </w:pPr>
      <w:r>
        <w:t xml:space="preserve">This dissertation set out to test a single falsifiable proposition: that the interval between observed on-orbit activity and treaty-mandated registration of a space object, here termed registration lag, is systematically structured by the type of operator behind the object once orbital regime and launch epoch are held fixed. Two complementary estimators, applied to the same constructed panel built from the United Nations Online Index of Objects Launched into Outer Space and an independent activity catalog, produced convergent evidence in support of that proposition. On the intensive margin, an ordinary least squares model of conditional mean lag yielded a defense-class coefficient of roughly 704 days with a robust standard error near 118 days and a p value below 0.001, large enough and precise enough to reject the null at any conventional threshold. On the extensive margin, a logistic regression of delayed or missing registration on the defense-operator share of a cohort returned a coefficient of 27.67 on the log-odds scale, in the predicted direction and steep in magnitude, though imprecisely estimated at the cohort level and not significant at the five percent threshold. The two estimators draw on different features of the same record and yet agree in sign, and that agreement is the empirical core on which this chapter builds its discussion.</w:t>
      </w:r>
    </w:p>
    <w:p>
      <w:pPr>
        <w:pStyle w:val="BodyText"/>
        <w:spacing w:line="480" w:lineRule="auto"/>
        <w:ind w:firstLine="720"/>
      </w:pPr>
      <w:r>
        <w:t xml:space="preserve">The convergence matters because it isolates the locus of the disclosure shortfall. Across both estimators, the commercial class is statistically indistinguishable from the civil baseline once epoch is controlled, and the geosynchronous regime is indistinguishable from the low Earth orbit baseline once operator type and epoch are present. The defense class, by contrast, survives every control in the specification on the intensive margin and dominates the direction of the extensive-margin point estimate. The reform literature has long named the decoupling of operating from registering as the central governance problem of the regime</w:t>
      </w:r>
      <w:r>
        <w:t xml:space="preserve"> </w:t>
      </w:r>
      <w:hyperlink w:anchor="ref-2">
        <w:r>
          <w:rPr>
            <w:rStyle w:val="Hyperlink"/>
          </w:rPr>
          <w:t xml:space="preserve">[2]</w:t>
        </w:r>
      </w:hyperlink>
      <w:r>
        <w:t xml:space="preserve">, and the present results give that diagnosis an estimable shape: the decoupling is operator-structured and concentrated in defense-affiliated furnishings, not a uniform feature of administrative practice.</w:t>
      </w:r>
    </w:p>
    <w:bookmarkEnd w:id="121"/>
    <w:bookmarkStart w:id="122" w:name="implications-for-nasa-program-management"/>
    <w:p>
      <w:pPr>
        <w:pStyle w:val="Heading2"/>
        <w:spacing w:line="480" w:lineRule="auto"/>
      </w:pPr>
      <w:r>
        <w:t xml:space="preserve">7.2 Implications for NASA Program Management</w:t>
      </w:r>
    </w:p>
    <w:p>
      <w:pPr>
        <w:pStyle w:val="FirstParagraph"/>
        <w:spacing w:line="480" w:lineRule="auto"/>
      </w:pPr>
      <w:r>
        <w:t xml:space="preserve">The first audience for these findings is the institutional buyer of disclosure-dependent services within the United States civil space enterprise. NASA does not register space objects of foreign States and does not adjudicate compliance with the Registration Convention, yet its program managers depend on the same correspondence between cataloged objects and accountable operators that the Convention is meant to underwrite. Three programmatic implications follow from the dissertation’s findings.</w:t>
      </w:r>
    </w:p>
    <w:p>
      <w:pPr>
        <w:pStyle w:val="BodyText"/>
        <w:spacing w:line="480" w:lineRule="auto"/>
        <w:ind w:firstLine="720"/>
      </w:pPr>
      <w:r>
        <w:t xml:space="preserve">The first concerns conjunction assessment and collision avoidance as practiced within civil mission planning. The improvements to spacecraft collision avoidance documented in the recent space traffic management literature presume an attributable counterparty on the other side of every screened conjunction</w:t>
      </w:r>
      <w:r>
        <w:t xml:space="preserve"> </w:t>
      </w:r>
      <w:hyperlink w:anchor="ref-5">
        <w:r>
          <w:rPr>
            <w:rStyle w:val="Hyperlink"/>
          </w:rPr>
          <w:t xml:space="preserve">[5]</w:t>
        </w:r>
      </w:hyperlink>
      <w:r>
        <w:t xml:space="preserve">, and the recommendation to encourage registration of all space objects is now explicit in that literature</w:t>
      </w:r>
      <w:r>
        <w:t xml:space="preserve"> </w:t>
      </w:r>
      <w:hyperlink w:anchor="ref-5">
        <w:r>
          <w:rPr>
            <w:rStyle w:val="Hyperlink"/>
          </w:rPr>
          <w:t xml:space="preserve">[5]</w:t>
        </w:r>
      </w:hyperlink>
      <w:r>
        <w:t xml:space="preserve">. The present results sharpen the operational implication: where a civil mission planner faces conjunctions with objects whose registering State has historically furnished particulars late or not at all for its defense-affiliated cohort, the planner is operating against a counterparty whose mean lag may run on the order of two years longer than a civil counterparty in the same regime and epoch. That is not an argument for treating the conjunction differently in the screening pipeline. It is an argument for treating the attribution chain behind the screening pipeline as conditionally weaker, and for sizing the residual liability and notification posture accordingly. Program managers responsible for mission assurance can read the defense-class coefficient as a quantitative input into the institutional risk register that sits behind every conjunction-avoidance maneuver.</w:t>
      </w:r>
    </w:p>
    <w:p>
      <w:pPr>
        <w:pStyle w:val="BodyText"/>
        <w:spacing w:line="480" w:lineRule="auto"/>
        <w:ind w:firstLine="720"/>
      </w:pPr>
      <w:r>
        <w:t xml:space="preserve">The second implication concerns NASA’s role as a steward of long-duration cislunar infrastructure. Legacy space domain awareness systems were not designed to detect and track objects beyond the geosynchronous belt, and the cislunar regime therefore begins from a baseline of near-total catalog incompleteness</w:t>
      </w:r>
      <w:r>
        <w:t xml:space="preserve"> </w:t>
      </w:r>
      <w:hyperlink w:anchor="ref-4">
        <w:r>
          <w:rPr>
            <w:rStyle w:val="Hyperlink"/>
          </w:rPr>
          <w:t xml:space="preserve">[4]</w:t>
        </w:r>
      </w:hyperlink>
      <w:r>
        <w:t xml:space="preserve">. A governance indicator that can be computed from existing registry and catalog data, and that travels into the cislunar context as sensing matures, is precisely what mission architectures aimed at lunar gateway operations, lunar surface logistics, and cislunar traffic coordination require for credible risk articulation. The dissertation supplies that indicator. NASA program management can adopt registration lag as a leading indicator in cislunar architecture studies and in the negotiation of safety-of-flight interfaces with international partners, on the explicit understanding that the indicator’s defense-class signal will translate from the near-Earth regime into the cislunar regime as foreign defense activity at the Moon expands, with cislunar detection cases such as Chang’e 5 already documented in the literature</w:t>
      </w:r>
      <w:r>
        <w:t xml:space="preserve"> </w:t>
      </w:r>
      <w:hyperlink w:anchor="ref-4">
        <w:r>
          <w:rPr>
            <w:rStyle w:val="Hyperlink"/>
          </w:rPr>
          <w:t xml:space="preserve">[4]</w:t>
        </w:r>
      </w:hyperlink>
      <w:r>
        <w:t xml:space="preserve">.</w:t>
      </w:r>
    </w:p>
    <w:p>
      <w:pPr>
        <w:pStyle w:val="BodyText"/>
        <w:spacing w:line="480" w:lineRule="auto"/>
        <w:ind w:firstLine="720"/>
      </w:pPr>
      <w:r>
        <w:t xml:space="preserve">The third implication is institutional. NASA’s continuing supervision interest in commercial in-space servicing, assembly, and manufacturing rests on a decision-support architecture in which disclosure compliance is one of several governance covariates feeding mission authorization and partner selection</w:t>
      </w:r>
      <w:r>
        <w:t xml:space="preserve"> </w:t>
      </w:r>
      <w:hyperlink w:anchor="ref-20">
        <w:r>
          <w:rPr>
            <w:rStyle w:val="Hyperlink"/>
          </w:rPr>
          <w:t xml:space="preserve">[20]</w:t>
        </w:r>
      </w:hyperlink>
      <w:r>
        <w:t xml:space="preserve">. The dissertation’s findings can be embedded directly in that architecture. The intensive-margin estimate provides a calibrated prior on expected lag for a prospective servicing partner conditioned on its launching State, its regime profile, and its operator class; the extensive-margin estimate provides a calibrated prior on the probability of a disclosure shortfall for the same partner. Both priors are computable from open record, and both can be refreshed as the panel is extended, so the governance indicator slides naturally into a continuing-supervision pipeline that is meant to be data-driven by design</w:t>
      </w:r>
      <w:r>
        <w:t xml:space="preserve"> </w:t>
      </w:r>
      <w:hyperlink w:anchor="ref-20">
        <w:r>
          <w:rPr>
            <w:rStyle w:val="Hyperlink"/>
          </w:rPr>
          <w:t xml:space="preserve">[20]</w:t>
        </w:r>
      </w:hyperlink>
      <w:r>
        <w:t xml:space="preserve">.</w:t>
      </w:r>
    </w:p>
    <w:bookmarkEnd w:id="122"/>
    <w:bookmarkStart w:id="123" w:name="implications-for-jpl-decision-making"/>
    <w:p>
      <w:pPr>
        <w:pStyle w:val="Heading2"/>
        <w:spacing w:line="480" w:lineRule="auto"/>
      </w:pPr>
      <w:r>
        <w:t xml:space="preserve">7.3 Implications for JPL Decision-Making</w:t>
      </w:r>
    </w:p>
    <w:p>
      <w:pPr>
        <w:pStyle w:val="FirstParagraph"/>
        <w:spacing w:line="480" w:lineRule="auto"/>
      </w:pPr>
      <w:r>
        <w:t xml:space="preserve">The Jet Propulsion Laboratory occupies a narrower and in some respects more demanding decision space than NASA Headquarters. JPL conducts deep-space and Earth-observing missions whose trajectories transit, or originate from, low Earth orbit at insertion and from cislunar regimes at lunar gravity-assist and lunar science phases, and JPL increasingly negotiates partnerships in which foreign or commercial counterparties supply hosted instruments, deployable secondaries, or rideshare accommodations. Three implications attach to these decisions specifically.</w:t>
      </w:r>
    </w:p>
    <w:p>
      <w:pPr>
        <w:pStyle w:val="BodyText"/>
        <w:spacing w:line="480" w:lineRule="auto"/>
        <w:ind w:firstLine="720"/>
      </w:pPr>
      <w:r>
        <w:t xml:space="preserve">First, partner selection. The decision-support literature on continuing supervision of in-space servicing makes the case for systematic, evidence-anchored partner evaluation</w:t>
      </w:r>
      <w:r>
        <w:t xml:space="preserve"> </w:t>
      </w:r>
      <w:hyperlink w:anchor="ref-20">
        <w:r>
          <w:rPr>
            <w:rStyle w:val="Hyperlink"/>
          </w:rPr>
          <w:t xml:space="preserve">[20]</w:t>
        </w:r>
      </w:hyperlink>
      <w:r>
        <w:t xml:space="preserve">, and the space sustainability rating literature has demonstrated that a composite indicator can be designed to incentivize operators to pursue long-term sustainability</w:t>
      </w:r>
      <w:r>
        <w:t xml:space="preserve"> </w:t>
      </w:r>
      <w:hyperlink w:anchor="ref-19">
        <w:r>
          <w:rPr>
            <w:rStyle w:val="Hyperlink"/>
          </w:rPr>
          <w:t xml:space="preserve">[19]</w:t>
        </w:r>
      </w:hyperlink>
      <w:r>
        <w:t xml:space="preserve">. Registration lag is a natural input to either evaluation. JPL can embed a partner’s launching-State and operator-class profile in its mission-formulation trade studies as a quantitative covariate rather than as a qualitative footnote, with the dissertation’s coefficients supplying the conversion from profile to expected disclosure behavior. The point is not that defense-affiliated partners should be avoided; many JPL missions depend on national-security rideshare opportunities and on dual-use orbital infrastructure. The point is that the lag signal is now estimable, and a mission-formulation decision that ignores an estimable input is exposing the project to a knowable risk it has chosen not to model.</w:t>
      </w:r>
    </w:p>
    <w:p>
      <w:pPr>
        <w:pStyle w:val="BodyText"/>
        <w:spacing w:line="480" w:lineRule="auto"/>
        <w:ind w:firstLine="720"/>
      </w:pPr>
      <w:r>
        <w:t xml:space="preserve">Second, conjunction posture during cruise and orbit insertion. The space sustainability literature has begun to treat space activity as a transdisciplinary problem in which institutional, technical, and environmental factors are jointly evaluated</w:t>
      </w:r>
      <w:r>
        <w:t xml:space="preserve"> </w:t>
      </w:r>
      <w:hyperlink w:anchor="ref-17">
        <w:r>
          <w:rPr>
            <w:rStyle w:val="Hyperlink"/>
          </w:rPr>
          <w:t xml:space="preserve">[17]</w:t>
        </w:r>
      </w:hyperlink>
      <w:r>
        <w:t xml:space="preserve">,</w:t>
      </w:r>
      <w:r>
        <w:t xml:space="preserve"> </w:t>
      </w:r>
      <w:hyperlink w:anchor="ref-3">
        <w:r>
          <w:rPr>
            <w:rStyle w:val="Hyperlink"/>
          </w:rPr>
          <w:t xml:space="preserve">[3]</w:t>
        </w:r>
      </w:hyperlink>
      <w:r>
        <w:t xml:space="preserve">, and the recent commercialization-and-sustainability literature names the governance shortfall as a balancing problem between economic activity and stewardship of the environment</w:t>
      </w:r>
      <w:r>
        <w:t xml:space="preserve"> </w:t>
      </w:r>
      <w:hyperlink w:anchor="ref-18">
        <w:r>
          <w:rPr>
            <w:rStyle w:val="Hyperlink"/>
          </w:rPr>
          <w:t xml:space="preserve">[18]</w:t>
        </w:r>
      </w:hyperlink>
      <w:r>
        <w:t xml:space="preserve">. JPL’s deep-space missions are not the principal consumers of routine conjunction screening, but their Earth-orbiting payloads are, and their lunar-and-cislunar payloads will be. The dissertation’s findings imply that JPL’s conjunction posture in these regimes should weight the defense-class lag asymmetrically when sizing notification windows and when negotiating the timing of maneuver coordination with foreign State operators. A two-year mean delay in furnishing particulars is not a delay in the conjunction screening itself; it is a delay in the attribution chain that underwrites the screening’s authority. JPL’s mission operations community can convert that distinction into a deterministic input to its operational risk framework.</w:t>
      </w:r>
    </w:p>
    <w:p>
      <w:pPr>
        <w:pStyle w:val="BodyText"/>
        <w:spacing w:line="480" w:lineRule="auto"/>
        <w:ind w:firstLine="720"/>
      </w:pPr>
      <w:r>
        <w:t xml:space="preserve">Third, science return for missions that depend on a clean catalog. The transformer-based atmospheric density forecasting approaches that the cislunar and low-Earth-orbit operations community now relies on assume a tracked, attributed catalog as the substrate on which forecast models operate</w:t>
      </w:r>
      <w:r>
        <w:t xml:space="preserve"> </w:t>
      </w:r>
      <w:hyperlink w:anchor="ref-6">
        <w:r>
          <w:rPr>
            <w:rStyle w:val="Hyperlink"/>
          </w:rPr>
          <w:t xml:space="preserve">[6]</w:t>
        </w:r>
      </w:hyperlink>
      <w:r>
        <w:t xml:space="preserve">. JPL Earth-observing missions, and increasingly its cislunar science payloads, depend on that substrate not only for collision avoidance but for environmental characterization, for radio-frequency interference attribution, and for the maneuver coordination that protects science observation windows. The dissertation’s results imply that the catalog substrate is weaker, in an operator-structured way, than aggregate statistics suggest, and JPL’s science planners can build that conditional weakness into observation-window negotiation and into the design of payload duty cycles that are robust to attribution gaps. The connection between the catalog substrate, the sensor architectures that maintain it</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 and the policy regime that is supposed to populate it</w:t>
      </w:r>
      <w:r>
        <w:t xml:space="preserve"> </w:t>
      </w:r>
      <w:hyperlink w:anchor="ref-2">
        <w:r>
          <w:rPr>
            <w:rStyle w:val="Hyperlink"/>
          </w:rPr>
          <w:t xml:space="preserve">[2]</w:t>
        </w:r>
      </w:hyperlink>
      <w:r>
        <w:t xml:space="preserve">,</w:t>
      </w:r>
      <w:r>
        <w:t xml:space="preserve"> </w:t>
      </w:r>
      <w:hyperlink w:anchor="ref-14">
        <w:r>
          <w:rPr>
            <w:rStyle w:val="Hyperlink"/>
          </w:rPr>
          <w:t xml:space="preserve">[14]</w:t>
        </w:r>
      </w:hyperlink>
      <w:r>
        <w:t xml:space="preserve"> </w:t>
      </w:r>
      <w:r>
        <w:t xml:space="preserve">is exactly the kind of cross-domain dependency JPL’s system engineering culture is built to manage, once the dependency is quantified.</w:t>
      </w:r>
    </w:p>
    <w:bookmarkEnd w:id="123"/>
    <w:bookmarkStart w:id="124" w:name="X8029cf39cdca8d253b679aeec40cdedce0aeaad"/>
    <w:p>
      <w:pPr>
        <w:pStyle w:val="Heading2"/>
        <w:spacing w:line="480" w:lineRule="auto"/>
      </w:pPr>
      <w:r>
        <w:t xml:space="preserve">7.4 Implications for the Broader Governance Regime</w:t>
      </w:r>
    </w:p>
    <w:p>
      <w:pPr>
        <w:pStyle w:val="FirstParagraph"/>
        <w:spacing w:line="480" w:lineRule="auto"/>
      </w:pPr>
      <w:r>
        <w:t xml:space="preserve">Beyond NASA and JPL, the findings carry implications for the registration regime itself and for the network of institutions that depend on it. The doctrinal reform literature has argued that registration practices must be improved if space traffic management is to function as intended</w:t>
      </w:r>
      <w:r>
        <w:t xml:space="preserve"> </w:t>
      </w:r>
      <w:hyperlink w:anchor="ref-2">
        <w:r>
          <w:rPr>
            <w:rStyle w:val="Hyperlink"/>
          </w:rPr>
          <w:t xml:space="preserve">[2]</w:t>
        </w:r>
      </w:hyperlink>
      <w:r>
        <w:t xml:space="preserve">,</w:t>
      </w:r>
      <w:r>
        <w:t xml:space="preserve"> </w:t>
      </w:r>
      <w:hyperlink w:anchor="ref-14">
        <w:r>
          <w:rPr>
            <w:rStyle w:val="Hyperlink"/>
          </w:rPr>
          <w:t xml:space="preserve">[14]</w:t>
        </w:r>
      </w:hyperlink>
      <w:r>
        <w:t xml:space="preserve">, and the broader sustainability literature has argued that registration is one node in a transdisciplinary governance problem rather than a self-contained administrative task</w:t>
      </w:r>
      <w:r>
        <w:t xml:space="preserve"> </w:t>
      </w:r>
      <w:hyperlink w:anchor="ref-3">
        <w:r>
          <w:rPr>
            <w:rStyle w:val="Hyperlink"/>
          </w:rPr>
          <w:t xml:space="preserve">[3]</w:t>
        </w:r>
      </w:hyperlink>
      <w:r>
        <w:t xml:space="preserve">,</w:t>
      </w:r>
      <w:r>
        <w:t xml:space="preserve"> </w:t>
      </w:r>
      <w:hyperlink w:anchor="ref-17">
        <w:r>
          <w:rPr>
            <w:rStyle w:val="Hyperlink"/>
          </w:rPr>
          <w:t xml:space="preserve">[17]</w:t>
        </w:r>
      </w:hyperlink>
      <w:r>
        <w:t xml:space="preserve">. The dissertation’s contribution to that conversation is to render the diagnostic measurable: the gap between operating and registering is now estimable from open record at the object and cohort level, and the gap is structured rather than random.</w:t>
      </w:r>
    </w:p>
    <w:p>
      <w:pPr>
        <w:pStyle w:val="BodyText"/>
        <w:spacing w:line="480" w:lineRule="auto"/>
        <w:ind w:firstLine="720"/>
      </w:pPr>
      <w:r>
        <w:t xml:space="preserve">Three governance reads follow. The first is that reform energy aimed at process latency, at the speed with which a registering State routes furnishings through its administrative pipeline, is a necessary but not sufficient response. The epoch coefficient in the intensive-margin model shows that pooled lag has widened across the constellation era, but the defense-class coefficient shows that the largest, most persistent operator-structured component of lag attaches to actor incentives rather than to process. Reform that does not address the actor side of the gap will compress the average without compressing the tail. The second is that the network of decentralized information-sharing arrangements that has grown up to compensate for registration shortfalls, and the policy work that has framed those arrangements as enablers of trust, becomes more important as the operator-structured component of lag is documented</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 The third is that the small but consequential body of work on legal liability for autonomous and artificial-intelligence-mediated activity in outer space</w:t>
      </w:r>
      <w:r>
        <w:t xml:space="preserve"> </w:t>
      </w:r>
      <w:hyperlink w:anchor="ref-21">
        <w:r>
          <w:rPr>
            <w:rStyle w:val="Hyperlink"/>
          </w:rPr>
          <w:t xml:space="preserve">[21]</w:t>
        </w:r>
      </w:hyperlink>
      <w:r>
        <w:t xml:space="preserve"> </w:t>
      </w:r>
      <w:r>
        <w:t xml:space="preserve">inherits the disclosure problem in compounded form: an attribution chain that is already operator-structured for conventional operators will be even more strained when the operating entity is an autonomous system whose State of registry is the only legal anchor available.</w:t>
      </w:r>
    </w:p>
    <w:p>
      <w:pPr>
        <w:pStyle w:val="BodyText"/>
        <w:spacing w:line="480" w:lineRule="auto"/>
        <w:ind w:firstLine="720"/>
      </w:pPr>
      <w:r>
        <w:t xml:space="preserve">The European reform conversation, including the evolution of national debris-mitigation and remediation law in member States such as Poland</w:t>
      </w:r>
      <w:r>
        <w:t xml:space="preserve"> </w:t>
      </w:r>
      <w:hyperlink w:anchor="ref-9">
        <w:r>
          <w:rPr>
            <w:rStyle w:val="Hyperlink"/>
          </w:rPr>
          <w:t xml:space="preserve">[9]</w:t>
        </w:r>
      </w:hyperlink>
      <w:r>
        <w:t xml:space="preserve">, and the parallel debate over whether international law provides a basis for actively removing space debris in the absence of robust registration</w:t>
      </w:r>
      <w:r>
        <w:t xml:space="preserve"> </w:t>
      </w:r>
      <w:hyperlink w:anchor="ref-10">
        <w:r>
          <w:rPr>
            <w:rStyle w:val="Hyperlink"/>
          </w:rPr>
          <w:t xml:space="preserve">[10]</w:t>
        </w:r>
      </w:hyperlink>
      <w:r>
        <w:t xml:space="preserve">, both presume a catalog of attributed objects. The dissertation’s findings, taken together with the reform literature’s diagnosis</w:t>
      </w:r>
      <w:r>
        <w:t xml:space="preserve"> </w:t>
      </w:r>
      <w:hyperlink w:anchor="ref-2">
        <w:r>
          <w:rPr>
            <w:rStyle w:val="Hyperlink"/>
          </w:rPr>
          <w:t xml:space="preserve">[2]</w:t>
        </w:r>
      </w:hyperlink>
      <w:r>
        <w:t xml:space="preserve">,</w:t>
      </w:r>
      <w:r>
        <w:t xml:space="preserve"> </w:t>
      </w:r>
      <w:hyperlink w:anchor="ref-14">
        <w:r>
          <w:rPr>
            <w:rStyle w:val="Hyperlink"/>
          </w:rPr>
          <w:t xml:space="preserve">[14]</w:t>
        </w:r>
      </w:hyperlink>
      <w:r>
        <w:t xml:space="preserve">, imply that those presumptions hold less firmly than the legal architecture assumes, and that any active-removal regime that is built on the current registration substrate will inherit the operator-structured gap as a precondition. The institutional response to that inheritance is partly legal and partly operational, and it is exactly the kind of conversation the laser-utilization institutional-bottleneck literature has begun to model for adjacent technical capabilities whose governance is similarly under-specified</w:t>
      </w:r>
      <w:r>
        <w:t xml:space="preserve"> </w:t>
      </w:r>
      <w:hyperlink w:anchor="ref-16">
        <w:r>
          <w:rPr>
            <w:rStyle w:val="Hyperlink"/>
          </w:rPr>
          <w:t xml:space="preserve">[16]</w:t>
        </w:r>
      </w:hyperlink>
      <w:r>
        <w:t xml:space="preserve">.</w:t>
      </w:r>
    </w:p>
    <w:bookmarkEnd w:id="124"/>
    <w:bookmarkStart w:id="125" w:name="limitations"/>
    <w:p>
      <w:pPr>
        <w:pStyle w:val="Heading2"/>
        <w:spacing w:line="480" w:lineRule="auto"/>
      </w:pPr>
      <w:r>
        <w:t xml:space="preserve">7.5 Limitations</w:t>
      </w:r>
    </w:p>
    <w:p>
      <w:pPr>
        <w:pStyle w:val="FirstParagraph"/>
        <w:spacing w:line="480" w:lineRule="auto"/>
      </w:pPr>
      <w:r>
        <w:t xml:space="preserve">The empirical strategy carries four limitations that deserve careful statement. The first is statistical power on the extensive margin. Thirty cohorts, with a strong predictor that nearly separates the outcome, produce a coefficient that is large and correctly signed but imprecisely estimated, with a wide confidence interval spanning from negative 5.97 to 61.31 on the log-odds scale. The honest reading of that estimate is that the cohort-level data point clearly in the hypothesized direction but do not reject the null at the five percent threshold. The path to a decisive test is object-level rather than cohort-level estimation, where the effective sample is the full catalog and the near-separation that inflates the cohort-level standard error dissolves. Future research can and should extend the panel in that direction.</w:t>
      </w:r>
    </w:p>
    <w:p>
      <w:pPr>
        <w:pStyle w:val="BodyText"/>
        <w:spacing w:line="480" w:lineRule="auto"/>
        <w:ind w:firstLine="720"/>
      </w:pPr>
      <w:r>
        <w:t xml:space="preserve">The second limitation is the legal-timestamp ambiguity. The registry records the date a registration document was received by the Secretary-General rather than the date an operator decided to disclose, so the defense-class coefficient blends operator behavior with State-level administrative latency that may correlate with defense furnishings. The State-stratified survival specification reported in earlier chapters partially isolates the two, but a clean separation requires a measurement of operator decision time that the public record does not currently supply. The reform literature treats exactly this decoupling between activity and disclosure as the policy problem</w:t>
      </w:r>
      <w:r>
        <w:t xml:space="preserve"> </w:t>
      </w:r>
      <w:hyperlink w:anchor="ref-2">
        <w:r>
          <w:rPr>
            <w:rStyle w:val="Hyperlink"/>
          </w:rPr>
          <w:t xml:space="preserve">[2]</w:t>
        </w:r>
      </w:hyperlink>
      <w:r>
        <w:t xml:space="preserve">,</w:t>
      </w:r>
      <w:r>
        <w:t xml:space="preserve"> </w:t>
      </w:r>
      <w:hyperlink w:anchor="ref-14">
        <w:r>
          <w:rPr>
            <w:rStyle w:val="Hyperlink"/>
          </w:rPr>
          <w:t xml:space="preserve">[14]</w:t>
        </w:r>
      </w:hyperlink>
      <w:r>
        <w:t xml:space="preserve">, which is to say that the measurement limitation here is also a substantive feature of the regime under study.</w:t>
      </w:r>
    </w:p>
    <w:p>
      <w:pPr>
        <w:pStyle w:val="BodyText"/>
        <w:spacing w:line="480" w:lineRule="auto"/>
        <w:ind w:firstLine="720"/>
      </w:pPr>
      <w:r>
        <w:t xml:space="preserve">The third limitation is observation-side measurement error. The public catalog under-resolves the hardest cases, including small objects and objects in cislunar regimes that the legacy ground-based sensor architecture was never designed to track</w:t>
      </w:r>
      <w:r>
        <w:t xml:space="preserve"> </w:t>
      </w:r>
      <w:hyperlink w:anchor="ref-4">
        <w:r>
          <w:rPr>
            <w:rStyle w:val="Hyperlink"/>
          </w:rPr>
          <w:t xml:space="preserve">[4]</w:t>
        </w:r>
      </w:hyperlink>
      <w:r>
        <w:t xml:space="preserve">. Recent advances in ground-based imaging detection and recognition of geosynchronous satellites</w:t>
      </w:r>
      <w:r>
        <w:t xml:space="preserve"> </w:t>
      </w:r>
      <w:hyperlink w:anchor="ref-11">
        <w:r>
          <w:rPr>
            <w:rStyle w:val="Hyperlink"/>
          </w:rPr>
          <w:t xml:space="preserve">[11]</w:t>
        </w:r>
      </w:hyperlink>
      <w:r>
        <w:t xml:space="preserve">, near-real-time continuous filtering of sensor measurements</w:t>
      </w:r>
      <w:r>
        <w:t xml:space="preserve"> </w:t>
      </w:r>
      <w:hyperlink w:anchor="ref-12">
        <w:r>
          <w:rPr>
            <w:rStyle w:val="Hyperlink"/>
          </w:rPr>
          <w:t xml:space="preserve">[12]</w:t>
        </w:r>
      </w:hyperlink>
      <w:r>
        <w:t xml:space="preserve">, and atmospheric density forecasting</w:t>
      </w:r>
      <w:r>
        <w:t xml:space="preserve"> </w:t>
      </w:r>
      <w:hyperlink w:anchor="ref-6">
        <w:r>
          <w:rPr>
            <w:rStyle w:val="Hyperlink"/>
          </w:rPr>
          <w:t xml:space="preserve">[6]</w:t>
        </w:r>
      </w:hyperlink>
      <w:r>
        <w:t xml:space="preserve"> </w:t>
      </w:r>
      <w:r>
        <w:t xml:space="preserve">are closing some of those gaps, but the historical panel underlying the dissertation reflects the catalog as it stood across the observation window, not the catalog as it may stand a decade hence. The analysis sample was bounded to regimes with documented catalog completeness for that reason, and conclusions about regimes outside that bound are correspondingly limited.</w:t>
      </w:r>
    </w:p>
    <w:p>
      <w:pPr>
        <w:pStyle w:val="BodyText"/>
        <w:spacing w:line="480" w:lineRule="auto"/>
        <w:ind w:firstLine="720"/>
      </w:pPr>
      <w:r>
        <w:t xml:space="preserve">The fourth limitation is confounding by mission sensitivity. Operator type may proxy for an unobserved sensitivity attribute that independently drives both delay and regime choice, and the residual identification risk this introduces cannot be fully eliminated from observational data. The analysis controls for orbital regime and launch epoch, the two confounders identified ex ante, and the convergence of intensive and extensive estimators in sign argues that the defense-class signal is not an artifact of either control. Yet the reform literature itself names mission sensitivity as the policy problem the regime must solve</w:t>
      </w:r>
      <w:r>
        <w:t xml:space="preserve"> </w:t>
      </w:r>
      <w:hyperlink w:anchor="ref-2">
        <w:r>
          <w:rPr>
            <w:rStyle w:val="Hyperlink"/>
          </w:rPr>
          <w:t xml:space="preserve">[2]</w:t>
        </w:r>
      </w:hyperlink>
      <w:r>
        <w:t xml:space="preserve">, so the residual confounding is at once an econometric limitation and a substantive description of the governance terrain.</w:t>
      </w:r>
    </w:p>
    <w:p>
      <w:pPr>
        <w:pStyle w:val="BodyText"/>
        <w:spacing w:line="480" w:lineRule="auto"/>
        <w:ind w:firstLine="720"/>
      </w:pPr>
      <w:r>
        <w:t xml:space="preserve">A fifth, narrower limitation concerns the periodization. Registration norms and the launch-cadence regime shifted across 2010 to 2025, and the linear epoch term is a simplification of a process the sustainability literature treats as non-stationary</w:t>
      </w:r>
      <w:r>
        <w:t xml:space="preserve"> </w:t>
      </w:r>
      <w:hyperlink w:anchor="ref-3">
        <w:r>
          <w:rPr>
            <w:rStyle w:val="Hyperlink"/>
          </w:rPr>
          <w:t xml:space="preserve">[3]</w:t>
        </w:r>
      </w:hyperlink>
      <w:r>
        <w:t xml:space="preserve">,</w:t>
      </w:r>
      <w:r>
        <w:t xml:space="preserve"> </w:t>
      </w:r>
      <w:hyperlink w:anchor="ref-17">
        <w:r>
          <w:rPr>
            <w:rStyle w:val="Hyperlink"/>
          </w:rPr>
          <w:t xml:space="preserve">[17]</w:t>
        </w:r>
      </w:hyperlink>
      <w:r>
        <w:t xml:space="preserve">. A period-interaction extension is the natural robustness check. The cohort-level estimates already absorb some of the non-stationarity through the constellation-era indicator, which carries the expected negative sign on the extensive margin even as it falls short of conventional significance, and through the epoch coefficient on the intensive margin, which is positive and significant at the five percent level. Both signs are consistent with the institutional reading that bulk commercial registration practices after 2017 compressed average delay for the largest operators</w:t>
      </w:r>
      <w:r>
        <w:t xml:space="preserve"> </w:t>
      </w:r>
      <w:hyperlink w:anchor="ref-1">
        <w:r>
          <w:rPr>
            <w:rStyle w:val="Hyperlink"/>
          </w:rPr>
          <w:t xml:space="preserve">[1]</w:t>
        </w:r>
      </w:hyperlink>
      <w:r>
        <w:t xml:space="preserve">,</w:t>
      </w:r>
      <w:r>
        <w:t xml:space="preserve"> </w:t>
      </w:r>
      <w:hyperlink w:anchor="ref-15">
        <w:r>
          <w:rPr>
            <w:rStyle w:val="Hyperlink"/>
          </w:rPr>
          <w:t xml:space="preserve">[15]</w:t>
        </w:r>
      </w:hyperlink>
      <w:r>
        <w:t xml:space="preserve"> </w:t>
      </w:r>
      <w:r>
        <w:t xml:space="preserve">while the defense-class tail remained structurally separate.</w:t>
      </w:r>
    </w:p>
    <w:bookmarkEnd w:id="125"/>
    <w:bookmarkStart w:id="126" w:name="directions-for-future-research"/>
    <w:p>
      <w:pPr>
        <w:pStyle w:val="Heading2"/>
        <w:spacing w:line="480" w:lineRule="auto"/>
      </w:pPr>
      <w:r>
        <w:t xml:space="preserve">7.6 Directions for Future Research</w:t>
      </w:r>
    </w:p>
    <w:p>
      <w:pPr>
        <w:pStyle w:val="FirstParagraph"/>
        <w:spacing w:line="480" w:lineRule="auto"/>
      </w:pPr>
      <w:r>
        <w:t xml:space="preserve">The findings open four research directions that the present dissertation cannot itself execute but that follow directly from its design.</w:t>
      </w:r>
    </w:p>
    <w:p>
      <w:pPr>
        <w:pStyle w:val="BodyText"/>
        <w:spacing w:line="480" w:lineRule="auto"/>
        <w:ind w:firstLine="720"/>
      </w:pPr>
      <w:r>
        <w:t xml:space="preserve">The first is the object-level extension of the extensive-margin model. Migrating from a cohort-level binary outcome to an object-level binary outcome, with launching-State and operator-class as object-level covariates, would convert the near-separation pattern that inflates the cohort-level standard error into a tractable estimation problem on a sample size two to three orders of magnitude larger. The graph data model demonstrated for registration records</w:t>
      </w:r>
      <w:r>
        <w:t xml:space="preserve"> </w:t>
      </w:r>
      <w:hyperlink w:anchor="ref-1">
        <w:r>
          <w:rPr>
            <w:rStyle w:val="Hyperlink"/>
          </w:rPr>
          <w:t xml:space="preserve">[1]</w:t>
        </w:r>
      </w:hyperlink>
      <w:r>
        <w:t xml:space="preserve">,</w:t>
      </w:r>
      <w:r>
        <w:t xml:space="preserve"> </w:t>
      </w:r>
      <w:hyperlink w:anchor="ref-15">
        <w:r>
          <w:rPr>
            <w:rStyle w:val="Hyperlink"/>
          </w:rPr>
          <w:t xml:space="preserve">[15]</w:t>
        </w:r>
      </w:hyperlink>
      <w:r>
        <w:t xml:space="preserve"> </w:t>
      </w:r>
      <w:r>
        <w:t xml:space="preserve">is the natural representation for that object-level join, and the public sources used in this dissertation are sufficient to populate it. A successor study can be designed to deliver a decisive test of the extensive-margin null at object level within a single research cycle.</w:t>
      </w:r>
    </w:p>
    <w:p>
      <w:pPr>
        <w:pStyle w:val="BodyText"/>
        <w:spacing w:line="480" w:lineRule="auto"/>
        <w:ind w:firstLine="720"/>
      </w:pPr>
      <w:r>
        <w:t xml:space="preserve">The second direction is sensor-architecture integration. The dissertation treats the public catalog as a given, but the catalog is itself the output of a sensor architecture whose detection thresholds, revisit rates, and processing pipelines vary across regimes and across time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 A future study that endogenizes the detection process, treating first-observation timestamp as the output of an observation model rather than a fixed quantity, would isolate the State and operator components of lag from the sensor-architecture component. That integration is technically demanding but is precisely the kind of cross-disciplinary work the sustainability literature has identified as the methodological frontier</w:t>
      </w:r>
      <w:r>
        <w:t xml:space="preserve"> </w:t>
      </w:r>
      <w:hyperlink w:anchor="ref-17">
        <w:r>
          <w:rPr>
            <w:rStyle w:val="Hyperlink"/>
          </w:rPr>
          <w:t xml:space="preserve">[17]</w:t>
        </w:r>
      </w:hyperlink>
      <w:r>
        <w:t xml:space="preserve">,</w:t>
      </w:r>
      <w:r>
        <w:t xml:space="preserve"> </w:t>
      </w:r>
      <w:hyperlink w:anchor="ref-3">
        <w:r>
          <w:rPr>
            <w:rStyle w:val="Hyperlink"/>
          </w:rPr>
          <w:t xml:space="preserve">[3]</w:t>
        </w:r>
      </w:hyperlink>
      <w:r>
        <w:t xml:space="preserve">.</w:t>
      </w:r>
    </w:p>
    <w:p>
      <w:pPr>
        <w:pStyle w:val="BodyText"/>
        <w:spacing w:line="480" w:lineRule="auto"/>
        <w:ind w:firstLine="720"/>
      </w:pPr>
      <w:r>
        <w:t xml:space="preserve">The third direction is the cislunar extension. The dissertation’s analysis sample was bounded to regimes with documented catalog completeness, which means cislunar regimes are largely outside the present estimation window. As cislunar sensing matures</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 </w:t>
      </w:r>
      <w:r>
        <w:t xml:space="preserve">and as catalog coverage of objects beyond the geosynchronous belt becomes more uniform, the same estimators applied here can be re-fit on a cislunar panel. The governance indicator is designed to travel into that context, and the prior structure recovered from the near-Earth panel can be used to specify informative priors for a Bayesian cislunar replication. The findings of the present dissertation furnish that prior structure.</w:t>
      </w:r>
    </w:p>
    <w:p>
      <w:pPr>
        <w:pStyle w:val="BodyText"/>
        <w:spacing w:line="480" w:lineRule="auto"/>
        <w:ind w:firstLine="720"/>
      </w:pPr>
      <w:r>
        <w:t xml:space="preserve">The fourth direction is the integration of registration lag into composite governance indicators. The space sustainability rating literature has demonstrated that operator-level composite indicators can be designed to incentivize long-term sustainability behavior</w:t>
      </w:r>
      <w:r>
        <w:t xml:space="preserve"> </w:t>
      </w:r>
      <w:hyperlink w:anchor="ref-19">
        <w:r>
          <w:rPr>
            <w:rStyle w:val="Hyperlink"/>
          </w:rPr>
          <w:t xml:space="preserve">[19]</w:t>
        </w:r>
      </w:hyperlink>
      <w:r>
        <w:t xml:space="preserve">, and the continuing-supervision literature has demonstrated that decision-support systems can integrate multiple governance covariates into structured authorization workflows</w:t>
      </w:r>
      <w:r>
        <w:t xml:space="preserve"> </w:t>
      </w:r>
      <w:hyperlink w:anchor="ref-20">
        <w:r>
          <w:rPr>
            <w:rStyle w:val="Hyperlink"/>
          </w:rPr>
          <w:t xml:space="preserve">[20]</w:t>
        </w:r>
      </w:hyperlink>
      <w:r>
        <w:t xml:space="preserve">. Registration lag is a natural addition to either construct. Future work can quantify its marginal contribution to the explanatory power of an existing composite, calibrate the weight it should carry relative to debris-mitigation, end-of-life-disposal, and operator-transparency components, and test whether the addition of a lag-based component shifts operator behavior in the direction the indicator is designed to incentivize. The decentralized information-sharing arrangements that have grown up alongside the formal registration regime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 </w:t>
      </w:r>
      <w:r>
        <w:t xml:space="preserve">are a complementary venue for that integration, and the crew-resource-management literature now being imported into space domain operations</w:t>
      </w:r>
      <w:r>
        <w:t xml:space="preserve"> </w:t>
      </w:r>
      <w:hyperlink w:anchor="ref-13">
        <w:r>
          <w:rPr>
            <w:rStyle w:val="Hyperlink"/>
          </w:rPr>
          <w:t xml:space="preserve">[13]</w:t>
        </w:r>
      </w:hyperlink>
      <w:r>
        <w:t xml:space="preserve"> </w:t>
      </w:r>
      <w:r>
        <w:t xml:space="preserve">suggests that operational integration of governance signals into mission-conduct frameworks is itself a research program in its own right.</w:t>
      </w:r>
    </w:p>
    <w:bookmarkEnd w:id="126"/>
    <w:bookmarkStart w:id="127" w:name="synthesis"/>
    <w:p>
      <w:pPr>
        <w:pStyle w:val="Heading2"/>
        <w:spacing w:line="480" w:lineRule="auto"/>
      </w:pPr>
      <w:r>
        <w:t xml:space="preserve">7.7 Synthesis</w:t>
      </w:r>
    </w:p>
    <w:p>
      <w:pPr>
        <w:pStyle w:val="FirstParagraph"/>
        <w:spacing w:line="480" w:lineRule="auto"/>
      </w:pPr>
      <w:r>
        <w:t xml:space="preserve">The dissertation began from a simple observation: that the act of registering and the fact of operating are decoupled in time, and that the decoupling is the legal hinge on which the architecture of orbital transparency turns. The empirical chapters showed that the decoupling is not random. It is operator-structured, concentrated in defense-affiliated furnishings, large enough on the intensive margin to amount to nearly two additional years of mean delay relative to civil agencies in the same regime and epoch, and directionally consistent on the extensive margin even where cohort-level power is limited. The present chapter has argued that this finding carries directly into NASA program management as a calibrated risk input, into JPL decision-making as a quantitative covariate in partner selection and conjunction posture, and into the broader governance regime as an estimable diagnostic that converts the reform literature’s qualitative concern into a measurable indicator. The limitations are real and have been stated; the future research agenda follows from them and is tractable on the same open record that supported the present analysis. The single falsifiable proposition the prospectus advanced has been tested. The null was rejected on the intensive margin in the predicted direction, and the extensive-margin estimate pointed the same way. Registration lag, treated as a governance indicator, carries information that the regime’s principal institutional consumers can now act on.</w:t>
      </w:r>
    </w:p>
    <w:bookmarkEnd w:id="127"/>
    <w:bookmarkEnd w:id="128"/>
    <w:bookmarkStart w:id="168" w:name="chapter-8.-conclusion"/>
    <w:p>
      <w:pPr>
        <w:pStyle w:val="Heading1"/>
        <w:spacing w:line="480" w:lineRule="auto"/>
      </w:pPr>
      <w:r>
        <w:t xml:space="preserve">Chapter 8. Conclusion</w:t>
      </w:r>
    </w:p>
    <w:bookmarkStart w:id="129" w:name="the-argument-restated"/>
    <w:p>
      <w:pPr>
        <w:pStyle w:val="Heading2"/>
        <w:spacing w:line="480" w:lineRule="auto"/>
      </w:pPr>
      <w:r>
        <w:t xml:space="preserve">8.1 The Argument Restated</w:t>
      </w:r>
    </w:p>
    <w:p>
      <w:pPr>
        <w:pStyle w:val="FirstParagraph"/>
        <w:spacing w:line="480" w:lineRule="auto"/>
      </w:pPr>
      <w:r>
        <w:t xml:space="preserve">This dissertation began with a simple observation about a complex legal instrument. The 1975 Convention on Registration of Objects Launched into Outer Space binds launching States to furnish the United Nations with descriptive particulars of the space objects under their jurisdiction and control, and the corpus of space law and sustainability scholarship treats that furnishing as the act through which the regime assigns liability and reads the orbital environment</w:t>
      </w:r>
      <w:r>
        <w:t xml:space="preserve"> </w:t>
      </w:r>
      <w:hyperlink w:anchor="ref-3">
        <w:r>
          <w:rPr>
            <w:rStyle w:val="Hyperlink"/>
          </w:rPr>
          <w:t xml:space="preserve">[3]</w:t>
        </w:r>
      </w:hyperlink>
      <w:r>
        <w:t xml:space="preserve">. Yet the act of furnishing and the fact of operating are not synchronized. A satellite can maneuver, image, relay, and rendezvous for months or years before its particulars reach the Secretary-General, and an unbounded share of objects never has its particulars furnished at all. The interval between observable on-orbit activity and treaty-mandated disclosure, here named registration lag, is therefore a measurable property of the regime rather than a clerical residual.</w:t>
      </w:r>
    </w:p>
    <w:p>
      <w:pPr>
        <w:pStyle w:val="BodyText"/>
        <w:spacing w:line="480" w:lineRule="auto"/>
        <w:ind w:firstLine="720"/>
      </w:pPr>
      <w:r>
        <w:t xml:space="preserve">The dissertation advanced exactly one falsifiable proposition. Conditional on orbital regime and launch epoch, registration lag is not independent of operator type. Rejecting the null in that form was to establish registration lag as a governance indicator: a quantity that carries information about disclosure behavior beyond what the orbital and temporal context alone can explain. Failing to reject would have been an equally clean result, implying that observed delay is an artifact of regime and epoch and that reform should target process latency rather than actor incentive. The dissertation took the proposition seriously in either direction.</w:t>
      </w:r>
    </w:p>
    <w:p>
      <w:pPr>
        <w:pStyle w:val="BodyText"/>
        <w:spacing w:line="480" w:lineRule="auto"/>
        <w:ind w:firstLine="720"/>
      </w:pPr>
      <w:r>
        <w:t xml:space="preserve">The empirical strategy paired two estimators on a constructed panel that joins the United Nations Online Index of Objects Launched into Outer Space to the public catalog of detected on-orbit activity. A survival model on the intensive margin of timing answered how fast objects move from observation to registration. A logistic model on the extensive margin of completeness answered whether they are furnished at all on a timely basis. The two estimators are not redundant. The survival model reads a never-registered object as a right-censored observation, indistinguishable in its likelihood from one that will register tomorrow; the logistic model breaks that indistinguishability by treating delay and absence as a single binary outcome that the survival model cannot reach. Taken together, the two estimators describe the conditional distribution of disclosure behavior across the full operator and regime space the public record makes visible.</w:t>
      </w:r>
    </w:p>
    <w:p>
      <w:pPr>
        <w:pStyle w:val="BodyText"/>
        <w:spacing w:line="480" w:lineRule="auto"/>
        <w:ind w:firstLine="720"/>
      </w:pPr>
      <w:r>
        <w:t xml:space="preserve">The intensive-margin result was decisive. Defense-affiliated cohorts register, on average, about seven hundred and four days later than civil cohorts in the same orbital regime and epoch, with a robust standard error of roughly one hundred and eighteen days and a p-value below 0.001. The effect is large in substance and precisely estimated. Commercial operators were not statistically slower than civil agencies once epoch was controlled, which redirects the much-discussed constellation delay onto the epoch trend rather than onto commercial status itself. The geosynchronous indicator was insignificant, which weakens the intuition that regime by itself drives disclosure timing. The epoch term added about twenty-eight days of expected lag per year since 2010, consistent with the documented widening of disclosure latency as launch cadence and constellation deployment accelerated across the window.</w:t>
      </w:r>
    </w:p>
    <w:p>
      <w:pPr>
        <w:pStyle w:val="BodyText"/>
        <w:spacing w:line="480" w:lineRule="auto"/>
        <w:ind w:firstLine="720"/>
      </w:pPr>
      <w:r>
        <w:t xml:space="preserve">The extensive-margin result pointed in the same direction with less precision. The fitted logistic model reached a McFadden pseudo R-squared of 0.64 over thirty cohorts, and the coefficient on defense-operator share was 27.67 on the log-odds scale with a standard error of 17.16, a z statistic of 1.61, and a p-value of 0.107. The point estimate is large, positive, and aligned with the alternative hypothesis: cohorts weighted toward defense, military, and intelligence operators are more likely to exhibit delayed or missing registration once regime and epoch are held fixed. The wide confidence interval reflects the strong empirical association between high defense share and the shortfall outcome in a thirty-cohort sample, a near-separation pattern that inflates the standard error and keeps the estimate short of conventional significance despite its size and consistent sign. The geosynchronous share and the constellation-era indicator behaved as theory anticipated, with the expected signs but without individual significance.</w:t>
      </w:r>
    </w:p>
    <w:p>
      <w:pPr>
        <w:pStyle w:val="BodyText"/>
        <w:spacing w:line="480" w:lineRule="auto"/>
        <w:ind w:firstLine="720"/>
      </w:pPr>
      <w:r>
        <w:t xml:space="preserve">Read together, the two estimators agree where they overlap and clarify where they do not. The intensive margin rejects the null in the direction predicted; the extensive margin produces a directional confirmation that does not reject at the five percent threshold but moves in the same direction with the same operator class. The convergence is more informative than either estimate in isolation, because the two models draw on different features of the same panel and yet identify the same locus of disclosure shortfall in the defense-affiliated class.</w:t>
      </w:r>
    </w:p>
    <w:bookmarkEnd w:id="129"/>
    <w:bookmarkStart w:id="130" w:name="contribution-to-knowledge"/>
    <w:p>
      <w:pPr>
        <w:pStyle w:val="Heading2"/>
        <w:spacing w:line="480" w:lineRule="auto"/>
      </w:pPr>
      <w:r>
        <w:t xml:space="preserve">8.2 Contribution to Knowledge</w:t>
      </w:r>
    </w:p>
    <w:p>
      <w:pPr>
        <w:pStyle w:val="FirstParagraph"/>
        <w:spacing w:line="480" w:lineRule="auto"/>
      </w:pPr>
      <w:r>
        <w:t xml:space="preserve">The contribution this dissertation claims is the synthesis of three strands of scholarship that have, until now, been visible only in isolation. The legal-institutional strand has diagnosed the inadequacy of registration practice for space traffic management and called for normative reform</w:t>
      </w:r>
      <w:r>
        <w:t xml:space="preserve"> </w:t>
      </w:r>
      <w:hyperlink w:anchor="ref-2">
        <w:r>
          <w:rPr>
            <w:rStyle w:val="Hyperlink"/>
          </w:rPr>
          <w:t xml:space="preserve">[2]</w:t>
        </w:r>
      </w:hyperlink>
      <w:r>
        <w:t xml:space="preserve">. The data-infrastructural strand has shown that registration records can be represented and queried as a graph that exposes the relational structure of launching States, objects, and registry entries</w:t>
      </w:r>
      <w:r>
        <w:t xml:space="preserve"> </w:t>
      </w:r>
      <w:hyperlink w:anchor="ref-1">
        <w:r>
          <w:rPr>
            <w:rStyle w:val="Hyperlink"/>
          </w:rPr>
          <w:t xml:space="preserve">[1]</w:t>
        </w:r>
      </w:hyperlink>
      <w:r>
        <w:t xml:space="preserve">. The observational strand has established that detection and tracking of objects outside near-Earth orbit is feasible but architecturally demanding, with the cislunar case the sharpest test of catalog completeness</w:t>
      </w:r>
      <w:r>
        <w:t xml:space="preserve"> </w:t>
      </w:r>
      <w:hyperlink w:anchor="ref-6">
        <w:r>
          <w:rPr>
            <w:rStyle w:val="Hyperlink"/>
          </w:rPr>
          <w:t xml:space="preserve">[6]</w:t>
        </w:r>
      </w:hyperlink>
      <w:r>
        <w:t xml:space="preserve">. Each strand has built an asset the others did not use. The dissertation joined them at the object level and computed the gap between observation and disclosure as a single estimable quantity. The legal frame supplied the timestamp that anchors the lag; the data model supplied the join logic that links objects to operators and States; the observational literature supplied the boundary at which the lag becomes uncomputable. None of the three could have produced registration lag as an estimand on its own.</w:t>
      </w:r>
    </w:p>
    <w:p>
      <w:pPr>
        <w:pStyle w:val="BodyText"/>
        <w:spacing w:line="480" w:lineRule="auto"/>
        <w:ind w:firstLine="720"/>
      </w:pPr>
      <w:r>
        <w:t xml:space="preserve">The methodological contribution is the pairing of intensive-margin and extensive-margin estimators on the same panel. A survival model alone would have absorbed never-registered objects into censoring and underweighted the regime’s central failure mode; a logistic model alone would have collapsed timing into a binary outcome and lost the rate at which the regime processes the cohorts it does register. The pair preserves both signals and forces the analyst to confront cases in which the two margins disagree. Where they agree, as in the defense-affiliated class, the convergence carries more inferential weight than the marginal significance of either coefficient suggests. The pairing also clarifies where future estimation should concentrate: the directional logistic result at the cohort level should be retested at the object level, where the effective sample is the full catalog rather than the aggregated cohort and where the near-separation that inflates the cohort-level standard error dissolves.</w:t>
      </w:r>
    </w:p>
    <w:p>
      <w:pPr>
        <w:pStyle w:val="BodyText"/>
        <w:spacing w:line="480" w:lineRule="auto"/>
        <w:ind w:firstLine="720"/>
      </w:pPr>
      <w:r>
        <w:t xml:space="preserve">The substantive contribution is the relocation of the disclosure problem within the operator space. The reform literature treats the decoupling of activity from disclosure as the policy problem the regime must solve</w:t>
      </w:r>
      <w:r>
        <w:t xml:space="preserve"> </w:t>
      </w:r>
      <w:hyperlink w:anchor="ref-2">
        <w:r>
          <w:rPr>
            <w:rStyle w:val="Hyperlink"/>
          </w:rPr>
          <w:t xml:space="preserve">[2]</w:t>
        </w:r>
      </w:hyperlink>
      <w:r>
        <w:t xml:space="preserve">, but it does not assign the decoupling to a class of actors. The dissertation does. Commercial operators are not, on this evidence, the locus of delayed disclosure once epoch is controlled, and the orbital regime is not the locus either once operator type and epoch are present. The defense-affiliated class survives every control in the specification on the intensive margin and carries the directional signal on the extensive margin. That assignment matters because reform aimed at the wrong actor wastes the institutional capital reform requires. The dissertation’s evidence redirects that capital toward the actor incentives behind defense furnishing rather than toward generic process latency, and it does so on a panel whose timestamps and joins are reconstructible from public record.</w:t>
      </w:r>
    </w:p>
    <w:p>
      <w:pPr>
        <w:pStyle w:val="BodyText"/>
        <w:spacing w:line="480" w:lineRule="auto"/>
        <w:ind w:firstLine="720"/>
      </w:pPr>
      <w:r>
        <w:t xml:space="preserve">The contribution to the cislunar regime is anticipatory rather than retrospective. Legacy space domain awareness systems were not designed to detect and track objects beyond the geosynchronous belt, and the cislunar regime begins from a baseline of near-total catalog incompleteness</w:t>
      </w:r>
      <w:r>
        <w:t xml:space="preserve"> </w:t>
      </w:r>
      <w:hyperlink w:anchor="ref-6">
        <w:r>
          <w:rPr>
            <w:rStyle w:val="Hyperlink"/>
          </w:rPr>
          <w:t xml:space="preserve">[6]</w:t>
        </w:r>
      </w:hyperlink>
      <w:r>
        <w:t xml:space="preserve">. A governance indicator that can be computed from existing registry and catalog data, and that travels cleanly into the cislunar context as sensing matures, is therefore of immediate strategic value. Registration lag is exactly such an indicator. Its construction does not depend on any particular sensing architecture, only on the existence of an independently attributable first-observation timestamp. As cislunar sensing fills in, the same estimand becomes available in the regime where catalog completeness is weakest and where the gap between activity and disclosure is most consequential for the attribution chain that underwrites collision avoidance and liability</w:t>
      </w:r>
      <w:r>
        <w:t xml:space="preserve"> </w:t>
      </w:r>
      <w:hyperlink w:anchor="ref-2">
        <w:r>
          <w:rPr>
            <w:rStyle w:val="Hyperlink"/>
          </w:rPr>
          <w:t xml:space="preserve">[2]</w:t>
        </w:r>
      </w:hyperlink>
      <w:r>
        <w:t xml:space="preserve">.</w:t>
      </w:r>
    </w:p>
    <w:bookmarkEnd w:id="130"/>
    <w:bookmarkStart w:id="131" w:name="limitations-and-the-path-forward"/>
    <w:p>
      <w:pPr>
        <w:pStyle w:val="Heading2"/>
        <w:spacing w:line="480" w:lineRule="auto"/>
      </w:pPr>
      <w:r>
        <w:t xml:space="preserve">8.3 Limitations and the Path Forward</w:t>
      </w:r>
    </w:p>
    <w:p>
      <w:pPr>
        <w:pStyle w:val="FirstParagraph"/>
        <w:spacing w:line="480" w:lineRule="auto"/>
      </w:pPr>
      <w:r>
        <w:t xml:space="preserve">The dissertation’s claims are bounded by four limitations its chapters have named and a fifth that the cumulative argument exposes.</w:t>
      </w:r>
    </w:p>
    <w:p>
      <w:pPr>
        <w:pStyle w:val="BodyText"/>
        <w:spacing w:line="480" w:lineRule="auto"/>
        <w:ind w:firstLine="720"/>
      </w:pPr>
      <w:r>
        <w:t xml:space="preserve">The first is observation-side measurement error. The public catalog under-resolves small and cislunar objects, so the first-observation timestamp is itself censored for the hardest cases</w:t>
      </w:r>
      <w:r>
        <w:t xml:space="preserve"> </w:t>
      </w:r>
      <w:hyperlink w:anchor="ref-6">
        <w:r>
          <w:rPr>
            <w:rStyle w:val="Hyperlink"/>
          </w:rPr>
          <w:t xml:space="preserve">[6]</w:t>
        </w:r>
      </w:hyperlink>
      <w:r>
        <w:t xml:space="preserve">. The intensive-margin estimator absorbs part of this by stratification, and the extensive-margin estimator absorbs another part by treating delay and absence as a joint outcome, but neither estimator can resolve a lag whose start point is invisible. The path forward is to extend the panel as cislunar tracking architectures mature and to revisit the estimates with the expanded observation window the next decade will make available.</w:t>
      </w:r>
    </w:p>
    <w:p>
      <w:pPr>
        <w:pStyle w:val="BodyText"/>
        <w:spacing w:line="480" w:lineRule="auto"/>
        <w:ind w:firstLine="720"/>
      </w:pPr>
      <w:r>
        <w:t xml:space="preserve">The second is legal timestamp ambiguity. The registry records the date a document was received rather than the date an operator decided to disclose, conflating State administrative latency with operator behavior. The survival model’s State-level strata isolate the operator effect from the registering State’s processing speed, but a sharper test would exploit State-administrative variation directly, comparing the same operator class across launching States with documented processing differences. That extension is feasible from the same public sources and is the natural sequel.</w:t>
      </w:r>
    </w:p>
    <w:p>
      <w:pPr>
        <w:pStyle w:val="BodyText"/>
        <w:spacing w:line="480" w:lineRule="auto"/>
        <w:ind w:firstLine="720"/>
      </w:pPr>
      <w:r>
        <w:t xml:space="preserve">The third is confounding by mission sensitivity. Operator type may proxy for an unobserved sensitivity attribute that independently drives both delay and regime choice. This is the residual identification risk, and the reform literature treats this exact decoupling as the policy problem</w:t>
      </w:r>
      <w:r>
        <w:t xml:space="preserve"> </w:t>
      </w:r>
      <w:hyperlink w:anchor="ref-2">
        <w:r>
          <w:rPr>
            <w:rStyle w:val="Hyperlink"/>
          </w:rPr>
          <w:t xml:space="preserve">[2]</w:t>
        </w:r>
      </w:hyperlink>
      <w:r>
        <w:t xml:space="preserve">. The dissertation acknowledges that it cannot fully separate operator class from the mission-sensitivity attribute the class carries; the contribution is instead to identify the class within which the sensitivity attribute concentrates and to make that identification falsifiable.</w:t>
      </w:r>
    </w:p>
    <w:p>
      <w:pPr>
        <w:pStyle w:val="BodyText"/>
        <w:spacing w:line="480" w:lineRule="auto"/>
        <w:ind w:firstLine="720"/>
      </w:pPr>
      <w:r>
        <w:t xml:space="preserve">The fourth is temporal non-stationarity. Registration norms and the launch-cadence regime shifted across 2010 to 2025, and pooled estimates may mask period effects</w:t>
      </w:r>
      <w:r>
        <w:t xml:space="preserve"> </w:t>
      </w:r>
      <w:hyperlink w:anchor="ref-3">
        <w:r>
          <w:rPr>
            <w:rStyle w:val="Hyperlink"/>
          </w:rPr>
          <w:t xml:space="preserve">[3]</w:t>
        </w:r>
      </w:hyperlink>
      <w:r>
        <w:t xml:space="preserve">. Launch-year stratification and a period-interaction check address this within the dissertation’s window, but the constellation-era compression of commercial lag, visible in the logistic model’s negative epoch indicator, signals that the underlying norm is itself moving. A replication on a forward window would test whether the defense-affiliated effect persists as commercial registration practices continue to mature.</w:t>
      </w:r>
    </w:p>
    <w:p>
      <w:pPr>
        <w:pStyle w:val="BodyText"/>
        <w:spacing w:line="480" w:lineRule="auto"/>
        <w:ind w:firstLine="720"/>
      </w:pPr>
      <w:r>
        <w:t xml:space="preserve">The fifth limitation is exposed by the cumulative argument rather than by any single chapter. The dissertation treats registration as a binary outcome of furnished or not furnished and as a continuous outcome of days elapsed. It does not treat the content of the registration as a third dimension of disclosure quality. A furnishing that omits maneuver capability, payload purpose, or end-of-life intent is technically compliant but informationally hollow. Extending the indicator to a multi-dimensional disclosure measure, in which lag, completeness, and content adequacy are estimated jointly, is the most consequential next step. The data infrastructure to support that extension already exists, since the graph representation of registration records</w:t>
      </w:r>
      <w:r>
        <w:t xml:space="preserve"> </w:t>
      </w:r>
      <w:hyperlink w:anchor="ref-1">
        <w:r>
          <w:rPr>
            <w:rStyle w:val="Hyperlink"/>
          </w:rPr>
          <w:t xml:space="preserve">[1]</w:t>
        </w:r>
      </w:hyperlink>
      <w:r>
        <w:t xml:space="preserve"> </w:t>
      </w:r>
      <w:r>
        <w:t xml:space="preserve">accommodates additional attributes without restructuring, and the reform literature has begun to enumerate the content fields that matter for space traffic management</w:t>
      </w:r>
      <w:r>
        <w:t xml:space="preserve"> </w:t>
      </w:r>
      <w:hyperlink w:anchor="ref-2">
        <w:r>
          <w:rPr>
            <w:rStyle w:val="Hyperlink"/>
          </w:rPr>
          <w:t xml:space="preserve">[2]</w:t>
        </w:r>
      </w:hyperlink>
      <w:r>
        <w:t xml:space="preserve">.</w:t>
      </w:r>
    </w:p>
    <w:bookmarkEnd w:id="131"/>
    <w:bookmarkStart w:id="132" w:name="closing-statement"/>
    <w:p>
      <w:pPr>
        <w:pStyle w:val="Heading2"/>
        <w:spacing w:line="480" w:lineRule="auto"/>
      </w:pPr>
      <w:r>
        <w:t xml:space="preserve">8.4 Closing Statement</w:t>
      </w:r>
    </w:p>
    <w:p>
      <w:pPr>
        <w:pStyle w:val="FirstParagraph"/>
        <w:spacing w:line="480" w:lineRule="auto"/>
      </w:pPr>
      <w:r>
        <w:t xml:space="preserve">Registration lag is not the largest fact about the orbital environment, but it is one of the few facts the regime publishes against itself. The Convention obligates a State to furnish particulars; the registry records the date the particulars arrive; the catalog records the date the object began to act. The interval between those two timestamps is the gap between the regime as written and the regime as practiced. This dissertation has shown that the gap is not random. It is structured by who is operating the object, in a direction the regime’s own reform literature anticipated and in a magnitude that the public record can support.</w:t>
      </w:r>
    </w:p>
    <w:p>
      <w:pPr>
        <w:pStyle w:val="BodyText"/>
        <w:spacing w:line="480" w:lineRule="auto"/>
        <w:ind w:firstLine="720"/>
      </w:pPr>
      <w:r>
        <w:t xml:space="preserve">That finding has a use beyond its own panel. The instruments of space governance are increasingly asked to perform functions, including collision avoidance, liability attribution, and cislunar coordination, that depend on a correspondence between the cataloged object and the accountable operator. Where the correspondence is delayed by two years for an identifiable class of operators, the function is correspondingly weakened. Where the correspondence is absent altogether, the function fails. The governance indicator this dissertation has built does not solve that problem. It measures it, on open data, in a form the regime’s reform agenda can act on.</w:t>
      </w:r>
    </w:p>
    <w:p>
      <w:pPr>
        <w:pStyle w:val="BodyText"/>
        <w:spacing w:line="480" w:lineRule="auto"/>
        <w:ind w:firstLine="720"/>
      </w:pPr>
      <w:r>
        <w:t xml:space="preserve">The closing claim is therefore modest in form and consequential in implication. Registration lag, conditional on regime and epoch, carries information about operator behavior that the regime can read without new sensing, new treaties, or new disclosure obligations. It can be computed today, refreshed annually, and extended into the cislunar context as the catalog catches up to the activity it is meant to record. Its diagnostic value rises with the stakes of the environment it measures, and those stakes are rising. The dissertation submits the indicator, the estimator pair that constructs it, and the empirical finding that places the disclosure shortfall in the defense-affiliated class as a contribution to the regime’s capacity to read itself. The reform literature has named the problem</w:t>
      </w:r>
      <w:r>
        <w:t xml:space="preserve"> </w:t>
      </w:r>
      <w:hyperlink w:anchor="ref-2">
        <w:r>
          <w:rPr>
            <w:rStyle w:val="Hyperlink"/>
          </w:rPr>
          <w:t xml:space="preserve">[2]</w:t>
        </w:r>
      </w:hyperlink>
      <w:r>
        <w:t xml:space="preserve">; the data infrastructure has supplied the model</w:t>
      </w:r>
      <w:r>
        <w:t xml:space="preserve"> </w:t>
      </w:r>
      <w:hyperlink w:anchor="ref-1">
        <w:r>
          <w:rPr>
            <w:rStyle w:val="Hyperlink"/>
          </w:rPr>
          <w:t xml:space="preserve">[1]</w:t>
        </w:r>
      </w:hyperlink>
      <w:r>
        <w:t xml:space="preserve">; the observational literature has marked the boundary at which the measurement degrades</w:t>
      </w:r>
      <w:r>
        <w:t xml:space="preserve"> </w:t>
      </w:r>
      <w:hyperlink w:anchor="ref-6">
        <w:r>
          <w:rPr>
            <w:rStyle w:val="Hyperlink"/>
          </w:rPr>
          <w:t xml:space="preserve">[6]</w:t>
        </w:r>
      </w:hyperlink>
      <w:r>
        <w:t xml:space="preserve">. The argument advanced here is that the three, taken together, already permit a falsifiable test of who is closing the gap and who is not. The test has been performed, and the gap has a structure.</w:t>
      </w:r>
    </w:p>
    <w:bookmarkEnd w:id="132"/>
    <w:bookmarkStart w:id="167" w:name="references"/>
    <w:p>
      <w:pPr>
        <w:pStyle w:val="Heading2"/>
        <w:spacing w:line="480" w:lineRule="auto"/>
      </w:pPr>
      <w:r>
        <w:t xml:space="preserve">References</w:t>
      </w:r>
    </w:p>
    <w:p>
      <w:pPr>
        <w:pStyle w:val="FirstParagraph"/>
        <w:spacing w:line="480" w:lineRule="auto"/>
      </w:pPr>
      <w:bookmarkStart w:id="133" w:name="ref-1"/>
      <w:bookmarkEnd w:id="133"/>
      <w:r>
        <w:t xml:space="preserve">1. S. Le May, B. Carter, S. Gehly, S. Flegel, and M. Jah,</w:t>
      </w:r>
      <w:r>
        <w:t xml:space="preserve"> </w:t>
      </w:r>
      <w:r>
        <w:t xml:space="preserve">“Representing and querying space object registration data using graph databases,”</w:t>
      </w:r>
      <w:r>
        <w:t xml:space="preserve"> </w:t>
      </w:r>
      <w:r>
        <w:rPr>
          <w:i/>
          <w:iCs/>
        </w:rPr>
        <w:t xml:space="preserve">Acta Astronautica</w:t>
      </w:r>
      <w:r>
        <w:t xml:space="preserve">, vol. 173, 2020. doi:</w:t>
      </w:r>
      <w:r>
        <w:t xml:space="preserve"> </w:t>
      </w:r>
      <w:hyperlink r:id="rId134">
        <w:r>
          <w:rPr>
            <w:rStyle w:val="Hyperlink"/>
          </w:rPr>
          <w:t xml:space="preserve">10.1016/j.actaastro.2020.04.056</w:t>
        </w:r>
      </w:hyperlink>
      <w:r>
        <w:t xml:space="preserve">.</w:t>
      </w:r>
    </w:p>
    <w:p>
      <w:pPr>
        <w:pStyle w:val="BodyText"/>
        <w:spacing w:line="480" w:lineRule="auto"/>
        <w:ind w:firstLine="720"/>
      </w:pPr>
      <w:bookmarkStart w:id="135" w:name="ref-2"/>
      <w:bookmarkEnd w:id="135"/>
      <w:r>
        <w:t xml:space="preserve">2. T. Masson-Zwaan, P. Martinez, F. Letizia, C. Melograna, M. Reynders, R. J. Rovetto, M. A. Skinner, M. Stanciu-Manolescu, M. Strah, O. Volynskaya, and G. Wang,</w:t>
      </w:r>
      <w:r>
        <w:t xml:space="preserve"> </w:t>
      </w:r>
      <w:r>
        <w:t xml:space="preserve">“The need to improve registration practices in the context of space traffic management,”</w:t>
      </w:r>
      <w:r>
        <w:t xml:space="preserve"> </w:t>
      </w:r>
      <w:r>
        <w:rPr>
          <w:i/>
          <w:iCs/>
        </w:rPr>
        <w:t xml:space="preserve">Acta Astronautica</w:t>
      </w:r>
      <w:r>
        <w:t xml:space="preserve">, vol. 223, 2024. doi:</w:t>
      </w:r>
      <w:r>
        <w:t xml:space="preserve"> </w:t>
      </w:r>
      <w:hyperlink r:id="rId136">
        <w:r>
          <w:rPr>
            <w:rStyle w:val="Hyperlink"/>
          </w:rPr>
          <w:t xml:space="preserve">10.1016/j.actaastro.2024.06.052</w:t>
        </w:r>
      </w:hyperlink>
      <w:r>
        <w:t xml:space="preserve">.</w:t>
      </w:r>
    </w:p>
    <w:p>
      <w:pPr>
        <w:pStyle w:val="BodyText"/>
        <w:spacing w:line="480" w:lineRule="auto"/>
        <w:ind w:firstLine="720"/>
      </w:pPr>
      <w:bookmarkStart w:id="137" w:name="ref-3"/>
      <w:bookmarkEnd w:id="137"/>
      <w:r>
        <w:t xml:space="preserve">3. C. Varughese, L. Henry, A. B. Morris, S. Bickerton, N. J. Rattenbury, C. Mankelow, A. Gorman, S. Katavich-Barton, and P. Dhopade,</w:t>
      </w:r>
      <w:r>
        <w:t xml:space="preserve"> </w:t>
      </w:r>
      <w:r>
        <w:t xml:space="preserve">“The intersection of space and sustainability: The need for a transdisciplinary and bi-cultural approach,”</w:t>
      </w:r>
      <w:r>
        <w:t xml:space="preserve"> </w:t>
      </w:r>
      <w:r>
        <w:rPr>
          <w:i/>
          <w:iCs/>
        </w:rPr>
        <w:t xml:space="preserve">Acta Astronautica</w:t>
      </w:r>
      <w:r>
        <w:t xml:space="preserve">, vol. 211, 2023. doi:</w:t>
      </w:r>
      <w:r>
        <w:t xml:space="preserve"> </w:t>
      </w:r>
      <w:hyperlink r:id="rId138">
        <w:r>
          <w:rPr>
            <w:rStyle w:val="Hyperlink"/>
          </w:rPr>
          <w:t xml:space="preserve">10.1016/j.actaastro.2023.07.009</w:t>
        </w:r>
      </w:hyperlink>
      <w:r>
        <w:t xml:space="preserve">.</w:t>
      </w:r>
    </w:p>
    <w:p>
      <w:pPr>
        <w:pStyle w:val="BodyText"/>
        <w:spacing w:line="480" w:lineRule="auto"/>
        <w:ind w:firstLine="720"/>
      </w:pPr>
      <w:bookmarkStart w:id="139" w:name="ref-4"/>
      <w:bookmarkEnd w:id="139"/>
      <w:r>
        <w:t xml:space="preserve">4. R. Furfaro, V. Reddy, T. Campbell, and B. Gray,</w:t>
      </w:r>
      <w:r>
        <w:t xml:space="preserve"> </w:t>
      </w:r>
      <w:r>
        <w:t xml:space="preserve">“Tracking Objects in Cis-Lunar Space: The Chang’e 5 Case,”</w:t>
      </w:r>
      <w:r>
        <w:t xml:space="preserve"> </w:t>
      </w:r>
      <w:r>
        <w:t xml:space="preserve">in</w:t>
      </w:r>
      <w:r>
        <w:t xml:space="preserve"> </w:t>
      </w:r>
      <w:r>
        <w:rPr>
          <w:i/>
          <w:iCs/>
        </w:rPr>
        <w:t xml:space="preserve">Proc. Advanced Maui Optical and Space Surveillance Technologies (AMOS) Conference</w:t>
      </w:r>
      <w:r>
        <w:t xml:space="preserve">, 2021.</w:t>
      </w:r>
    </w:p>
    <w:p>
      <w:pPr>
        <w:pStyle w:val="BodyText"/>
        <w:spacing w:line="480" w:lineRule="auto"/>
        <w:ind w:firstLine="720"/>
      </w:pPr>
      <w:bookmarkStart w:id="140" w:name="ref-5"/>
      <w:bookmarkEnd w:id="140"/>
      <w:r>
        <w:t xml:space="preserve">5. M. E. Sorge, T. Harris, C. Colombo, M. D. Hejduk, N. Fitz-Coy, R. Sheppard, E. Kerr, U. Dasgupta, N. Berend, D. A. Escobar, M. C. Michel, and C. Perez,</w:t>
      </w:r>
      <w:r>
        <w:t xml:space="preserve"> </w:t>
      </w:r>
      <w:r>
        <w:t xml:space="preserve">“Space traffic management: Improvements to spacecraft collision avoidance (COLA),”</w:t>
      </w:r>
      <w:r>
        <w:t xml:space="preserve"> </w:t>
      </w:r>
      <w:r>
        <w:t xml:space="preserve">Acta Astronautica, vol. 229, 2025. doi:</w:t>
      </w:r>
      <w:r>
        <w:t xml:space="preserve"> </w:t>
      </w:r>
      <w:hyperlink r:id="rId141">
        <w:r>
          <w:rPr>
            <w:rStyle w:val="Hyperlink"/>
          </w:rPr>
          <w:t xml:space="preserve">10.1016/j.actaastro.2025.01.042</w:t>
        </w:r>
      </w:hyperlink>
    </w:p>
    <w:p>
      <w:pPr>
        <w:pStyle w:val="BodyText"/>
        <w:spacing w:line="480" w:lineRule="auto"/>
        <w:ind w:firstLine="720"/>
      </w:pPr>
      <w:bookmarkStart w:id="142" w:name="ref-6"/>
      <w:bookmarkEnd w:id="142"/>
      <w:r>
        <w:t xml:space="preserve">6. Julia Briden, Massachusetts Institute of Technology; Peng Mun Siew, Massachusetts Institute of Technology; Victor Rodriguez-Fernandez, Universidad Politécnica de Madrid; Richard Linares, Massachusetts Institute of Technology. Transformer-based Atmospheric Density Forecasting (2023). doi:</w:t>
      </w:r>
      <w:r>
        <w:t xml:space="preserve"> </w:t>
      </w:r>
      <w:hyperlink r:id="rId143">
        <w:r>
          <w:rPr>
            <w:rStyle w:val="Hyperlink"/>
          </w:rPr>
          <w:t xml:space="preserve">10.64861/XAZU7498</w:t>
        </w:r>
      </w:hyperlink>
    </w:p>
    <w:p>
      <w:pPr>
        <w:pStyle w:val="BodyText"/>
        <w:spacing w:line="480" w:lineRule="auto"/>
        <w:ind w:firstLine="720"/>
      </w:pPr>
      <w:bookmarkStart w:id="144" w:name="ref-7"/>
      <w:bookmarkEnd w:id="144"/>
      <w:r>
        <w:t xml:space="preserve">7. Harvey Reed, MITRE; Nathaniel Dailey, MITRE; Ruth Stilwell, Aerospace Policy Solutions, LLC; Brian Weeden, Secure World Foundation. Decentralized Space Information Sharing as a Key Enabler of Trust and the Preservation of Space (2021).</w:t>
      </w:r>
    </w:p>
    <w:p>
      <w:pPr>
        <w:pStyle w:val="BodyText"/>
        <w:spacing w:line="480" w:lineRule="auto"/>
        <w:ind w:firstLine="720"/>
      </w:pPr>
      <w:bookmarkStart w:id="145" w:name="ref-8"/>
      <w:bookmarkEnd w:id="145"/>
      <w:r>
        <w:t xml:space="preserve">8. James A. Blake, University of Warwick; Katherine Courtney, KCourtney Business Innovation &amp; Strategy; Ralph Dinsley, Northern Space &amp; Security (NORSS) Ltd.; Stuart Eves, SJE Space Ltd; Jacob Geer, UK Space Agency; Theresa Harrison, University of Warwick; Robert Mann, Royal Observatory, Edinburgh; Don Pollacco, University of Warwick. The Global Network On Sustainability In Space (GNOSIS): Activities, Initiatives, and Future Endeavours (2022).</w:t>
      </w:r>
    </w:p>
    <w:p>
      <w:pPr>
        <w:pStyle w:val="BodyText"/>
        <w:spacing w:line="480" w:lineRule="auto"/>
        <w:ind w:firstLine="720"/>
      </w:pPr>
      <w:bookmarkStart w:id="146" w:name="ref-9"/>
      <w:bookmarkEnd w:id="146"/>
      <w:r>
        <w:t xml:space="preserve">9. Malgorzata Polkowska, Lomza Academy; Arkadiusz Chimicz, General Command, Polish Armed Forces. Poland’s Evolving Space Law: Assessing Space Debris Mitigation and Remediation in the European Context (2024). doi:</w:t>
      </w:r>
      <w:r>
        <w:t xml:space="preserve"> </w:t>
      </w:r>
      <w:hyperlink r:id="rId147">
        <w:r>
          <w:rPr>
            <w:rStyle w:val="Hyperlink"/>
          </w:rPr>
          <w:t xml:space="preserve">10.64861/LFFV2455</w:t>
        </w:r>
      </w:hyperlink>
    </w:p>
    <w:p>
      <w:pPr>
        <w:pStyle w:val="BodyText"/>
        <w:spacing w:line="480" w:lineRule="auto"/>
        <w:ind w:firstLine="720"/>
      </w:pPr>
      <w:bookmarkStart w:id="148" w:name="ref-10"/>
      <w:bookmarkEnd w:id="148"/>
      <w:r>
        <w:t xml:space="preserve">10. Scott Steele, The Open University. Can International Law Provide a Basis for Actively Removing Space Debris? (2020).</w:t>
      </w:r>
    </w:p>
    <w:p>
      <w:pPr>
        <w:pStyle w:val="BodyText"/>
        <w:spacing w:line="480" w:lineRule="auto"/>
        <w:ind w:firstLine="720"/>
      </w:pPr>
      <w:bookmarkStart w:id="149" w:name="ref-11"/>
      <w:bookmarkEnd w:id="149"/>
      <w:r>
        <w:t xml:space="preserve">11. Zach Gazak, SSC/SZG; Ryan Swindle, USSF/SSC; Matthew Phelps, USSF SSC/SZG; Justin Fletcher, USSF SSC/SZG. Simultaneous Detection, Recognition, and Localization of Geosynchronous Satellites from Ground Based Imagery (2023). doi:</w:t>
      </w:r>
      <w:r>
        <w:t xml:space="preserve"> </w:t>
      </w:r>
      <w:hyperlink r:id="rId150">
        <w:r>
          <w:rPr>
            <w:rStyle w:val="Hyperlink"/>
          </w:rPr>
          <w:t xml:space="preserve">10.64861/QPUF8377</w:t>
        </w:r>
      </w:hyperlink>
    </w:p>
    <w:p>
      <w:pPr>
        <w:pStyle w:val="BodyText"/>
        <w:spacing w:line="480" w:lineRule="auto"/>
        <w:ind w:firstLine="720"/>
      </w:pPr>
      <w:bookmarkStart w:id="151" w:name="ref-12"/>
      <w:bookmarkEnd w:id="151"/>
      <w:r>
        <w:t xml:space="preserve">12. Sven Müller, Institute of Space Systems, Technische Unviversität Braunschweig; Enrico Stoll, Institute of Space Systems, Technische Unviversität Braunschweig. Near-real-time Continuous Filtering of Sensor Measurements using Data Stream Management Systems (2018).</w:t>
      </w:r>
    </w:p>
    <w:p>
      <w:pPr>
        <w:pStyle w:val="BodyText"/>
        <w:spacing w:line="480" w:lineRule="auto"/>
        <w:ind w:firstLine="720"/>
      </w:pPr>
      <w:bookmarkStart w:id="152" w:name="ref-13"/>
      <w:bookmarkEnd w:id="152"/>
      <w:r>
        <w:t xml:space="preserve">13. Jason Goldberg, Riverside Research Institute; Timothy Waltz, Riverside Research Institute. Bridging the Gap: The Critical Need for Crew Resource Management (CRM) Training in Space Domain Operations (2025). doi:</w:t>
      </w:r>
      <w:r>
        <w:t xml:space="preserve"> </w:t>
      </w:r>
      <w:hyperlink r:id="rId153">
        <w:r>
          <w:rPr>
            <w:rStyle w:val="Hyperlink"/>
          </w:rPr>
          <w:t xml:space="preserve">10.64861/CXGE3201</w:t>
        </w:r>
      </w:hyperlink>
    </w:p>
    <w:p>
      <w:pPr>
        <w:pStyle w:val="BodyText"/>
        <w:spacing w:line="480" w:lineRule="auto"/>
        <w:ind w:firstLine="720"/>
      </w:pPr>
      <w:bookmarkStart w:id="154" w:name="ref-14"/>
      <w:bookmarkEnd w:id="154"/>
      <w:r>
        <w:t xml:space="preserve">14. Tanja Masson-Zwaan; Peter Martinez; Francesca Letizia; Catrina Melograna; Martin Reynders; Robert J. Rovetto; Mark A. Skinner; Marius Stanciu-Manolescu; Maruška Strah; Olga Volynskaya; Guoyu Wang. The need to improve registration practices in the context of space traffic management (2024). doi:</w:t>
      </w:r>
      <w:r>
        <w:t xml:space="preserve"> </w:t>
      </w:r>
      <w:hyperlink r:id="rId136">
        <w:r>
          <w:rPr>
            <w:rStyle w:val="Hyperlink"/>
          </w:rPr>
          <w:t xml:space="preserve">10.1016/j.actaastro.2024.06.052</w:t>
        </w:r>
      </w:hyperlink>
    </w:p>
    <w:p>
      <w:pPr>
        <w:pStyle w:val="BodyText"/>
        <w:spacing w:line="480" w:lineRule="auto"/>
        <w:ind w:firstLine="720"/>
      </w:pPr>
      <w:bookmarkStart w:id="155" w:name="ref-15"/>
      <w:bookmarkEnd w:id="155"/>
      <w:r>
        <w:t xml:space="preserve">15. Samantha Le May; Brett Carter; Steve Gehly; S. Flegel; Moriba Jah. Representing and querying space object registration data using graph databases (2020). doi:</w:t>
      </w:r>
      <w:r>
        <w:t xml:space="preserve"> </w:t>
      </w:r>
      <w:hyperlink r:id="rId134">
        <w:r>
          <w:rPr>
            <w:rStyle w:val="Hyperlink"/>
          </w:rPr>
          <w:t xml:space="preserve">10.1016/j.actaastro.2020.04.056</w:t>
        </w:r>
      </w:hyperlink>
    </w:p>
    <w:p>
      <w:pPr>
        <w:pStyle w:val="BodyText"/>
        <w:spacing w:line="480" w:lineRule="auto"/>
        <w:ind w:firstLine="720"/>
      </w:pPr>
      <w:bookmarkStart w:id="156" w:name="ref-16"/>
      <w:bookmarkEnd w:id="156"/>
      <w:r>
        <w:t xml:space="preserve">16. Jie Long; Wenzhen Chen. Laser utilization in outer space: Institutional bottleneck and prospects (2025). doi:</w:t>
      </w:r>
      <w:r>
        <w:t xml:space="preserve"> </w:t>
      </w:r>
      <w:hyperlink r:id="rId157">
        <w:r>
          <w:rPr>
            <w:rStyle w:val="Hyperlink"/>
          </w:rPr>
          <w:t xml:space="preserve">10.1016/j.actaastro.2025.01.061</w:t>
        </w:r>
      </w:hyperlink>
    </w:p>
    <w:p>
      <w:pPr>
        <w:pStyle w:val="BodyText"/>
        <w:spacing w:line="480" w:lineRule="auto"/>
        <w:ind w:firstLine="720"/>
      </w:pPr>
      <w:bookmarkStart w:id="158" w:name="ref-17"/>
      <w:bookmarkEnd w:id="158"/>
      <w:r>
        <w:t xml:space="preserve">17. C. Varughese; Lena Henry; A. B. Morris; Sarah Bickerton; Nicholas J. Rattenbury; Cody Mankelow; Alice Gorman; Stevie Katavich-Barton; Priyanka Dhopade. The intersection of space and sustainability: The need for a transdisciplinary and bi-cultural approach (2023). doi:</w:t>
      </w:r>
      <w:r>
        <w:t xml:space="preserve"> </w:t>
      </w:r>
      <w:hyperlink r:id="rId138">
        <w:r>
          <w:rPr>
            <w:rStyle w:val="Hyperlink"/>
          </w:rPr>
          <w:t xml:space="preserve">10.1016/j.actaastro.2023.07.009</w:t>
        </w:r>
      </w:hyperlink>
    </w:p>
    <w:p>
      <w:pPr>
        <w:pStyle w:val="BodyText"/>
        <w:spacing w:line="480" w:lineRule="auto"/>
        <w:ind w:firstLine="720"/>
      </w:pPr>
      <w:bookmarkStart w:id="159" w:name="ref-18"/>
      <w:bookmarkEnd w:id="159"/>
      <w:r>
        <w:t xml:space="preserve">18. Anish Dey; Jithin Jagadanandan. Balancing commercialization and sustainability in outer space: Addressing new challenges (2025). doi:</w:t>
      </w:r>
      <w:r>
        <w:t xml:space="preserve"> </w:t>
      </w:r>
      <w:hyperlink r:id="rId160">
        <w:r>
          <w:rPr>
            <w:rStyle w:val="Hyperlink"/>
          </w:rPr>
          <w:t xml:space="preserve">10.1016/j.actaastro.2025.02.010</w:t>
        </w:r>
      </w:hyperlink>
    </w:p>
    <w:p>
      <w:pPr>
        <w:pStyle w:val="BodyText"/>
        <w:spacing w:line="480" w:lineRule="auto"/>
        <w:ind w:firstLine="720"/>
      </w:pPr>
      <w:bookmarkStart w:id="161" w:name="ref-19"/>
      <w:bookmarkEnd w:id="161"/>
      <w:r>
        <w:t xml:space="preserve">19. Minoo Rathnasabapathy; Francesca Letizia; Stijn Lemmens; Moriba Jah; Simon J. Potter; Nikolai Khlystov; Kristi Acuff; Miles Lifson; Scott Dorrington; Sina Es haghi; Emmanuelle David; Jean‐Paul Kneib; Danielle Wood. Space sustainability rating: Designing a composite indicator to incentivize satellite operators to pursue long-term sustainability of the space environment (2025). doi:</w:t>
      </w:r>
      <w:r>
        <w:t xml:space="preserve"> </w:t>
      </w:r>
      <w:hyperlink r:id="rId162">
        <w:r>
          <w:rPr>
            <w:rStyle w:val="Hyperlink"/>
          </w:rPr>
          <w:t xml:space="preserve">10.1016/j.actaastro.2025.03.034</w:t>
        </w:r>
      </w:hyperlink>
    </w:p>
    <w:p>
      <w:pPr>
        <w:pStyle w:val="BodyText"/>
        <w:spacing w:line="480" w:lineRule="auto"/>
        <w:ind w:firstLine="720"/>
      </w:pPr>
      <w:bookmarkStart w:id="163" w:name="ref-20"/>
      <w:bookmarkEnd w:id="163"/>
      <w:r>
        <w:t xml:space="preserve">20. Jacqueline H. Smith; Moriba Jah; Danielle Wood. Architecting a decision support system for continuing supervision of commercial in-space servicing (2025). doi:</w:t>
      </w:r>
      <w:r>
        <w:t xml:space="preserve"> </w:t>
      </w:r>
      <w:hyperlink r:id="rId164">
        <w:r>
          <w:rPr>
            <w:rStyle w:val="Hyperlink"/>
          </w:rPr>
          <w:t xml:space="preserve">10.1016/j.actaastro.2025.05.036</w:t>
        </w:r>
      </w:hyperlink>
    </w:p>
    <w:p>
      <w:pPr>
        <w:pStyle w:val="BodyText"/>
        <w:spacing w:line="480" w:lineRule="auto"/>
        <w:ind w:firstLine="720"/>
      </w:pPr>
      <w:bookmarkStart w:id="165" w:name="ref-21"/>
      <w:bookmarkEnd w:id="165"/>
      <w:r>
        <w:t xml:space="preserve">21. T.P. Graham; Kathiravan Thangavel; Anne-Sophie Martin. Navigating AI-lien Terrain: Legal liability for artificial intelligence in outer space (2024). doi:</w:t>
      </w:r>
      <w:r>
        <w:t xml:space="preserve"> </w:t>
      </w:r>
      <w:hyperlink r:id="rId166">
        <w:r>
          <w:rPr>
            <w:rStyle w:val="Hyperlink"/>
          </w:rPr>
          <w:t xml:space="preserve">10.1016/j.actaastro.2024.01.039</w:t>
        </w:r>
      </w:hyperlink>
    </w:p>
    <w:bookmarkEnd w:id="167"/>
    <w:bookmarkEnd w:id="168"/>
    <w:bookmarkStart w:id="185"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76" w:name="X90922b31e4a9e4d889bc9117f89b41258703c11"/>
    <w:p>
      <w:pPr>
        <w:pStyle w:val="Heading2"/>
        <w:spacing w:line="480" w:lineRule="auto"/>
      </w:pPr>
      <w:r>
        <w:t xml:space="preserve">A.1 Operator Type and the Conditional Mean of Registration Lag: A Cross-Sectional Test of Disclosure Latency under the Registration Convention</w:t>
      </w:r>
    </w:p>
    <w:p>
      <w:pPr>
        <w:pStyle w:val="FirstParagraph"/>
        <w:spacing w:line="480" w:lineRule="auto"/>
      </w:pPr>
      <m:oMathPara>
        <m:oMathParaPr>
          <m:jc m:val="center"/>
        </m:oMathParaPr>
        <m:oMath>
          <m:sSub>
            <m:e>
              <m:r>
                <m:rPr>
                  <m:nor/>
                  <m:sty m:val="p"/>
                </m:rPr>
                <m:t>reg_lag_days</m:t>
              </m:r>
            </m:e>
            <m:sub>
              <m:r>
                <m:t>i</m:t>
              </m:r>
            </m:sub>
          </m:sSub>
          <m:r>
            <m:rPr>
              <m:sty m:val="p"/>
            </m:rPr>
            <m:t>=</m:t>
          </m:r>
          <m:sSub>
            <m:e>
              <m:r>
                <m:t>β</m:t>
              </m:r>
            </m:e>
            <m:sub>
              <m:r>
                <m:t>0</m:t>
              </m:r>
            </m:sub>
          </m:sSub>
          <m:r>
            <m:rPr>
              <m:sty m:val="p"/>
            </m:rPr>
            <m:t>+</m:t>
          </m:r>
          <m:sSub>
            <m:e>
              <m:r>
                <m:t>β</m:t>
              </m:r>
            </m:e>
            <m:sub>
              <m:r>
                <m:t>1</m:t>
              </m:r>
            </m:sub>
          </m:sSub>
          <m:sSub>
            <m:e>
              <m:r>
                <m:rPr>
                  <m:nor/>
                  <m:sty m:val="p"/>
                </m:rPr>
                <m:t>commercial</m:t>
              </m:r>
            </m:e>
            <m:sub>
              <m:r>
                <m:t>i</m:t>
              </m:r>
            </m:sub>
          </m:sSub>
          <m:r>
            <m:rPr>
              <m:sty m:val="p"/>
            </m:rPr>
            <m:t>+</m:t>
          </m:r>
          <m:sSub>
            <m:e>
              <m:r>
                <m:t>β</m:t>
              </m:r>
            </m:e>
            <m:sub>
              <m:r>
                <m:t>2</m:t>
              </m:r>
            </m:sub>
          </m:sSub>
          <m:sSub>
            <m:e>
              <m:r>
                <m:rPr>
                  <m:nor/>
                  <m:sty m:val="p"/>
                </m:rPr>
                <m:t>defense</m:t>
              </m:r>
            </m:e>
            <m:sub>
              <m:r>
                <m:t>i</m:t>
              </m:r>
            </m:sub>
          </m:sSub>
          <m:r>
            <m:rPr>
              <m:sty m:val="p"/>
            </m:rPr>
            <m:t>+</m:t>
          </m:r>
          <m:sSub>
            <m:e>
              <m:r>
                <m:t>β</m:t>
              </m:r>
            </m:e>
            <m:sub>
              <m:r>
                <m:t>3</m:t>
              </m:r>
            </m:sub>
          </m:sSub>
          <m:sSub>
            <m:e>
              <m:r>
                <m:rPr>
                  <m:nor/>
                  <m:sty m:val="p"/>
                </m:rPr>
                <m:t>GEO</m:t>
              </m:r>
            </m:e>
            <m:sub>
              <m:r>
                <m:t>i</m:t>
              </m:r>
            </m:sub>
          </m:sSub>
          <m:r>
            <m:rPr>
              <m:sty m:val="p"/>
            </m:rPr>
            <m:t>+</m:t>
          </m:r>
          <m:sSub>
            <m:e>
              <m:r>
                <m:t>β</m:t>
              </m:r>
            </m:e>
            <m:sub>
              <m:r>
                <m:t>4</m:t>
              </m:r>
            </m:sub>
          </m:sSub>
          <m:sSub>
            <m:e>
              <m:r>
                <m:rPr>
                  <m:nor/>
                  <m:sty m:val="p"/>
                </m:rPr>
                <m:t>years_since_2010</m:t>
              </m:r>
            </m:e>
            <m:sub>
              <m:r>
                <m:t>i</m:t>
              </m:r>
            </m:sub>
          </m:sSub>
          <m:r>
            <m:rPr>
              <m:sty m:val="p"/>
            </m:rPr>
            <m:t>+</m:t>
          </m:r>
          <m:sSub>
            <m:e>
              <m:r>
                <m:t>ε</m:t>
              </m:r>
            </m:e>
            <m:sub>
              <m:r>
                <m:t>i</m:t>
              </m:r>
            </m:sub>
          </m:sSub>
        </m:oMath>
      </m:oMathPara>
    </w:p>
    <w:bookmarkStart w:id="169"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195.1873</w:t>
            </w:r>
          </w:p>
        </w:tc>
        <w:tc>
          <w:tcPr>
            <w:tcW w:w="0" w:type="auto"/>
          </w:tcPr>
          <w:p>
            <w:pPr>
              <w:spacing w:line="240" w:lineRule="auto" w:before="0" w:after="0"/>
              <w:pStyle w:val="Compact"/>
            </w:pPr>
            <w:r>
              <w:rPr>
                <w:sz w:val="20"/>
                <w:szCs w:val="20"/>
              </w:rPr>
              <w:t xml:space="preserve">92.6968</w:t>
            </w:r>
          </w:p>
        </w:tc>
        <w:tc>
          <w:tcPr>
            <w:tcW w:w="0" w:type="auto"/>
          </w:tcPr>
          <w:p>
            <w:pPr>
              <w:spacing w:line="240" w:lineRule="auto" w:before="0" w:after="0"/>
              <w:pStyle w:val="Compact"/>
            </w:pPr>
            <w:r>
              <w:rPr>
                <w:sz w:val="20"/>
                <w:szCs w:val="20"/>
              </w:rPr>
              <w:t xml:space="preserve">2.1057</w:t>
            </w:r>
          </w:p>
        </w:tc>
        <w:tc>
          <w:tcPr>
            <w:tcW w:w="0" w:type="auto"/>
          </w:tcPr>
          <w:p>
            <w:pPr>
              <w:spacing w:line="240" w:lineRule="auto" w:before="0" w:after="0"/>
              <w:pStyle w:val="Compact"/>
            </w:pPr>
            <w:r>
              <w:rPr>
                <w:sz w:val="20"/>
                <w:szCs w:val="20"/>
              </w:rPr>
              <w:t xml:space="preserve">0.0352</w:t>
            </w:r>
          </w:p>
        </w:tc>
        <w:tc>
          <w:tcPr>
            <w:tcW w:w="0" w:type="auto"/>
          </w:tcPr>
          <w:p>
            <w:pPr>
              <w:spacing w:line="240" w:lineRule="auto" w:before="0" w:after="0"/>
              <w:pStyle w:val="Compact"/>
            </w:pPr>
            <w:r>
              <w:rPr>
                <w:sz w:val="20"/>
                <w:szCs w:val="20"/>
              </w:rPr>
              <w:t xml:space="preserve">[13.5048, 376.8697]</w:t>
            </w:r>
          </w:p>
        </w:tc>
      </w:tr>
      <w:tr>
        <w:tc>
          <w:tcPr>
            <w:tcW w:w="0" w:type="auto"/>
          </w:tcPr>
          <w:p>
            <w:pPr>
              <w:spacing w:line="240" w:lineRule="auto" w:before="0" w:after="0"/>
              <w:pStyle w:val="Compact"/>
            </w:pPr>
            <w:r>
              <w:rPr>
                <w:sz w:val="20"/>
                <w:szCs w:val="20"/>
              </w:rPr>
              <w:t xml:space="preserve">operator_commercial</w:t>
            </w:r>
          </w:p>
        </w:tc>
        <w:tc>
          <w:tcPr>
            <w:tcW w:w="0" w:type="auto"/>
          </w:tcPr>
          <w:p>
            <w:pPr>
              <w:spacing w:line="240" w:lineRule="auto" w:before="0" w:after="0"/>
              <w:pStyle w:val="Compact"/>
            </w:pPr>
            <w:r>
              <w:rPr>
                <w:sz w:val="20"/>
                <w:szCs w:val="20"/>
              </w:rPr>
              <w:t xml:space="preserve">84.3296</w:t>
            </w:r>
          </w:p>
        </w:tc>
        <w:tc>
          <w:tcPr>
            <w:tcW w:w="0" w:type="auto"/>
          </w:tcPr>
          <w:p>
            <w:pPr>
              <w:spacing w:line="240" w:lineRule="auto" w:before="0" w:after="0"/>
              <w:pStyle w:val="Compact"/>
            </w:pPr>
            <w:r>
              <w:rPr>
                <w:sz w:val="20"/>
                <w:szCs w:val="20"/>
              </w:rPr>
              <w:t xml:space="preserve">61.4863</w:t>
            </w:r>
          </w:p>
        </w:tc>
        <w:tc>
          <w:tcPr>
            <w:tcW w:w="0" w:type="auto"/>
          </w:tcPr>
          <w:p>
            <w:pPr>
              <w:spacing w:line="240" w:lineRule="auto" w:before="0" w:after="0"/>
              <w:pStyle w:val="Compact"/>
            </w:pPr>
            <w:r>
              <w:rPr>
                <w:sz w:val="20"/>
                <w:szCs w:val="20"/>
              </w:rPr>
              <w:t xml:space="preserve">1.3715</w:t>
            </w:r>
          </w:p>
        </w:tc>
        <w:tc>
          <w:tcPr>
            <w:tcW w:w="0" w:type="auto"/>
          </w:tcPr>
          <w:p>
            <w:pPr>
              <w:spacing w:line="240" w:lineRule="auto" w:before="0" w:after="0"/>
              <w:pStyle w:val="Compact"/>
            </w:pPr>
            <w:r>
              <w:rPr>
                <w:sz w:val="20"/>
                <w:szCs w:val="20"/>
              </w:rPr>
              <w:t xml:space="preserve">0.1702</w:t>
            </w:r>
          </w:p>
        </w:tc>
        <w:tc>
          <w:tcPr>
            <w:tcW w:w="0" w:type="auto"/>
          </w:tcPr>
          <w:p>
            <w:pPr>
              <w:spacing w:line="240" w:lineRule="auto" w:before="0" w:after="0"/>
              <w:pStyle w:val="Compact"/>
            </w:pPr>
            <w:r>
              <w:rPr>
                <w:sz w:val="20"/>
                <w:szCs w:val="20"/>
              </w:rPr>
              <w:t xml:space="preserve">[-36.1812, 204.8405]</w:t>
            </w:r>
          </w:p>
        </w:tc>
      </w:tr>
      <w:tr>
        <w:tc>
          <w:tcPr>
            <w:tcW w:w="0" w:type="auto"/>
          </w:tcPr>
          <w:p>
            <w:pPr>
              <w:spacing w:line="240" w:lineRule="auto" w:before="0" w:after="0"/>
              <w:pStyle w:val="Compact"/>
            </w:pPr>
            <w:r>
              <w:rPr>
                <w:sz w:val="20"/>
                <w:szCs w:val="20"/>
              </w:rPr>
              <w:t xml:space="preserve">operator_defense</w:t>
            </w:r>
          </w:p>
        </w:tc>
        <w:tc>
          <w:tcPr>
            <w:tcW w:w="0" w:type="auto"/>
          </w:tcPr>
          <w:p>
            <w:pPr>
              <w:spacing w:line="240" w:lineRule="auto" w:before="0" w:after="0"/>
              <w:pStyle w:val="Compact"/>
            </w:pPr>
            <w:r>
              <w:rPr>
                <w:sz w:val="20"/>
                <w:szCs w:val="20"/>
              </w:rPr>
              <w:t xml:space="preserve">703.8954</w:t>
            </w:r>
          </w:p>
        </w:tc>
        <w:tc>
          <w:tcPr>
            <w:tcW w:w="0" w:type="auto"/>
          </w:tcPr>
          <w:p>
            <w:pPr>
              <w:spacing w:line="240" w:lineRule="auto" w:before="0" w:after="0"/>
              <w:pStyle w:val="Compact"/>
            </w:pPr>
            <w:r>
              <w:rPr>
                <w:sz w:val="20"/>
                <w:szCs w:val="20"/>
              </w:rPr>
              <w:t xml:space="preserve">117.8883</w:t>
            </w:r>
          </w:p>
        </w:tc>
        <w:tc>
          <w:tcPr>
            <w:tcW w:w="0" w:type="auto"/>
          </w:tcPr>
          <w:p>
            <w:pPr>
              <w:spacing w:line="240" w:lineRule="auto" w:before="0" w:after="0"/>
              <w:pStyle w:val="Compact"/>
            </w:pPr>
            <w:r>
              <w:rPr>
                <w:sz w:val="20"/>
                <w:szCs w:val="20"/>
              </w:rPr>
              <w:t xml:space="preserve">5.9709</w:t>
            </w:r>
          </w:p>
        </w:tc>
        <w:tc>
          <w:tcPr>
            <w:tcW w:w="0" w:type="auto"/>
          </w:tcPr>
          <w:p>
            <w:pPr>
              <w:spacing w:line="240" w:lineRule="auto" w:before="0" w:after="0"/>
              <w:pStyle w:val="Compact"/>
            </w:pPr>
            <w:r>
              <w:rPr>
                <w:sz w:val="20"/>
                <w:szCs w:val="20"/>
              </w:rPr>
              <w:t xml:space="preserve">2.36e-09</w:t>
            </w:r>
          </w:p>
        </w:tc>
        <w:tc>
          <w:tcPr>
            <w:tcW w:w="0" w:type="auto"/>
          </w:tcPr>
          <w:p>
            <w:pPr>
              <w:spacing w:line="240" w:lineRule="auto" w:before="0" w:after="0"/>
              <w:pStyle w:val="Compact"/>
            </w:pPr>
            <w:r>
              <w:rPr>
                <w:sz w:val="20"/>
                <w:szCs w:val="20"/>
              </w:rPr>
              <w:t xml:space="preserve">[472.8385, 934.9522]</w:t>
            </w:r>
          </w:p>
        </w:tc>
      </w:tr>
      <w:tr>
        <w:tc>
          <w:tcPr>
            <w:tcW w:w="0" w:type="auto"/>
          </w:tcPr>
          <w:p>
            <w:pPr>
              <w:spacing w:line="240" w:lineRule="auto" w:before="0" w:after="0"/>
              <w:pStyle w:val="Compact"/>
            </w:pPr>
            <w:r>
              <w:rPr>
                <w:sz w:val="20"/>
                <w:szCs w:val="20"/>
              </w:rPr>
              <w:t xml:space="preserve">regime_geo</w:t>
            </w:r>
          </w:p>
        </w:tc>
        <w:tc>
          <w:tcPr>
            <w:tcW w:w="0" w:type="auto"/>
          </w:tcPr>
          <w:p>
            <w:pPr>
              <w:spacing w:line="240" w:lineRule="auto" w:before="0" w:after="0"/>
              <w:pStyle w:val="Compact"/>
            </w:pPr>
            <w:r>
              <w:rPr>
                <w:sz w:val="20"/>
                <w:szCs w:val="20"/>
              </w:rPr>
              <w:t xml:space="preserve">80.2395</w:t>
            </w:r>
          </w:p>
        </w:tc>
        <w:tc>
          <w:tcPr>
            <w:tcW w:w="0" w:type="auto"/>
          </w:tcPr>
          <w:p>
            <w:pPr>
              <w:spacing w:line="240" w:lineRule="auto" w:before="0" w:after="0"/>
              <w:pStyle w:val="Compact"/>
            </w:pPr>
            <w:r>
              <w:rPr>
                <w:sz w:val="20"/>
                <w:szCs w:val="20"/>
              </w:rPr>
              <w:t xml:space="preserve">70.6011</w:t>
            </w:r>
          </w:p>
        </w:tc>
        <w:tc>
          <w:tcPr>
            <w:tcW w:w="0" w:type="auto"/>
          </w:tcPr>
          <w:p>
            <w:pPr>
              <w:spacing w:line="240" w:lineRule="auto" w:before="0" w:after="0"/>
              <w:pStyle w:val="Compact"/>
            </w:pPr>
            <w:r>
              <w:rPr>
                <w:sz w:val="20"/>
                <w:szCs w:val="20"/>
              </w:rPr>
              <w:t xml:space="preserve">1.1365</w:t>
            </w:r>
          </w:p>
        </w:tc>
        <w:tc>
          <w:tcPr>
            <w:tcW w:w="0" w:type="auto"/>
          </w:tcPr>
          <w:p>
            <w:pPr>
              <w:spacing w:line="240" w:lineRule="auto" w:before="0" w:after="0"/>
              <w:pStyle w:val="Compact"/>
            </w:pPr>
            <w:r>
              <w:rPr>
                <w:sz w:val="20"/>
                <w:szCs w:val="20"/>
              </w:rPr>
              <w:t xml:space="preserve">0.2557</w:t>
            </w:r>
          </w:p>
        </w:tc>
        <w:tc>
          <w:tcPr>
            <w:tcW w:w="0" w:type="auto"/>
          </w:tcPr>
          <w:p>
            <w:pPr>
              <w:spacing w:line="240" w:lineRule="auto" w:before="0" w:after="0"/>
              <w:pStyle w:val="Compact"/>
            </w:pPr>
            <w:r>
              <w:rPr>
                <w:sz w:val="20"/>
                <w:szCs w:val="20"/>
              </w:rPr>
              <w:t xml:space="preserve">[-58.136, 218.6151]</w:t>
            </w:r>
          </w:p>
        </w:tc>
      </w:tr>
      <w:tr>
        <w:tc>
          <w:tcPr>
            <w:tcW w:w="0" w:type="auto"/>
          </w:tcPr>
          <w:p>
            <w:pPr>
              <w:spacing w:line="240" w:lineRule="auto" w:before="0" w:after="0"/>
              <w:pStyle w:val="Compact"/>
            </w:pPr>
            <w:r>
              <w:rPr>
                <w:sz w:val="20"/>
                <w:szCs w:val="20"/>
              </w:rPr>
              <w:t xml:space="preserve">years_since_2010</w:t>
            </w:r>
          </w:p>
        </w:tc>
        <w:tc>
          <w:tcPr>
            <w:tcW w:w="0" w:type="auto"/>
          </w:tcPr>
          <w:p>
            <w:pPr>
              <w:spacing w:line="240" w:lineRule="auto" w:before="0" w:after="0"/>
              <w:pStyle w:val="Compact"/>
            </w:pPr>
            <w:r>
              <w:rPr>
                <w:sz w:val="20"/>
                <w:szCs w:val="20"/>
              </w:rPr>
              <w:t xml:space="preserve">27.6249</w:t>
            </w:r>
          </w:p>
        </w:tc>
        <w:tc>
          <w:tcPr>
            <w:tcW w:w="0" w:type="auto"/>
          </w:tcPr>
          <w:p>
            <w:pPr>
              <w:spacing w:line="240" w:lineRule="auto" w:before="0" w:after="0"/>
              <w:pStyle w:val="Compact"/>
            </w:pPr>
            <w:r>
              <w:rPr>
                <w:sz w:val="20"/>
                <w:szCs w:val="20"/>
              </w:rPr>
              <w:t xml:space="preserve">12.6632</w:t>
            </w:r>
          </w:p>
        </w:tc>
        <w:tc>
          <w:tcPr>
            <w:tcW w:w="0" w:type="auto"/>
          </w:tcPr>
          <w:p>
            <w:pPr>
              <w:spacing w:line="240" w:lineRule="auto" w:before="0" w:after="0"/>
              <w:pStyle w:val="Compact"/>
            </w:pPr>
            <w:r>
              <w:rPr>
                <w:sz w:val="20"/>
                <w:szCs w:val="20"/>
              </w:rPr>
              <w:t xml:space="preserve">2.1815</w:t>
            </w:r>
          </w:p>
        </w:tc>
        <w:tc>
          <w:tcPr>
            <w:tcW w:w="0" w:type="auto"/>
          </w:tcPr>
          <w:p>
            <w:pPr>
              <w:spacing w:line="240" w:lineRule="auto" w:before="0" w:after="0"/>
              <w:pStyle w:val="Compact"/>
            </w:pPr>
            <w:r>
              <w:rPr>
                <w:sz w:val="20"/>
                <w:szCs w:val="20"/>
              </w:rPr>
              <w:t xml:space="preserve">0.0291</w:t>
            </w:r>
          </w:p>
        </w:tc>
        <w:tc>
          <w:tcPr>
            <w:tcW w:w="0" w:type="auto"/>
          </w:tcPr>
          <w:p>
            <w:pPr>
              <w:spacing w:line="240" w:lineRule="auto" w:before="0" w:after="0"/>
              <w:pStyle w:val="Compact"/>
            </w:pPr>
            <w:r>
              <w:rPr>
                <w:sz w:val="20"/>
                <w:szCs w:val="20"/>
              </w:rPr>
              <w:t xml:space="preserve">[2.8054, 52.4443]</w:t>
            </w:r>
          </w:p>
        </w:tc>
      </w:tr>
    </w:tbl>
    <w:p>
      <w:pPr>
        <w:pStyle w:val="BodyText"/>
        <w:spacing w:line="480" w:lineRule="auto"/>
        <w:ind w:firstLine="720"/>
      </w:pPr>
      <w:r>
        <w:t xml:space="preserve">Fit: N = 32 R2 = 0.7262 R2_adj = 0.6856 F = 9.9536 F_p = 4.406e-05</w:t>
      </w:r>
    </w:p>
    <w:bookmarkEnd w:id="169"/>
    <w:bookmarkStart w:id="173"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Registration lag by launch epoch across launching-State cohorts, 2012-2022. Each point is a launching-State by operator-class by orbital-regime cohort observation drawn from the UN Online Index; the upward spread reflects the constellation-era widening of disclosure latency that the epoch control absorbs." title="" id="171" name="Picture"/>
            <a:graphic>
              <a:graphicData uri="http://schemas.openxmlformats.org/drawingml/2006/picture">
                <pic:pic>
                  <pic:nvPicPr>
                    <pic:cNvPr descr="D:/Claude_Code/brain/collegium/candidates/dissertations/SSA_SDA_08/research_papers/p1/paper_fig1.png" id="172" name="Picture"/>
                    <pic:cNvPicPr>
                      <a:picLocks noChangeArrowheads="1" noChangeAspect="1"/>
                    </pic:cNvPicPr>
                  </pic:nvPicPr>
                  <pic:blipFill>
                    <a:blip r:embed="rId17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Registration lag by launch epoch across launching-State cohorts, 2012-2022. Each point is a launching-State by operator-class by orbital-regime cohort observation drawn from the UN Online Index; the upward spread reflects the constellation-era widening of disclosure latency that the epoch control absorbs.</w:t>
      </w:r>
    </w:p>
    <w:bookmarkEnd w:id="173"/>
    <w:bookmarkStart w:id="174"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660"/>
        <w:gridCol w:w="660"/>
        <w:gridCol w:w="660"/>
        <w:gridCol w:w="660"/>
        <w:gridCol w:w="660"/>
        <w:gridCol w:w="660"/>
        <w:gridCol w:w="660"/>
        <w:gridCol w:w="660"/>
        <w:gridCol w:w="660"/>
        <w:gridCol w:w="660"/>
        <w:gridCol w:w="660"/>
        <w:gridCol w:w="660"/>
      </w:tblGrid>
      <w:tr>
        <w:trPr>
          <w:tblHeader w:val="on"/>
        </w:trPr>
        <w:tc>
          <w:tcPr>
            <w:tcW w:w="0" w:type="auto"/>
          </w:tcPr>
          <w:p>
            <w:pPr>
              <w:spacing w:line="240" w:lineRule="auto" w:before="0" w:after="0"/>
              <w:pStyle w:val="Compact"/>
            </w:pPr>
            <w:r>
              <w:rPr>
                <w:sz w:val="20"/>
                <w:szCs w:val="20"/>
              </w:rPr>
              <w:t xml:space="preserve">cohort_id</w:t>
            </w:r>
          </w:p>
        </w:tc>
        <w:tc>
          <w:tcPr>
            <w:tcW w:w="0" w:type="auto"/>
          </w:tcPr>
          <w:p>
            <w:pPr>
              <w:spacing w:line="240" w:lineRule="auto" w:before="0" w:after="0"/>
              <w:pStyle w:val="Compact"/>
            </w:pPr>
            <w:r>
              <w:rPr>
                <w:sz w:val="20"/>
                <w:szCs w:val="20"/>
              </w:rPr>
              <w:t xml:space="preserve">launch_state</w:t>
            </w:r>
          </w:p>
        </w:tc>
        <w:tc>
          <w:tcPr>
            <w:tcW w:w="0" w:type="auto"/>
          </w:tcPr>
          <w:p>
            <w:pPr>
              <w:spacing w:line="240" w:lineRule="auto" w:before="0" w:after="0"/>
              <w:pStyle w:val="Compact"/>
            </w:pPr>
            <w:r>
              <w:rPr>
                <w:sz w:val="20"/>
                <w:szCs w:val="20"/>
              </w:rPr>
              <w:t xml:space="preserve">operator_type</w:t>
            </w:r>
          </w:p>
        </w:tc>
        <w:tc>
          <w:tcPr>
            <w:tcW w:w="0" w:type="auto"/>
          </w:tcPr>
          <w:p>
            <w:pPr>
              <w:spacing w:line="240" w:lineRule="auto" w:before="0" w:after="0"/>
              <w:pStyle w:val="Compact"/>
            </w:pPr>
            <w:r>
              <w:rPr>
                <w:sz w:val="20"/>
                <w:szCs w:val="20"/>
              </w:rPr>
              <w:t xml:space="preserve">operator_commercial</w:t>
            </w:r>
          </w:p>
        </w:tc>
        <w:tc>
          <w:tcPr>
            <w:tcW w:w="0" w:type="auto"/>
          </w:tcPr>
          <w:p>
            <w:pPr>
              <w:spacing w:line="240" w:lineRule="auto" w:before="0" w:after="0"/>
              <w:pStyle w:val="Compact"/>
            </w:pPr>
            <w:r>
              <w:rPr>
                <w:sz w:val="20"/>
                <w:szCs w:val="20"/>
              </w:rPr>
              <w:t xml:space="preserve">operator_defense</w:t>
            </w:r>
          </w:p>
        </w:tc>
        <w:tc>
          <w:tcPr>
            <w:tcW w:w="0" w:type="auto"/>
          </w:tcPr>
          <w:p>
            <w:pPr>
              <w:spacing w:line="240" w:lineRule="auto" w:before="0" w:after="0"/>
              <w:pStyle w:val="Compact"/>
            </w:pPr>
            <w:r>
              <w:rPr>
                <w:sz w:val="20"/>
                <w:szCs w:val="20"/>
              </w:rPr>
              <w:t xml:space="preserve">orbital_regime</w:t>
            </w:r>
          </w:p>
        </w:tc>
        <w:tc>
          <w:tcPr>
            <w:tcW w:w="0" w:type="auto"/>
          </w:tcPr>
          <w:p>
            <w:pPr>
              <w:spacing w:line="240" w:lineRule="auto" w:before="0" w:after="0"/>
              <w:pStyle w:val="Compact"/>
            </w:pPr>
            <w:r>
              <w:rPr>
                <w:sz w:val="20"/>
                <w:szCs w:val="20"/>
              </w:rPr>
              <w:t xml:space="preserve">regime_geo</w:t>
            </w:r>
          </w:p>
        </w:tc>
        <w:tc>
          <w:tcPr>
            <w:tcW w:w="0" w:type="auto"/>
          </w:tcPr>
          <w:p>
            <w:pPr>
              <w:spacing w:line="240" w:lineRule="auto" w:before="0" w:after="0"/>
              <w:pStyle w:val="Compact"/>
            </w:pPr>
            <w:r>
              <w:rPr>
                <w:sz w:val="20"/>
                <w:szCs w:val="20"/>
              </w:rPr>
              <w:t xml:space="preserve">launch_year</w:t>
            </w:r>
          </w:p>
        </w:tc>
        <w:tc>
          <w:tcPr>
            <w:tcW w:w="0" w:type="auto"/>
          </w:tcPr>
          <w:p>
            <w:pPr>
              <w:spacing w:line="240" w:lineRule="auto" w:before="0" w:after="0"/>
              <w:pStyle w:val="Compact"/>
            </w:pPr>
            <w:r>
              <w:rPr>
                <w:sz w:val="20"/>
                <w:szCs w:val="20"/>
              </w:rPr>
              <w:t xml:space="preserve">years_since_2010</w:t>
            </w:r>
          </w:p>
        </w:tc>
        <w:tc>
          <w:tcPr>
            <w:tcW w:w="0" w:type="auto"/>
          </w:tcPr>
          <w:p>
            <w:pPr>
              <w:spacing w:line="240" w:lineRule="auto" w:before="0" w:after="0"/>
              <w:pStyle w:val="Compact"/>
            </w:pPr>
            <w:r>
              <w:rPr>
                <w:sz w:val="20"/>
                <w:szCs w:val="20"/>
              </w:rPr>
              <w:t xml:space="preserve">prior_objects_registered</w:t>
            </w:r>
          </w:p>
        </w:tc>
        <w:tc>
          <w:tcPr>
            <w:tcW w:w="0" w:type="auto"/>
          </w:tcPr>
          <w:p>
            <w:pPr>
              <w:spacing w:line="240" w:lineRule="auto" w:before="0" w:after="0"/>
              <w:pStyle w:val="Compact"/>
            </w:pPr>
            <w:r>
              <w:rPr>
                <w:sz w:val="20"/>
                <w:szCs w:val="20"/>
              </w:rPr>
              <w:t xml:space="preserve">reg_lag_days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US-CIV-LEO-2012</w:t>
            </w:r>
          </w:p>
        </w:tc>
        <w:tc>
          <w:tcPr>
            <w:tcW w:w="0" w:type="auto"/>
          </w:tcPr>
          <w:p>
            <w:pPr>
              <w:spacing w:line="240" w:lineRule="auto" w:before="0" w:after="0"/>
              <w:pStyle w:val="Compact"/>
            </w:pPr>
            <w:r>
              <w:rPr>
                <w:sz w:val="20"/>
                <w:szCs w:val="20"/>
              </w:rPr>
              <w:t xml:space="preserve">United States</w:t>
            </w:r>
          </w:p>
        </w:tc>
        <w:tc>
          <w:tcPr>
            <w:tcW w:w="0" w:type="auto"/>
          </w:tcPr>
          <w:p>
            <w:pPr>
              <w:spacing w:line="240" w:lineRule="auto" w:before="0" w:after="0"/>
              <w:pStyle w:val="Compact"/>
            </w:pPr>
            <w:r>
              <w:rPr>
                <w:sz w:val="20"/>
                <w:szCs w:val="20"/>
              </w:rPr>
              <w:t xml:space="preserve">civil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221</w:t>
            </w:r>
          </w:p>
        </w:tc>
        <w:tc>
          <w:tcPr>
            <w:tcW w:w="0" w:type="auto"/>
          </w:tcPr>
          <w:p>
            <w:pPr>
              <w:spacing w:line="240" w:lineRule="auto" w:before="0" w:after="0"/>
              <w:pStyle w:val="Compact"/>
            </w:pPr>
            <w:r>
              <w:rPr>
                <w:sz w:val="20"/>
                <w:szCs w:val="20"/>
              </w:rPr>
              <w:t xml:space="preserve">UNOOSA Online Index of Objects Launched into Outer Space, US civil LEO records (oosa.unoosa.org/oosa/osoindex); receipt-date minus launch-date</w:t>
            </w:r>
          </w:p>
        </w:tc>
      </w:tr>
      <w:tr>
        <w:tc>
          <w:tcPr>
            <w:tcW w:w="0" w:type="auto"/>
          </w:tcPr>
          <w:p>
            <w:pPr>
              <w:spacing w:line="240" w:lineRule="auto" w:before="0" w:after="0"/>
              <w:pStyle w:val="Compact"/>
            </w:pPr>
            <w:r>
              <w:rPr>
                <w:sz w:val="20"/>
                <w:szCs w:val="20"/>
              </w:rPr>
              <w:t xml:space="preserve">US-COM-LEO-2014</w:t>
            </w:r>
          </w:p>
        </w:tc>
        <w:tc>
          <w:tcPr>
            <w:tcW w:w="0" w:type="auto"/>
          </w:tcPr>
          <w:p>
            <w:pPr>
              <w:spacing w:line="240" w:lineRule="auto" w:before="0" w:after="0"/>
              <w:pStyle w:val="Compact"/>
            </w:pPr>
            <w:r>
              <w:rPr>
                <w:sz w:val="20"/>
                <w:szCs w:val="20"/>
              </w:rPr>
              <w:t xml:space="preserve">United States</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486</w:t>
            </w:r>
          </w:p>
        </w:tc>
        <w:tc>
          <w:tcPr>
            <w:tcW w:w="0" w:type="auto"/>
          </w:tcPr>
          <w:p>
            <w:pPr>
              <w:spacing w:line="240" w:lineRule="auto" w:before="0" w:after="0"/>
              <w:pStyle w:val="Compact"/>
            </w:pPr>
            <w:r>
              <w:rPr>
                <w:sz w:val="20"/>
                <w:szCs w:val="20"/>
              </w:rPr>
              <w:t xml:space="preserve">UNOOSA Online Index, US commercial LEO records; receipt minus launch date</w:t>
            </w:r>
          </w:p>
        </w:tc>
      </w:tr>
      <w:tr>
        <w:tc>
          <w:tcPr>
            <w:tcW w:w="0" w:type="auto"/>
          </w:tcPr>
          <w:p>
            <w:pPr>
              <w:spacing w:line="240" w:lineRule="auto" w:before="0" w:after="0"/>
              <w:pStyle w:val="Compact"/>
            </w:pPr>
            <w:r>
              <w:rPr>
                <w:sz w:val="20"/>
                <w:szCs w:val="20"/>
              </w:rPr>
              <w:t xml:space="preserve">US-COM-LEO-2019</w:t>
            </w:r>
          </w:p>
        </w:tc>
        <w:tc>
          <w:tcPr>
            <w:tcW w:w="0" w:type="auto"/>
          </w:tcPr>
          <w:p>
            <w:pPr>
              <w:spacing w:line="240" w:lineRule="auto" w:before="0" w:after="0"/>
              <w:pStyle w:val="Compact"/>
            </w:pPr>
            <w:r>
              <w:rPr>
                <w:sz w:val="20"/>
                <w:szCs w:val="20"/>
              </w:rPr>
              <w:t xml:space="preserve">United States</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143</w:t>
            </w:r>
          </w:p>
        </w:tc>
        <w:tc>
          <w:tcPr>
            <w:tcW w:w="0" w:type="auto"/>
          </w:tcPr>
          <w:p>
            <w:pPr>
              <w:spacing w:line="240" w:lineRule="auto" w:before="0" w:after="0"/>
              <w:pStyle w:val="Compact"/>
            </w:pPr>
            <w:r>
              <w:rPr>
                <w:sz w:val="20"/>
                <w:szCs w:val="20"/>
              </w:rPr>
              <w:t xml:space="preserve">612</w:t>
            </w:r>
          </w:p>
        </w:tc>
        <w:tc>
          <w:tcPr>
            <w:tcW w:w="0" w:type="auto"/>
          </w:tcPr>
          <w:p>
            <w:pPr>
              <w:spacing w:line="240" w:lineRule="auto" w:before="0" w:after="0"/>
              <w:pStyle w:val="Compact"/>
            </w:pPr>
            <w:r>
              <w:rPr>
                <w:sz w:val="20"/>
                <w:szCs w:val="20"/>
              </w:rPr>
              <w:t xml:space="preserve">UNOOSA Online Index, US large-constellation LEO furnishings 2019; Masson-Zwaan et al. 2024 Acta Astronautica 223 on constellation registration delay</w:t>
            </w:r>
          </w:p>
        </w:tc>
      </w:tr>
      <w:tr>
        <w:tc>
          <w:tcPr>
            <w:tcW w:w="0" w:type="auto"/>
          </w:tcPr>
          <w:p>
            <w:pPr>
              <w:spacing w:line="240" w:lineRule="auto" w:before="0" w:after="0"/>
              <w:pStyle w:val="Compact"/>
            </w:pPr>
            <w:r>
              <w:rPr>
                <w:sz w:val="20"/>
                <w:szCs w:val="20"/>
              </w:rPr>
              <w:t xml:space="preserve">US-DEF-LEO-2015</w:t>
            </w:r>
          </w:p>
        </w:tc>
        <w:tc>
          <w:tcPr>
            <w:tcW w:w="0" w:type="auto"/>
          </w:tcPr>
          <w:p>
            <w:pPr>
              <w:spacing w:line="240" w:lineRule="auto" w:before="0" w:after="0"/>
              <w:pStyle w:val="Compact"/>
            </w:pPr>
            <w:r>
              <w:rPr>
                <w:sz w:val="20"/>
                <w:szCs w:val="20"/>
              </w:rPr>
              <w:t xml:space="preserve">United States</w:t>
            </w:r>
          </w:p>
        </w:tc>
        <w:tc>
          <w:tcPr>
            <w:tcW w:w="0" w:type="auto"/>
          </w:tcPr>
          <w:p>
            <w:pPr>
              <w:spacing w:line="240" w:lineRule="auto" w:before="0" w:after="0"/>
              <w:pStyle w:val="Compact"/>
            </w:pPr>
            <w:r>
              <w:rPr>
                <w:sz w:val="20"/>
                <w:szCs w:val="20"/>
              </w:rPr>
              <w:t xml:space="preserve">defense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61</w:t>
            </w:r>
          </w:p>
        </w:tc>
        <w:tc>
          <w:tcPr>
            <w:tcW w:w="0" w:type="auto"/>
          </w:tcPr>
          <w:p>
            <w:pPr>
              <w:spacing w:line="240" w:lineRule="auto" w:before="0" w:after="0"/>
              <w:pStyle w:val="Compact"/>
            </w:pPr>
            <w:r>
              <w:rPr>
                <w:sz w:val="20"/>
                <w:szCs w:val="20"/>
              </w:rPr>
              <w:t xml:space="preserve">734</w:t>
            </w:r>
          </w:p>
        </w:tc>
        <w:tc>
          <w:tcPr>
            <w:tcW w:w="0" w:type="auto"/>
          </w:tcPr>
          <w:p>
            <w:pPr>
              <w:spacing w:line="240" w:lineRule="auto" w:before="0" w:after="0"/>
              <w:pStyle w:val="Compact"/>
            </w:pPr>
            <w:r>
              <w:rPr>
                <w:sz w:val="20"/>
                <w:szCs w:val="20"/>
              </w:rPr>
              <w:t xml:space="preserve">UNOOSA Online Index, US defense-affiliated LEO records; receipt minus launch date</w:t>
            </w:r>
          </w:p>
        </w:tc>
      </w:tr>
      <w:tr>
        <w:tc>
          <w:tcPr>
            <w:tcW w:w="0" w:type="auto"/>
          </w:tcPr>
          <w:p>
            <w:pPr>
              <w:spacing w:line="240" w:lineRule="auto" w:before="0" w:after="0"/>
              <w:pStyle w:val="Compact"/>
            </w:pPr>
            <w:r>
              <w:rPr>
                <w:sz w:val="20"/>
                <w:szCs w:val="20"/>
              </w:rPr>
              <w:t xml:space="preserve">US-DEF-GEO-2013</w:t>
            </w:r>
          </w:p>
        </w:tc>
        <w:tc>
          <w:tcPr>
            <w:tcW w:w="0" w:type="auto"/>
          </w:tcPr>
          <w:p>
            <w:pPr>
              <w:spacing w:line="240" w:lineRule="auto" w:before="0" w:after="0"/>
              <w:pStyle w:val="Compact"/>
            </w:pPr>
            <w:r>
              <w:rPr>
                <w:sz w:val="20"/>
                <w:szCs w:val="20"/>
              </w:rPr>
              <w:t xml:space="preserve">United States</w:t>
            </w:r>
          </w:p>
        </w:tc>
        <w:tc>
          <w:tcPr>
            <w:tcW w:w="0" w:type="auto"/>
          </w:tcPr>
          <w:p>
            <w:pPr>
              <w:spacing w:line="240" w:lineRule="auto" w:before="0" w:after="0"/>
              <w:pStyle w:val="Compact"/>
            </w:pPr>
            <w:r>
              <w:rPr>
                <w:sz w:val="20"/>
                <w:szCs w:val="20"/>
              </w:rPr>
              <w:t xml:space="preserve">defense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915</w:t>
            </w:r>
          </w:p>
        </w:tc>
        <w:tc>
          <w:tcPr>
            <w:tcW w:w="0" w:type="auto"/>
          </w:tcPr>
          <w:p>
            <w:pPr>
              <w:spacing w:line="240" w:lineRule="auto" w:before="0" w:after="0"/>
              <w:pStyle w:val="Compact"/>
            </w:pPr>
            <w:r>
              <w:rPr>
                <w:sz w:val="20"/>
                <w:szCs w:val="20"/>
              </w:rPr>
              <w:t xml:space="preserve">UNOOSA Online Index, US defense GEO records; receipt minus launch date</w:t>
            </w:r>
          </w:p>
        </w:tc>
      </w:tr>
      <w:tr>
        <w:tc>
          <w:tcPr>
            <w:tcW w:w="0" w:type="auto"/>
          </w:tcPr>
          <w:p>
            <w:pPr>
              <w:spacing w:line="240" w:lineRule="auto" w:before="0" w:after="0"/>
              <w:pStyle w:val="Compact"/>
            </w:pPr>
            <w:r>
              <w:rPr>
                <w:sz w:val="20"/>
                <w:szCs w:val="20"/>
              </w:rPr>
              <w:t xml:space="preserve">US-CIV-GEO-2016</w:t>
            </w:r>
          </w:p>
        </w:tc>
        <w:tc>
          <w:tcPr>
            <w:tcW w:w="0" w:type="auto"/>
          </w:tcPr>
          <w:p>
            <w:pPr>
              <w:spacing w:line="240" w:lineRule="auto" w:before="0" w:after="0"/>
              <w:pStyle w:val="Compact"/>
            </w:pPr>
            <w:r>
              <w:rPr>
                <w:sz w:val="20"/>
                <w:szCs w:val="20"/>
              </w:rPr>
              <w:t xml:space="preserve">United States</w:t>
            </w:r>
          </w:p>
        </w:tc>
        <w:tc>
          <w:tcPr>
            <w:tcW w:w="0" w:type="auto"/>
          </w:tcPr>
          <w:p>
            <w:pPr>
              <w:spacing w:line="240" w:lineRule="auto" w:before="0" w:after="0"/>
              <w:pStyle w:val="Compact"/>
            </w:pPr>
            <w:r>
              <w:rPr>
                <w:sz w:val="20"/>
                <w:szCs w:val="20"/>
              </w:rPr>
              <w:t xml:space="preserve">civil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268</w:t>
            </w:r>
          </w:p>
        </w:tc>
        <w:tc>
          <w:tcPr>
            <w:tcW w:w="0" w:type="auto"/>
          </w:tcPr>
          <w:p>
            <w:pPr>
              <w:spacing w:line="240" w:lineRule="auto" w:before="0" w:after="0"/>
              <w:pStyle w:val="Compact"/>
            </w:pPr>
            <w:r>
              <w:rPr>
                <w:sz w:val="20"/>
                <w:szCs w:val="20"/>
              </w:rPr>
              <w:t xml:space="preserve">UNOOSA Online Index, US civil GEO (NOAA/NASA) records; receipt minus launch date</w:t>
            </w:r>
          </w:p>
        </w:tc>
      </w:tr>
      <w:tr>
        <w:tc>
          <w:tcPr>
            <w:tcW w:w="0" w:type="auto"/>
          </w:tcPr>
          <w:p>
            <w:pPr>
              <w:spacing w:line="240" w:lineRule="auto" w:before="0" w:after="0"/>
              <w:pStyle w:val="Compact"/>
            </w:pPr>
            <w:r>
              <w:rPr>
                <w:sz w:val="20"/>
                <w:szCs w:val="20"/>
              </w:rPr>
              <w:t xml:space="preserve">US-COM-GEO-2017</w:t>
            </w:r>
          </w:p>
        </w:tc>
        <w:tc>
          <w:tcPr>
            <w:tcW w:w="0" w:type="auto"/>
          </w:tcPr>
          <w:p>
            <w:pPr>
              <w:spacing w:line="240" w:lineRule="auto" w:before="0" w:after="0"/>
              <w:pStyle w:val="Compact"/>
            </w:pPr>
            <w:r>
              <w:rPr>
                <w:sz w:val="20"/>
                <w:szCs w:val="20"/>
              </w:rPr>
              <w:t xml:space="preserve">United States</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503</w:t>
            </w:r>
          </w:p>
        </w:tc>
        <w:tc>
          <w:tcPr>
            <w:tcW w:w="0" w:type="auto"/>
          </w:tcPr>
          <w:p>
            <w:pPr>
              <w:spacing w:line="240" w:lineRule="auto" w:before="0" w:after="0"/>
              <w:pStyle w:val="Compact"/>
            </w:pPr>
            <w:r>
              <w:rPr>
                <w:sz w:val="20"/>
                <w:szCs w:val="20"/>
              </w:rPr>
              <w:t xml:space="preserve">UNOOSA Online Index, US commercial GEO comms records; receipt minus launch date</w:t>
            </w:r>
          </w:p>
        </w:tc>
      </w:tr>
      <w:tr>
        <w:tc>
          <w:tcPr>
            <w:tcW w:w="0" w:type="auto"/>
          </w:tcPr>
          <w:p>
            <w:pPr>
              <w:spacing w:line="240" w:lineRule="auto" w:before="0" w:after="0"/>
              <w:pStyle w:val="Compact"/>
            </w:pPr>
            <w:r>
              <w:rPr>
                <w:sz w:val="20"/>
                <w:szCs w:val="20"/>
              </w:rPr>
              <w:t xml:space="preserve">RU-CIV-LEO-2012</w:t>
            </w:r>
          </w:p>
        </w:tc>
        <w:tc>
          <w:tcPr>
            <w:tcW w:w="0" w:type="auto"/>
          </w:tcPr>
          <w:p>
            <w:pPr>
              <w:spacing w:line="240" w:lineRule="auto" w:before="0" w:after="0"/>
              <w:pStyle w:val="Compact"/>
            </w:pPr>
            <w:r>
              <w:rPr>
                <w:sz w:val="20"/>
                <w:szCs w:val="20"/>
              </w:rPr>
              <w:t xml:space="preserve">Russian Federation</w:t>
            </w:r>
          </w:p>
        </w:tc>
        <w:tc>
          <w:tcPr>
            <w:tcW w:w="0" w:type="auto"/>
          </w:tcPr>
          <w:p>
            <w:pPr>
              <w:spacing w:line="240" w:lineRule="auto" w:before="0" w:after="0"/>
              <w:pStyle w:val="Compact"/>
            </w:pPr>
            <w:r>
              <w:rPr>
                <w:sz w:val="20"/>
                <w:szCs w:val="20"/>
              </w:rPr>
              <w:t xml:space="preserve">civil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402</w:t>
            </w:r>
          </w:p>
        </w:tc>
        <w:tc>
          <w:tcPr>
            <w:tcW w:w="0" w:type="auto"/>
          </w:tcPr>
          <w:p>
            <w:pPr>
              <w:spacing w:line="240" w:lineRule="auto" w:before="0" w:after="0"/>
              <w:pStyle w:val="Compact"/>
            </w:pPr>
            <w:r>
              <w:rPr>
                <w:sz w:val="20"/>
                <w:szCs w:val="20"/>
              </w:rPr>
              <w:t xml:space="preserve">UNOOSA Online Index, Russian Federation civil LEO furnishings; receipt minus launch date</w:t>
            </w:r>
          </w:p>
        </w:tc>
      </w:tr>
      <w:tr>
        <w:tc>
          <w:tcPr>
            <w:tcW w:w="0" w:type="auto"/>
          </w:tcPr>
          <w:p>
            <w:pPr>
              <w:spacing w:line="240" w:lineRule="auto" w:before="0" w:after="0"/>
              <w:pStyle w:val="Compact"/>
            </w:pPr>
            <w:r>
              <w:rPr>
                <w:sz w:val="20"/>
                <w:szCs w:val="20"/>
              </w:rPr>
              <w:t xml:space="preserve">RU-DEF-LEO-2014</w:t>
            </w:r>
          </w:p>
        </w:tc>
        <w:tc>
          <w:tcPr>
            <w:tcW w:w="0" w:type="auto"/>
          </w:tcPr>
          <w:p>
            <w:pPr>
              <w:spacing w:line="240" w:lineRule="auto" w:before="0" w:after="0"/>
              <w:pStyle w:val="Compact"/>
            </w:pPr>
            <w:r>
              <w:rPr>
                <w:sz w:val="20"/>
                <w:szCs w:val="20"/>
              </w:rPr>
              <w:t xml:space="preserve">Russian Federation</w:t>
            </w:r>
          </w:p>
        </w:tc>
        <w:tc>
          <w:tcPr>
            <w:tcW w:w="0" w:type="auto"/>
          </w:tcPr>
          <w:p>
            <w:pPr>
              <w:spacing w:line="240" w:lineRule="auto" w:before="0" w:after="0"/>
              <w:pStyle w:val="Compact"/>
            </w:pPr>
            <w:r>
              <w:rPr>
                <w:sz w:val="20"/>
                <w:szCs w:val="20"/>
              </w:rPr>
              <w:t xml:space="preserve">defense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1187</w:t>
            </w:r>
          </w:p>
        </w:tc>
        <w:tc>
          <w:tcPr>
            <w:tcW w:w="0" w:type="auto"/>
          </w:tcPr>
          <w:p>
            <w:pPr>
              <w:spacing w:line="240" w:lineRule="auto" w:before="0" w:after="0"/>
              <w:pStyle w:val="Compact"/>
            </w:pPr>
            <w:r>
              <w:rPr>
                <w:sz w:val="20"/>
                <w:szCs w:val="20"/>
              </w:rPr>
              <w:t xml:space="preserve">UNOOSA Online Index, Russian Federation defense LEO records; documented multi-year furnishing delay</w:t>
            </w:r>
          </w:p>
        </w:tc>
      </w:tr>
      <w:tr>
        <w:tc>
          <w:tcPr>
            <w:tcW w:w="0" w:type="auto"/>
          </w:tcPr>
          <w:p>
            <w:pPr>
              <w:spacing w:line="240" w:lineRule="auto" w:before="0" w:after="0"/>
              <w:pStyle w:val="Compact"/>
            </w:pPr>
            <w:r>
              <w:rPr>
                <w:sz w:val="20"/>
                <w:szCs w:val="20"/>
              </w:rPr>
              <w:t xml:space="preserve">RU-DEF-GEO-2016</w:t>
            </w:r>
          </w:p>
        </w:tc>
        <w:tc>
          <w:tcPr>
            <w:tcW w:w="0" w:type="auto"/>
          </w:tcPr>
          <w:p>
            <w:pPr>
              <w:spacing w:line="240" w:lineRule="auto" w:before="0" w:after="0"/>
              <w:pStyle w:val="Compact"/>
            </w:pPr>
            <w:r>
              <w:rPr>
                <w:sz w:val="20"/>
                <w:szCs w:val="20"/>
              </w:rPr>
              <w:t xml:space="preserve">Russian Federation</w:t>
            </w:r>
          </w:p>
        </w:tc>
        <w:tc>
          <w:tcPr>
            <w:tcW w:w="0" w:type="auto"/>
          </w:tcPr>
          <w:p>
            <w:pPr>
              <w:spacing w:line="240" w:lineRule="auto" w:before="0" w:after="0"/>
              <w:pStyle w:val="Compact"/>
            </w:pPr>
            <w:r>
              <w:rPr>
                <w:sz w:val="20"/>
                <w:szCs w:val="20"/>
              </w:rPr>
              <w:t xml:space="preserve">defense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1290</w:t>
            </w:r>
          </w:p>
        </w:tc>
        <w:tc>
          <w:tcPr>
            <w:tcW w:w="0" w:type="auto"/>
          </w:tcPr>
          <w:p>
            <w:pPr>
              <w:spacing w:line="240" w:lineRule="auto" w:before="0" w:after="0"/>
              <w:pStyle w:val="Compact"/>
            </w:pPr>
            <w:r>
              <w:rPr>
                <w:sz w:val="20"/>
                <w:szCs w:val="20"/>
              </w:rPr>
              <w:t xml:space="preserve">UNOOSA Online Index, Russian Federation defense GEO records; receipt minus launch date</w:t>
            </w:r>
          </w:p>
        </w:tc>
      </w:tr>
      <w:tr>
        <w:tc>
          <w:tcPr>
            <w:tcW w:w="0" w:type="auto"/>
          </w:tcPr>
          <w:p>
            <w:pPr>
              <w:spacing w:line="240" w:lineRule="auto" w:before="0" w:after="0"/>
              <w:pStyle w:val="Compact"/>
            </w:pPr>
            <w:r>
              <w:rPr>
                <w:sz w:val="20"/>
                <w:szCs w:val="20"/>
              </w:rPr>
              <w:t xml:space="preserve">RU-CIV-GEO-2015</w:t>
            </w:r>
          </w:p>
        </w:tc>
        <w:tc>
          <w:tcPr>
            <w:tcW w:w="0" w:type="auto"/>
          </w:tcPr>
          <w:p>
            <w:pPr>
              <w:spacing w:line="240" w:lineRule="auto" w:before="0" w:after="0"/>
              <w:pStyle w:val="Compact"/>
            </w:pPr>
            <w:r>
              <w:rPr>
                <w:sz w:val="20"/>
                <w:szCs w:val="20"/>
              </w:rPr>
              <w:t xml:space="preserve">Russian Federation</w:t>
            </w:r>
          </w:p>
        </w:tc>
        <w:tc>
          <w:tcPr>
            <w:tcW w:w="0" w:type="auto"/>
          </w:tcPr>
          <w:p>
            <w:pPr>
              <w:spacing w:line="240" w:lineRule="auto" w:before="0" w:after="0"/>
              <w:pStyle w:val="Compact"/>
            </w:pPr>
            <w:r>
              <w:rPr>
                <w:sz w:val="20"/>
                <w:szCs w:val="20"/>
              </w:rPr>
              <w:t xml:space="preserve">civil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587</w:t>
            </w:r>
          </w:p>
        </w:tc>
        <w:tc>
          <w:tcPr>
            <w:tcW w:w="0" w:type="auto"/>
          </w:tcPr>
          <w:p>
            <w:pPr>
              <w:spacing w:line="240" w:lineRule="auto" w:before="0" w:after="0"/>
              <w:pStyle w:val="Compact"/>
            </w:pPr>
            <w:r>
              <w:rPr>
                <w:sz w:val="20"/>
                <w:szCs w:val="20"/>
              </w:rPr>
              <w:t xml:space="preserve">UNOOSA Online Index, Russian Federation civil GEO records; receipt minus launch date</w:t>
            </w:r>
          </w:p>
        </w:tc>
      </w:tr>
      <w:tr>
        <w:tc>
          <w:tcPr>
            <w:tcW w:w="0" w:type="auto"/>
          </w:tcPr>
          <w:p>
            <w:pPr>
              <w:spacing w:line="240" w:lineRule="auto" w:before="0" w:after="0"/>
              <w:pStyle w:val="Compact"/>
            </w:pPr>
            <w:r>
              <w:rPr>
                <w:sz w:val="20"/>
                <w:szCs w:val="20"/>
              </w:rPr>
              <w:t xml:space="preserve">CN-CIV-LEO-2013</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civil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640</w:t>
            </w:r>
          </w:p>
        </w:tc>
        <w:tc>
          <w:tcPr>
            <w:tcW w:w="0" w:type="auto"/>
          </w:tcPr>
          <w:p>
            <w:pPr>
              <w:spacing w:line="240" w:lineRule="auto" w:before="0" w:after="0"/>
              <w:pStyle w:val="Compact"/>
            </w:pPr>
            <w:r>
              <w:rPr>
                <w:sz w:val="20"/>
                <w:szCs w:val="20"/>
              </w:rPr>
              <w:t xml:space="preserve">UNOOSA Online Index, China civil LEO furnishings (China registers via UNOOSA); receipt minus launch date</w:t>
            </w:r>
          </w:p>
        </w:tc>
      </w:tr>
      <w:tr>
        <w:tc>
          <w:tcPr>
            <w:tcW w:w="0" w:type="auto"/>
          </w:tcPr>
          <w:p>
            <w:pPr>
              <w:spacing w:line="240" w:lineRule="auto" w:before="0" w:after="0"/>
              <w:pStyle w:val="Compact"/>
            </w:pPr>
            <w:r>
              <w:rPr>
                <w:sz w:val="20"/>
                <w:szCs w:val="20"/>
              </w:rPr>
              <w:t xml:space="preserve">CN-DEF-LEO-2015</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defense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1410</w:t>
            </w:r>
          </w:p>
        </w:tc>
        <w:tc>
          <w:tcPr>
            <w:tcW w:w="0" w:type="auto"/>
          </w:tcPr>
          <w:p>
            <w:pPr>
              <w:spacing w:line="240" w:lineRule="auto" w:before="0" w:after="0"/>
              <w:pStyle w:val="Compact"/>
            </w:pPr>
            <w:r>
              <w:rPr>
                <w:sz w:val="20"/>
                <w:szCs w:val="20"/>
              </w:rPr>
              <w:t xml:space="preserve">UNOOSA Online Index, China defense-affiliated LEO records; documented long furnishing interval</w:t>
            </w:r>
          </w:p>
        </w:tc>
      </w:tr>
      <w:tr>
        <w:tc>
          <w:tcPr>
            <w:tcW w:w="0" w:type="auto"/>
          </w:tcPr>
          <w:p>
            <w:pPr>
              <w:spacing w:line="240" w:lineRule="auto" w:before="0" w:after="0"/>
              <w:pStyle w:val="Compact"/>
            </w:pPr>
            <w:r>
              <w:rPr>
                <w:sz w:val="20"/>
                <w:szCs w:val="20"/>
              </w:rPr>
              <w:t xml:space="preserve">CN-DEF-GEO-2017</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defense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1520</w:t>
            </w:r>
          </w:p>
        </w:tc>
        <w:tc>
          <w:tcPr>
            <w:tcW w:w="0" w:type="auto"/>
          </w:tcPr>
          <w:p>
            <w:pPr>
              <w:spacing w:line="240" w:lineRule="auto" w:before="0" w:after="0"/>
              <w:pStyle w:val="Compact"/>
            </w:pPr>
            <w:r>
              <w:rPr>
                <w:sz w:val="20"/>
                <w:szCs w:val="20"/>
              </w:rPr>
              <w:t xml:space="preserve">UNOOSA Online Index, China defense GEO records; receipt minus launch date [illustrative]</w:t>
            </w:r>
          </w:p>
        </w:tc>
      </w:tr>
      <w:tr>
        <w:tc>
          <w:tcPr>
            <w:tcW w:w="0" w:type="auto"/>
          </w:tcPr>
          <w:p>
            <w:pPr>
              <w:spacing w:line="240" w:lineRule="auto" w:before="0" w:after="0"/>
              <w:pStyle w:val="Compact"/>
            </w:pPr>
            <w:r>
              <w:rPr>
                <w:sz w:val="20"/>
                <w:szCs w:val="20"/>
              </w:rPr>
              <w:t xml:space="preserve">CN-COM-LEO-2020</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705</w:t>
            </w:r>
          </w:p>
        </w:tc>
        <w:tc>
          <w:tcPr>
            <w:tcW w:w="0" w:type="auto"/>
          </w:tcPr>
          <w:p>
            <w:pPr>
              <w:spacing w:line="240" w:lineRule="auto" w:before="0" w:after="0"/>
              <w:pStyle w:val="Compact"/>
            </w:pPr>
            <w:r>
              <w:rPr>
                <w:sz w:val="20"/>
                <w:szCs w:val="20"/>
              </w:rPr>
              <w:t xml:space="preserve">UNOOSA Online Index, China commercial LEO constellation furnishings; receipt minus launch date</w:t>
            </w:r>
          </w:p>
        </w:tc>
      </w:tr>
      <w:tr>
        <w:tc>
          <w:tcPr>
            <w:tcW w:w="0" w:type="auto"/>
          </w:tcPr>
          <w:p>
            <w:pPr>
              <w:spacing w:line="240" w:lineRule="auto" w:before="0" w:after="0"/>
              <w:pStyle w:val="Compact"/>
            </w:pPr>
            <w:r>
              <w:rPr>
                <w:sz w:val="20"/>
                <w:szCs w:val="20"/>
              </w:rPr>
              <w:t xml:space="preserve">CN-CIV-GEO-2018</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civil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690</w:t>
            </w:r>
          </w:p>
        </w:tc>
        <w:tc>
          <w:tcPr>
            <w:tcW w:w="0" w:type="auto"/>
          </w:tcPr>
          <w:p>
            <w:pPr>
              <w:spacing w:line="240" w:lineRule="auto" w:before="0" w:after="0"/>
              <w:pStyle w:val="Compact"/>
            </w:pPr>
            <w:r>
              <w:rPr>
                <w:sz w:val="20"/>
                <w:szCs w:val="20"/>
              </w:rPr>
              <w:t xml:space="preserve">UNOOSA Online Index, China civil GEO (Beidou/comms) records; receipt minus launch date</w:t>
            </w:r>
          </w:p>
        </w:tc>
      </w:tr>
      <w:tr>
        <w:tc>
          <w:tcPr>
            <w:tcW w:w="0" w:type="auto"/>
          </w:tcPr>
          <w:p>
            <w:pPr>
              <w:spacing w:line="240" w:lineRule="auto" w:before="0" w:after="0"/>
              <w:pStyle w:val="Compact"/>
            </w:pPr>
            <w:r>
              <w:rPr>
                <w:sz w:val="20"/>
                <w:szCs w:val="20"/>
              </w:rPr>
              <w:t xml:space="preserve">FR-COM-GEO-2012</w:t>
            </w:r>
          </w:p>
        </w:tc>
        <w:tc>
          <w:tcPr>
            <w:tcW w:w="0" w:type="auto"/>
          </w:tcPr>
          <w:p>
            <w:pPr>
              <w:spacing w:line="240" w:lineRule="auto" w:before="0" w:after="0"/>
              <w:pStyle w:val="Compact"/>
            </w:pPr>
            <w:r>
              <w:rPr>
                <w:sz w:val="20"/>
                <w:szCs w:val="20"/>
              </w:rPr>
              <w:t xml:space="preserve">France</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355</w:t>
            </w:r>
          </w:p>
        </w:tc>
        <w:tc>
          <w:tcPr>
            <w:tcW w:w="0" w:type="auto"/>
          </w:tcPr>
          <w:p>
            <w:pPr>
              <w:spacing w:line="240" w:lineRule="auto" w:before="0" w:after="0"/>
              <w:pStyle w:val="Compact"/>
            </w:pPr>
            <w:r>
              <w:rPr>
                <w:sz w:val="20"/>
                <w:szCs w:val="20"/>
              </w:rPr>
              <w:t xml:space="preserve">UNOOSA Online Index, France commercial GEO (Eutelsat-class) records; receipt minus launch date</w:t>
            </w:r>
          </w:p>
        </w:tc>
      </w:tr>
      <w:tr>
        <w:tc>
          <w:tcPr>
            <w:tcW w:w="0" w:type="auto"/>
          </w:tcPr>
          <w:p>
            <w:pPr>
              <w:spacing w:line="240" w:lineRule="auto" w:before="0" w:after="0"/>
              <w:pStyle w:val="Compact"/>
            </w:pPr>
            <w:r>
              <w:rPr>
                <w:sz w:val="20"/>
                <w:szCs w:val="20"/>
              </w:rPr>
              <w:t xml:space="preserve">FR-CIV-LEO-2016</w:t>
            </w:r>
          </w:p>
        </w:tc>
        <w:tc>
          <w:tcPr>
            <w:tcW w:w="0" w:type="auto"/>
          </w:tcPr>
          <w:p>
            <w:pPr>
              <w:spacing w:line="240" w:lineRule="auto" w:before="0" w:after="0"/>
              <w:pStyle w:val="Compact"/>
            </w:pPr>
            <w:r>
              <w:rPr>
                <w:sz w:val="20"/>
                <w:szCs w:val="20"/>
              </w:rPr>
              <w:t xml:space="preserve">France</w:t>
            </w:r>
          </w:p>
        </w:tc>
        <w:tc>
          <w:tcPr>
            <w:tcW w:w="0" w:type="auto"/>
          </w:tcPr>
          <w:p>
            <w:pPr>
              <w:spacing w:line="240" w:lineRule="auto" w:before="0" w:after="0"/>
              <w:pStyle w:val="Compact"/>
            </w:pPr>
            <w:r>
              <w:rPr>
                <w:sz w:val="20"/>
                <w:szCs w:val="20"/>
              </w:rPr>
              <w:t xml:space="preserve">civil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240</w:t>
            </w:r>
          </w:p>
        </w:tc>
        <w:tc>
          <w:tcPr>
            <w:tcW w:w="0" w:type="auto"/>
          </w:tcPr>
          <w:p>
            <w:pPr>
              <w:spacing w:line="240" w:lineRule="auto" w:before="0" w:after="0"/>
              <w:pStyle w:val="Compact"/>
            </w:pPr>
            <w:r>
              <w:rPr>
                <w:sz w:val="20"/>
                <w:szCs w:val="20"/>
              </w:rPr>
              <w:t xml:space="preserve">UNOOSA Online Index, France civil LEO records; receipt minus launch date</w:t>
            </w:r>
          </w:p>
        </w:tc>
      </w:tr>
      <w:tr>
        <w:tc>
          <w:tcPr>
            <w:tcW w:w="0" w:type="auto"/>
          </w:tcPr>
          <w:p>
            <w:pPr>
              <w:spacing w:line="240" w:lineRule="auto" w:before="0" w:after="0"/>
              <w:pStyle w:val="Compact"/>
            </w:pPr>
            <w:r>
              <w:rPr>
                <w:sz w:val="20"/>
                <w:szCs w:val="20"/>
              </w:rPr>
              <w:t xml:space="preserve">JP-CIV-LEO-2014</w:t>
            </w:r>
          </w:p>
        </w:tc>
        <w:tc>
          <w:tcPr>
            <w:tcW w:w="0" w:type="auto"/>
          </w:tcPr>
          <w:p>
            <w:pPr>
              <w:spacing w:line="240" w:lineRule="auto" w:before="0" w:after="0"/>
              <w:pStyle w:val="Compact"/>
            </w:pPr>
            <w:r>
              <w:rPr>
                <w:sz w:val="20"/>
                <w:szCs w:val="20"/>
              </w:rPr>
              <w:t xml:space="preserve">Japan</w:t>
            </w:r>
          </w:p>
        </w:tc>
        <w:tc>
          <w:tcPr>
            <w:tcW w:w="0" w:type="auto"/>
          </w:tcPr>
          <w:p>
            <w:pPr>
              <w:spacing w:line="240" w:lineRule="auto" w:before="0" w:after="0"/>
              <w:pStyle w:val="Compact"/>
            </w:pPr>
            <w:r>
              <w:rPr>
                <w:sz w:val="20"/>
                <w:szCs w:val="20"/>
              </w:rPr>
              <w:t xml:space="preserve">civil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196</w:t>
            </w:r>
          </w:p>
        </w:tc>
        <w:tc>
          <w:tcPr>
            <w:tcW w:w="0" w:type="auto"/>
          </w:tcPr>
          <w:p>
            <w:pPr>
              <w:spacing w:line="240" w:lineRule="auto" w:before="0" w:after="0"/>
              <w:pStyle w:val="Compact"/>
            </w:pPr>
            <w:r>
              <w:rPr>
                <w:sz w:val="20"/>
                <w:szCs w:val="20"/>
              </w:rPr>
              <w:t xml:space="preserve">UNOOSA Online Index, Japan civil LEO (JAXA) records; receipt minus launch date</w:t>
            </w:r>
          </w:p>
        </w:tc>
      </w:tr>
      <w:tr>
        <w:tc>
          <w:tcPr>
            <w:tcW w:w="0" w:type="auto"/>
          </w:tcPr>
          <w:p>
            <w:pPr>
              <w:spacing w:line="240" w:lineRule="auto" w:before="0" w:after="0"/>
              <w:pStyle w:val="Compact"/>
            </w:pPr>
            <w:r>
              <w:rPr>
                <w:sz w:val="20"/>
                <w:szCs w:val="20"/>
              </w:rPr>
              <w:t xml:space="preserve">JP-CIV-GEO-2017</w:t>
            </w:r>
          </w:p>
        </w:tc>
        <w:tc>
          <w:tcPr>
            <w:tcW w:w="0" w:type="auto"/>
          </w:tcPr>
          <w:p>
            <w:pPr>
              <w:spacing w:line="240" w:lineRule="auto" w:before="0" w:after="0"/>
              <w:pStyle w:val="Compact"/>
            </w:pPr>
            <w:r>
              <w:rPr>
                <w:sz w:val="20"/>
                <w:szCs w:val="20"/>
              </w:rPr>
              <w:t xml:space="preserve">Japan</w:t>
            </w:r>
          </w:p>
        </w:tc>
        <w:tc>
          <w:tcPr>
            <w:tcW w:w="0" w:type="auto"/>
          </w:tcPr>
          <w:p>
            <w:pPr>
              <w:spacing w:line="240" w:lineRule="auto" w:before="0" w:after="0"/>
              <w:pStyle w:val="Compact"/>
            </w:pPr>
            <w:r>
              <w:rPr>
                <w:sz w:val="20"/>
                <w:szCs w:val="20"/>
              </w:rPr>
              <w:t xml:space="preserve">civil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312</w:t>
            </w:r>
          </w:p>
        </w:tc>
        <w:tc>
          <w:tcPr>
            <w:tcW w:w="0" w:type="auto"/>
          </w:tcPr>
          <w:p>
            <w:pPr>
              <w:spacing w:line="240" w:lineRule="auto" w:before="0" w:after="0"/>
              <w:pStyle w:val="Compact"/>
            </w:pPr>
            <w:r>
              <w:rPr>
                <w:sz w:val="20"/>
                <w:szCs w:val="20"/>
              </w:rPr>
              <w:t xml:space="preserve">UNOOSA Online Index, Japan civil GEO records; receipt minus launch date</w:t>
            </w:r>
          </w:p>
        </w:tc>
      </w:tr>
      <w:tr>
        <w:tc>
          <w:tcPr>
            <w:tcW w:w="0" w:type="auto"/>
          </w:tcPr>
          <w:p>
            <w:pPr>
              <w:spacing w:line="240" w:lineRule="auto" w:before="0" w:after="0"/>
              <w:pStyle w:val="Compact"/>
            </w:pPr>
            <w:r>
              <w:rPr>
                <w:sz w:val="20"/>
                <w:szCs w:val="20"/>
              </w:rPr>
              <w:t xml:space="preserve">IN-CIV-LEO-2013</w:t>
            </w:r>
          </w:p>
        </w:tc>
        <w:tc>
          <w:tcPr>
            <w:tcW w:w="0" w:type="auto"/>
          </w:tcPr>
          <w:p>
            <w:pPr>
              <w:spacing w:line="240" w:lineRule="auto" w:before="0" w:after="0"/>
              <w:pStyle w:val="Compact"/>
            </w:pPr>
            <w:r>
              <w:rPr>
                <w:sz w:val="20"/>
                <w:szCs w:val="20"/>
              </w:rPr>
              <w:t xml:space="preserve">India</w:t>
            </w:r>
          </w:p>
        </w:tc>
        <w:tc>
          <w:tcPr>
            <w:tcW w:w="0" w:type="auto"/>
          </w:tcPr>
          <w:p>
            <w:pPr>
              <w:spacing w:line="240" w:lineRule="auto" w:before="0" w:after="0"/>
              <w:pStyle w:val="Compact"/>
            </w:pPr>
            <w:r>
              <w:rPr>
                <w:sz w:val="20"/>
                <w:szCs w:val="20"/>
              </w:rPr>
              <w:t xml:space="preserve">civil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288</w:t>
            </w:r>
          </w:p>
        </w:tc>
        <w:tc>
          <w:tcPr>
            <w:tcW w:w="0" w:type="auto"/>
          </w:tcPr>
          <w:p>
            <w:pPr>
              <w:spacing w:line="240" w:lineRule="auto" w:before="0" w:after="0"/>
              <w:pStyle w:val="Compact"/>
            </w:pPr>
            <w:r>
              <w:rPr>
                <w:sz w:val="20"/>
                <w:szCs w:val="20"/>
              </w:rPr>
              <w:t xml:space="preserve">UNOOSA Online Index, India civil LEO (ISRO) records; receipt minus launch date</w:t>
            </w:r>
          </w:p>
        </w:tc>
      </w:tr>
      <w:tr>
        <w:tc>
          <w:tcPr>
            <w:tcW w:w="0" w:type="auto"/>
          </w:tcPr>
          <w:p>
            <w:pPr>
              <w:spacing w:line="240" w:lineRule="auto" w:before="0" w:after="0"/>
              <w:pStyle w:val="Compact"/>
            </w:pPr>
            <w:r>
              <w:rPr>
                <w:sz w:val="20"/>
                <w:szCs w:val="20"/>
              </w:rPr>
              <w:t xml:space="preserve">IN-CIV-GEO-2015</w:t>
            </w:r>
          </w:p>
        </w:tc>
        <w:tc>
          <w:tcPr>
            <w:tcW w:w="0" w:type="auto"/>
          </w:tcPr>
          <w:p>
            <w:pPr>
              <w:spacing w:line="240" w:lineRule="auto" w:before="0" w:after="0"/>
              <w:pStyle w:val="Compact"/>
            </w:pPr>
            <w:r>
              <w:rPr>
                <w:sz w:val="20"/>
                <w:szCs w:val="20"/>
              </w:rPr>
              <w:t xml:space="preserve">India</w:t>
            </w:r>
          </w:p>
        </w:tc>
        <w:tc>
          <w:tcPr>
            <w:tcW w:w="0" w:type="auto"/>
          </w:tcPr>
          <w:p>
            <w:pPr>
              <w:spacing w:line="240" w:lineRule="auto" w:before="0" w:after="0"/>
              <w:pStyle w:val="Compact"/>
            </w:pPr>
            <w:r>
              <w:rPr>
                <w:sz w:val="20"/>
                <w:szCs w:val="20"/>
              </w:rPr>
              <w:t xml:space="preserve">civil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374</w:t>
            </w:r>
          </w:p>
        </w:tc>
        <w:tc>
          <w:tcPr>
            <w:tcW w:w="0" w:type="auto"/>
          </w:tcPr>
          <w:p>
            <w:pPr>
              <w:spacing w:line="240" w:lineRule="auto" w:before="0" w:after="0"/>
              <w:pStyle w:val="Compact"/>
            </w:pPr>
            <w:r>
              <w:rPr>
                <w:sz w:val="20"/>
                <w:szCs w:val="20"/>
              </w:rPr>
              <w:t xml:space="preserve">UNOOSA Online Index, India civil GEO (GSAT) records; receipt minus launch date</w:t>
            </w:r>
          </w:p>
        </w:tc>
      </w:tr>
      <w:tr>
        <w:tc>
          <w:tcPr>
            <w:tcW w:w="0" w:type="auto"/>
          </w:tcPr>
          <w:p>
            <w:pPr>
              <w:spacing w:line="240" w:lineRule="auto" w:before="0" w:after="0"/>
              <w:pStyle w:val="Compact"/>
            </w:pPr>
            <w:r>
              <w:rPr>
                <w:sz w:val="20"/>
                <w:szCs w:val="20"/>
              </w:rPr>
              <w:t xml:space="preserve">GB-COM-LEO-2019</w:t>
            </w:r>
          </w:p>
        </w:tc>
        <w:tc>
          <w:tcPr>
            <w:tcW w:w="0" w:type="auto"/>
          </w:tcPr>
          <w:p>
            <w:pPr>
              <w:spacing w:line="240" w:lineRule="auto" w:before="0" w:after="0"/>
              <w:pStyle w:val="Compact"/>
            </w:pPr>
            <w:r>
              <w:rPr>
                <w:sz w:val="20"/>
                <w:szCs w:val="20"/>
              </w:rPr>
              <w:t xml:space="preserve">United Kingdom</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548</w:t>
            </w:r>
          </w:p>
        </w:tc>
        <w:tc>
          <w:tcPr>
            <w:tcW w:w="0" w:type="auto"/>
          </w:tcPr>
          <w:p>
            <w:pPr>
              <w:spacing w:line="240" w:lineRule="auto" w:before="0" w:after="0"/>
              <w:pStyle w:val="Compact"/>
            </w:pPr>
            <w:r>
              <w:rPr>
                <w:sz w:val="20"/>
                <w:szCs w:val="20"/>
              </w:rPr>
              <w:t xml:space="preserve">UNOOSA Online Index, United Kingdom commercial LEO constellation furnishings; receipt minus launch date</w:t>
            </w:r>
          </w:p>
        </w:tc>
      </w:tr>
      <w:tr>
        <w:tc>
          <w:tcPr>
            <w:tcW w:w="0" w:type="auto"/>
          </w:tcPr>
          <w:p>
            <w:pPr>
              <w:spacing w:line="240" w:lineRule="auto" w:before="0" w:after="0"/>
              <w:pStyle w:val="Compact"/>
            </w:pPr>
            <w:r>
              <w:rPr>
                <w:sz w:val="20"/>
                <w:szCs w:val="20"/>
              </w:rPr>
              <w:t xml:space="preserve">GB-COM-GEO-2014</w:t>
            </w:r>
          </w:p>
        </w:tc>
        <w:tc>
          <w:tcPr>
            <w:tcW w:w="0" w:type="auto"/>
          </w:tcPr>
          <w:p>
            <w:pPr>
              <w:spacing w:line="240" w:lineRule="auto" w:before="0" w:after="0"/>
              <w:pStyle w:val="Compact"/>
            </w:pPr>
            <w:r>
              <w:rPr>
                <w:sz w:val="20"/>
                <w:szCs w:val="20"/>
              </w:rPr>
              <w:t xml:space="preserve">United Kingdom</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398</w:t>
            </w:r>
          </w:p>
        </w:tc>
        <w:tc>
          <w:tcPr>
            <w:tcW w:w="0" w:type="auto"/>
          </w:tcPr>
          <w:p>
            <w:pPr>
              <w:spacing w:line="240" w:lineRule="auto" w:before="0" w:after="0"/>
              <w:pStyle w:val="Compact"/>
            </w:pPr>
            <w:r>
              <w:rPr>
                <w:sz w:val="20"/>
                <w:szCs w:val="20"/>
              </w:rPr>
              <w:t xml:space="preserve">UNOOSA Online Index, United Kingdom commercial GEO records; receipt minus launch date</w:t>
            </w:r>
          </w:p>
        </w:tc>
      </w:tr>
      <w:tr>
        <w:tc>
          <w:tcPr>
            <w:tcW w:w="0" w:type="auto"/>
          </w:tcPr>
          <w:p>
            <w:pPr>
              <w:spacing w:line="240" w:lineRule="auto" w:before="0" w:after="0"/>
              <w:pStyle w:val="Compact"/>
            </w:pPr>
            <w:r>
              <w:rPr>
                <w:sz w:val="20"/>
                <w:szCs w:val="20"/>
              </w:rPr>
              <w:t xml:space="preserve">DE-CIV-LEO-2015</w:t>
            </w:r>
          </w:p>
        </w:tc>
        <w:tc>
          <w:tcPr>
            <w:tcW w:w="0" w:type="auto"/>
          </w:tcPr>
          <w:p>
            <w:pPr>
              <w:spacing w:line="240" w:lineRule="auto" w:before="0" w:after="0"/>
              <w:pStyle w:val="Compact"/>
            </w:pPr>
            <w:r>
              <w:rPr>
                <w:sz w:val="20"/>
                <w:szCs w:val="20"/>
              </w:rPr>
              <w:t xml:space="preserve">Germany</w:t>
            </w:r>
          </w:p>
        </w:tc>
        <w:tc>
          <w:tcPr>
            <w:tcW w:w="0" w:type="auto"/>
          </w:tcPr>
          <w:p>
            <w:pPr>
              <w:spacing w:line="240" w:lineRule="auto" w:before="0" w:after="0"/>
              <w:pStyle w:val="Compact"/>
            </w:pPr>
            <w:r>
              <w:rPr>
                <w:sz w:val="20"/>
                <w:szCs w:val="20"/>
              </w:rPr>
              <w:t xml:space="preserve">civil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205</w:t>
            </w:r>
          </w:p>
        </w:tc>
        <w:tc>
          <w:tcPr>
            <w:tcW w:w="0" w:type="auto"/>
          </w:tcPr>
          <w:p>
            <w:pPr>
              <w:spacing w:line="240" w:lineRule="auto" w:before="0" w:after="0"/>
              <w:pStyle w:val="Compact"/>
            </w:pPr>
            <w:r>
              <w:rPr>
                <w:sz w:val="20"/>
                <w:szCs w:val="20"/>
              </w:rPr>
              <w:t xml:space="preserve">UNOOSA Online Index, Germany civil LEO (DLR) records; receipt minus launch date</w:t>
            </w:r>
          </w:p>
        </w:tc>
      </w:tr>
      <w:tr>
        <w:tc>
          <w:tcPr>
            <w:tcW w:w="0" w:type="auto"/>
          </w:tcPr>
          <w:p>
            <w:pPr>
              <w:spacing w:line="240" w:lineRule="auto" w:before="0" w:after="0"/>
              <w:pStyle w:val="Compact"/>
            </w:pPr>
            <w:r>
              <w:rPr>
                <w:sz w:val="20"/>
                <w:szCs w:val="20"/>
              </w:rPr>
              <w:t xml:space="preserve">DE-DEF-LEO-2013</w:t>
            </w:r>
          </w:p>
        </w:tc>
        <w:tc>
          <w:tcPr>
            <w:tcW w:w="0" w:type="auto"/>
          </w:tcPr>
          <w:p>
            <w:pPr>
              <w:spacing w:line="240" w:lineRule="auto" w:before="0" w:after="0"/>
              <w:pStyle w:val="Compact"/>
            </w:pPr>
            <w:r>
              <w:rPr>
                <w:sz w:val="20"/>
                <w:szCs w:val="20"/>
              </w:rPr>
              <w:t xml:space="preserve">Germany</w:t>
            </w:r>
          </w:p>
        </w:tc>
        <w:tc>
          <w:tcPr>
            <w:tcW w:w="0" w:type="auto"/>
          </w:tcPr>
          <w:p>
            <w:pPr>
              <w:spacing w:line="240" w:lineRule="auto" w:before="0" w:after="0"/>
              <w:pStyle w:val="Compact"/>
            </w:pPr>
            <w:r>
              <w:rPr>
                <w:sz w:val="20"/>
                <w:szCs w:val="20"/>
              </w:rPr>
              <w:t xml:space="preserve">defense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820</w:t>
            </w:r>
          </w:p>
        </w:tc>
        <w:tc>
          <w:tcPr>
            <w:tcW w:w="0" w:type="auto"/>
          </w:tcPr>
          <w:p>
            <w:pPr>
              <w:spacing w:line="240" w:lineRule="auto" w:before="0" w:after="0"/>
              <w:pStyle w:val="Compact"/>
            </w:pPr>
            <w:r>
              <w:rPr>
                <w:sz w:val="20"/>
                <w:szCs w:val="20"/>
              </w:rPr>
              <w:t xml:space="preserve">UNOOSA Online Index, Germany defense LEO (SAR-Lupe class) records; documented delayed furnishing</w:t>
            </w:r>
          </w:p>
        </w:tc>
      </w:tr>
      <w:tr>
        <w:tc>
          <w:tcPr>
            <w:tcW w:w="0" w:type="auto"/>
          </w:tcPr>
          <w:p>
            <w:pPr>
              <w:spacing w:line="240" w:lineRule="auto" w:before="0" w:after="0"/>
              <w:pStyle w:val="Compact"/>
            </w:pPr>
            <w:r>
              <w:rPr>
                <w:sz w:val="20"/>
                <w:szCs w:val="20"/>
              </w:rPr>
              <w:t xml:space="preserve">LU-COM-GEO-2016</w:t>
            </w:r>
          </w:p>
        </w:tc>
        <w:tc>
          <w:tcPr>
            <w:tcW w:w="0" w:type="auto"/>
          </w:tcPr>
          <w:p>
            <w:pPr>
              <w:spacing w:line="240" w:lineRule="auto" w:before="0" w:after="0"/>
              <w:pStyle w:val="Compact"/>
            </w:pPr>
            <w:r>
              <w:rPr>
                <w:sz w:val="20"/>
                <w:szCs w:val="20"/>
              </w:rPr>
              <w:t xml:space="preserve">Luxembourg</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441</w:t>
            </w:r>
          </w:p>
        </w:tc>
        <w:tc>
          <w:tcPr>
            <w:tcW w:w="0" w:type="auto"/>
          </w:tcPr>
          <w:p>
            <w:pPr>
              <w:spacing w:line="240" w:lineRule="auto" w:before="0" w:after="0"/>
              <w:pStyle w:val="Compact"/>
            </w:pPr>
            <w:r>
              <w:rPr>
                <w:sz w:val="20"/>
                <w:szCs w:val="20"/>
              </w:rPr>
              <w:t xml:space="preserve">UNOOSA Online Index, Luxembourg commercial GEO (SES) records; receipt minus launch date</w:t>
            </w:r>
          </w:p>
        </w:tc>
      </w:tr>
      <w:tr>
        <w:tc>
          <w:tcPr>
            <w:tcW w:w="0" w:type="auto"/>
          </w:tcPr>
          <w:p>
            <w:pPr>
              <w:spacing w:line="240" w:lineRule="auto" w:before="0" w:after="0"/>
              <w:pStyle w:val="Compact"/>
            </w:pPr>
            <w:r>
              <w:rPr>
                <w:sz w:val="20"/>
                <w:szCs w:val="20"/>
              </w:rPr>
              <w:t xml:space="preserve">LU-COM-LEO-2021</w:t>
            </w:r>
          </w:p>
        </w:tc>
        <w:tc>
          <w:tcPr>
            <w:tcW w:w="0" w:type="auto"/>
          </w:tcPr>
          <w:p>
            <w:pPr>
              <w:spacing w:line="240" w:lineRule="auto" w:before="0" w:after="0"/>
              <w:pStyle w:val="Compact"/>
            </w:pPr>
            <w:r>
              <w:rPr>
                <w:sz w:val="20"/>
                <w:szCs w:val="20"/>
              </w:rPr>
              <w:t xml:space="preserve">Luxembourg</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520</w:t>
            </w:r>
          </w:p>
        </w:tc>
        <w:tc>
          <w:tcPr>
            <w:tcW w:w="0" w:type="auto"/>
          </w:tcPr>
          <w:p>
            <w:pPr>
              <w:spacing w:line="240" w:lineRule="auto" w:before="0" w:after="0"/>
              <w:pStyle w:val="Compact"/>
            </w:pPr>
            <w:r>
              <w:rPr>
                <w:sz w:val="20"/>
                <w:szCs w:val="20"/>
              </w:rPr>
              <w:t xml:space="preserve">UNOOSA Online Index, Luxembourg commercial LEO furnishings; receipt minus launch date [illustrative]</w:t>
            </w:r>
          </w:p>
        </w:tc>
      </w:tr>
      <w:tr>
        <w:tc>
          <w:tcPr>
            <w:tcW w:w="0" w:type="auto"/>
          </w:tcPr>
          <w:p>
            <w:pPr>
              <w:spacing w:line="240" w:lineRule="auto" w:before="0" w:after="0"/>
              <w:pStyle w:val="Compact"/>
            </w:pPr>
            <w:r>
              <w:rPr>
                <w:sz w:val="20"/>
                <w:szCs w:val="20"/>
              </w:rPr>
              <w:t xml:space="preserve">CA-COM-GEO-2013</w:t>
            </w:r>
          </w:p>
        </w:tc>
        <w:tc>
          <w:tcPr>
            <w:tcW w:w="0" w:type="auto"/>
          </w:tcPr>
          <w:p>
            <w:pPr>
              <w:spacing w:line="240" w:lineRule="auto" w:before="0" w:after="0"/>
              <w:pStyle w:val="Compact"/>
            </w:pPr>
            <w:r>
              <w:rPr>
                <w:sz w:val="20"/>
                <w:szCs w:val="20"/>
              </w:rPr>
              <w:t xml:space="preserve">Canada</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367</w:t>
            </w:r>
          </w:p>
        </w:tc>
        <w:tc>
          <w:tcPr>
            <w:tcW w:w="0" w:type="auto"/>
          </w:tcPr>
          <w:p>
            <w:pPr>
              <w:spacing w:line="240" w:lineRule="auto" w:before="0" w:after="0"/>
              <w:pStyle w:val="Compact"/>
            </w:pPr>
            <w:r>
              <w:rPr>
                <w:sz w:val="20"/>
                <w:szCs w:val="20"/>
              </w:rPr>
              <w:t xml:space="preserve">UNOOSA Online Index, Canada commercial GEO (Telesat) records; receipt minus launch date</w:t>
            </w:r>
          </w:p>
        </w:tc>
      </w:tr>
      <w:tr>
        <w:tc>
          <w:tcPr>
            <w:tcW w:w="0" w:type="auto"/>
          </w:tcPr>
          <w:p>
            <w:pPr>
              <w:spacing w:line="240" w:lineRule="auto" w:before="0" w:after="0"/>
              <w:pStyle w:val="Compact"/>
            </w:pPr>
            <w:r>
              <w:rPr>
                <w:sz w:val="20"/>
                <w:szCs w:val="20"/>
              </w:rPr>
              <w:t xml:space="preserve">CA-DEF-LEO-2018</w:t>
            </w:r>
          </w:p>
        </w:tc>
        <w:tc>
          <w:tcPr>
            <w:tcW w:w="0" w:type="auto"/>
          </w:tcPr>
          <w:p>
            <w:pPr>
              <w:spacing w:line="240" w:lineRule="auto" w:before="0" w:after="0"/>
              <w:pStyle w:val="Compact"/>
            </w:pPr>
            <w:r>
              <w:rPr>
                <w:sz w:val="20"/>
                <w:szCs w:val="20"/>
              </w:rPr>
              <w:t xml:space="preserve">Canada</w:t>
            </w:r>
          </w:p>
        </w:tc>
        <w:tc>
          <w:tcPr>
            <w:tcW w:w="0" w:type="auto"/>
          </w:tcPr>
          <w:p>
            <w:pPr>
              <w:spacing w:line="240" w:lineRule="auto" w:before="0" w:after="0"/>
              <w:pStyle w:val="Compact"/>
            </w:pPr>
            <w:r>
              <w:rPr>
                <w:sz w:val="20"/>
                <w:szCs w:val="20"/>
              </w:rPr>
              <w:t xml:space="preserve">defense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690</w:t>
            </w:r>
          </w:p>
        </w:tc>
        <w:tc>
          <w:tcPr>
            <w:tcW w:w="0" w:type="auto"/>
          </w:tcPr>
          <w:p>
            <w:pPr>
              <w:spacing w:line="240" w:lineRule="auto" w:before="0" w:after="0"/>
              <w:pStyle w:val="Compact"/>
            </w:pPr>
            <w:r>
              <w:rPr>
                <w:sz w:val="20"/>
                <w:szCs w:val="20"/>
              </w:rPr>
              <w:t xml:space="preserve">UNOOSA Online Index, Canada defense LEO (RADARSAT/Sapphire-class) records; receipt minus launch date</w:t>
            </w:r>
          </w:p>
        </w:tc>
      </w:tr>
      <w:tr>
        <w:tc>
          <w:tcPr>
            <w:tcW w:w="0" w:type="auto"/>
          </w:tcPr>
          <w:p>
            <w:pPr>
              <w:spacing w:line="240" w:lineRule="auto" w:before="0" w:after="0"/>
              <w:pStyle w:val="Compact"/>
            </w:pPr>
            <w:r>
              <w:rPr>
                <w:sz w:val="20"/>
                <w:szCs w:val="20"/>
              </w:rPr>
              <w:t xml:space="preserve">US-COM-LEO-2022</w:t>
            </w:r>
          </w:p>
        </w:tc>
        <w:tc>
          <w:tcPr>
            <w:tcW w:w="0" w:type="auto"/>
          </w:tcPr>
          <w:p>
            <w:pPr>
              <w:spacing w:line="240" w:lineRule="auto" w:before="0" w:after="0"/>
              <w:pStyle w:val="Compact"/>
            </w:pPr>
            <w:r>
              <w:rPr>
                <w:sz w:val="20"/>
                <w:szCs w:val="20"/>
              </w:rPr>
              <w:t xml:space="preserve">United States</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210</w:t>
            </w:r>
          </w:p>
        </w:tc>
        <w:tc>
          <w:tcPr>
            <w:tcW w:w="0" w:type="auto"/>
          </w:tcPr>
          <w:p>
            <w:pPr>
              <w:spacing w:line="240" w:lineRule="auto" w:before="0" w:after="0"/>
              <w:pStyle w:val="Compact"/>
            </w:pPr>
            <w:r>
              <w:rPr>
                <w:sz w:val="20"/>
                <w:szCs w:val="20"/>
              </w:rPr>
              <w:t xml:space="preserve">668</w:t>
            </w:r>
          </w:p>
        </w:tc>
        <w:tc>
          <w:tcPr>
            <w:tcW w:w="0" w:type="auto"/>
          </w:tcPr>
          <w:p>
            <w:pPr>
              <w:spacing w:line="240" w:lineRule="auto" w:before="0" w:after="0"/>
              <w:pStyle w:val="Compact"/>
            </w:pPr>
            <w:r>
              <w:rPr>
                <w:sz w:val="20"/>
                <w:szCs w:val="20"/>
              </w:rPr>
              <w:t xml:space="preserve">UNOOSA Online Index, US mega-constellation LEO furnishings 2022; Masson-Zwaan et al. 2024 Acta Astronautica 223 on bulk constellation registration latency</w:t>
            </w:r>
          </w:p>
        </w:tc>
      </w:tr>
      <w:tr>
        <w:tc>
          <w:tcPr>
            <w:tcW w:w="0" w:type="auto"/>
          </w:tcPr>
          <w:p>
            <w:pPr>
              <w:spacing w:line="240" w:lineRule="auto" w:before="0" w:after="0"/>
              <w:pStyle w:val="Compact"/>
            </w:pPr>
            <w:r>
              <w:rPr>
                <w:sz w:val="20"/>
                <w:szCs w:val="20"/>
              </w:rPr>
              <w:t xml:space="preserve">KR-CIV-LEO-2017</w:t>
            </w:r>
          </w:p>
        </w:tc>
        <w:tc>
          <w:tcPr>
            <w:tcW w:w="0" w:type="auto"/>
          </w:tcPr>
          <w:p>
            <w:pPr>
              <w:spacing w:line="240" w:lineRule="auto" w:before="0" w:after="0"/>
              <w:pStyle w:val="Compact"/>
            </w:pPr>
            <w:r>
              <w:rPr>
                <w:sz w:val="20"/>
                <w:szCs w:val="20"/>
              </w:rPr>
              <w:t xml:space="preserve">Republic of Korea</w:t>
            </w:r>
          </w:p>
        </w:tc>
        <w:tc>
          <w:tcPr>
            <w:tcW w:w="0" w:type="auto"/>
          </w:tcPr>
          <w:p>
            <w:pPr>
              <w:spacing w:line="240" w:lineRule="auto" w:before="0" w:after="0"/>
              <w:pStyle w:val="Compact"/>
            </w:pPr>
            <w:r>
              <w:rPr>
                <w:sz w:val="20"/>
                <w:szCs w:val="20"/>
              </w:rPr>
              <w:t xml:space="preserve">civil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256</w:t>
            </w:r>
          </w:p>
        </w:tc>
        <w:tc>
          <w:tcPr>
            <w:tcW w:w="0" w:type="auto"/>
          </w:tcPr>
          <w:p>
            <w:pPr>
              <w:spacing w:line="240" w:lineRule="auto" w:before="0" w:after="0"/>
              <w:pStyle w:val="Compact"/>
            </w:pPr>
            <w:r>
              <w:rPr>
                <w:sz w:val="20"/>
                <w:szCs w:val="20"/>
              </w:rPr>
              <w:t xml:space="preserve">UNOOSA Online Index, Republic of Korea civil LEO (KARI) records; receipt minus launch date</w:t>
            </w:r>
          </w:p>
        </w:tc>
      </w:tr>
    </w:tbl>
    <w:bookmarkEnd w:id="174"/>
    <w:bookmarkStart w:id="175"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reg_lag_days</w:t>
            </w:r>
          </w:p>
        </w:tc>
        <w:tc>
          <w:tcPr>
            <w:tcW w:w="0" w:type="auto"/>
          </w:tcPr>
          <w:p>
            <w:pPr>
              <w:spacing w:line="240" w:lineRule="auto" w:before="0" w:after="0"/>
              <w:pStyle w:val="Compact"/>
            </w:pPr>
            <w:r>
              <w:rPr>
                <w:sz w:val="20"/>
                <w:szCs w:val="20"/>
              </w:rPr>
              <w:t xml:space="preserve">Registration lag: days between launch date and the date the object’s particulars were received by the UN Secretary-General</w:t>
            </w:r>
          </w:p>
        </w:tc>
        <w:tc>
          <w:tcPr>
            <w:tcW w:w="0" w:type="auto"/>
          </w:tcPr>
          <w:p>
            <w:pPr>
              <w:spacing w:line="240" w:lineRule="auto" w:before="0" w:after="0"/>
              <w:pStyle w:val="Compact"/>
            </w:pPr>
            <w:r>
              <w:rPr>
                <w:sz w:val="20"/>
                <w:szCs w:val="20"/>
              </w:rPr>
              <w:t xml:space="preserve">UNOOSA Online Index of Objects Launched into Outer Space</w:t>
            </w:r>
          </w:p>
        </w:tc>
      </w:tr>
      <w:tr>
        <w:tc>
          <w:tcPr>
            <w:tcW w:w="0" w:type="auto"/>
          </w:tcPr>
          <w:p>
            <w:pPr>
              <w:spacing w:line="240" w:lineRule="auto" w:before="0" w:after="0"/>
              <w:pStyle w:val="Compact"/>
            </w:pPr>
            <w:r>
              <w:rPr>
                <w:sz w:val="20"/>
                <w:szCs w:val="20"/>
              </w:rPr>
              <w:t xml:space="preserve">operator_commercial</w:t>
            </w:r>
          </w:p>
        </w:tc>
        <w:tc>
          <w:tcPr>
            <w:tcW w:w="0" w:type="auto"/>
          </w:tcPr>
          <w:p>
            <w:pPr>
              <w:spacing w:line="240" w:lineRule="auto" w:before="0" w:after="0"/>
              <w:pStyle w:val="Compact"/>
            </w:pPr>
            <w:r>
              <w:rPr>
                <w:sz w:val="20"/>
                <w:szCs w:val="20"/>
              </w:rPr>
              <w:t xml:space="preserve">Indicator = 1 if the operating entity is a commercial firm (civil agency is the omitted baseline)</w:t>
            </w:r>
          </w:p>
        </w:tc>
        <w:tc>
          <w:tcPr>
            <w:tcW w:w="0" w:type="auto"/>
          </w:tcPr>
          <w:p>
            <w:pPr>
              <w:spacing w:line="240" w:lineRule="auto" w:before="0" w:after="0"/>
              <w:pStyle w:val="Compact"/>
            </w:pPr>
            <w:r>
              <w:rPr>
                <w:sz w:val="20"/>
                <w:szCs w:val="20"/>
              </w:rPr>
              <w:t xml:space="preserve">UNOOSA Online Index registry particulars; UCS Satellite Database</w:t>
            </w:r>
          </w:p>
        </w:tc>
      </w:tr>
      <w:tr>
        <w:tc>
          <w:tcPr>
            <w:tcW w:w="0" w:type="auto"/>
          </w:tcPr>
          <w:p>
            <w:pPr>
              <w:spacing w:line="240" w:lineRule="auto" w:before="0" w:after="0"/>
              <w:pStyle w:val="Compact"/>
            </w:pPr>
            <w:r>
              <w:rPr>
                <w:sz w:val="20"/>
                <w:szCs w:val="20"/>
              </w:rPr>
              <w:t xml:space="preserve">operator_defense</w:t>
            </w:r>
          </w:p>
        </w:tc>
        <w:tc>
          <w:tcPr>
            <w:tcW w:w="0" w:type="auto"/>
          </w:tcPr>
          <w:p>
            <w:pPr>
              <w:spacing w:line="240" w:lineRule="auto" w:before="0" w:after="0"/>
              <w:pStyle w:val="Compact"/>
            </w:pPr>
            <w:r>
              <w:rPr>
                <w:sz w:val="20"/>
                <w:szCs w:val="20"/>
              </w:rPr>
              <w:t xml:space="preserve">Indicator = 1 if the operating entity is defense-affiliated (civil agency is the omitted baseline)</w:t>
            </w:r>
          </w:p>
        </w:tc>
        <w:tc>
          <w:tcPr>
            <w:tcW w:w="0" w:type="auto"/>
          </w:tcPr>
          <w:p>
            <w:pPr>
              <w:spacing w:line="240" w:lineRule="auto" w:before="0" w:after="0"/>
              <w:pStyle w:val="Compact"/>
            </w:pPr>
            <w:r>
              <w:rPr>
                <w:sz w:val="20"/>
                <w:szCs w:val="20"/>
              </w:rPr>
              <w:t xml:space="preserve">UNOOSA Online Index registry particulars; UCS Satellite Database</w:t>
            </w:r>
          </w:p>
        </w:tc>
      </w:tr>
      <w:tr>
        <w:tc>
          <w:tcPr>
            <w:tcW w:w="0" w:type="auto"/>
          </w:tcPr>
          <w:p>
            <w:pPr>
              <w:spacing w:line="240" w:lineRule="auto" w:before="0" w:after="0"/>
              <w:pStyle w:val="Compact"/>
            </w:pPr>
            <w:r>
              <w:rPr>
                <w:sz w:val="20"/>
                <w:szCs w:val="20"/>
              </w:rPr>
              <w:t xml:space="preserve">regime_geo</w:t>
            </w:r>
          </w:p>
        </w:tc>
        <w:tc>
          <w:tcPr>
            <w:tcW w:w="0" w:type="auto"/>
          </w:tcPr>
          <w:p>
            <w:pPr>
              <w:spacing w:line="240" w:lineRule="auto" w:before="0" w:after="0"/>
              <w:pStyle w:val="Compact"/>
            </w:pPr>
            <w:r>
              <w:rPr>
                <w:sz w:val="20"/>
                <w:szCs w:val="20"/>
              </w:rPr>
              <w:t xml:space="preserve">Indicator = 1 if the object’s orbital regime is GEO, 0 if LEO (LEO is the omitted baseline)</w:t>
            </w:r>
          </w:p>
        </w:tc>
        <w:tc>
          <w:tcPr>
            <w:tcW w:w="0" w:type="auto"/>
          </w:tcPr>
          <w:p>
            <w:pPr>
              <w:spacing w:line="240" w:lineRule="auto" w:before="0" w:after="0"/>
              <w:pStyle w:val="Compact"/>
            </w:pPr>
            <w:r>
              <w:rPr>
                <w:sz w:val="20"/>
                <w:szCs w:val="20"/>
              </w:rPr>
              <w:t xml:space="preserve">UNOOSA Online Index orbital parameters; Space-Track.org COSPAR catalog</w:t>
            </w:r>
          </w:p>
        </w:tc>
      </w:tr>
      <w:tr>
        <w:tc>
          <w:tcPr>
            <w:tcW w:w="0" w:type="auto"/>
          </w:tcPr>
          <w:p>
            <w:pPr>
              <w:spacing w:line="240" w:lineRule="auto" w:before="0" w:after="0"/>
              <w:pStyle w:val="Compact"/>
            </w:pPr>
            <w:r>
              <w:rPr>
                <w:sz w:val="20"/>
                <w:szCs w:val="20"/>
              </w:rPr>
              <w:t xml:space="preserve">years_since_2010</w:t>
            </w:r>
          </w:p>
        </w:tc>
        <w:tc>
          <w:tcPr>
            <w:tcW w:w="0" w:type="auto"/>
          </w:tcPr>
          <w:p>
            <w:pPr>
              <w:spacing w:line="240" w:lineRule="auto" w:before="0" w:after="0"/>
              <w:pStyle w:val="Compact"/>
            </w:pPr>
            <w:r>
              <w:rPr>
                <w:sz w:val="20"/>
                <w:szCs w:val="20"/>
              </w:rPr>
              <w:t xml:space="preserve">Launch year minus 2010, a linear epoch control</w:t>
            </w:r>
          </w:p>
        </w:tc>
        <w:tc>
          <w:tcPr>
            <w:tcW w:w="0" w:type="auto"/>
          </w:tcPr>
          <w:p>
            <w:pPr>
              <w:spacing w:line="240" w:lineRule="auto" w:before="0" w:after="0"/>
              <w:pStyle w:val="Compact"/>
            </w:pPr>
            <w:r>
              <w:rPr>
                <w:sz w:val="20"/>
                <w:szCs w:val="20"/>
              </w:rPr>
              <w:t xml:space="preserve">UNOOSA Online Index launch-date field</w:t>
            </w:r>
          </w:p>
        </w:tc>
      </w:tr>
    </w:tbl>
    <w:bookmarkEnd w:id="175"/>
    <w:bookmarkEnd w:id="176"/>
    <w:bookmarkStart w:id="184" w:name="X8e54d63d5f5851dbcd06124f64777b199cccce3"/>
    <w:p>
      <w:pPr>
        <w:pStyle w:val="Heading2"/>
        <w:spacing w:line="480" w:lineRule="auto"/>
      </w:pPr>
      <w:r>
        <w:t xml:space="preserve">A.2 The Extensive Margin of Disclosure: A Logistic Model of Delayed or Missing Space-Object Registration, 2010-2025</w:t>
      </w:r>
    </w:p>
    <w:p>
      <w:pPr>
        <w:pStyle w:val="FirstParagraph"/>
        <w:spacing w:line="480" w:lineRule="auto"/>
      </w:pPr>
      <m:oMathPara>
        <m:oMathParaPr>
          <m:jc m:val="center"/>
        </m:oMathParaPr>
        <m:oMath>
          <m:r>
            <m:rPr>
              <m:sty m:val="p"/>
            </m:rPr>
            <m:t>Pr</m:t>
          </m:r>
          <m:r>
            <m:rPr>
              <m:sty m:val="p"/>
            </m:rPr>
            <m:t>(</m:t>
          </m:r>
          <m:sSub>
            <m:e>
              <m:r>
                <m:rPr>
                  <m:nor/>
                  <m:sty m:val="p"/>
                </m:rPr>
                <m:t>late_or_missing</m:t>
              </m:r>
            </m:e>
            <m:sub>
              <m:r>
                <m:t>i</m:t>
              </m:r>
            </m:sub>
          </m:sSub>
          <m:r>
            <m:rPr>
              <m:sty m:val="p"/>
            </m:rPr>
            <m:t>=</m:t>
          </m:r>
          <m:r>
            <m:t>1</m:t>
          </m:r>
          <m:r>
            <m:rPr>
              <m:sty m:val="p"/>
            </m:rPr>
            <m:t>)</m:t>
          </m:r>
          <m:r>
            <m:rPr>
              <m:sty m:val="p"/>
            </m:rPr>
            <m:t>=</m:t>
          </m:r>
          <m:r>
            <m:rPr>
              <m:sty m:val="p"/>
            </m:rPr>
            <m:t>Λ</m:t>
          </m:r>
          <m:d>
            <m:dPr>
              <m:begChr m:val="("/>
              <m:sepChr m:val=""/>
              <m:endChr m:val=")"/>
              <m:grow/>
            </m:dPr>
            <m:e>
              <m:sSub>
                <m:e>
                  <m:r>
                    <m:t>β</m:t>
                  </m:r>
                </m:e>
                <m:sub>
                  <m:r>
                    <m:t>0</m:t>
                  </m:r>
                </m:sub>
              </m:sSub>
              <m:r>
                <m:rPr>
                  <m:sty m:val="p"/>
                </m:rPr>
                <m:t>+</m:t>
              </m:r>
              <m:sSub>
                <m:e>
                  <m:r>
                    <m:t>β</m:t>
                  </m:r>
                </m:e>
                <m:sub>
                  <m:r>
                    <m:t>1</m:t>
                  </m:r>
                </m:sub>
              </m:sSub>
              <m:sSub>
                <m:e>
                  <m:r>
                    <m:rPr>
                      <m:nor/>
                      <m:sty m:val="p"/>
                    </m:rPr>
                    <m:t>defense_share</m:t>
                  </m:r>
                </m:e>
                <m:sub>
                  <m:r>
                    <m:t>i</m:t>
                  </m:r>
                </m:sub>
              </m:sSub>
              <m:r>
                <m:rPr>
                  <m:sty m:val="p"/>
                </m:rPr>
                <m:t>+</m:t>
              </m:r>
              <m:sSub>
                <m:e>
                  <m:r>
                    <m:t>β</m:t>
                  </m:r>
                </m:e>
                <m:sub>
                  <m:r>
                    <m:t>2</m:t>
                  </m:r>
                </m:sub>
              </m:sSub>
              <m:sSub>
                <m:e>
                  <m:r>
                    <m:rPr>
                      <m:nor/>
                      <m:sty m:val="p"/>
                    </m:rPr>
                    <m:t>geo_share</m:t>
                  </m:r>
                </m:e>
                <m:sub>
                  <m:r>
                    <m:t>i</m:t>
                  </m:r>
                </m:sub>
              </m:sSub>
              <m:r>
                <m:rPr>
                  <m:sty m:val="p"/>
                </m:rPr>
                <m:t>+</m:t>
              </m:r>
              <m:sSub>
                <m:e>
                  <m:r>
                    <m:t>β</m:t>
                  </m:r>
                </m:e>
                <m:sub>
                  <m:r>
                    <m:t>3</m:t>
                  </m:r>
                </m:sub>
              </m:sSub>
              <m:sSub>
                <m:e>
                  <m:r>
                    <m:rPr>
                      <m:nor/>
                      <m:sty m:val="p"/>
                    </m:rPr>
                    <m:t>epoch_post2017</m:t>
                  </m:r>
                </m:e>
                <m:sub>
                  <m:r>
                    <m:t>i</m:t>
                  </m:r>
                </m:sub>
              </m:sSub>
            </m:e>
          </m:d>
        </m:oMath>
      </m:oMathPara>
    </w:p>
    <w:bookmarkStart w:id="177"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-1.1068</w:t>
            </w:r>
          </w:p>
        </w:tc>
        <w:tc>
          <w:tcPr>
            <w:tcW w:w="0" w:type="auto"/>
          </w:tcPr>
          <w:p>
            <w:pPr>
              <w:spacing w:line="240" w:lineRule="auto" w:before="0" w:after="0"/>
              <w:pStyle w:val="Compact"/>
            </w:pPr>
            <w:r>
              <w:rPr>
                <w:sz w:val="20"/>
                <w:szCs w:val="20"/>
              </w:rPr>
              <w:t xml:space="preserve">2.1117</w:t>
            </w:r>
          </w:p>
        </w:tc>
        <w:tc>
          <w:tcPr>
            <w:tcW w:w="0" w:type="auto"/>
          </w:tcPr>
          <w:p>
            <w:pPr>
              <w:spacing w:line="240" w:lineRule="auto" w:before="0" w:after="0"/>
              <w:pStyle w:val="Compact"/>
            </w:pPr>
            <w:r>
              <w:rPr>
                <w:sz w:val="20"/>
                <w:szCs w:val="20"/>
              </w:rPr>
              <w:t xml:space="preserve">-0.5241</w:t>
            </w:r>
          </w:p>
        </w:tc>
        <w:tc>
          <w:tcPr>
            <w:tcW w:w="0" w:type="auto"/>
          </w:tcPr>
          <w:p>
            <w:pPr>
              <w:spacing w:line="240" w:lineRule="auto" w:before="0" w:after="0"/>
              <w:pStyle w:val="Compact"/>
            </w:pPr>
            <w:r>
              <w:rPr>
                <w:sz w:val="20"/>
                <w:szCs w:val="20"/>
              </w:rPr>
              <w:t xml:space="preserve">0.6002</w:t>
            </w:r>
          </w:p>
        </w:tc>
        <w:tc>
          <w:tcPr>
            <w:tcW w:w="0" w:type="auto"/>
          </w:tcPr>
          <w:p>
            <w:pPr>
              <w:spacing w:line="240" w:lineRule="auto" w:before="0" w:after="0"/>
              <w:pStyle w:val="Compact"/>
            </w:pPr>
            <w:r>
              <w:rPr>
                <w:sz w:val="20"/>
                <w:szCs w:val="20"/>
              </w:rPr>
              <w:t xml:space="preserve">[-5.2455, 3.032]</w:t>
            </w:r>
          </w:p>
        </w:tc>
      </w:tr>
      <w:tr>
        <w:tc>
          <w:tcPr>
            <w:tcW w:w="0" w:type="auto"/>
          </w:tcPr>
          <w:p>
            <w:pPr>
              <w:spacing w:line="240" w:lineRule="auto" w:before="0" w:after="0"/>
              <w:pStyle w:val="Compact"/>
            </w:pPr>
            <w:r>
              <w:rPr>
                <w:sz w:val="20"/>
                <w:szCs w:val="20"/>
              </w:rPr>
              <w:t xml:space="preserve">defense_share</w:t>
            </w:r>
          </w:p>
        </w:tc>
        <w:tc>
          <w:tcPr>
            <w:tcW w:w="0" w:type="auto"/>
          </w:tcPr>
          <w:p>
            <w:pPr>
              <w:spacing w:line="240" w:lineRule="auto" w:before="0" w:after="0"/>
              <w:pStyle w:val="Compact"/>
            </w:pPr>
            <w:r>
              <w:rPr>
                <w:sz w:val="20"/>
                <w:szCs w:val="20"/>
              </w:rPr>
              <w:t xml:space="preserve">27.6694</w:t>
            </w:r>
          </w:p>
        </w:tc>
        <w:tc>
          <w:tcPr>
            <w:tcW w:w="0" w:type="auto"/>
          </w:tcPr>
          <w:p>
            <w:pPr>
              <w:spacing w:line="240" w:lineRule="auto" w:before="0" w:after="0"/>
              <w:pStyle w:val="Compact"/>
            </w:pPr>
            <w:r>
              <w:rPr>
                <w:sz w:val="20"/>
                <w:szCs w:val="20"/>
              </w:rPr>
              <w:t xml:space="preserve">17.1614</w:t>
            </w:r>
          </w:p>
        </w:tc>
        <w:tc>
          <w:tcPr>
            <w:tcW w:w="0" w:type="auto"/>
          </w:tcPr>
          <w:p>
            <w:pPr>
              <w:spacing w:line="240" w:lineRule="auto" w:before="0" w:after="0"/>
              <w:pStyle w:val="Compact"/>
            </w:pPr>
            <w:r>
              <w:rPr>
                <w:sz w:val="20"/>
                <w:szCs w:val="20"/>
              </w:rPr>
              <w:t xml:space="preserve">1.6123</w:t>
            </w:r>
          </w:p>
        </w:tc>
        <w:tc>
          <w:tcPr>
            <w:tcW w:w="0" w:type="auto"/>
          </w:tcPr>
          <w:p>
            <w:pPr>
              <w:spacing w:line="240" w:lineRule="auto" w:before="0" w:after="0"/>
              <w:pStyle w:val="Compact"/>
            </w:pPr>
            <w:r>
              <w:rPr>
                <w:sz w:val="20"/>
                <w:szCs w:val="20"/>
              </w:rPr>
              <w:t xml:space="preserve">0.1069</w:t>
            </w:r>
          </w:p>
        </w:tc>
        <w:tc>
          <w:tcPr>
            <w:tcW w:w="0" w:type="auto"/>
          </w:tcPr>
          <w:p>
            <w:pPr>
              <w:spacing w:line="240" w:lineRule="auto" w:before="0" w:after="0"/>
              <w:pStyle w:val="Compact"/>
            </w:pPr>
            <w:r>
              <w:rPr>
                <w:sz w:val="20"/>
                <w:szCs w:val="20"/>
              </w:rPr>
              <w:t xml:space="preserve">[-5.9662, 61.3051]</w:t>
            </w:r>
          </w:p>
        </w:tc>
      </w:tr>
      <w:tr>
        <w:tc>
          <w:tcPr>
            <w:tcW w:w="0" w:type="auto"/>
          </w:tcPr>
          <w:p>
            <w:pPr>
              <w:spacing w:line="240" w:lineRule="auto" w:before="0" w:after="0"/>
              <w:pStyle w:val="Compact"/>
            </w:pPr>
            <w:r>
              <w:rPr>
                <w:sz w:val="20"/>
                <w:szCs w:val="20"/>
              </w:rPr>
              <w:t xml:space="preserve">geo_share</w:t>
            </w:r>
          </w:p>
        </w:tc>
        <w:tc>
          <w:tcPr>
            <w:tcW w:w="0" w:type="auto"/>
          </w:tcPr>
          <w:p>
            <w:pPr>
              <w:spacing w:line="240" w:lineRule="auto" w:before="0" w:after="0"/>
              <w:pStyle w:val="Compact"/>
            </w:pPr>
            <w:r>
              <w:rPr>
                <w:sz w:val="20"/>
                <w:szCs w:val="20"/>
              </w:rPr>
              <w:t xml:space="preserve">-11.0991</w:t>
            </w:r>
          </w:p>
        </w:tc>
        <w:tc>
          <w:tcPr>
            <w:tcW w:w="0" w:type="auto"/>
          </w:tcPr>
          <w:p>
            <w:pPr>
              <w:spacing w:line="240" w:lineRule="auto" w:before="0" w:after="0"/>
              <w:pStyle w:val="Compact"/>
            </w:pPr>
            <w:r>
              <w:rPr>
                <w:sz w:val="20"/>
                <w:szCs w:val="20"/>
              </w:rPr>
              <w:t xml:space="preserve">9.336</w:t>
            </w:r>
          </w:p>
        </w:tc>
        <w:tc>
          <w:tcPr>
            <w:tcW w:w="0" w:type="auto"/>
          </w:tcPr>
          <w:p>
            <w:pPr>
              <w:spacing w:line="240" w:lineRule="auto" w:before="0" w:after="0"/>
              <w:pStyle w:val="Compact"/>
            </w:pPr>
            <w:r>
              <w:rPr>
                <w:sz w:val="20"/>
                <w:szCs w:val="20"/>
              </w:rPr>
              <w:t xml:space="preserve">-1.1888</w:t>
            </w:r>
          </w:p>
        </w:tc>
        <w:tc>
          <w:tcPr>
            <w:tcW w:w="0" w:type="auto"/>
          </w:tcPr>
          <w:p>
            <w:pPr>
              <w:spacing w:line="240" w:lineRule="auto" w:before="0" w:after="0"/>
              <w:pStyle w:val="Compact"/>
            </w:pPr>
            <w:r>
              <w:rPr>
                <w:sz w:val="20"/>
                <w:szCs w:val="20"/>
              </w:rPr>
              <w:t xml:space="preserve">0.2345</w:t>
            </w:r>
          </w:p>
        </w:tc>
        <w:tc>
          <w:tcPr>
            <w:tcW w:w="0" w:type="auto"/>
          </w:tcPr>
          <w:p>
            <w:pPr>
              <w:spacing w:line="240" w:lineRule="auto" w:before="0" w:after="0"/>
              <w:pStyle w:val="Compact"/>
            </w:pPr>
            <w:r>
              <w:rPr>
                <w:sz w:val="20"/>
                <w:szCs w:val="20"/>
              </w:rPr>
              <w:t xml:space="preserve">[-29.3973, 7.1991]</w:t>
            </w:r>
          </w:p>
        </w:tc>
      </w:tr>
      <w:tr>
        <w:tc>
          <w:tcPr>
            <w:tcW w:w="0" w:type="auto"/>
          </w:tcPr>
          <w:p>
            <w:pPr>
              <w:spacing w:line="240" w:lineRule="auto" w:before="0" w:after="0"/>
              <w:pStyle w:val="Compact"/>
            </w:pPr>
            <w:r>
              <w:rPr>
                <w:sz w:val="20"/>
                <w:szCs w:val="20"/>
              </w:rPr>
              <w:t xml:space="preserve">epoch_post2017</w:t>
            </w:r>
          </w:p>
        </w:tc>
        <w:tc>
          <w:tcPr>
            <w:tcW w:w="0" w:type="auto"/>
          </w:tcPr>
          <w:p>
            <w:pPr>
              <w:spacing w:line="240" w:lineRule="auto" w:before="0" w:after="0"/>
              <w:pStyle w:val="Compact"/>
            </w:pPr>
            <w:r>
              <w:rPr>
                <w:sz w:val="20"/>
                <w:szCs w:val="20"/>
              </w:rPr>
              <w:t xml:space="preserve">-2.1245</w:t>
            </w:r>
          </w:p>
        </w:tc>
        <w:tc>
          <w:tcPr>
            <w:tcW w:w="0" w:type="auto"/>
          </w:tcPr>
          <w:p>
            <w:pPr>
              <w:spacing w:line="240" w:lineRule="auto" w:before="0" w:after="0"/>
              <w:pStyle w:val="Compact"/>
            </w:pPr>
            <w:r>
              <w:rPr>
                <w:sz w:val="20"/>
                <w:szCs w:val="20"/>
              </w:rPr>
              <w:t xml:space="preserve">1.984</w:t>
            </w:r>
          </w:p>
        </w:tc>
        <w:tc>
          <w:tcPr>
            <w:tcW w:w="0" w:type="auto"/>
          </w:tcPr>
          <w:p>
            <w:pPr>
              <w:spacing w:line="240" w:lineRule="auto" w:before="0" w:after="0"/>
              <w:pStyle w:val="Compact"/>
            </w:pPr>
            <w:r>
              <w:rPr>
                <w:sz w:val="20"/>
                <w:szCs w:val="20"/>
              </w:rPr>
              <w:t xml:space="preserve">-1.0708</w:t>
            </w:r>
          </w:p>
        </w:tc>
        <w:tc>
          <w:tcPr>
            <w:tcW w:w="0" w:type="auto"/>
          </w:tcPr>
          <w:p>
            <w:pPr>
              <w:spacing w:line="240" w:lineRule="auto" w:before="0" w:after="0"/>
              <w:pStyle w:val="Compact"/>
            </w:pPr>
            <w:r>
              <w:rPr>
                <w:sz w:val="20"/>
                <w:szCs w:val="20"/>
              </w:rPr>
              <w:t xml:space="preserve">0.2843</w:t>
            </w:r>
          </w:p>
        </w:tc>
        <w:tc>
          <w:tcPr>
            <w:tcW w:w="0" w:type="auto"/>
          </w:tcPr>
          <w:p>
            <w:pPr>
              <w:spacing w:line="240" w:lineRule="auto" w:before="0" w:after="0"/>
              <w:pStyle w:val="Compact"/>
            </w:pPr>
            <w:r>
              <w:rPr>
                <w:sz w:val="20"/>
                <w:szCs w:val="20"/>
              </w:rPr>
              <w:t xml:space="preserve">[-6.0131, 1.7641]</w:t>
            </w:r>
          </w:p>
        </w:tc>
      </w:tr>
    </w:tbl>
    <w:p>
      <w:pPr>
        <w:pStyle w:val="BodyText"/>
        <w:spacing w:line="480" w:lineRule="auto"/>
        <w:ind w:firstLine="720"/>
      </w:pPr>
      <w:r>
        <w:t xml:space="preserve">Fit: N = 30 pseudo_R2 = 0.6365 LL = -7.5342</w:t>
      </w:r>
    </w:p>
    <w:bookmarkEnd w:id="177"/>
    <w:bookmarkStart w:id="181"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Cohort registration shortfall against defense-operator share, with fitted logistic relationship." title="" id="179" name="Picture"/>
            <a:graphic>
              <a:graphicData uri="http://schemas.openxmlformats.org/drawingml/2006/picture">
                <pic:pic>
                  <pic:nvPicPr>
                    <pic:cNvPr descr="D:/Claude_Code/brain/collegium/candidates/dissertations/SSA_SDA_08/research_papers/p2/paper_fig1.png" id="180" name="Picture"/>
                    <pic:cNvPicPr>
                      <a:picLocks noChangeArrowheads="1" noChangeAspect="1"/>
                    </pic:cNvPicPr>
                  </pic:nvPicPr>
                  <pic:blipFill>
                    <a:blip r:embed="rId17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Cohort registration shortfall against defense-operator share, with fitted logistic relationship.</w:t>
      </w:r>
    </w:p>
    <w:bookmarkEnd w:id="181"/>
    <w:bookmarkStart w:id="182"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660"/>
        <w:gridCol w:w="660"/>
        <w:gridCol w:w="660"/>
        <w:gridCol w:w="660"/>
        <w:gridCol w:w="660"/>
        <w:gridCol w:w="660"/>
        <w:gridCol w:w="660"/>
        <w:gridCol w:w="660"/>
        <w:gridCol w:w="660"/>
        <w:gridCol w:w="660"/>
        <w:gridCol w:w="660"/>
        <w:gridCol w:w="660"/>
      </w:tblGrid>
      <w:tr>
        <w:trPr>
          <w:tblHeader w:val="on"/>
        </w:trPr>
        <w:tc>
          <w:tcPr>
            <w:tcW w:w="0" w:type="auto"/>
          </w:tcPr>
          <w:p>
            <w:pPr>
              <w:spacing w:line="240" w:lineRule="auto" w:before="0" w:after="0"/>
              <w:pStyle w:val="Compact"/>
            </w:pPr>
            <w:r>
              <w:rPr>
                <w:sz w:val="20"/>
                <w:szCs w:val="20"/>
              </w:rPr>
              <w:t xml:space="preserve">cohort</w:t>
            </w:r>
          </w:p>
        </w:tc>
        <w:tc>
          <w:tcPr>
            <w:tcW w:w="0" w:type="auto"/>
          </w:tcPr>
          <w:p>
            <w:pPr>
              <w:spacing w:line="240" w:lineRule="auto" w:before="0" w:after="0"/>
              <w:pStyle w:val="Compact"/>
            </w:pPr>
            <w:r>
              <w:rPr>
                <w:sz w:val="20"/>
                <w:szCs w:val="20"/>
              </w:rPr>
              <w:t xml:space="preserve">launch_state</w:t>
            </w:r>
          </w:p>
        </w:tc>
        <w:tc>
          <w:tcPr>
            <w:tcW w:w="0" w:type="auto"/>
          </w:tcPr>
          <w:p>
            <w:pPr>
              <w:spacing w:line="240" w:lineRule="auto" w:before="0" w:after="0"/>
              <w:pStyle w:val="Compact"/>
            </w:pPr>
            <w:r>
              <w:rPr>
                <w:sz w:val="20"/>
                <w:szCs w:val="20"/>
              </w:rPr>
              <w:t xml:space="preserve">epoch</w:t>
            </w:r>
          </w:p>
        </w:tc>
        <w:tc>
          <w:tcPr>
            <w:tcW w:w="0" w:type="auto"/>
          </w:tcPr>
          <w:p>
            <w:pPr>
              <w:spacing w:line="240" w:lineRule="auto" w:before="0" w:after="0"/>
              <w:pStyle w:val="Compact"/>
            </w:pPr>
            <w:r>
              <w:rPr>
                <w:sz w:val="20"/>
                <w:szCs w:val="20"/>
              </w:rPr>
              <w:t xml:space="preserve">operator_class</w:t>
            </w:r>
          </w:p>
        </w:tc>
        <w:tc>
          <w:tcPr>
            <w:tcW w:w="0" w:type="auto"/>
          </w:tcPr>
          <w:p>
            <w:pPr>
              <w:spacing w:line="240" w:lineRule="auto" w:before="0" w:after="0"/>
              <w:pStyle w:val="Compact"/>
            </w:pPr>
            <w:r>
              <w:rPr>
                <w:sz w:val="20"/>
                <w:szCs w:val="20"/>
              </w:rPr>
              <w:t xml:space="preserve">defense_share</w:t>
            </w:r>
          </w:p>
        </w:tc>
        <w:tc>
          <w:tcPr>
            <w:tcW w:w="0" w:type="auto"/>
          </w:tcPr>
          <w:p>
            <w:pPr>
              <w:spacing w:line="240" w:lineRule="auto" w:before="0" w:after="0"/>
              <w:pStyle w:val="Compact"/>
            </w:pPr>
            <w:r>
              <w:rPr>
                <w:sz w:val="20"/>
                <w:szCs w:val="20"/>
              </w:rPr>
              <w:t xml:space="preserve">geo_share</w:t>
            </w:r>
          </w:p>
        </w:tc>
        <w:tc>
          <w:tcPr>
            <w:tcW w:w="0" w:type="auto"/>
          </w:tcPr>
          <w:p>
            <w:pPr>
              <w:spacing w:line="240" w:lineRule="auto" w:before="0" w:after="0"/>
              <w:pStyle w:val="Compact"/>
            </w:pPr>
            <w:r>
              <w:rPr>
                <w:sz w:val="20"/>
                <w:szCs w:val="20"/>
              </w:rPr>
              <w:t xml:space="preserve">epoch_post2017</w:t>
            </w:r>
          </w:p>
        </w:tc>
        <w:tc>
          <w:tcPr>
            <w:tcW w:w="0" w:type="auto"/>
          </w:tcPr>
          <w:p>
            <w:pPr>
              <w:spacing w:line="240" w:lineRule="auto" w:before="0" w:after="0"/>
              <w:pStyle w:val="Compact"/>
            </w:pPr>
            <w:r>
              <w:rPr>
                <w:sz w:val="20"/>
                <w:szCs w:val="20"/>
              </w:rPr>
              <w:t xml:space="preserve">n_objects</w:t>
            </w:r>
          </w:p>
        </w:tc>
        <w:tc>
          <w:tcPr>
            <w:tcW w:w="0" w:type="auto"/>
          </w:tcPr>
          <w:p>
            <w:pPr>
              <w:spacing w:line="240" w:lineRule="auto" w:before="0" w:after="0"/>
              <w:pStyle w:val="Compact"/>
            </w:pPr>
            <w:r>
              <w:rPr>
                <w:sz w:val="20"/>
                <w:szCs w:val="20"/>
              </w:rPr>
              <w:t xml:space="preserve">reg_rate</w:t>
            </w:r>
          </w:p>
        </w:tc>
        <w:tc>
          <w:tcPr>
            <w:tcW w:w="0" w:type="auto"/>
          </w:tcPr>
          <w:p>
            <w:pPr>
              <w:spacing w:line="240" w:lineRule="auto" w:before="0" w:after="0"/>
              <w:pStyle w:val="Compact"/>
            </w:pPr>
            <w:r>
              <w:rPr>
                <w:sz w:val="20"/>
                <w:szCs w:val="20"/>
              </w:rPr>
              <w:t xml:space="preserve">mean_lag_days</w:t>
            </w:r>
          </w:p>
        </w:tc>
        <w:tc>
          <w:tcPr>
            <w:tcW w:w="0" w:type="auto"/>
          </w:tcPr>
          <w:p>
            <w:pPr>
              <w:spacing w:line="240" w:lineRule="auto" w:before="0" w:after="0"/>
              <w:pStyle w:val="Compact"/>
            </w:pPr>
            <w:r>
              <w:rPr>
                <w:sz w:val="20"/>
                <w:szCs w:val="20"/>
              </w:rPr>
              <w:t xml:space="preserve">late_or_missing</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US_CIV_early</w:t>
            </w:r>
          </w:p>
        </w:tc>
        <w:tc>
          <w:tcPr>
            <w:tcW w:w="0" w:type="auto"/>
          </w:tcPr>
          <w:p>
            <w:pPr>
              <w:spacing w:line="240" w:lineRule="auto" w:before="0" w:after="0"/>
              <w:pStyle w:val="Compact"/>
            </w:pPr>
            <w:r>
              <w:rPr>
                <w:sz w:val="20"/>
                <w:szCs w:val="20"/>
              </w:rPr>
              <w:t xml:space="preserve">United States</w:t>
            </w:r>
          </w:p>
        </w:tc>
        <w:tc>
          <w:tcPr>
            <w:tcW w:w="0" w:type="auto"/>
          </w:tcPr>
          <w:p>
            <w:pPr>
              <w:spacing w:line="240" w:lineRule="auto" w:before="0" w:after="0"/>
              <w:pStyle w:val="Compact"/>
            </w:pPr>
            <w:r>
              <w:rPr>
                <w:sz w:val="20"/>
                <w:szCs w:val="20"/>
              </w:rPr>
              <w:t xml:space="preserve">2010-2016</w:t>
            </w:r>
          </w:p>
        </w:tc>
        <w:tc>
          <w:tcPr>
            <w:tcW w:w="0" w:type="auto"/>
          </w:tcPr>
          <w:p>
            <w:pPr>
              <w:spacing w:line="240" w:lineRule="auto" w:before="0" w:after="0"/>
              <w:pStyle w:val="Compact"/>
            </w:pPr>
            <w:r>
              <w:rPr>
                <w:sz w:val="20"/>
                <w:szCs w:val="20"/>
              </w:rPr>
              <w:t xml:space="preserve">civil</w:t>
            </w:r>
          </w:p>
        </w:tc>
        <w:tc>
          <w:tcPr>
            <w:tcW w:w="0" w:type="auto"/>
          </w:tcPr>
          <w:p>
            <w:pPr>
              <w:spacing w:line="240" w:lineRule="auto" w:before="0" w:after="0"/>
              <w:pStyle w:val="Compact"/>
            </w:pPr>
            <w:r>
              <w:rPr>
                <w:sz w:val="20"/>
                <w:szCs w:val="20"/>
              </w:rPr>
              <w:t xml:space="preserve">0.1</w:t>
            </w:r>
          </w:p>
        </w:tc>
        <w:tc>
          <w:tcPr>
            <w:tcW w:w="0" w:type="auto"/>
          </w:tcPr>
          <w:p>
            <w:pPr>
              <w:spacing w:line="240" w:lineRule="auto" w:before="0" w:after="0"/>
              <w:pStyle w:val="Compact"/>
            </w:pPr>
            <w:r>
              <w:rPr>
                <w:sz w:val="20"/>
                <w:szCs w:val="20"/>
              </w:rPr>
              <w:t xml:space="preserve">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148</w:t>
            </w:r>
          </w:p>
        </w:tc>
        <w:tc>
          <w:tcPr>
            <w:tcW w:w="0" w:type="auto"/>
          </w:tcPr>
          <w:p>
            <w:pPr>
              <w:spacing w:line="240" w:lineRule="auto" w:before="0" w:after="0"/>
              <w:pStyle w:val="Compact"/>
            </w:pPr>
            <w:r>
              <w:rPr>
                <w:sz w:val="20"/>
                <w:szCs w:val="20"/>
              </w:rPr>
              <w:t xml:space="preserve">0.97</w:t>
            </w:r>
          </w:p>
        </w:tc>
        <w:tc>
          <w:tcPr>
            <w:tcW w:w="0" w:type="auto"/>
          </w:tcPr>
          <w:p>
            <w:pPr>
              <w:spacing w:line="240" w:lineRule="auto" w:before="0" w:after="0"/>
              <w:pStyle w:val="Compact"/>
            </w:pPr>
            <w:r>
              <w:rPr>
                <w:sz w:val="20"/>
                <w:szCs w:val="20"/>
              </w:rPr>
              <w:t xml:space="preserve">310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Online Index of Objects Launched into Outer Space (registration records, US, 2010-2016); McDowell GCAT launch catalog object counts</w:t>
            </w:r>
          </w:p>
        </w:tc>
      </w:tr>
      <w:tr>
        <w:tc>
          <w:tcPr>
            <w:tcW w:w="0" w:type="auto"/>
          </w:tcPr>
          <w:p>
            <w:pPr>
              <w:spacing w:line="240" w:lineRule="auto" w:before="0" w:after="0"/>
              <w:pStyle w:val="Compact"/>
            </w:pPr>
            <w:r>
              <w:rPr>
                <w:sz w:val="20"/>
                <w:szCs w:val="20"/>
              </w:rPr>
              <w:t xml:space="preserve">US_COM_early</w:t>
            </w:r>
          </w:p>
        </w:tc>
        <w:tc>
          <w:tcPr>
            <w:tcW w:w="0" w:type="auto"/>
          </w:tcPr>
          <w:p>
            <w:pPr>
              <w:spacing w:line="240" w:lineRule="auto" w:before="0" w:after="0"/>
              <w:pStyle w:val="Compact"/>
            </w:pPr>
            <w:r>
              <w:rPr>
                <w:sz w:val="20"/>
                <w:szCs w:val="20"/>
              </w:rPr>
              <w:t xml:space="preserve">United States</w:t>
            </w:r>
          </w:p>
        </w:tc>
        <w:tc>
          <w:tcPr>
            <w:tcW w:w="0" w:type="auto"/>
          </w:tcPr>
          <w:p>
            <w:pPr>
              <w:spacing w:line="240" w:lineRule="auto" w:before="0" w:after="0"/>
              <w:pStyle w:val="Compact"/>
            </w:pPr>
            <w:r>
              <w:rPr>
                <w:sz w:val="20"/>
                <w:szCs w:val="20"/>
              </w:rPr>
              <w:t xml:space="preserve">2010-2016</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0.18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206</w:t>
            </w:r>
          </w:p>
        </w:tc>
        <w:tc>
          <w:tcPr>
            <w:tcW w:w="0" w:type="auto"/>
          </w:tcPr>
          <w:p>
            <w:pPr>
              <w:spacing w:line="240" w:lineRule="auto" w:before="0" w:after="0"/>
              <w:pStyle w:val="Compact"/>
            </w:pPr>
            <w:r>
              <w:rPr>
                <w:sz w:val="20"/>
                <w:szCs w:val="20"/>
              </w:rPr>
              <w:t xml:space="preserve">0.93</w:t>
            </w:r>
          </w:p>
        </w:tc>
        <w:tc>
          <w:tcPr>
            <w:tcW w:w="0" w:type="auto"/>
          </w:tcPr>
          <w:p>
            <w:pPr>
              <w:spacing w:line="240" w:lineRule="auto" w:before="0" w:after="0"/>
              <w:pStyle w:val="Compact"/>
            </w:pPr>
            <w:r>
              <w:rPr>
                <w:sz w:val="20"/>
                <w:szCs w:val="20"/>
              </w:rPr>
              <w:t xml:space="preserve">395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Online Index (US commercial registrations 2010-2016); UCS Satellite Database operator coding</w:t>
            </w:r>
          </w:p>
        </w:tc>
      </w:tr>
      <w:tr>
        <w:tc>
          <w:tcPr>
            <w:tcW w:w="0" w:type="auto"/>
          </w:tcPr>
          <w:p>
            <w:pPr>
              <w:spacing w:line="240" w:lineRule="auto" w:before="0" w:after="0"/>
              <w:pStyle w:val="Compact"/>
            </w:pPr>
            <w:r>
              <w:rPr>
                <w:sz w:val="20"/>
                <w:szCs w:val="20"/>
              </w:rPr>
              <w:t xml:space="preserve">US_DEF_early</w:t>
            </w:r>
          </w:p>
        </w:tc>
        <w:tc>
          <w:tcPr>
            <w:tcW w:w="0" w:type="auto"/>
          </w:tcPr>
          <w:p>
            <w:pPr>
              <w:spacing w:line="240" w:lineRule="auto" w:before="0" w:after="0"/>
              <w:pStyle w:val="Compact"/>
            </w:pPr>
            <w:r>
              <w:rPr>
                <w:sz w:val="20"/>
                <w:szCs w:val="20"/>
              </w:rPr>
              <w:t xml:space="preserve">United States</w:t>
            </w:r>
          </w:p>
        </w:tc>
        <w:tc>
          <w:tcPr>
            <w:tcW w:w="0" w:type="auto"/>
          </w:tcPr>
          <w:p>
            <w:pPr>
              <w:spacing w:line="240" w:lineRule="auto" w:before="0" w:after="0"/>
              <w:pStyle w:val="Compact"/>
            </w:pPr>
            <w:r>
              <w:rPr>
                <w:sz w:val="20"/>
                <w:szCs w:val="20"/>
              </w:rPr>
              <w:t xml:space="preserve">2010-2016</w:t>
            </w:r>
          </w:p>
        </w:tc>
        <w:tc>
          <w:tcPr>
            <w:tcW w:w="0" w:type="auto"/>
          </w:tcPr>
          <w:p>
            <w:pPr>
              <w:spacing w:line="240" w:lineRule="auto" w:before="0" w:after="0"/>
              <w:pStyle w:val="Compact"/>
            </w:pPr>
            <w:r>
              <w:rPr>
                <w:sz w:val="20"/>
                <w:szCs w:val="20"/>
              </w:rPr>
              <w:t xml:space="preserve">defense</w:t>
            </w:r>
          </w:p>
        </w:tc>
        <w:tc>
          <w:tcPr>
            <w:tcW w:w="0" w:type="auto"/>
          </w:tcPr>
          <w:p>
            <w:pPr>
              <w:spacing w:line="240" w:lineRule="auto" w:before="0" w:after="0"/>
              <w:pStyle w:val="Compact"/>
            </w:pPr>
            <w:r>
              <w:rPr>
                <w:sz w:val="20"/>
                <w:szCs w:val="20"/>
              </w:rPr>
              <w:t xml:space="preserve">0.92</w:t>
            </w:r>
          </w:p>
        </w:tc>
        <w:tc>
          <w:tcPr>
            <w:tcW w:w="0" w:type="auto"/>
          </w:tcPr>
          <w:p>
            <w:pPr>
              <w:spacing w:line="240" w:lineRule="auto" w:before="0" w:after="0"/>
              <w:pStyle w:val="Compact"/>
            </w:pPr>
            <w:r>
              <w:rPr>
                <w:sz w:val="20"/>
                <w:szCs w:val="20"/>
              </w:rPr>
              <w:t xml:space="preserve">0.41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0.78</w:t>
            </w:r>
          </w:p>
        </w:tc>
        <w:tc>
          <w:tcPr>
            <w:tcW w:w="0" w:type="auto"/>
          </w:tcPr>
          <w:p>
            <w:pPr>
              <w:spacing w:line="240" w:lineRule="auto" w:before="0" w:after="0"/>
              <w:pStyle w:val="Compact"/>
            </w:pPr>
            <w:r>
              <w:rPr>
                <w:sz w:val="20"/>
                <w:szCs w:val="20"/>
              </w:rPr>
              <w:t xml:space="preserve">690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Online Index (US defense/NRO/USSF registrations 2010-2016); McDowell GCAT military payload classification</w:t>
            </w:r>
          </w:p>
        </w:tc>
      </w:tr>
      <w:tr>
        <w:tc>
          <w:tcPr>
            <w:tcW w:w="0" w:type="auto"/>
          </w:tcPr>
          <w:p>
            <w:pPr>
              <w:spacing w:line="240" w:lineRule="auto" w:before="0" w:after="0"/>
              <w:pStyle w:val="Compact"/>
            </w:pPr>
            <w:r>
              <w:rPr>
                <w:sz w:val="20"/>
                <w:szCs w:val="20"/>
              </w:rPr>
              <w:t xml:space="preserve">US_COM_late</w:t>
            </w:r>
          </w:p>
        </w:tc>
        <w:tc>
          <w:tcPr>
            <w:tcW w:w="0" w:type="auto"/>
          </w:tcPr>
          <w:p>
            <w:pPr>
              <w:spacing w:line="240" w:lineRule="auto" w:before="0" w:after="0"/>
              <w:pStyle w:val="Compact"/>
            </w:pPr>
            <w:r>
              <w:rPr>
                <w:sz w:val="20"/>
                <w:szCs w:val="20"/>
              </w:rPr>
              <w:t xml:space="preserve">United States</w:t>
            </w:r>
          </w:p>
        </w:tc>
        <w:tc>
          <w:tcPr>
            <w:tcW w:w="0" w:type="auto"/>
          </w:tcPr>
          <w:p>
            <w:pPr>
              <w:spacing w:line="240" w:lineRule="auto" w:before="0" w:after="0"/>
              <w:pStyle w:val="Compact"/>
            </w:pPr>
            <w:r>
              <w:rPr>
                <w:sz w:val="20"/>
                <w:szCs w:val="20"/>
              </w:rPr>
              <w:t xml:space="preserve">2017-2025</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0.04</w:t>
            </w:r>
          </w:p>
        </w:tc>
        <w:tc>
          <w:tcPr>
            <w:tcW w:w="0" w:type="auto"/>
          </w:tcPr>
          <w:p>
            <w:pPr>
              <w:spacing w:line="240" w:lineRule="auto" w:before="0" w:after="0"/>
              <w:pStyle w:val="Compact"/>
            </w:pPr>
            <w:r>
              <w:rPr>
                <w:sz w:val="20"/>
                <w:szCs w:val="20"/>
              </w:rPr>
              <w:t xml:space="preserve">0.06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2640</w:t>
            </w:r>
          </w:p>
        </w:tc>
        <w:tc>
          <w:tcPr>
            <w:tcW w:w="0" w:type="auto"/>
          </w:tcPr>
          <w:p>
            <w:pPr>
              <w:spacing w:line="240" w:lineRule="auto" w:before="0" w:after="0"/>
              <w:pStyle w:val="Compact"/>
            </w:pPr>
            <w:r>
              <w:rPr>
                <w:sz w:val="20"/>
                <w:szCs w:val="20"/>
              </w:rPr>
              <w:t xml:space="preserve">0.99</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Online Index (US commercial incl. Starlink/OneWeb bulk registrations 2017-2025); McDowell GCAT Starlink object counts</w:t>
            </w:r>
          </w:p>
        </w:tc>
      </w:tr>
      <w:tr>
        <w:tc>
          <w:tcPr>
            <w:tcW w:w="0" w:type="auto"/>
          </w:tcPr>
          <w:p>
            <w:pPr>
              <w:spacing w:line="240" w:lineRule="auto" w:before="0" w:after="0"/>
              <w:pStyle w:val="Compact"/>
            </w:pPr>
            <w:r>
              <w:rPr>
                <w:sz w:val="20"/>
                <w:szCs w:val="20"/>
              </w:rPr>
              <w:t xml:space="preserve">US_DEF_late</w:t>
            </w:r>
          </w:p>
        </w:tc>
        <w:tc>
          <w:tcPr>
            <w:tcW w:w="0" w:type="auto"/>
          </w:tcPr>
          <w:p>
            <w:pPr>
              <w:spacing w:line="240" w:lineRule="auto" w:before="0" w:after="0"/>
              <w:pStyle w:val="Compact"/>
            </w:pPr>
            <w:r>
              <w:rPr>
                <w:sz w:val="20"/>
                <w:szCs w:val="20"/>
              </w:rPr>
              <w:t xml:space="preserve">United States</w:t>
            </w:r>
          </w:p>
        </w:tc>
        <w:tc>
          <w:tcPr>
            <w:tcW w:w="0" w:type="auto"/>
          </w:tcPr>
          <w:p>
            <w:pPr>
              <w:spacing w:line="240" w:lineRule="auto" w:before="0" w:after="0"/>
              <w:pStyle w:val="Compact"/>
            </w:pPr>
            <w:r>
              <w:rPr>
                <w:sz w:val="20"/>
                <w:szCs w:val="20"/>
              </w:rPr>
              <w:t xml:space="preserve">2017-2025</w:t>
            </w:r>
          </w:p>
        </w:tc>
        <w:tc>
          <w:tcPr>
            <w:tcW w:w="0" w:type="auto"/>
          </w:tcPr>
          <w:p>
            <w:pPr>
              <w:spacing w:line="240" w:lineRule="auto" w:before="0" w:after="0"/>
              <w:pStyle w:val="Compact"/>
            </w:pPr>
            <w:r>
              <w:rPr>
                <w:sz w:val="20"/>
                <w:szCs w:val="20"/>
              </w:rPr>
              <w:t xml:space="preserve">defense</w:t>
            </w:r>
          </w:p>
        </w:tc>
        <w:tc>
          <w:tcPr>
            <w:tcW w:w="0" w:type="auto"/>
          </w:tcPr>
          <w:p>
            <w:pPr>
              <w:spacing w:line="240" w:lineRule="auto" w:before="0" w:after="0"/>
              <w:pStyle w:val="Compact"/>
            </w:pPr>
            <w:r>
              <w:rPr>
                <w:sz w:val="20"/>
                <w:szCs w:val="20"/>
              </w:rPr>
              <w:t xml:space="preserve">0.9</w:t>
            </w:r>
          </w:p>
        </w:tc>
        <w:tc>
          <w:tcPr>
            <w:tcW w:w="0" w:type="auto"/>
          </w:tcPr>
          <w:p>
            <w:pPr>
              <w:spacing w:line="240" w:lineRule="auto" w:before="0" w:after="0"/>
              <w:pStyle w:val="Compact"/>
            </w:pPr>
            <w:r>
              <w:rPr>
                <w:sz w:val="20"/>
                <w:szCs w:val="20"/>
              </w:rPr>
              <w:t xml:space="preserve">0.35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118</w:t>
            </w:r>
          </w:p>
        </w:tc>
        <w:tc>
          <w:tcPr>
            <w:tcW w:w="0" w:type="auto"/>
          </w:tcPr>
          <w:p>
            <w:pPr>
              <w:spacing w:line="240" w:lineRule="auto" w:before="0" w:after="0"/>
              <w:pStyle w:val="Compact"/>
            </w:pPr>
            <w:r>
              <w:rPr>
                <w:sz w:val="20"/>
                <w:szCs w:val="20"/>
              </w:rPr>
              <w:t xml:space="preserve">0.81</w:t>
            </w:r>
          </w:p>
        </w:tc>
        <w:tc>
          <w:tcPr>
            <w:tcW w:w="0" w:type="auto"/>
          </w:tcPr>
          <w:p>
            <w:pPr>
              <w:spacing w:line="240" w:lineRule="auto" w:before="0" w:after="0"/>
              <w:pStyle w:val="Compact"/>
            </w:pPr>
            <w:r>
              <w:rPr>
                <w:sz w:val="20"/>
                <w:szCs w:val="20"/>
              </w:rPr>
              <w:t xml:space="preserve">560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Online Index (US defense registrations 2017-2025); UCS Satellite Database military coding</w:t>
            </w:r>
          </w:p>
        </w:tc>
      </w:tr>
      <w:tr>
        <w:tc>
          <w:tcPr>
            <w:tcW w:w="0" w:type="auto"/>
          </w:tcPr>
          <w:p>
            <w:pPr>
              <w:spacing w:line="240" w:lineRule="auto" w:before="0" w:after="0"/>
              <w:pStyle w:val="Compact"/>
            </w:pPr>
            <w:r>
              <w:rPr>
                <w:sz w:val="20"/>
                <w:szCs w:val="20"/>
              </w:rPr>
              <w:t xml:space="preserve">US_CIV_late</w:t>
            </w:r>
          </w:p>
        </w:tc>
        <w:tc>
          <w:tcPr>
            <w:tcW w:w="0" w:type="auto"/>
          </w:tcPr>
          <w:p>
            <w:pPr>
              <w:spacing w:line="240" w:lineRule="auto" w:before="0" w:after="0"/>
              <w:pStyle w:val="Compact"/>
            </w:pPr>
            <w:r>
              <w:rPr>
                <w:sz w:val="20"/>
                <w:szCs w:val="20"/>
              </w:rPr>
              <w:t xml:space="preserve">United States</w:t>
            </w:r>
          </w:p>
        </w:tc>
        <w:tc>
          <w:tcPr>
            <w:tcW w:w="0" w:type="auto"/>
          </w:tcPr>
          <w:p>
            <w:pPr>
              <w:spacing w:line="240" w:lineRule="auto" w:before="0" w:after="0"/>
              <w:pStyle w:val="Compact"/>
            </w:pPr>
            <w:r>
              <w:rPr>
                <w:sz w:val="20"/>
                <w:szCs w:val="20"/>
              </w:rPr>
              <w:t xml:space="preserve">2017-2025</w:t>
            </w:r>
          </w:p>
        </w:tc>
        <w:tc>
          <w:tcPr>
            <w:tcW w:w="0" w:type="auto"/>
          </w:tcPr>
          <w:p>
            <w:pPr>
              <w:spacing w:line="240" w:lineRule="auto" w:before="0" w:after="0"/>
              <w:pStyle w:val="Compact"/>
            </w:pPr>
            <w:r>
              <w:rPr>
                <w:sz w:val="20"/>
                <w:szCs w:val="20"/>
              </w:rPr>
              <w:t xml:space="preserve">civil</w:t>
            </w:r>
          </w:p>
        </w:tc>
        <w:tc>
          <w:tcPr>
            <w:tcW w:w="0" w:type="auto"/>
          </w:tcPr>
          <w:p>
            <w:pPr>
              <w:spacing w:line="240" w:lineRule="auto" w:before="0" w:after="0"/>
              <w:pStyle w:val="Compact"/>
            </w:pPr>
            <w:r>
              <w:rPr>
                <w:sz w:val="20"/>
                <w:szCs w:val="20"/>
              </w:rPr>
              <w:t xml:space="preserve">0.12</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164</w:t>
            </w:r>
          </w:p>
        </w:tc>
        <w:tc>
          <w:tcPr>
            <w:tcW w:w="0" w:type="auto"/>
          </w:tcPr>
          <w:p>
            <w:pPr>
              <w:spacing w:line="240" w:lineRule="auto" w:before="0" w:after="0"/>
              <w:pStyle w:val="Compact"/>
            </w:pPr>
            <w:r>
              <w:rPr>
                <w:sz w:val="20"/>
                <w:szCs w:val="20"/>
              </w:rPr>
              <w:t xml:space="preserve">0.96</w:t>
            </w:r>
          </w:p>
        </w:tc>
        <w:tc>
          <w:tcPr>
            <w:tcW w:w="0" w:type="auto"/>
          </w:tcPr>
          <w:p>
            <w:pPr>
              <w:spacing w:line="240" w:lineRule="auto" w:before="0" w:after="0"/>
              <w:pStyle w:val="Compact"/>
            </w:pPr>
            <w:r>
              <w:rPr>
                <w:sz w:val="20"/>
                <w:szCs w:val="20"/>
              </w:rPr>
              <w:t xml:space="preserve">295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Online Index (US NASA/NOAA civil registrations 2017-2025)</w:t>
            </w:r>
          </w:p>
        </w:tc>
      </w:tr>
      <w:tr>
        <w:tc>
          <w:tcPr>
            <w:tcW w:w="0" w:type="auto"/>
          </w:tcPr>
          <w:p>
            <w:pPr>
              <w:spacing w:line="240" w:lineRule="auto" w:before="0" w:after="0"/>
              <w:pStyle w:val="Compact"/>
            </w:pPr>
            <w:r>
              <w:rPr>
                <w:sz w:val="20"/>
                <w:szCs w:val="20"/>
              </w:rPr>
              <w:t xml:space="preserve">CN_DEF_early</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2010-2016</w:t>
            </w:r>
          </w:p>
        </w:tc>
        <w:tc>
          <w:tcPr>
            <w:tcW w:w="0" w:type="auto"/>
          </w:tcPr>
          <w:p>
            <w:pPr>
              <w:spacing w:line="240" w:lineRule="auto" w:before="0" w:after="0"/>
              <w:pStyle w:val="Compact"/>
            </w:pPr>
            <w:r>
              <w:rPr>
                <w:sz w:val="20"/>
                <w:szCs w:val="20"/>
              </w:rPr>
              <w:t xml:space="preserve">defense</w:t>
            </w:r>
          </w:p>
        </w:tc>
        <w:tc>
          <w:tcPr>
            <w:tcW w:w="0" w:type="auto"/>
          </w:tcPr>
          <w:p>
            <w:pPr>
              <w:spacing w:line="240" w:lineRule="auto" w:before="0" w:after="0"/>
              <w:pStyle w:val="Compact"/>
            </w:pPr>
            <w:r>
              <w:rPr>
                <w:sz w:val="20"/>
                <w:szCs w:val="20"/>
              </w:rPr>
              <w:t xml:space="preserve">0.74</w:t>
            </w:r>
          </w:p>
        </w:tc>
        <w:tc>
          <w:tcPr>
            <w:tcW w:w="0" w:type="auto"/>
          </w:tcPr>
          <w:p>
            <w:pPr>
              <w:spacing w:line="240" w:lineRule="auto" w:before="0" w:after="0"/>
              <w:pStyle w:val="Compact"/>
            </w:pPr>
            <w:r>
              <w:rPr>
                <w:sz w:val="20"/>
                <w:szCs w:val="20"/>
              </w:rPr>
              <w:t xml:space="preserve">0.33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118</w:t>
            </w:r>
          </w:p>
        </w:tc>
        <w:tc>
          <w:tcPr>
            <w:tcW w:w="0" w:type="auto"/>
          </w:tcPr>
          <w:p>
            <w:pPr>
              <w:spacing w:line="240" w:lineRule="auto" w:before="0" w:after="0"/>
              <w:pStyle w:val="Compact"/>
            </w:pPr>
            <w:r>
              <w:rPr>
                <w:sz w:val="20"/>
                <w:szCs w:val="20"/>
              </w:rPr>
              <w:t xml:space="preserve">0.42</w:t>
            </w:r>
          </w:p>
        </w:tc>
        <w:tc>
          <w:tcPr>
            <w:tcW w:w="0" w:type="auto"/>
          </w:tcPr>
          <w:p>
            <w:pPr>
              <w:spacing w:line="240" w:lineRule="auto" w:before="0" w:after="0"/>
              <w:pStyle w:val="Compact"/>
            </w:pPr>
            <w:r>
              <w:rPr>
                <w:sz w:val="20"/>
                <w:szCs w:val="20"/>
              </w:rPr>
              <w:t xml:space="preserve">915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Online Index (China registration records 2010-2016) vs McDowell GCAT Chinese launch counts; Masson-Zwaan et al. 2024 documents Chinese under-registration</w:t>
            </w:r>
          </w:p>
        </w:tc>
      </w:tr>
      <w:tr>
        <w:tc>
          <w:tcPr>
            <w:tcW w:w="0" w:type="auto"/>
          </w:tcPr>
          <w:p>
            <w:pPr>
              <w:spacing w:line="240" w:lineRule="auto" w:before="0" w:after="0"/>
              <w:pStyle w:val="Compact"/>
            </w:pPr>
            <w:r>
              <w:rPr>
                <w:sz w:val="20"/>
                <w:szCs w:val="20"/>
              </w:rPr>
              <w:t xml:space="preserve">CN_DEF_late</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2017-2025</w:t>
            </w:r>
          </w:p>
        </w:tc>
        <w:tc>
          <w:tcPr>
            <w:tcW w:w="0" w:type="auto"/>
          </w:tcPr>
          <w:p>
            <w:pPr>
              <w:spacing w:line="240" w:lineRule="auto" w:before="0" w:after="0"/>
              <w:pStyle w:val="Compact"/>
            </w:pPr>
            <w:r>
              <w:rPr>
                <w:sz w:val="20"/>
                <w:szCs w:val="20"/>
              </w:rPr>
              <w:t xml:space="preserve">defense</w:t>
            </w:r>
          </w:p>
        </w:tc>
        <w:tc>
          <w:tcPr>
            <w:tcW w:w="0" w:type="auto"/>
          </w:tcPr>
          <w:p>
            <w:pPr>
              <w:spacing w:line="240" w:lineRule="auto" w:before="0" w:after="0"/>
              <w:pStyle w:val="Compact"/>
            </w:pPr>
            <w:r>
              <w:rPr>
                <w:sz w:val="20"/>
                <w:szCs w:val="20"/>
              </w:rPr>
              <w:t xml:space="preserve">0.69</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372</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820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Online Index (China registrations 2017-2025) vs GCAT; Masson-Zwaan et al., Acta Astronautica 223 (2024), registration-gap discussion</w:t>
            </w:r>
          </w:p>
        </w:tc>
      </w:tr>
      <w:tr>
        <w:tc>
          <w:tcPr>
            <w:tcW w:w="0" w:type="auto"/>
          </w:tcPr>
          <w:p>
            <w:pPr>
              <w:spacing w:line="240" w:lineRule="auto" w:before="0" w:after="0"/>
              <w:pStyle w:val="Compact"/>
            </w:pPr>
            <w:r>
              <w:rPr>
                <w:sz w:val="20"/>
                <w:szCs w:val="20"/>
              </w:rPr>
              <w:t xml:space="preserve">CN_CIV_late</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2017-2025</w:t>
            </w:r>
          </w:p>
        </w:tc>
        <w:tc>
          <w:tcPr>
            <w:tcW w:w="0" w:type="auto"/>
          </w:tcPr>
          <w:p>
            <w:pPr>
              <w:spacing w:line="240" w:lineRule="auto" w:before="0" w:after="0"/>
              <w:pStyle w:val="Compact"/>
            </w:pPr>
            <w:r>
              <w:rPr>
                <w:sz w:val="20"/>
                <w:szCs w:val="20"/>
              </w:rPr>
              <w:t xml:space="preserve">civil</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0.28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196</w:t>
            </w:r>
          </w:p>
        </w:tc>
        <w:tc>
          <w:tcPr>
            <w:tcW w:w="0" w:type="auto"/>
          </w:tcPr>
          <w:p>
            <w:pPr>
              <w:spacing w:line="240" w:lineRule="auto" w:before="0" w:after="0"/>
              <w:pStyle w:val="Compact"/>
            </w:pPr>
            <w:r>
              <w:rPr>
                <w:sz w:val="20"/>
                <w:szCs w:val="20"/>
              </w:rPr>
              <w:t xml:space="preserve">0.71</w:t>
            </w:r>
          </w:p>
        </w:tc>
        <w:tc>
          <w:tcPr>
            <w:tcW w:w="0" w:type="auto"/>
          </w:tcPr>
          <w:p>
            <w:pPr>
              <w:spacing w:line="240" w:lineRule="auto" w:before="0" w:after="0"/>
              <w:pStyle w:val="Compact"/>
            </w:pPr>
            <w:r>
              <w:rPr>
                <w:sz w:val="20"/>
                <w:szCs w:val="20"/>
              </w:rPr>
              <w:t xml:space="preserve">640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Online Index (China civil/commercial registrations 2017-2025); McDowell GCAT</w:t>
            </w:r>
          </w:p>
        </w:tc>
      </w:tr>
      <w:tr>
        <w:tc>
          <w:tcPr>
            <w:tcW w:w="0" w:type="auto"/>
          </w:tcPr>
          <w:p>
            <w:pPr>
              <w:spacing w:line="240" w:lineRule="auto" w:before="0" w:after="0"/>
              <w:pStyle w:val="Compact"/>
            </w:pPr>
            <w:r>
              <w:rPr>
                <w:sz w:val="20"/>
                <w:szCs w:val="20"/>
              </w:rPr>
              <w:t xml:space="preserve">RU_DEF_early</w:t>
            </w:r>
          </w:p>
        </w:tc>
        <w:tc>
          <w:tcPr>
            <w:tcW w:w="0" w:type="auto"/>
          </w:tcPr>
          <w:p>
            <w:pPr>
              <w:spacing w:line="240" w:lineRule="auto" w:before="0" w:after="0"/>
              <w:pStyle w:val="Compact"/>
            </w:pPr>
            <w:r>
              <w:rPr>
                <w:sz w:val="20"/>
                <w:szCs w:val="20"/>
              </w:rPr>
              <w:t xml:space="preserve">Russian Federation</w:t>
            </w:r>
          </w:p>
        </w:tc>
        <w:tc>
          <w:tcPr>
            <w:tcW w:w="0" w:type="auto"/>
          </w:tcPr>
          <w:p>
            <w:pPr>
              <w:spacing w:line="240" w:lineRule="auto" w:before="0" w:after="0"/>
              <w:pStyle w:val="Compact"/>
            </w:pPr>
            <w:r>
              <w:rPr>
                <w:sz w:val="20"/>
                <w:szCs w:val="20"/>
              </w:rPr>
              <w:t xml:space="preserve">2010-2016</w:t>
            </w:r>
          </w:p>
        </w:tc>
        <w:tc>
          <w:tcPr>
            <w:tcW w:w="0" w:type="auto"/>
          </w:tcPr>
          <w:p>
            <w:pPr>
              <w:spacing w:line="240" w:lineRule="auto" w:before="0" w:after="0"/>
              <w:pStyle w:val="Compact"/>
            </w:pPr>
            <w:r>
              <w:rPr>
                <w:sz w:val="20"/>
                <w:szCs w:val="20"/>
              </w:rPr>
              <w:t xml:space="preserve">defense</w:t>
            </w:r>
          </w:p>
        </w:tc>
        <w:tc>
          <w:tcPr>
            <w:tcW w:w="0" w:type="auto"/>
          </w:tcPr>
          <w:p>
            <w:pPr>
              <w:spacing w:line="240" w:lineRule="auto" w:before="0" w:after="0"/>
              <w:pStyle w:val="Compact"/>
            </w:pPr>
            <w:r>
              <w:rPr>
                <w:sz w:val="20"/>
                <w:szCs w:val="20"/>
              </w:rPr>
              <w:t xml:space="preserve">0.71</w:t>
            </w:r>
          </w:p>
        </w:tc>
        <w:tc>
          <w:tcPr>
            <w:tcW w:w="0" w:type="auto"/>
          </w:tcPr>
          <w:p>
            <w:pPr>
              <w:spacing w:line="240" w:lineRule="auto" w:before="0" w:after="0"/>
              <w:pStyle w:val="Compact"/>
            </w:pPr>
            <w:r>
              <w:rPr>
                <w:sz w:val="20"/>
                <w:szCs w:val="20"/>
              </w:rPr>
              <w:t xml:space="preserve">0.29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0.66</w:t>
            </w:r>
          </w:p>
        </w:tc>
        <w:tc>
          <w:tcPr>
            <w:tcW w:w="0" w:type="auto"/>
          </w:tcPr>
          <w:p>
            <w:pPr>
              <w:spacing w:line="240" w:lineRule="auto" w:before="0" w:after="0"/>
              <w:pStyle w:val="Compact"/>
            </w:pPr>
            <w:r>
              <w:rPr>
                <w:sz w:val="20"/>
                <w:szCs w:val="20"/>
              </w:rPr>
              <w:t xml:space="preserve">720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Online Index (Russian Federation registrations 2010-2016); McDowell GCAT Russian launch counts</w:t>
            </w:r>
          </w:p>
        </w:tc>
      </w:tr>
      <w:tr>
        <w:tc>
          <w:tcPr>
            <w:tcW w:w="0" w:type="auto"/>
          </w:tcPr>
          <w:p>
            <w:pPr>
              <w:spacing w:line="240" w:lineRule="auto" w:before="0" w:after="0"/>
              <w:pStyle w:val="Compact"/>
            </w:pPr>
            <w:r>
              <w:rPr>
                <w:sz w:val="20"/>
                <w:szCs w:val="20"/>
              </w:rPr>
              <w:t xml:space="preserve">RU_DEF_late</w:t>
            </w:r>
          </w:p>
        </w:tc>
        <w:tc>
          <w:tcPr>
            <w:tcW w:w="0" w:type="auto"/>
          </w:tcPr>
          <w:p>
            <w:pPr>
              <w:spacing w:line="240" w:lineRule="auto" w:before="0" w:after="0"/>
              <w:pStyle w:val="Compact"/>
            </w:pPr>
            <w:r>
              <w:rPr>
                <w:sz w:val="20"/>
                <w:szCs w:val="20"/>
              </w:rPr>
              <w:t xml:space="preserve">Russian Federation</w:t>
            </w:r>
          </w:p>
        </w:tc>
        <w:tc>
          <w:tcPr>
            <w:tcW w:w="0" w:type="auto"/>
          </w:tcPr>
          <w:p>
            <w:pPr>
              <w:spacing w:line="240" w:lineRule="auto" w:before="0" w:after="0"/>
              <w:pStyle w:val="Compact"/>
            </w:pPr>
            <w:r>
              <w:rPr>
                <w:sz w:val="20"/>
                <w:szCs w:val="20"/>
              </w:rPr>
              <w:t xml:space="preserve">2017-2025</w:t>
            </w:r>
          </w:p>
        </w:tc>
        <w:tc>
          <w:tcPr>
            <w:tcW w:w="0" w:type="auto"/>
          </w:tcPr>
          <w:p>
            <w:pPr>
              <w:spacing w:line="240" w:lineRule="auto" w:before="0" w:after="0"/>
              <w:pStyle w:val="Compact"/>
            </w:pPr>
            <w:r>
              <w:rPr>
                <w:sz w:val="20"/>
                <w:szCs w:val="20"/>
              </w:rPr>
              <w:t xml:space="preserve">defense</w:t>
            </w:r>
          </w:p>
        </w:tc>
        <w:tc>
          <w:tcPr>
            <w:tcW w:w="0" w:type="auto"/>
          </w:tcPr>
          <w:p>
            <w:pPr>
              <w:spacing w:line="240" w:lineRule="auto" w:before="0" w:after="0"/>
              <w:pStyle w:val="Compact"/>
            </w:pPr>
            <w:r>
              <w:rPr>
                <w:sz w:val="20"/>
                <w:szCs w:val="20"/>
              </w:rPr>
              <w:t xml:space="preserve">0.68</w:t>
            </w:r>
          </w:p>
        </w:tc>
        <w:tc>
          <w:tcPr>
            <w:tcW w:w="0" w:type="auto"/>
          </w:tcPr>
          <w:p>
            <w:pPr>
              <w:spacing w:line="240" w:lineRule="auto" w:before="0" w:after="0"/>
              <w:pStyle w:val="Compact"/>
            </w:pPr>
            <w:r>
              <w:rPr>
                <w:sz w:val="20"/>
                <w:szCs w:val="20"/>
              </w:rPr>
              <w:t xml:space="preserve">0.27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680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Online Index (Russian Federation registrations 2017-2025); UCS Satellite Database</w:t>
            </w:r>
          </w:p>
        </w:tc>
      </w:tr>
      <w:tr>
        <w:tc>
          <w:tcPr>
            <w:tcW w:w="0" w:type="auto"/>
          </w:tcPr>
          <w:p>
            <w:pPr>
              <w:spacing w:line="240" w:lineRule="auto" w:before="0" w:after="0"/>
              <w:pStyle w:val="Compact"/>
            </w:pPr>
            <w:r>
              <w:rPr>
                <w:sz w:val="20"/>
                <w:szCs w:val="20"/>
              </w:rPr>
              <w:t xml:space="preserve">EU_CIV</w:t>
            </w:r>
          </w:p>
        </w:tc>
        <w:tc>
          <w:tcPr>
            <w:tcW w:w="0" w:type="auto"/>
          </w:tcPr>
          <w:p>
            <w:pPr>
              <w:spacing w:line="240" w:lineRule="auto" w:before="0" w:after="0"/>
              <w:pStyle w:val="Compact"/>
            </w:pPr>
            <w:r>
              <w:rPr>
                <w:sz w:val="20"/>
                <w:szCs w:val="20"/>
              </w:rPr>
              <w:t xml:space="preserve">France/ESA</w:t>
            </w:r>
          </w:p>
        </w:tc>
        <w:tc>
          <w:tcPr>
            <w:tcW w:w="0" w:type="auto"/>
          </w:tcPr>
          <w:p>
            <w:pPr>
              <w:spacing w:line="240" w:lineRule="auto" w:before="0" w:after="0"/>
              <w:pStyle w:val="Compact"/>
            </w:pPr>
            <w:r>
              <w:rPr>
                <w:sz w:val="20"/>
                <w:szCs w:val="20"/>
              </w:rPr>
              <w:t xml:space="preserve">2010-2025</w:t>
            </w:r>
          </w:p>
        </w:tc>
        <w:tc>
          <w:tcPr>
            <w:tcW w:w="0" w:type="auto"/>
          </w:tcPr>
          <w:p>
            <w:pPr>
              <w:spacing w:line="240" w:lineRule="auto" w:before="0" w:after="0"/>
              <w:pStyle w:val="Compact"/>
            </w:pPr>
            <w:r>
              <w:rPr>
                <w:sz w:val="20"/>
                <w:szCs w:val="20"/>
              </w:rPr>
              <w:t xml:space="preserve">civil</w:t>
            </w:r>
          </w:p>
        </w:tc>
        <w:tc>
          <w:tcPr>
            <w:tcW w:w="0" w:type="auto"/>
          </w:tcPr>
          <w:p>
            <w:pPr>
              <w:spacing w:line="240" w:lineRule="auto" w:before="0" w:after="0"/>
              <w:pStyle w:val="Compact"/>
            </w:pPr>
            <w:r>
              <w:rPr>
                <w:sz w:val="20"/>
                <w:szCs w:val="20"/>
              </w:rPr>
              <w:t xml:space="preserve">0.18</w:t>
            </w:r>
          </w:p>
        </w:tc>
        <w:tc>
          <w:tcPr>
            <w:tcW w:w="0" w:type="auto"/>
          </w:tcPr>
          <w:p>
            <w:pPr>
              <w:spacing w:line="240" w:lineRule="auto" w:before="0" w:after="0"/>
              <w:pStyle w:val="Compact"/>
            </w:pPr>
            <w:r>
              <w:rPr>
                <w:sz w:val="20"/>
                <w:szCs w:val="20"/>
              </w:rPr>
              <w:t xml:space="preserve">0.46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142</w:t>
            </w:r>
          </w:p>
        </w:tc>
        <w:tc>
          <w:tcPr>
            <w:tcW w:w="0" w:type="auto"/>
          </w:tcPr>
          <w:p>
            <w:pPr>
              <w:spacing w:line="240" w:lineRule="auto" w:before="0" w:after="0"/>
              <w:pStyle w:val="Compact"/>
            </w:pPr>
            <w:r>
              <w:rPr>
                <w:sz w:val="20"/>
                <w:szCs w:val="20"/>
              </w:rPr>
              <w:t xml:space="preserve">0.95</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Online Index (France and ESA-member intergovernmental registrations 2010-2025); ESA registration practice</w:t>
            </w:r>
          </w:p>
        </w:tc>
      </w:tr>
      <w:tr>
        <w:tc>
          <w:tcPr>
            <w:tcW w:w="0" w:type="auto"/>
          </w:tcPr>
          <w:p>
            <w:pPr>
              <w:spacing w:line="240" w:lineRule="auto" w:before="0" w:after="0"/>
              <w:pStyle w:val="Compact"/>
            </w:pPr>
            <w:r>
              <w:rPr>
                <w:sz w:val="20"/>
                <w:szCs w:val="20"/>
              </w:rPr>
              <w:t xml:space="preserve">UK_COM_late</w:t>
            </w:r>
          </w:p>
        </w:tc>
        <w:tc>
          <w:tcPr>
            <w:tcW w:w="0" w:type="auto"/>
          </w:tcPr>
          <w:p>
            <w:pPr>
              <w:spacing w:line="240" w:lineRule="auto" w:before="0" w:after="0"/>
              <w:pStyle w:val="Compact"/>
            </w:pPr>
            <w:r>
              <w:rPr>
                <w:sz w:val="20"/>
                <w:szCs w:val="20"/>
              </w:rPr>
              <w:t xml:space="preserve">United Kingdom</w:t>
            </w:r>
          </w:p>
        </w:tc>
        <w:tc>
          <w:tcPr>
            <w:tcW w:w="0" w:type="auto"/>
          </w:tcPr>
          <w:p>
            <w:pPr>
              <w:spacing w:line="240" w:lineRule="auto" w:before="0" w:after="0"/>
              <w:pStyle w:val="Compact"/>
            </w:pPr>
            <w:r>
              <w:rPr>
                <w:sz w:val="20"/>
                <w:szCs w:val="20"/>
              </w:rPr>
              <w:t xml:space="preserve">2017-2025</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0.06</w:t>
            </w:r>
          </w:p>
        </w:tc>
        <w:tc>
          <w:tcPr>
            <w:tcW w:w="0" w:type="auto"/>
          </w:tcPr>
          <w:p>
            <w:pPr>
              <w:spacing w:line="240" w:lineRule="auto" w:before="0" w:after="0"/>
              <w:pStyle w:val="Compact"/>
            </w:pPr>
            <w:r>
              <w:rPr>
                <w:sz w:val="20"/>
                <w:szCs w:val="20"/>
              </w:rPr>
              <w:t xml:space="preserve">0.04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648</w:t>
            </w:r>
          </w:p>
        </w:tc>
        <w:tc>
          <w:tcPr>
            <w:tcW w:w="0" w:type="auto"/>
          </w:tcPr>
          <w:p>
            <w:pPr>
              <w:spacing w:line="240" w:lineRule="auto" w:before="0" w:after="0"/>
              <w:pStyle w:val="Compact"/>
            </w:pPr>
            <w:r>
              <w:rPr>
                <w:sz w:val="20"/>
                <w:szCs w:val="20"/>
              </w:rPr>
              <w:t xml:space="preserve">0.98</w:t>
            </w:r>
          </w:p>
        </w:tc>
        <w:tc>
          <w:tcPr>
            <w:tcW w:w="0" w:type="auto"/>
          </w:tcPr>
          <w:p>
            <w:pPr>
              <w:spacing w:line="240" w:lineRule="auto" w:before="0" w:after="0"/>
              <w:pStyle w:val="Compact"/>
            </w:pPr>
            <w:r>
              <w:rPr>
                <w:sz w:val="20"/>
                <w:szCs w:val="20"/>
              </w:rPr>
              <w:t xml:space="preserve">210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Online Index (UK OneWeb constellation registrations 2017-2025); McDowell GCAT OneWeb counts</w:t>
            </w:r>
          </w:p>
        </w:tc>
      </w:tr>
      <w:tr>
        <w:tc>
          <w:tcPr>
            <w:tcW w:w="0" w:type="auto"/>
          </w:tcPr>
          <w:p>
            <w:pPr>
              <w:spacing w:line="240" w:lineRule="auto" w:before="0" w:after="0"/>
              <w:pStyle w:val="Compact"/>
            </w:pPr>
            <w:r>
              <w:rPr>
                <w:sz w:val="20"/>
                <w:szCs w:val="20"/>
              </w:rPr>
              <w:t xml:space="preserve">JP_CIV</w:t>
            </w:r>
          </w:p>
        </w:tc>
        <w:tc>
          <w:tcPr>
            <w:tcW w:w="0" w:type="auto"/>
          </w:tcPr>
          <w:p>
            <w:pPr>
              <w:spacing w:line="240" w:lineRule="auto" w:before="0" w:after="0"/>
              <w:pStyle w:val="Compact"/>
            </w:pPr>
            <w:r>
              <w:rPr>
                <w:sz w:val="20"/>
                <w:szCs w:val="20"/>
              </w:rPr>
              <w:t xml:space="preserve">Japan</w:t>
            </w:r>
          </w:p>
        </w:tc>
        <w:tc>
          <w:tcPr>
            <w:tcW w:w="0" w:type="auto"/>
          </w:tcPr>
          <w:p>
            <w:pPr>
              <w:spacing w:line="240" w:lineRule="auto" w:before="0" w:after="0"/>
              <w:pStyle w:val="Compact"/>
            </w:pPr>
            <w:r>
              <w:rPr>
                <w:sz w:val="20"/>
                <w:szCs w:val="20"/>
              </w:rPr>
              <w:t xml:space="preserve">2010-2025</w:t>
            </w:r>
          </w:p>
        </w:tc>
        <w:tc>
          <w:tcPr>
            <w:tcW w:w="0" w:type="auto"/>
          </w:tcPr>
          <w:p>
            <w:pPr>
              <w:spacing w:line="240" w:lineRule="auto" w:before="0" w:after="0"/>
              <w:pStyle w:val="Compact"/>
            </w:pPr>
            <w:r>
              <w:rPr>
                <w:sz w:val="20"/>
                <w:szCs w:val="20"/>
              </w:rPr>
              <w:t xml:space="preserve">civil</w:t>
            </w:r>
          </w:p>
        </w:tc>
        <w:tc>
          <w:tcPr>
            <w:tcW w:w="0" w:type="auto"/>
          </w:tcPr>
          <w:p>
            <w:pPr>
              <w:spacing w:line="240" w:lineRule="auto" w:before="0" w:after="0"/>
              <w:pStyle w:val="Compact"/>
            </w:pPr>
            <w:r>
              <w:rPr>
                <w:sz w:val="20"/>
                <w:szCs w:val="20"/>
              </w:rPr>
              <w:t xml:space="preserve">0.14</w:t>
            </w:r>
          </w:p>
        </w:tc>
        <w:tc>
          <w:tcPr>
            <w:tcW w:w="0" w:type="auto"/>
          </w:tcPr>
          <w:p>
            <w:pPr>
              <w:spacing w:line="240" w:lineRule="auto" w:before="0" w:after="0"/>
              <w:pStyle w:val="Compact"/>
            </w:pPr>
            <w:r>
              <w:rPr>
                <w:sz w:val="20"/>
                <w:szCs w:val="20"/>
              </w:rPr>
              <w:t xml:space="preserve">0.38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0.94</w:t>
            </w:r>
          </w:p>
        </w:tc>
        <w:tc>
          <w:tcPr>
            <w:tcW w:w="0" w:type="auto"/>
          </w:tcPr>
          <w:p>
            <w:pPr>
              <w:spacing w:line="240" w:lineRule="auto" w:before="0" w:after="0"/>
              <w:pStyle w:val="Compact"/>
            </w:pPr>
            <w:r>
              <w:rPr>
                <w:sz w:val="20"/>
                <w:szCs w:val="20"/>
              </w:rPr>
              <w:t xml:space="preserve">330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Online Index (Japan JAXA civil registrations 2010-2025); UCS Satellite Database</w:t>
            </w:r>
          </w:p>
        </w:tc>
      </w:tr>
      <w:tr>
        <w:tc>
          <w:tcPr>
            <w:tcW w:w="0" w:type="auto"/>
          </w:tcPr>
          <w:p>
            <w:pPr>
              <w:spacing w:line="240" w:lineRule="auto" w:before="0" w:after="0"/>
              <w:pStyle w:val="Compact"/>
            </w:pPr>
            <w:r>
              <w:rPr>
                <w:sz w:val="20"/>
                <w:szCs w:val="20"/>
              </w:rPr>
              <w:t xml:space="preserve">IN_CIV</w:t>
            </w:r>
          </w:p>
        </w:tc>
        <w:tc>
          <w:tcPr>
            <w:tcW w:w="0" w:type="auto"/>
          </w:tcPr>
          <w:p>
            <w:pPr>
              <w:spacing w:line="240" w:lineRule="auto" w:before="0" w:after="0"/>
              <w:pStyle w:val="Compact"/>
            </w:pPr>
            <w:r>
              <w:rPr>
                <w:sz w:val="20"/>
                <w:szCs w:val="20"/>
              </w:rPr>
              <w:t xml:space="preserve">India</w:t>
            </w:r>
          </w:p>
        </w:tc>
        <w:tc>
          <w:tcPr>
            <w:tcW w:w="0" w:type="auto"/>
          </w:tcPr>
          <w:p>
            <w:pPr>
              <w:spacing w:line="240" w:lineRule="auto" w:before="0" w:after="0"/>
              <w:pStyle w:val="Compact"/>
            </w:pPr>
            <w:r>
              <w:rPr>
                <w:sz w:val="20"/>
                <w:szCs w:val="20"/>
              </w:rPr>
              <w:t xml:space="preserve">2010-2025</w:t>
            </w:r>
          </w:p>
        </w:tc>
        <w:tc>
          <w:tcPr>
            <w:tcW w:w="0" w:type="auto"/>
          </w:tcPr>
          <w:p>
            <w:pPr>
              <w:spacing w:line="240" w:lineRule="auto" w:before="0" w:after="0"/>
              <w:pStyle w:val="Compact"/>
            </w:pPr>
            <w:r>
              <w:rPr>
                <w:sz w:val="20"/>
                <w:szCs w:val="20"/>
              </w:rPr>
              <w:t xml:space="preserve">civil</w:t>
            </w:r>
          </w:p>
        </w:tc>
        <w:tc>
          <w:tcPr>
            <w:tcW w:w="0" w:type="auto"/>
          </w:tcPr>
          <w:p>
            <w:pPr>
              <w:spacing w:line="240" w:lineRule="auto" w:before="0" w:after="0"/>
              <w:pStyle w:val="Compact"/>
            </w:pPr>
            <w:r>
              <w:rPr>
                <w:sz w:val="20"/>
                <w:szCs w:val="20"/>
              </w:rPr>
              <w:t xml:space="preserve">0.22</w:t>
            </w:r>
          </w:p>
        </w:tc>
        <w:tc>
          <w:tcPr>
            <w:tcW w:w="0" w:type="auto"/>
          </w:tcPr>
          <w:p>
            <w:pPr>
              <w:spacing w:line="240" w:lineRule="auto" w:before="0" w:after="0"/>
              <w:pStyle w:val="Compact"/>
            </w:pPr>
            <w:r>
              <w:rPr>
                <w:sz w:val="20"/>
                <w:szCs w:val="20"/>
              </w:rPr>
              <w:t xml:space="preserve">0.41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114</w:t>
            </w:r>
          </w:p>
        </w:tc>
        <w:tc>
          <w:tcPr>
            <w:tcW w:w="0" w:type="auto"/>
          </w:tcPr>
          <w:p>
            <w:pPr>
              <w:spacing w:line="240" w:lineRule="auto" w:before="0" w:after="0"/>
              <w:pStyle w:val="Compact"/>
            </w:pPr>
            <w:r>
              <w:rPr>
                <w:sz w:val="20"/>
                <w:szCs w:val="20"/>
              </w:rPr>
              <w:t xml:space="preserve">0.9</w:t>
            </w:r>
          </w:p>
        </w:tc>
        <w:tc>
          <w:tcPr>
            <w:tcW w:w="0" w:type="auto"/>
          </w:tcPr>
          <w:p>
            <w:pPr>
              <w:spacing w:line="240" w:lineRule="auto" w:before="0" w:after="0"/>
              <w:pStyle w:val="Compact"/>
            </w:pPr>
            <w:r>
              <w:rPr>
                <w:sz w:val="20"/>
                <w:szCs w:val="20"/>
              </w:rPr>
              <w:t xml:space="preserve">420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Online Index (India ISRO registrations 2010-2025); McDowell GCAT</w:t>
            </w:r>
          </w:p>
        </w:tc>
      </w:tr>
      <w:tr>
        <w:tc>
          <w:tcPr>
            <w:tcW w:w="0" w:type="auto"/>
          </w:tcPr>
          <w:p>
            <w:pPr>
              <w:spacing w:line="240" w:lineRule="auto" w:before="0" w:after="0"/>
              <w:pStyle w:val="Compact"/>
            </w:pPr>
            <w:r>
              <w:rPr>
                <w:sz w:val="20"/>
                <w:szCs w:val="20"/>
              </w:rPr>
              <w:t xml:space="preserve">IN_DEF</w:t>
            </w:r>
          </w:p>
        </w:tc>
        <w:tc>
          <w:tcPr>
            <w:tcW w:w="0" w:type="auto"/>
          </w:tcPr>
          <w:p>
            <w:pPr>
              <w:spacing w:line="240" w:lineRule="auto" w:before="0" w:after="0"/>
              <w:pStyle w:val="Compact"/>
            </w:pPr>
            <w:r>
              <w:rPr>
                <w:sz w:val="20"/>
                <w:szCs w:val="20"/>
              </w:rPr>
              <w:t xml:space="preserve">India</w:t>
            </w:r>
          </w:p>
        </w:tc>
        <w:tc>
          <w:tcPr>
            <w:tcW w:w="0" w:type="auto"/>
          </w:tcPr>
          <w:p>
            <w:pPr>
              <w:spacing w:line="240" w:lineRule="auto" w:before="0" w:after="0"/>
              <w:pStyle w:val="Compact"/>
            </w:pPr>
            <w:r>
              <w:rPr>
                <w:sz w:val="20"/>
                <w:szCs w:val="20"/>
              </w:rPr>
              <w:t xml:space="preserve">2010-2025</w:t>
            </w:r>
          </w:p>
        </w:tc>
        <w:tc>
          <w:tcPr>
            <w:tcW w:w="0" w:type="auto"/>
          </w:tcPr>
          <w:p>
            <w:pPr>
              <w:spacing w:line="240" w:lineRule="auto" w:before="0" w:after="0"/>
              <w:pStyle w:val="Compact"/>
            </w:pPr>
            <w:r>
              <w:rPr>
                <w:sz w:val="20"/>
                <w:szCs w:val="20"/>
              </w:rPr>
              <w:t xml:space="preserve">defense</w:t>
            </w:r>
          </w:p>
        </w:tc>
        <w:tc>
          <w:tcPr>
            <w:tcW w:w="0" w:type="auto"/>
          </w:tcPr>
          <w:p>
            <w:pPr>
              <w:spacing w:line="240" w:lineRule="auto" w:before="0" w:after="0"/>
              <w:pStyle w:val="Compact"/>
            </w:pPr>
            <w:r>
              <w:rPr>
                <w:sz w:val="20"/>
                <w:szCs w:val="20"/>
              </w:rPr>
              <w:t xml:space="preserve">0.61</w:t>
            </w:r>
          </w:p>
        </w:tc>
        <w:tc>
          <w:tcPr>
            <w:tcW w:w="0" w:type="auto"/>
          </w:tcPr>
          <w:p>
            <w:pPr>
              <w:spacing w:line="240" w:lineRule="auto" w:before="0" w:after="0"/>
              <w:pStyle w:val="Compact"/>
            </w:pPr>
            <w:r>
              <w:rPr>
                <w:sz w:val="20"/>
                <w:szCs w:val="20"/>
              </w:rPr>
              <w:t xml:space="preserve">0.36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0.71</w:t>
            </w:r>
          </w:p>
        </w:tc>
        <w:tc>
          <w:tcPr>
            <w:tcW w:w="0" w:type="auto"/>
          </w:tcPr>
          <w:p>
            <w:pPr>
              <w:spacing w:line="240" w:lineRule="auto" w:before="0" w:after="0"/>
              <w:pStyle w:val="Compact"/>
            </w:pPr>
            <w:r>
              <w:rPr>
                <w:sz w:val="20"/>
                <w:szCs w:val="20"/>
              </w:rPr>
              <w:t xml:space="preserve">650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Online Index (India defense/Cartosat-class registrations 2010-2025); UCS Satellite Database military coding</w:t>
            </w:r>
          </w:p>
        </w:tc>
      </w:tr>
      <w:tr>
        <w:tc>
          <w:tcPr>
            <w:tcW w:w="0" w:type="auto"/>
          </w:tcPr>
          <w:p>
            <w:pPr>
              <w:spacing w:line="240" w:lineRule="auto" w:before="0" w:after="0"/>
              <w:pStyle w:val="Compact"/>
            </w:pPr>
            <w:r>
              <w:rPr>
                <w:sz w:val="20"/>
                <w:szCs w:val="20"/>
              </w:rPr>
              <w:t xml:space="preserve">CA_COM</w:t>
            </w:r>
          </w:p>
        </w:tc>
        <w:tc>
          <w:tcPr>
            <w:tcW w:w="0" w:type="auto"/>
          </w:tcPr>
          <w:p>
            <w:pPr>
              <w:spacing w:line="240" w:lineRule="auto" w:before="0" w:after="0"/>
              <w:pStyle w:val="Compact"/>
            </w:pPr>
            <w:r>
              <w:rPr>
                <w:sz w:val="20"/>
                <w:szCs w:val="20"/>
              </w:rPr>
              <w:t xml:space="preserve">Canada</w:t>
            </w:r>
          </w:p>
        </w:tc>
        <w:tc>
          <w:tcPr>
            <w:tcW w:w="0" w:type="auto"/>
          </w:tcPr>
          <w:p>
            <w:pPr>
              <w:spacing w:line="240" w:lineRule="auto" w:before="0" w:after="0"/>
              <w:pStyle w:val="Compact"/>
            </w:pPr>
            <w:r>
              <w:rPr>
                <w:sz w:val="20"/>
                <w:szCs w:val="20"/>
              </w:rPr>
              <w:t xml:space="preserve">2010-2025</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0.08</w:t>
            </w:r>
          </w:p>
        </w:tc>
        <w:tc>
          <w:tcPr>
            <w:tcW w:w="0" w:type="auto"/>
          </w:tcPr>
          <w:p>
            <w:pPr>
              <w:spacing w:line="240" w:lineRule="auto" w:before="0" w:after="0"/>
              <w:pStyle w:val="Compact"/>
            </w:pPr>
            <w:r>
              <w:rPr>
                <w:sz w:val="20"/>
                <w:szCs w:val="20"/>
              </w:rPr>
              <w:t xml:space="preserve">0.52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0.93</w:t>
            </w:r>
          </w:p>
        </w:tc>
        <w:tc>
          <w:tcPr>
            <w:tcW w:w="0" w:type="auto"/>
          </w:tcPr>
          <w:p>
            <w:pPr>
              <w:spacing w:line="240" w:lineRule="auto" w:before="0" w:after="0"/>
              <w:pStyle w:val="Compact"/>
            </w:pPr>
            <w:r>
              <w:rPr>
                <w:sz w:val="20"/>
                <w:szCs w:val="20"/>
              </w:rPr>
              <w:t xml:space="preserve">360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Online Index (Canada commercial registrations 2010-2025); UCS Satellite Database</w:t>
            </w:r>
          </w:p>
        </w:tc>
      </w:tr>
      <w:tr>
        <w:tc>
          <w:tcPr>
            <w:tcW w:w="0" w:type="auto"/>
          </w:tcPr>
          <w:p>
            <w:pPr>
              <w:spacing w:line="240" w:lineRule="auto" w:before="0" w:after="0"/>
              <w:pStyle w:val="Compact"/>
            </w:pPr>
            <w:r>
              <w:rPr>
                <w:sz w:val="20"/>
                <w:szCs w:val="20"/>
              </w:rPr>
              <w:t xml:space="preserve">KR_CIV</w:t>
            </w:r>
          </w:p>
        </w:tc>
        <w:tc>
          <w:tcPr>
            <w:tcW w:w="0" w:type="auto"/>
          </w:tcPr>
          <w:p>
            <w:pPr>
              <w:spacing w:line="240" w:lineRule="auto" w:before="0" w:after="0"/>
              <w:pStyle w:val="Compact"/>
            </w:pPr>
            <w:r>
              <w:rPr>
                <w:sz w:val="20"/>
                <w:szCs w:val="20"/>
              </w:rPr>
              <w:t xml:space="preserve">Republic of Korea</w:t>
            </w:r>
          </w:p>
        </w:tc>
        <w:tc>
          <w:tcPr>
            <w:tcW w:w="0" w:type="auto"/>
          </w:tcPr>
          <w:p>
            <w:pPr>
              <w:spacing w:line="240" w:lineRule="auto" w:before="0" w:after="0"/>
              <w:pStyle w:val="Compact"/>
            </w:pPr>
            <w:r>
              <w:rPr>
                <w:sz w:val="20"/>
                <w:szCs w:val="20"/>
              </w:rPr>
              <w:t xml:space="preserve">2010-2025</w:t>
            </w:r>
          </w:p>
        </w:tc>
        <w:tc>
          <w:tcPr>
            <w:tcW w:w="0" w:type="auto"/>
          </w:tcPr>
          <w:p>
            <w:pPr>
              <w:spacing w:line="240" w:lineRule="auto" w:before="0" w:after="0"/>
              <w:pStyle w:val="Compact"/>
            </w:pPr>
            <w:r>
              <w:rPr>
                <w:sz w:val="20"/>
                <w:szCs w:val="20"/>
              </w:rPr>
              <w:t xml:space="preserve">civil</w:t>
            </w:r>
          </w:p>
        </w:tc>
        <w:tc>
          <w:tcPr>
            <w:tcW w:w="0" w:type="auto"/>
          </w:tcPr>
          <w:p>
            <w:pPr>
              <w:spacing w:line="240" w:lineRule="auto" w:before="0" w:after="0"/>
              <w:pStyle w:val="Compact"/>
            </w:pPr>
            <w:r>
              <w:rPr>
                <w:sz w:val="20"/>
                <w:szCs w:val="20"/>
              </w:rPr>
              <w:t xml:space="preserve">0.24</w:t>
            </w:r>
          </w:p>
        </w:tc>
        <w:tc>
          <w:tcPr>
            <w:tcW w:w="0" w:type="auto"/>
          </w:tcPr>
          <w:p>
            <w:pPr>
              <w:spacing w:line="240" w:lineRule="auto" w:before="0" w:after="0"/>
              <w:pStyle w:val="Compact"/>
            </w:pPr>
            <w:r>
              <w:rPr>
                <w:sz w:val="20"/>
                <w:szCs w:val="20"/>
              </w:rPr>
              <w:t xml:space="preserve">0.33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0.89</w:t>
            </w:r>
          </w:p>
        </w:tc>
        <w:tc>
          <w:tcPr>
            <w:tcW w:w="0" w:type="auto"/>
          </w:tcPr>
          <w:p>
            <w:pPr>
              <w:spacing w:line="240" w:lineRule="auto" w:before="0" w:after="0"/>
              <w:pStyle w:val="Compact"/>
            </w:pPr>
            <w:r>
              <w:rPr>
                <w:sz w:val="20"/>
                <w:szCs w:val="20"/>
              </w:rPr>
              <w:t xml:space="preserve">440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Online Index (Republic of Korea registrations 2010-2025); McDowell GCAT</w:t>
            </w:r>
          </w:p>
        </w:tc>
      </w:tr>
      <w:tr>
        <w:tc>
          <w:tcPr>
            <w:tcW w:w="0" w:type="auto"/>
          </w:tcPr>
          <w:p>
            <w:pPr>
              <w:spacing w:line="240" w:lineRule="auto" w:before="0" w:after="0"/>
              <w:pStyle w:val="Compact"/>
            </w:pPr>
            <w:r>
              <w:rPr>
                <w:sz w:val="20"/>
                <w:szCs w:val="20"/>
              </w:rPr>
              <w:t xml:space="preserve">IL_DEF</w:t>
            </w:r>
          </w:p>
        </w:tc>
        <w:tc>
          <w:tcPr>
            <w:tcW w:w="0" w:type="auto"/>
          </w:tcPr>
          <w:p>
            <w:pPr>
              <w:spacing w:line="240" w:lineRule="auto" w:before="0" w:after="0"/>
              <w:pStyle w:val="Compact"/>
            </w:pPr>
            <w:r>
              <w:rPr>
                <w:sz w:val="20"/>
                <w:szCs w:val="20"/>
              </w:rPr>
              <w:t xml:space="preserve">Israel</w:t>
            </w:r>
          </w:p>
        </w:tc>
        <w:tc>
          <w:tcPr>
            <w:tcW w:w="0" w:type="auto"/>
          </w:tcPr>
          <w:p>
            <w:pPr>
              <w:spacing w:line="240" w:lineRule="auto" w:before="0" w:after="0"/>
              <w:pStyle w:val="Compact"/>
            </w:pPr>
            <w:r>
              <w:rPr>
                <w:sz w:val="20"/>
                <w:szCs w:val="20"/>
              </w:rPr>
              <w:t xml:space="preserve">2010-2025</w:t>
            </w:r>
          </w:p>
        </w:tc>
        <w:tc>
          <w:tcPr>
            <w:tcW w:w="0" w:type="auto"/>
          </w:tcPr>
          <w:p>
            <w:pPr>
              <w:spacing w:line="240" w:lineRule="auto" w:before="0" w:after="0"/>
              <w:pStyle w:val="Compact"/>
            </w:pPr>
            <w:r>
              <w:rPr>
                <w:sz w:val="20"/>
                <w:szCs w:val="20"/>
              </w:rPr>
              <w:t xml:space="preserve">defense</w:t>
            </w:r>
          </w:p>
        </w:tc>
        <w:tc>
          <w:tcPr>
            <w:tcW w:w="0" w:type="auto"/>
          </w:tcPr>
          <w:p>
            <w:pPr>
              <w:spacing w:line="240" w:lineRule="auto" w:before="0" w:after="0"/>
              <w:pStyle w:val="Compact"/>
            </w:pPr>
            <w:r>
              <w:rPr>
                <w:sz w:val="20"/>
                <w:szCs w:val="20"/>
              </w:rPr>
              <w:t xml:space="preserve">0.83</w:t>
            </w:r>
          </w:p>
        </w:tc>
        <w:tc>
          <w:tcPr>
            <w:tcW w:w="0" w:type="auto"/>
          </w:tcPr>
          <w:p>
            <w:pPr>
              <w:spacing w:line="240" w:lineRule="auto" w:before="0" w:after="0"/>
              <w:pStyle w:val="Compact"/>
            </w:pPr>
            <w:r>
              <w:rPr>
                <w:sz w:val="20"/>
                <w:szCs w:val="20"/>
              </w:rPr>
              <w:t xml:space="preserve">0.31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0.59</w:t>
            </w:r>
          </w:p>
        </w:tc>
        <w:tc>
          <w:tcPr>
            <w:tcW w:w="0" w:type="auto"/>
          </w:tcPr>
          <w:p>
            <w:pPr>
              <w:spacing w:line="240" w:lineRule="auto" w:before="0" w:after="0"/>
              <w:pStyle w:val="Compact"/>
            </w:pPr>
            <w:r>
              <w:rPr>
                <w:sz w:val="20"/>
                <w:szCs w:val="20"/>
              </w:rPr>
              <w:t xml:space="preserve">780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Online Index (Israel registration records 2010-2025) vs McDowell GCAT Israeli military payloads</w:t>
            </w:r>
          </w:p>
        </w:tc>
      </w:tr>
      <w:tr>
        <w:tc>
          <w:tcPr>
            <w:tcW w:w="0" w:type="auto"/>
          </w:tcPr>
          <w:p>
            <w:pPr>
              <w:spacing w:line="240" w:lineRule="auto" w:before="0" w:after="0"/>
              <w:pStyle w:val="Compact"/>
            </w:pPr>
            <w:r>
              <w:rPr>
                <w:sz w:val="20"/>
                <w:szCs w:val="20"/>
              </w:rPr>
              <w:t xml:space="preserve">LU_COM</w:t>
            </w:r>
          </w:p>
        </w:tc>
        <w:tc>
          <w:tcPr>
            <w:tcW w:w="0" w:type="auto"/>
          </w:tcPr>
          <w:p>
            <w:pPr>
              <w:spacing w:line="240" w:lineRule="auto" w:before="0" w:after="0"/>
              <w:pStyle w:val="Compact"/>
            </w:pPr>
            <w:r>
              <w:rPr>
                <w:sz w:val="20"/>
                <w:szCs w:val="20"/>
              </w:rPr>
              <w:t xml:space="preserve">Luxembourg</w:t>
            </w:r>
          </w:p>
        </w:tc>
        <w:tc>
          <w:tcPr>
            <w:tcW w:w="0" w:type="auto"/>
          </w:tcPr>
          <w:p>
            <w:pPr>
              <w:spacing w:line="240" w:lineRule="auto" w:before="0" w:after="0"/>
              <w:pStyle w:val="Compact"/>
            </w:pPr>
            <w:r>
              <w:rPr>
                <w:sz w:val="20"/>
                <w:szCs w:val="20"/>
              </w:rPr>
              <w:t xml:space="preserve">2010-2025</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0.07</w:t>
            </w:r>
          </w:p>
        </w:tc>
        <w:tc>
          <w:tcPr>
            <w:tcW w:w="0" w:type="auto"/>
          </w:tcPr>
          <w:p>
            <w:pPr>
              <w:spacing w:line="240" w:lineRule="auto" w:before="0" w:after="0"/>
              <w:pStyle w:val="Compact"/>
            </w:pPr>
            <w:r>
              <w:rPr>
                <w:sz w:val="20"/>
                <w:szCs w:val="20"/>
              </w:rPr>
              <w:t xml:space="preserve">0.61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0.96</w:t>
            </w:r>
          </w:p>
        </w:tc>
        <w:tc>
          <w:tcPr>
            <w:tcW w:w="0" w:type="auto"/>
          </w:tcPr>
          <w:p>
            <w:pPr>
              <w:spacing w:line="240" w:lineRule="auto" w:before="0" w:after="0"/>
              <w:pStyle w:val="Compact"/>
            </w:pPr>
            <w:r>
              <w:rPr>
                <w:sz w:val="20"/>
                <w:szCs w:val="20"/>
              </w:rPr>
              <w:t xml:space="preserve">260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Online Index (Luxembourg flag-of-registry commercial registrations 2010-2025); UCS Satellite Database</w:t>
            </w:r>
          </w:p>
        </w:tc>
      </w:tr>
      <w:tr>
        <w:tc>
          <w:tcPr>
            <w:tcW w:w="0" w:type="auto"/>
          </w:tcPr>
          <w:p>
            <w:pPr>
              <w:spacing w:line="240" w:lineRule="auto" w:before="0" w:after="0"/>
              <w:pStyle w:val="Compact"/>
            </w:pPr>
            <w:r>
              <w:rPr>
                <w:sz w:val="20"/>
                <w:szCs w:val="20"/>
              </w:rPr>
              <w:t xml:space="preserve">SG_COM</w:t>
            </w:r>
          </w:p>
        </w:tc>
        <w:tc>
          <w:tcPr>
            <w:tcW w:w="0" w:type="auto"/>
          </w:tcPr>
          <w:p>
            <w:pPr>
              <w:spacing w:line="240" w:lineRule="auto" w:before="0" w:after="0"/>
              <w:pStyle w:val="Compact"/>
            </w:pPr>
            <w:r>
              <w:rPr>
                <w:sz w:val="20"/>
                <w:szCs w:val="20"/>
              </w:rPr>
              <w:t xml:space="preserve">Singapore</w:t>
            </w:r>
          </w:p>
        </w:tc>
        <w:tc>
          <w:tcPr>
            <w:tcW w:w="0" w:type="auto"/>
          </w:tcPr>
          <w:p>
            <w:pPr>
              <w:spacing w:line="240" w:lineRule="auto" w:before="0" w:after="0"/>
              <w:pStyle w:val="Compact"/>
            </w:pPr>
            <w:r>
              <w:rPr>
                <w:sz w:val="20"/>
                <w:szCs w:val="20"/>
              </w:rPr>
              <w:t xml:space="preserve">2010-2025</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0.12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0.85</w:t>
            </w:r>
          </w:p>
        </w:tc>
        <w:tc>
          <w:tcPr>
            <w:tcW w:w="0" w:type="auto"/>
          </w:tcPr>
          <w:p>
            <w:pPr>
              <w:spacing w:line="240" w:lineRule="auto" w:before="0" w:after="0"/>
              <w:pStyle w:val="Compact"/>
            </w:pPr>
            <w:r>
              <w:rPr>
                <w:sz w:val="20"/>
                <w:szCs w:val="20"/>
              </w:rPr>
              <w:t xml:space="preserve">470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Online Index (Singapore commercial smallsat registrations 2010-2025); McDowell GCAT</w:t>
            </w:r>
          </w:p>
        </w:tc>
      </w:tr>
      <w:tr>
        <w:tc>
          <w:tcPr>
            <w:tcW w:w="0" w:type="auto"/>
          </w:tcPr>
          <w:p>
            <w:pPr>
              <w:spacing w:line="240" w:lineRule="auto" w:before="0" w:after="0"/>
              <w:pStyle w:val="Compact"/>
            </w:pPr>
            <w:r>
              <w:rPr>
                <w:sz w:val="20"/>
                <w:szCs w:val="20"/>
              </w:rPr>
              <w:t xml:space="preserve">AE_CIV</w:t>
            </w:r>
          </w:p>
        </w:tc>
        <w:tc>
          <w:tcPr>
            <w:tcW w:w="0" w:type="auto"/>
          </w:tcPr>
          <w:p>
            <w:pPr>
              <w:spacing w:line="240" w:lineRule="auto" w:before="0" w:after="0"/>
              <w:pStyle w:val="Compact"/>
            </w:pPr>
            <w:r>
              <w:rPr>
                <w:sz w:val="20"/>
                <w:szCs w:val="20"/>
              </w:rPr>
              <w:t xml:space="preserve">United Arab Emirates</w:t>
            </w:r>
          </w:p>
        </w:tc>
        <w:tc>
          <w:tcPr>
            <w:tcW w:w="0" w:type="auto"/>
          </w:tcPr>
          <w:p>
            <w:pPr>
              <w:spacing w:line="240" w:lineRule="auto" w:before="0" w:after="0"/>
              <w:pStyle w:val="Compact"/>
            </w:pPr>
            <w:r>
              <w:rPr>
                <w:sz w:val="20"/>
                <w:szCs w:val="20"/>
              </w:rPr>
              <w:t xml:space="preserve">2010-2025</w:t>
            </w:r>
          </w:p>
        </w:tc>
        <w:tc>
          <w:tcPr>
            <w:tcW w:w="0" w:type="auto"/>
          </w:tcPr>
          <w:p>
            <w:pPr>
              <w:spacing w:line="240" w:lineRule="auto" w:before="0" w:after="0"/>
              <w:pStyle w:val="Compact"/>
            </w:pPr>
            <w:r>
              <w:rPr>
                <w:sz w:val="20"/>
                <w:szCs w:val="20"/>
              </w:rPr>
              <w:t xml:space="preserve">civil</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0.29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0.86</w:t>
            </w:r>
          </w:p>
        </w:tc>
        <w:tc>
          <w:tcPr>
            <w:tcW w:w="0" w:type="auto"/>
          </w:tcPr>
          <w:p>
            <w:pPr>
              <w:spacing w:line="240" w:lineRule="auto" w:before="0" w:after="0"/>
              <w:pStyle w:val="Compact"/>
            </w:pPr>
            <w:r>
              <w:rPr>
                <w:sz w:val="20"/>
                <w:szCs w:val="20"/>
              </w:rPr>
              <w:t xml:space="preserve">455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Online Index (UAE civil registrations 2010-2025); UCS Satellite Database</w:t>
            </w:r>
          </w:p>
        </w:tc>
      </w:tr>
      <w:tr>
        <w:tc>
          <w:tcPr>
            <w:tcW w:w="0" w:type="auto"/>
          </w:tcPr>
          <w:p>
            <w:pPr>
              <w:spacing w:line="240" w:lineRule="auto" w:before="0" w:after="0"/>
              <w:pStyle w:val="Compact"/>
            </w:pPr>
            <w:r>
              <w:rPr>
                <w:sz w:val="20"/>
                <w:szCs w:val="20"/>
              </w:rPr>
              <w:t xml:space="preserve">BR_CIV</w:t>
            </w:r>
          </w:p>
        </w:tc>
        <w:tc>
          <w:tcPr>
            <w:tcW w:w="0" w:type="auto"/>
          </w:tcPr>
          <w:p>
            <w:pPr>
              <w:spacing w:line="240" w:lineRule="auto" w:before="0" w:after="0"/>
              <w:pStyle w:val="Compact"/>
            </w:pPr>
            <w:r>
              <w:rPr>
                <w:sz w:val="20"/>
                <w:szCs w:val="20"/>
              </w:rPr>
              <w:t xml:space="preserve">Brazil</w:t>
            </w:r>
          </w:p>
        </w:tc>
        <w:tc>
          <w:tcPr>
            <w:tcW w:w="0" w:type="auto"/>
          </w:tcPr>
          <w:p>
            <w:pPr>
              <w:spacing w:line="240" w:lineRule="auto" w:before="0" w:after="0"/>
              <w:pStyle w:val="Compact"/>
            </w:pPr>
            <w:r>
              <w:rPr>
                <w:sz w:val="20"/>
                <w:szCs w:val="20"/>
              </w:rPr>
              <w:t xml:space="preserve">2010-2025</w:t>
            </w:r>
          </w:p>
        </w:tc>
        <w:tc>
          <w:tcPr>
            <w:tcW w:w="0" w:type="auto"/>
          </w:tcPr>
          <w:p>
            <w:pPr>
              <w:spacing w:line="240" w:lineRule="auto" w:before="0" w:after="0"/>
              <w:pStyle w:val="Compact"/>
            </w:pPr>
            <w:r>
              <w:rPr>
                <w:sz w:val="20"/>
                <w:szCs w:val="20"/>
              </w:rPr>
              <w:t xml:space="preserve">civil</w:t>
            </w:r>
          </w:p>
        </w:tc>
        <w:tc>
          <w:tcPr>
            <w:tcW w:w="0" w:type="auto"/>
          </w:tcPr>
          <w:p>
            <w:pPr>
              <w:spacing w:line="240" w:lineRule="auto" w:before="0" w:after="0"/>
              <w:pStyle w:val="Compact"/>
            </w:pPr>
            <w:r>
              <w:rPr>
                <w:sz w:val="20"/>
                <w:szCs w:val="20"/>
              </w:rPr>
              <w:t xml:space="preserve">0.18</w:t>
            </w:r>
          </w:p>
        </w:tc>
        <w:tc>
          <w:tcPr>
            <w:tcW w:w="0" w:type="auto"/>
          </w:tcPr>
          <w:p>
            <w:pPr>
              <w:spacing w:line="240" w:lineRule="auto" w:before="0" w:after="0"/>
              <w:pStyle w:val="Compact"/>
            </w:pPr>
            <w:r>
              <w:rPr>
                <w:sz w:val="20"/>
                <w:szCs w:val="20"/>
              </w:rPr>
              <w:t xml:space="preserve">0.44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0.84</w:t>
            </w:r>
          </w:p>
        </w:tc>
        <w:tc>
          <w:tcPr>
            <w:tcW w:w="0" w:type="auto"/>
          </w:tcPr>
          <w:p>
            <w:pPr>
              <w:spacing w:line="240" w:lineRule="auto" w:before="0" w:after="0"/>
              <w:pStyle w:val="Compact"/>
            </w:pPr>
            <w:r>
              <w:rPr>
                <w:sz w:val="20"/>
                <w:szCs w:val="20"/>
              </w:rPr>
              <w:t xml:space="preserve">490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Online Index (Brazil registrations 2010-2025); McDowell GCAT</w:t>
            </w:r>
          </w:p>
        </w:tc>
      </w:tr>
      <w:tr>
        <w:tc>
          <w:tcPr>
            <w:tcW w:w="0" w:type="auto"/>
          </w:tcPr>
          <w:p>
            <w:pPr>
              <w:spacing w:line="240" w:lineRule="auto" w:before="0" w:after="0"/>
              <w:pStyle w:val="Compact"/>
            </w:pPr>
            <w:r>
              <w:rPr>
                <w:sz w:val="20"/>
                <w:szCs w:val="20"/>
              </w:rPr>
              <w:t xml:space="preserve">ARG_CIV</w:t>
            </w:r>
          </w:p>
        </w:tc>
        <w:tc>
          <w:tcPr>
            <w:tcW w:w="0" w:type="auto"/>
          </w:tcPr>
          <w:p>
            <w:pPr>
              <w:spacing w:line="240" w:lineRule="auto" w:before="0" w:after="0"/>
              <w:pStyle w:val="Compact"/>
            </w:pPr>
            <w:r>
              <w:rPr>
                <w:sz w:val="20"/>
                <w:szCs w:val="20"/>
              </w:rPr>
              <w:t xml:space="preserve">Argentina</w:t>
            </w:r>
          </w:p>
        </w:tc>
        <w:tc>
          <w:tcPr>
            <w:tcW w:w="0" w:type="auto"/>
          </w:tcPr>
          <w:p>
            <w:pPr>
              <w:spacing w:line="240" w:lineRule="auto" w:before="0" w:after="0"/>
              <w:pStyle w:val="Compact"/>
            </w:pPr>
            <w:r>
              <w:rPr>
                <w:sz w:val="20"/>
                <w:szCs w:val="20"/>
              </w:rPr>
              <w:t xml:space="preserve">2010-2025</w:t>
            </w:r>
          </w:p>
        </w:tc>
        <w:tc>
          <w:tcPr>
            <w:tcW w:w="0" w:type="auto"/>
          </w:tcPr>
          <w:p>
            <w:pPr>
              <w:spacing w:line="240" w:lineRule="auto" w:before="0" w:after="0"/>
              <w:pStyle w:val="Compact"/>
            </w:pPr>
            <w:r>
              <w:rPr>
                <w:sz w:val="20"/>
                <w:szCs w:val="20"/>
              </w:rPr>
              <w:t xml:space="preserve">civil</w:t>
            </w:r>
          </w:p>
        </w:tc>
        <w:tc>
          <w:tcPr>
            <w:tcW w:w="0" w:type="auto"/>
          </w:tcPr>
          <w:p>
            <w:pPr>
              <w:spacing w:line="240" w:lineRule="auto" w:before="0" w:after="0"/>
              <w:pStyle w:val="Compact"/>
            </w:pPr>
            <w:r>
              <w:rPr>
                <w:sz w:val="20"/>
                <w:szCs w:val="20"/>
              </w:rPr>
              <w:t xml:space="preserve">0.16</w:t>
            </w:r>
          </w:p>
        </w:tc>
        <w:tc>
          <w:tcPr>
            <w:tcW w:w="0" w:type="auto"/>
          </w:tcPr>
          <w:p>
            <w:pPr>
              <w:spacing w:line="240" w:lineRule="auto" w:before="0" w:after="0"/>
              <w:pStyle w:val="Compact"/>
            </w:pPr>
            <w:r>
              <w:rPr>
                <w:sz w:val="20"/>
                <w:szCs w:val="20"/>
              </w:rPr>
              <w:t xml:space="preserve">0.39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0.88</w:t>
            </w:r>
          </w:p>
        </w:tc>
        <w:tc>
          <w:tcPr>
            <w:tcW w:w="0" w:type="auto"/>
          </w:tcPr>
          <w:p>
            <w:pPr>
              <w:spacing w:line="240" w:lineRule="auto" w:before="0" w:after="0"/>
              <w:pStyle w:val="Compact"/>
            </w:pPr>
            <w:r>
              <w:rPr>
                <w:sz w:val="20"/>
                <w:szCs w:val="20"/>
              </w:rPr>
              <w:t xml:space="preserve">430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Online Index (Argentina CONAE registrations 2010-2025); UCS Satellite Database</w:t>
            </w:r>
          </w:p>
        </w:tc>
      </w:tr>
      <w:tr>
        <w:tc>
          <w:tcPr>
            <w:tcW w:w="0" w:type="auto"/>
          </w:tcPr>
          <w:p>
            <w:pPr>
              <w:spacing w:line="240" w:lineRule="auto" w:before="0" w:after="0"/>
              <w:pStyle w:val="Compact"/>
            </w:pPr>
            <w:r>
              <w:rPr>
                <w:sz w:val="20"/>
                <w:szCs w:val="20"/>
              </w:rPr>
              <w:t xml:space="preserve">ML_COM</w:t>
            </w:r>
          </w:p>
        </w:tc>
        <w:tc>
          <w:tcPr>
            <w:tcW w:w="0" w:type="auto"/>
          </w:tcPr>
          <w:p>
            <w:pPr>
              <w:spacing w:line="240" w:lineRule="auto" w:before="0" w:after="0"/>
              <w:pStyle w:val="Compact"/>
            </w:pPr>
            <w:r>
              <w:rPr>
                <w:sz w:val="20"/>
                <w:szCs w:val="20"/>
              </w:rPr>
              <w:t xml:space="preserve">Multinational/uncoded</w:t>
            </w:r>
          </w:p>
        </w:tc>
        <w:tc>
          <w:tcPr>
            <w:tcW w:w="0" w:type="auto"/>
          </w:tcPr>
          <w:p>
            <w:pPr>
              <w:spacing w:line="240" w:lineRule="auto" w:before="0" w:after="0"/>
              <w:pStyle w:val="Compact"/>
            </w:pPr>
            <w:r>
              <w:rPr>
                <w:sz w:val="20"/>
                <w:szCs w:val="20"/>
              </w:rPr>
              <w:t xml:space="preserve">2010-2025</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0.09</w:t>
            </w:r>
          </w:p>
        </w:tc>
        <w:tc>
          <w:tcPr>
            <w:tcW w:w="0" w:type="auto"/>
          </w:tcPr>
          <w:p>
            <w:pPr>
              <w:spacing w:line="240" w:lineRule="auto" w:before="0" w:after="0"/>
              <w:pStyle w:val="Compact"/>
            </w:pPr>
            <w:r>
              <w:rPr>
                <w:sz w:val="20"/>
                <w:szCs w:val="20"/>
              </w:rPr>
              <w:t xml:space="preserve">0.15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310</w:t>
            </w:r>
          </w:p>
        </w:tc>
        <w:tc>
          <w:tcPr>
            <w:tcW w:w="0" w:type="auto"/>
          </w:tcPr>
          <w:p>
            <w:pPr>
              <w:spacing w:line="240" w:lineRule="auto" w:before="0" w:after="0"/>
              <w:pStyle w:val="Compact"/>
            </w:pPr>
            <w:r>
              <w:rPr>
                <w:sz w:val="20"/>
                <w:szCs w:val="20"/>
              </w:rPr>
              <w:t xml:space="preserve">0.62</w:t>
            </w:r>
          </w:p>
        </w:tc>
        <w:tc>
          <w:tcPr>
            <w:tcW w:w="0" w:type="auto"/>
          </w:tcPr>
          <w:p>
            <w:pPr>
              <w:spacing w:line="240" w:lineRule="auto" w:before="0" w:after="0"/>
              <w:pStyle w:val="Compact"/>
            </w:pPr>
            <w:r>
              <w:rPr>
                <w:sz w:val="20"/>
                <w:szCs w:val="20"/>
              </w:rPr>
              <w:t xml:space="preserve">860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McDowell GCAT objects lacking a matched UNOOSA registration entry 2010-2025 (residual unattributed payloads); Masson-Zwaan et al. 2024 never-registered tail [illustrative cohort mean lag where document-receipt date is absent]</w:t>
            </w:r>
          </w:p>
        </w:tc>
      </w:tr>
      <w:tr>
        <w:tc>
          <w:tcPr>
            <w:tcW w:w="0" w:type="auto"/>
          </w:tcPr>
          <w:p>
            <w:pPr>
              <w:spacing w:line="240" w:lineRule="auto" w:before="0" w:after="0"/>
              <w:pStyle w:val="Compact"/>
            </w:pPr>
            <w:r>
              <w:rPr>
                <w:sz w:val="20"/>
                <w:szCs w:val="20"/>
              </w:rPr>
              <w:t xml:space="preserve">ZA_CIV</w:t>
            </w:r>
          </w:p>
        </w:tc>
        <w:tc>
          <w:tcPr>
            <w:tcW w:w="0" w:type="auto"/>
          </w:tcPr>
          <w:p>
            <w:pPr>
              <w:spacing w:line="240" w:lineRule="auto" w:before="0" w:after="0"/>
              <w:pStyle w:val="Compact"/>
            </w:pPr>
            <w:r>
              <w:rPr>
                <w:sz w:val="20"/>
                <w:szCs w:val="20"/>
              </w:rPr>
              <w:t xml:space="preserve">South Africa</w:t>
            </w:r>
          </w:p>
        </w:tc>
        <w:tc>
          <w:tcPr>
            <w:tcW w:w="0" w:type="auto"/>
          </w:tcPr>
          <w:p>
            <w:pPr>
              <w:spacing w:line="240" w:lineRule="auto" w:before="0" w:after="0"/>
              <w:pStyle w:val="Compact"/>
            </w:pPr>
            <w:r>
              <w:rPr>
                <w:sz w:val="20"/>
                <w:szCs w:val="20"/>
              </w:rPr>
              <w:t xml:space="preserve">2010-2025</w:t>
            </w:r>
          </w:p>
        </w:tc>
        <w:tc>
          <w:tcPr>
            <w:tcW w:w="0" w:type="auto"/>
          </w:tcPr>
          <w:p>
            <w:pPr>
              <w:spacing w:line="240" w:lineRule="auto" w:before="0" w:after="0"/>
              <w:pStyle w:val="Compact"/>
            </w:pPr>
            <w:r>
              <w:rPr>
                <w:sz w:val="20"/>
                <w:szCs w:val="20"/>
              </w:rPr>
              <w:t xml:space="preserve">civil</w:t>
            </w:r>
          </w:p>
        </w:tc>
        <w:tc>
          <w:tcPr>
            <w:tcW w:w="0" w:type="auto"/>
          </w:tcPr>
          <w:p>
            <w:pPr>
              <w:spacing w:line="240" w:lineRule="auto" w:before="0" w:after="0"/>
              <w:pStyle w:val="Compact"/>
            </w:pPr>
            <w:r>
              <w:rPr>
                <w:sz w:val="20"/>
                <w:szCs w:val="20"/>
              </w:rPr>
              <w:t xml:space="preserve">0.19</w:t>
            </w:r>
          </w:p>
        </w:tc>
        <w:tc>
          <w:tcPr>
            <w:tcW w:w="0" w:type="auto"/>
          </w:tcPr>
          <w:p>
            <w:pPr>
              <w:spacing w:line="240" w:lineRule="auto" w:before="0" w:after="0"/>
              <w:pStyle w:val="Compact"/>
            </w:pPr>
            <w:r>
              <w:rPr>
                <w:sz w:val="20"/>
                <w:szCs w:val="20"/>
              </w:rPr>
              <w:t xml:space="preserve">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0.81</w:t>
            </w:r>
          </w:p>
        </w:tc>
        <w:tc>
          <w:tcPr>
            <w:tcW w:w="0" w:type="auto"/>
          </w:tcPr>
          <w:p>
            <w:pPr>
              <w:spacing w:line="240" w:lineRule="auto" w:before="0" w:after="0"/>
              <w:pStyle w:val="Compact"/>
            </w:pPr>
            <w:r>
              <w:rPr>
                <w:sz w:val="20"/>
                <w:szCs w:val="20"/>
              </w:rPr>
              <w:t xml:space="preserve">520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Online Index (South Africa registrations 2010-2025); McDowell GCAT</w:t>
            </w:r>
          </w:p>
        </w:tc>
      </w:tr>
      <w:tr>
        <w:tc>
          <w:tcPr>
            <w:tcW w:w="0" w:type="auto"/>
          </w:tcPr>
          <w:p>
            <w:pPr>
              <w:spacing w:line="240" w:lineRule="auto" w:before="0" w:after="0"/>
              <w:pStyle w:val="Compact"/>
            </w:pPr>
            <w:r>
              <w:rPr>
                <w:sz w:val="20"/>
                <w:szCs w:val="20"/>
              </w:rPr>
              <w:t xml:space="preserve">KZ_DEF</w:t>
            </w:r>
          </w:p>
        </w:tc>
        <w:tc>
          <w:tcPr>
            <w:tcW w:w="0" w:type="auto"/>
          </w:tcPr>
          <w:p>
            <w:pPr>
              <w:spacing w:line="240" w:lineRule="auto" w:before="0" w:after="0"/>
              <w:pStyle w:val="Compact"/>
            </w:pPr>
            <w:r>
              <w:rPr>
                <w:sz w:val="20"/>
                <w:szCs w:val="20"/>
              </w:rPr>
              <w:t xml:space="preserve">Kazakhstan</w:t>
            </w:r>
          </w:p>
        </w:tc>
        <w:tc>
          <w:tcPr>
            <w:tcW w:w="0" w:type="auto"/>
          </w:tcPr>
          <w:p>
            <w:pPr>
              <w:spacing w:line="240" w:lineRule="auto" w:before="0" w:after="0"/>
              <w:pStyle w:val="Compact"/>
            </w:pPr>
            <w:r>
              <w:rPr>
                <w:sz w:val="20"/>
                <w:szCs w:val="20"/>
              </w:rPr>
              <w:t xml:space="preserve">2010-2025</w:t>
            </w:r>
          </w:p>
        </w:tc>
        <w:tc>
          <w:tcPr>
            <w:tcW w:w="0" w:type="auto"/>
          </w:tcPr>
          <w:p>
            <w:pPr>
              <w:spacing w:line="240" w:lineRule="auto" w:before="0" w:after="0"/>
              <w:pStyle w:val="Compact"/>
            </w:pPr>
            <w:r>
              <w:rPr>
                <w:sz w:val="20"/>
                <w:szCs w:val="20"/>
              </w:rPr>
              <w:t xml:space="preserve">defense</w:t>
            </w:r>
          </w:p>
        </w:tc>
        <w:tc>
          <w:tcPr>
            <w:tcW w:w="0" w:type="auto"/>
          </w:tcPr>
          <w:p>
            <w:pPr>
              <w:spacing w:line="240" w:lineRule="auto" w:before="0" w:after="0"/>
              <w:pStyle w:val="Compact"/>
            </w:pPr>
            <w:r>
              <w:rPr>
                <w:sz w:val="20"/>
                <w:szCs w:val="20"/>
              </w:rPr>
              <w:t xml:space="preserve">0.58</w:t>
            </w:r>
          </w:p>
        </w:tc>
        <w:tc>
          <w:tcPr>
            <w:tcW w:w="0" w:type="auto"/>
          </w:tcPr>
          <w:p>
            <w:pPr>
              <w:spacing w:line="240" w:lineRule="auto" w:before="0" w:after="0"/>
              <w:pStyle w:val="Compact"/>
            </w:pPr>
            <w:r>
              <w:rPr>
                <w:sz w:val="20"/>
                <w:szCs w:val="20"/>
              </w:rPr>
              <w:t xml:space="preserve">0.34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0.67</w:t>
            </w:r>
          </w:p>
        </w:tc>
        <w:tc>
          <w:tcPr>
            <w:tcW w:w="0" w:type="auto"/>
          </w:tcPr>
          <w:p>
            <w:pPr>
              <w:spacing w:line="240" w:lineRule="auto" w:before="0" w:after="0"/>
              <w:pStyle w:val="Compact"/>
            </w:pPr>
            <w:r>
              <w:rPr>
                <w:sz w:val="20"/>
                <w:szCs w:val="20"/>
              </w:rPr>
              <w:t xml:space="preserve">700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Online Index (Kazakhstan registration records 2010-2025); McDowell GCAT [illustrative defense_share where dual-use coding ambiguous]</w:t>
            </w:r>
          </w:p>
        </w:tc>
      </w:tr>
      <w:tr>
        <w:tc>
          <w:tcPr>
            <w:tcW w:w="0" w:type="auto"/>
          </w:tcPr>
          <w:p>
            <w:pPr>
              <w:spacing w:line="240" w:lineRule="auto" w:before="0" w:after="0"/>
              <w:pStyle w:val="Compact"/>
            </w:pPr>
            <w:r>
              <w:rPr>
                <w:sz w:val="20"/>
                <w:szCs w:val="20"/>
              </w:rPr>
              <w:t xml:space="preserve">NZ_COM</w:t>
            </w:r>
          </w:p>
        </w:tc>
        <w:tc>
          <w:tcPr>
            <w:tcW w:w="0" w:type="auto"/>
          </w:tcPr>
          <w:p>
            <w:pPr>
              <w:spacing w:line="240" w:lineRule="auto" w:before="0" w:after="0"/>
              <w:pStyle w:val="Compact"/>
            </w:pPr>
            <w:r>
              <w:rPr>
                <w:sz w:val="20"/>
                <w:szCs w:val="20"/>
              </w:rPr>
              <w:t xml:space="preserve">New Zealand</w:t>
            </w:r>
          </w:p>
        </w:tc>
        <w:tc>
          <w:tcPr>
            <w:tcW w:w="0" w:type="auto"/>
          </w:tcPr>
          <w:p>
            <w:pPr>
              <w:spacing w:line="240" w:lineRule="auto" w:before="0" w:after="0"/>
              <w:pStyle w:val="Compact"/>
            </w:pPr>
            <w:r>
              <w:rPr>
                <w:sz w:val="20"/>
                <w:szCs w:val="20"/>
              </w:rPr>
              <w:t xml:space="preserve">2017-2025</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0.11</w:t>
            </w:r>
          </w:p>
        </w:tc>
        <w:tc>
          <w:tcPr>
            <w:tcW w:w="0" w:type="auto"/>
          </w:tcPr>
          <w:p>
            <w:pPr>
              <w:spacing w:line="240" w:lineRule="auto" w:before="0" w:after="0"/>
              <w:pStyle w:val="Compact"/>
            </w:pPr>
            <w:r>
              <w:rPr>
                <w:sz w:val="20"/>
                <w:szCs w:val="20"/>
              </w:rPr>
              <w:t xml:space="preserve">0.08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0.92</w:t>
            </w:r>
          </w:p>
        </w:tc>
        <w:tc>
          <w:tcPr>
            <w:tcW w:w="0" w:type="auto"/>
          </w:tcPr>
          <w:p>
            <w:pPr>
              <w:spacing w:line="240" w:lineRule="auto" w:before="0" w:after="0"/>
              <w:pStyle w:val="Compact"/>
            </w:pPr>
            <w:r>
              <w:rPr>
                <w:sz w:val="20"/>
                <w:szCs w:val="20"/>
              </w:rPr>
              <w:t xml:space="preserve">355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Online Index (New Zealand Rocket Lab-launched registrations 2017-2025); McDowell GCAT</w:t>
            </w:r>
          </w:p>
        </w:tc>
      </w:tr>
      <w:tr>
        <w:tc>
          <w:tcPr>
            <w:tcW w:w="0" w:type="auto"/>
          </w:tcPr>
          <w:p>
            <w:pPr>
              <w:spacing w:line="240" w:lineRule="auto" w:before="0" w:after="0"/>
              <w:pStyle w:val="Compact"/>
            </w:pPr>
            <w:r>
              <w:rPr>
                <w:sz w:val="20"/>
                <w:szCs w:val="20"/>
              </w:rPr>
              <w:t xml:space="preserve">ES_CIV</w:t>
            </w:r>
          </w:p>
        </w:tc>
        <w:tc>
          <w:tcPr>
            <w:tcW w:w="0" w:type="auto"/>
          </w:tcPr>
          <w:p>
            <w:pPr>
              <w:spacing w:line="240" w:lineRule="auto" w:before="0" w:after="0"/>
              <w:pStyle w:val="Compact"/>
            </w:pPr>
            <w:r>
              <w:rPr>
                <w:sz w:val="20"/>
                <w:szCs w:val="20"/>
              </w:rPr>
              <w:t xml:space="preserve">Spain</w:t>
            </w:r>
          </w:p>
        </w:tc>
        <w:tc>
          <w:tcPr>
            <w:tcW w:w="0" w:type="auto"/>
          </w:tcPr>
          <w:p>
            <w:pPr>
              <w:spacing w:line="240" w:lineRule="auto" w:before="0" w:after="0"/>
              <w:pStyle w:val="Compact"/>
            </w:pPr>
            <w:r>
              <w:rPr>
                <w:sz w:val="20"/>
                <w:szCs w:val="20"/>
              </w:rPr>
              <w:t xml:space="preserve">2010-2025</w:t>
            </w:r>
          </w:p>
        </w:tc>
        <w:tc>
          <w:tcPr>
            <w:tcW w:w="0" w:type="auto"/>
          </w:tcPr>
          <w:p>
            <w:pPr>
              <w:spacing w:line="240" w:lineRule="auto" w:before="0" w:after="0"/>
              <w:pStyle w:val="Compact"/>
            </w:pPr>
            <w:r>
              <w:rPr>
                <w:sz w:val="20"/>
                <w:szCs w:val="20"/>
              </w:rPr>
              <w:t xml:space="preserve">civil</w:t>
            </w:r>
          </w:p>
        </w:tc>
        <w:tc>
          <w:tcPr>
            <w:tcW w:w="0" w:type="auto"/>
          </w:tcPr>
          <w:p>
            <w:pPr>
              <w:spacing w:line="240" w:lineRule="auto" w:before="0" w:after="0"/>
              <w:pStyle w:val="Compact"/>
            </w:pPr>
            <w:r>
              <w:rPr>
                <w:sz w:val="20"/>
                <w:szCs w:val="20"/>
              </w:rPr>
              <w:t xml:space="preserve">0.21</w:t>
            </w:r>
          </w:p>
        </w:tc>
        <w:tc>
          <w:tcPr>
            <w:tcW w:w="0" w:type="auto"/>
          </w:tcPr>
          <w:p>
            <w:pPr>
              <w:spacing w:line="240" w:lineRule="auto" w:before="0" w:after="0"/>
              <w:pStyle w:val="Compact"/>
            </w:pPr>
            <w:r>
              <w:rPr>
                <w:sz w:val="20"/>
                <w:szCs w:val="20"/>
              </w:rPr>
              <w:t xml:space="preserve">0.43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0.91</w:t>
            </w:r>
          </w:p>
        </w:tc>
        <w:tc>
          <w:tcPr>
            <w:tcW w:w="0" w:type="auto"/>
          </w:tcPr>
          <w:p>
            <w:pPr>
              <w:spacing w:line="240" w:lineRule="auto" w:before="0" w:after="0"/>
              <w:pStyle w:val="Compact"/>
            </w:pPr>
            <w:r>
              <w:rPr>
                <w:sz w:val="20"/>
                <w:szCs w:val="20"/>
              </w:rPr>
              <w:t xml:space="preserve">395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Online Index (Spain registrations 2010-2025); UCS Satellite Database</w:t>
            </w:r>
          </w:p>
        </w:tc>
      </w:tr>
      <w:tr>
        <w:tc>
          <w:tcPr>
            <w:tcW w:w="0" w:type="auto"/>
          </w:tcPr>
          <w:p>
            <w:pPr>
              <w:spacing w:line="240" w:lineRule="auto" w:before="0" w:after="0"/>
              <w:pStyle w:val="Compact"/>
            </w:pPr>
            <w:r>
              <w:rPr>
                <w:sz w:val="20"/>
                <w:szCs w:val="20"/>
              </w:rPr>
              <w:t xml:space="preserve">IT_DEF</w:t>
            </w:r>
          </w:p>
        </w:tc>
        <w:tc>
          <w:tcPr>
            <w:tcW w:w="0" w:type="auto"/>
          </w:tcPr>
          <w:p>
            <w:pPr>
              <w:spacing w:line="240" w:lineRule="auto" w:before="0" w:after="0"/>
              <w:pStyle w:val="Compact"/>
            </w:pPr>
            <w:r>
              <w:rPr>
                <w:sz w:val="20"/>
                <w:szCs w:val="20"/>
              </w:rPr>
              <w:t xml:space="preserve">Italy</w:t>
            </w:r>
          </w:p>
        </w:tc>
        <w:tc>
          <w:tcPr>
            <w:tcW w:w="0" w:type="auto"/>
          </w:tcPr>
          <w:p>
            <w:pPr>
              <w:spacing w:line="240" w:lineRule="auto" w:before="0" w:after="0"/>
              <w:pStyle w:val="Compact"/>
            </w:pPr>
            <w:r>
              <w:rPr>
                <w:sz w:val="20"/>
                <w:szCs w:val="20"/>
              </w:rPr>
              <w:t xml:space="preserve">2010-2025</w:t>
            </w:r>
          </w:p>
        </w:tc>
        <w:tc>
          <w:tcPr>
            <w:tcW w:w="0" w:type="auto"/>
          </w:tcPr>
          <w:p>
            <w:pPr>
              <w:spacing w:line="240" w:lineRule="auto" w:before="0" w:after="0"/>
              <w:pStyle w:val="Compact"/>
            </w:pPr>
            <w:r>
              <w:rPr>
                <w:sz w:val="20"/>
                <w:szCs w:val="20"/>
              </w:rPr>
              <w:t xml:space="preserve">defense</w:t>
            </w:r>
          </w:p>
        </w:tc>
        <w:tc>
          <w:tcPr>
            <w:tcW w:w="0" w:type="auto"/>
          </w:tcPr>
          <w:p>
            <w:pPr>
              <w:spacing w:line="240" w:lineRule="auto" w:before="0" w:after="0"/>
              <w:pStyle w:val="Compact"/>
            </w:pPr>
            <w:r>
              <w:rPr>
                <w:sz w:val="20"/>
                <w:szCs w:val="20"/>
              </w:rPr>
              <w:t xml:space="preserve">0.57</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0.79</w:t>
            </w:r>
          </w:p>
        </w:tc>
        <w:tc>
          <w:tcPr>
            <w:tcW w:w="0" w:type="auto"/>
          </w:tcPr>
          <w:p>
            <w:pPr>
              <w:spacing w:line="240" w:lineRule="auto" w:before="0" w:after="0"/>
              <w:pStyle w:val="Compact"/>
            </w:pPr>
            <w:r>
              <w:rPr>
                <w:sz w:val="20"/>
                <w:szCs w:val="20"/>
              </w:rPr>
              <w:t xml:space="preserve">560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Online Index (Italy COSMO-SkyMed/defense registrations 2010-2025); UCS Satellite Database military coding</w:t>
            </w:r>
          </w:p>
        </w:tc>
      </w:tr>
    </w:tbl>
    <w:bookmarkEnd w:id="182"/>
    <w:bookmarkStart w:id="183" w:name="variable-construction-2"/>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late_or_missing</w:t>
            </w:r>
          </w:p>
        </w:tc>
        <w:tc>
          <w:tcPr>
            <w:tcW w:w="0" w:type="auto"/>
          </w:tcPr>
          <w:p>
            <w:pPr>
              <w:spacing w:line="240" w:lineRule="auto" w:before="0" w:after="0"/>
              <w:pStyle w:val="Compact"/>
            </w:pPr>
            <w:r>
              <w:rPr>
                <w:sz w:val="20"/>
                <w:szCs w:val="20"/>
              </w:rPr>
              <w:t xml:space="preserve">Binary extensive-margin outcome: 1 if the launching-State cohort’s registration is delayed or incomplete (documented registration rate materially below the global benchmark or mean lag beyond roughly one year), 0 otherwise</w:t>
            </w:r>
          </w:p>
        </w:tc>
        <w:tc>
          <w:tcPr>
            <w:tcW w:w="0" w:type="auto"/>
          </w:tcPr>
          <w:p>
            <w:pPr>
              <w:spacing w:line="240" w:lineRule="auto" w:before="0" w:after="0"/>
              <w:pStyle w:val="Compact"/>
            </w:pPr>
            <w:r>
              <w:rPr>
                <w:sz w:val="20"/>
                <w:szCs w:val="20"/>
              </w:rPr>
              <w:t xml:space="preserve">Coded from UNOOSA Online Index registration counts versus McDowell GCAT launch counts and documented mean receipt-date lag</w:t>
            </w:r>
          </w:p>
        </w:tc>
      </w:tr>
      <w:tr>
        <w:tc>
          <w:tcPr>
            <w:tcW w:w="0" w:type="auto"/>
          </w:tcPr>
          <w:p>
            <w:pPr>
              <w:spacing w:line="240" w:lineRule="auto" w:before="0" w:after="0"/>
              <w:pStyle w:val="Compact"/>
            </w:pPr>
            <w:r>
              <w:rPr>
                <w:sz w:val="20"/>
                <w:szCs w:val="20"/>
              </w:rPr>
              <w:t xml:space="preserve">defense_share</w:t>
            </w:r>
          </w:p>
        </w:tc>
        <w:tc>
          <w:tcPr>
            <w:tcW w:w="0" w:type="auto"/>
          </w:tcPr>
          <w:p>
            <w:pPr>
              <w:spacing w:line="240" w:lineRule="auto" w:before="0" w:after="0"/>
              <w:pStyle w:val="Compact"/>
            </w:pPr>
            <w:r>
              <w:rPr>
                <w:sz w:val="20"/>
                <w:szCs w:val="20"/>
              </w:rPr>
              <w:t xml:space="preserve">Share of cohort objects affiliated with defense, military, or intelligence operators (0 to 1)</w:t>
            </w:r>
          </w:p>
        </w:tc>
        <w:tc>
          <w:tcPr>
            <w:tcW w:w="0" w:type="auto"/>
          </w:tcPr>
          <w:p>
            <w:pPr>
              <w:spacing w:line="240" w:lineRule="auto" w:before="0" w:after="0"/>
              <w:pStyle w:val="Compact"/>
            </w:pPr>
            <w:r>
              <w:rPr>
                <w:sz w:val="20"/>
                <w:szCs w:val="20"/>
              </w:rPr>
              <w:t xml:space="preserve">UCS Satellite Database operator coding and McDowell GCAT military-payload classification</w:t>
            </w:r>
          </w:p>
        </w:tc>
      </w:tr>
      <w:tr>
        <w:tc>
          <w:tcPr>
            <w:tcW w:w="0" w:type="auto"/>
          </w:tcPr>
          <w:p>
            <w:pPr>
              <w:spacing w:line="240" w:lineRule="auto" w:before="0" w:after="0"/>
              <w:pStyle w:val="Compact"/>
            </w:pPr>
            <w:r>
              <w:rPr>
                <w:sz w:val="20"/>
                <w:szCs w:val="20"/>
              </w:rPr>
              <w:t xml:space="preserve">geo_share</w:t>
            </w:r>
          </w:p>
        </w:tc>
        <w:tc>
          <w:tcPr>
            <w:tcW w:w="0" w:type="auto"/>
          </w:tcPr>
          <w:p>
            <w:pPr>
              <w:spacing w:line="240" w:lineRule="auto" w:before="0" w:after="0"/>
              <w:pStyle w:val="Compact"/>
            </w:pPr>
            <w:r>
              <w:rPr>
                <w:sz w:val="20"/>
                <w:szCs w:val="20"/>
              </w:rPr>
              <w:t xml:space="preserve">Share of cohort objects in geosynchronous or highly elliptical regimes versus low Earth orbit (0 to 1)</w:t>
            </w:r>
          </w:p>
        </w:tc>
        <w:tc>
          <w:tcPr>
            <w:tcW w:w="0" w:type="auto"/>
          </w:tcPr>
          <w:p>
            <w:pPr>
              <w:spacing w:line="240" w:lineRule="auto" w:before="0" w:after="0"/>
              <w:pStyle w:val="Compact"/>
            </w:pPr>
            <w:r>
              <w:rPr>
                <w:sz w:val="20"/>
                <w:szCs w:val="20"/>
              </w:rPr>
              <w:t xml:space="preserve">McDowell GCAT orbital-regime fields; UNOOSA Online Index orbital parameters</w:t>
            </w:r>
          </w:p>
        </w:tc>
      </w:tr>
      <w:tr>
        <w:tc>
          <w:tcPr>
            <w:tcW w:w="0" w:type="auto"/>
          </w:tcPr>
          <w:p>
            <w:pPr>
              <w:spacing w:line="240" w:lineRule="auto" w:before="0" w:after="0"/>
              <w:pStyle w:val="Compact"/>
            </w:pPr>
            <w:r>
              <w:rPr>
                <w:sz w:val="20"/>
                <w:szCs w:val="20"/>
              </w:rPr>
              <w:t xml:space="preserve">epoch_post2017</w:t>
            </w:r>
          </w:p>
        </w:tc>
        <w:tc>
          <w:tcPr>
            <w:tcW w:w="0" w:type="auto"/>
          </w:tcPr>
          <w:p>
            <w:pPr>
              <w:spacing w:line="240" w:lineRule="auto" w:before="0" w:after="0"/>
              <w:pStyle w:val="Compact"/>
            </w:pPr>
            <w:r>
              <w:rPr>
                <w:sz w:val="20"/>
                <w:szCs w:val="20"/>
              </w:rPr>
              <w:t xml:space="preserve">Constellation-era indicator: 1 for cohorts whose launches fall in 2017-2025, 0 for 2010-2016</w:t>
            </w:r>
          </w:p>
        </w:tc>
        <w:tc>
          <w:tcPr>
            <w:tcW w:w="0" w:type="auto"/>
          </w:tcPr>
          <w:p>
            <w:pPr>
              <w:spacing w:line="240" w:lineRule="auto" w:before="0" w:after="0"/>
              <w:pStyle w:val="Compact"/>
            </w:pPr>
            <w:r>
              <w:rPr>
                <w:sz w:val="20"/>
                <w:szCs w:val="20"/>
              </w:rPr>
              <w:t xml:space="preserve">McDowell GCAT launch-date fields</w:t>
            </w:r>
          </w:p>
        </w:tc>
      </w:tr>
      <w:tr>
        <w:tc>
          <w:tcPr>
            <w:tcW w:w="0" w:type="auto"/>
          </w:tcPr>
          <w:p>
            <w:pPr>
              <w:spacing w:line="240" w:lineRule="auto" w:before="0" w:after="0"/>
              <w:pStyle w:val="Compact"/>
            </w:pPr>
            <w:r>
              <w:rPr>
                <w:sz w:val="20"/>
                <w:szCs w:val="20"/>
              </w:rPr>
              <w:t xml:space="preserve">reg_rate</w:t>
            </w:r>
          </w:p>
        </w:tc>
        <w:tc>
          <w:tcPr>
            <w:tcW w:w="0" w:type="auto"/>
          </w:tcPr>
          <w:p>
            <w:pPr>
              <w:spacing w:line="240" w:lineRule="auto" w:before="0" w:after="0"/>
              <w:pStyle w:val="Compact"/>
            </w:pPr>
            <w:r>
              <w:rPr>
                <w:sz w:val="20"/>
                <w:szCs w:val="20"/>
              </w:rPr>
              <w:t xml:space="preserve">Documented fraction of cohort objects with a matched UNOOSA registration record (descriptive, not a model regressor)</w:t>
            </w:r>
          </w:p>
        </w:tc>
        <w:tc>
          <w:tcPr>
            <w:tcW w:w="0" w:type="auto"/>
          </w:tcPr>
          <w:p>
            <w:pPr>
              <w:spacing w:line="240" w:lineRule="auto" w:before="0" w:after="0"/>
              <w:pStyle w:val="Compact"/>
            </w:pPr>
            <w:r>
              <w:rPr>
                <w:sz w:val="20"/>
                <w:szCs w:val="20"/>
              </w:rPr>
              <w:t xml:space="preserve">UNOOSA Online Index versus McDowell GCAT</w:t>
            </w:r>
          </w:p>
        </w:tc>
      </w:tr>
      <w:tr>
        <w:tc>
          <w:tcPr>
            <w:tcW w:w="0" w:type="auto"/>
          </w:tcPr>
          <w:p>
            <w:pPr>
              <w:spacing w:line="240" w:lineRule="auto" w:before="0" w:after="0"/>
              <w:pStyle w:val="Compact"/>
            </w:pPr>
            <w:r>
              <w:rPr>
                <w:sz w:val="20"/>
                <w:szCs w:val="20"/>
              </w:rPr>
              <w:t xml:space="preserve">mean_lag_days</w:t>
            </w:r>
          </w:p>
        </w:tc>
        <w:tc>
          <w:tcPr>
            <w:tcW w:w="0" w:type="auto"/>
          </w:tcPr>
          <w:p>
            <w:pPr>
              <w:spacing w:line="240" w:lineRule="auto" w:before="0" w:after="0"/>
              <w:pStyle w:val="Compact"/>
            </w:pPr>
            <w:r>
              <w:rPr>
                <w:sz w:val="20"/>
                <w:szCs w:val="20"/>
              </w:rPr>
              <w:t xml:space="preserve">Mean interval in days from independent on-orbit observation to UN registration-document receipt (descriptive)</w:t>
            </w:r>
          </w:p>
        </w:tc>
        <w:tc>
          <w:tcPr>
            <w:tcW w:w="0" w:type="auto"/>
          </w:tcPr>
          <w:p>
            <w:pPr>
              <w:spacing w:line="240" w:lineRule="auto" w:before="0" w:after="0"/>
              <w:pStyle w:val="Compact"/>
            </w:pPr>
            <w:r>
              <w:rPr>
                <w:sz w:val="20"/>
                <w:szCs w:val="20"/>
              </w:rPr>
              <w:t xml:space="preserve">UNOOSA Online Index receipt-date field; Masson-Zwaan et al., Acta Astronautica 223 (2024)</w:t>
            </w:r>
          </w:p>
        </w:tc>
      </w:tr>
    </w:tbl>
    <w:bookmarkEnd w:id="183"/>
    <w:bookmarkEnd w:id="184"/>
    <w:bookmarkEnd w:id="185"/>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 w:numId="100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70" Type="http://schemas.openxmlformats.org/officeDocument/2006/relationships/image" Target="media/rId170.png"/><Relationship Id="rId178" Type="http://schemas.openxmlformats.org/officeDocument/2006/relationships/image" Target="media/rId178.png"/><Relationship Id="rId134" Type="http://schemas.openxmlformats.org/officeDocument/2006/relationships/hyperlink" Target="https://doi.org/10.1016/j.actaastro.2020.04.056" TargetMode="External"/><Relationship Id="rId138" Type="http://schemas.openxmlformats.org/officeDocument/2006/relationships/hyperlink" Target="https://doi.org/10.1016/j.actaastro.2023.07.009" TargetMode="External"/><Relationship Id="rId166" Type="http://schemas.openxmlformats.org/officeDocument/2006/relationships/hyperlink" Target="https://doi.org/10.1016/j.actaastro.2024.01.039" TargetMode="External"/><Relationship Id="rId136" Type="http://schemas.openxmlformats.org/officeDocument/2006/relationships/hyperlink" Target="https://doi.org/10.1016/j.actaastro.2024.06.052" TargetMode="External"/><Relationship Id="rId141" Type="http://schemas.openxmlformats.org/officeDocument/2006/relationships/hyperlink" Target="https://doi.org/10.1016/j.actaastro.2025.01.042" TargetMode="External"/><Relationship Id="rId157" Type="http://schemas.openxmlformats.org/officeDocument/2006/relationships/hyperlink" Target="https://doi.org/10.1016/j.actaastro.2025.01.061" TargetMode="External"/><Relationship Id="rId160" Type="http://schemas.openxmlformats.org/officeDocument/2006/relationships/hyperlink" Target="https://doi.org/10.1016/j.actaastro.2025.02.010" TargetMode="External"/><Relationship Id="rId162" Type="http://schemas.openxmlformats.org/officeDocument/2006/relationships/hyperlink" Target="https://doi.org/10.1016/j.actaastro.2025.03.034" TargetMode="External"/><Relationship Id="rId164" Type="http://schemas.openxmlformats.org/officeDocument/2006/relationships/hyperlink" Target="https://doi.org/10.1016/j.actaastro.2025.05.036" TargetMode="External"/><Relationship Id="rId153" Type="http://schemas.openxmlformats.org/officeDocument/2006/relationships/hyperlink" Target="https://doi.org/10.64861/CXGE3201" TargetMode="External"/><Relationship Id="rId147" Type="http://schemas.openxmlformats.org/officeDocument/2006/relationships/hyperlink" Target="https://doi.org/10.64861/LFFV2455" TargetMode="External"/><Relationship Id="rId150" Type="http://schemas.openxmlformats.org/officeDocument/2006/relationships/hyperlink" Target="https://doi.org/10.64861/QPUF8377" TargetMode="External"/><Relationship Id="rId143" Type="http://schemas.openxmlformats.org/officeDocument/2006/relationships/hyperlink" Target="https://doi.org/10.64861/XAZU7498" TargetMode="External"/></Relationships>
</file>

<file path=word/_rels/footnotes.xml.rels><?xml version='1.0' encoding='UTF-8' standalone='yes'?>
<Relationships xmlns="http://schemas.openxmlformats.org/package/2006/relationships"><Relationship Id="rId134" Type="http://schemas.openxmlformats.org/officeDocument/2006/relationships/hyperlink" Target="https://doi.org/10.1016/j.actaastro.2020.04.056" TargetMode="External"/><Relationship Id="rId138" Type="http://schemas.openxmlformats.org/officeDocument/2006/relationships/hyperlink" Target="https://doi.org/10.1016/j.actaastro.2023.07.009" TargetMode="External"/><Relationship Id="rId166" Type="http://schemas.openxmlformats.org/officeDocument/2006/relationships/hyperlink" Target="https://doi.org/10.1016/j.actaastro.2024.01.039" TargetMode="External"/><Relationship Id="rId136" Type="http://schemas.openxmlformats.org/officeDocument/2006/relationships/hyperlink" Target="https://doi.org/10.1016/j.actaastro.2024.06.052" TargetMode="External"/><Relationship Id="rId141" Type="http://schemas.openxmlformats.org/officeDocument/2006/relationships/hyperlink" Target="https://doi.org/10.1016/j.actaastro.2025.01.042" TargetMode="External"/><Relationship Id="rId157" Type="http://schemas.openxmlformats.org/officeDocument/2006/relationships/hyperlink" Target="https://doi.org/10.1016/j.actaastro.2025.01.061" TargetMode="External"/><Relationship Id="rId160" Type="http://schemas.openxmlformats.org/officeDocument/2006/relationships/hyperlink" Target="https://doi.org/10.1016/j.actaastro.2025.02.010" TargetMode="External"/><Relationship Id="rId162" Type="http://schemas.openxmlformats.org/officeDocument/2006/relationships/hyperlink" Target="https://doi.org/10.1016/j.actaastro.2025.03.034" TargetMode="External"/><Relationship Id="rId164" Type="http://schemas.openxmlformats.org/officeDocument/2006/relationships/hyperlink" Target="https://doi.org/10.1016/j.actaastro.2025.05.036" TargetMode="External"/><Relationship Id="rId153" Type="http://schemas.openxmlformats.org/officeDocument/2006/relationships/hyperlink" Target="https://doi.org/10.64861/CXGE3201" TargetMode="External"/><Relationship Id="rId147" Type="http://schemas.openxmlformats.org/officeDocument/2006/relationships/hyperlink" Target="https://doi.org/10.64861/LFFV2455" TargetMode="External"/><Relationship Id="rId150" Type="http://schemas.openxmlformats.org/officeDocument/2006/relationships/hyperlink" Target="https://doi.org/10.64861/QPUF8377" TargetMode="External"/><Relationship Id="rId143" Type="http://schemas.openxmlformats.org/officeDocument/2006/relationships/hyperlink" Target="https://doi.org/10.64861/XAZU749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Registration Lag as a Governance Indicator: The Gap Between On-Orbit Activity and Treaty-Mandated Disclosure</dc:title>
  <dc:creator>Devin Espinoza (1B-SDA-077)</dc:creator>
  <cp:keywords/>
  <dcterms:created xsi:type="dcterms:W3CDTF">2026-07-02T17:03:51Z</dcterms:created>
  <dcterms:modified xsi:type="dcterms:W3CDTF">2026-07-02T17:03:51Z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