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footer1.xml" ContentType="application/vnd.openxmlformats-officedocument.wordprocessingml.footer+xml"/>
  <Override PartName="/word/footer2.xml" ContentType="application/vnd.openxmlformats-officedocument.wordprocessingml.footer+xml"/>
  <Override PartName="/word/media/rId82.png" ContentType="image/png"/>
  <Override PartName="/word/media/image14.jpeg" ContentType="image/jpeg"/>
  <Override PartName="/word/media/image1.jpeg" ContentType="image/jpeg"/>
  <Override PartName="/word/media/image2.jpeg" ContentType="image/jpe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jpeg" ContentType="image/jpeg"/>
  <Override PartName="/word/media/image9.png" ContentType="image/png"/>
  <Override PartName="/word/media/image10.png" ContentType="image/png"/>
  <Override PartName="/word/media/image11.png" ContentType="image/png"/>
  <Override PartName="/word/media/image13.png" ContentType="image/png"/>
  <Override PartName="/word/media/image12.png" ContentType="image/png"/>
  <Override PartName="/word/media/image15.jpeg" ContentType="image/jpeg"/>
  <Override PartName="/word/media/image16.png" ContentType="image/png"/>
  <Override PartName="/word/media/image17.png" ContentType="image/png"/>
  <Override PartName="/word/media/image18.png" ContentType="image/png"/>
  <Override PartName="/word/media/image19.jpeg" ContentType="image/jpeg"/>
  <Override PartName="/word/media/image20.png" ContentType="image/png"/>
  <Override PartName="/word/media/image21.png" ContentType="image/png"/>
  <Override PartName="/word/media/image22.png" ContentType="image/png"/>
  <Override PartName="/word/media/image23.png" ContentType="image/png"/>
  <Override PartName="/word/media/image24.jpeg" ContentType="image/jpeg"/>
  <Override PartName="/word/media/image25.jpeg" ContentType="image/jpe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90" w:name="X192fc5b6cc0cf945721eb4000a8f981b4a3f659"/>
    <w:p>
      <w:pPr>
        <w:pStyle w:val="Heading1"/>
      </w:pPr>
      <w:r>
        <w:t xml:space="preserve">Attention Accumulation in Automation Trust Calibration in Conjunction Assessment When Do Operators Over-: A Learning-Curve Analysis of Citation Growth by Article Age</w:t>
      </w:r>
    </w:p>
    <w:bookmarkStart w:id="61" w:name="introduction"/>
    <w:p>
      <w:pPr>
        <w:pStyle w:val="Heading2"/>
      </w:pPr>
      <w:r>
        <w:t xml:space="preserve">1. Introduction</w:t>
      </w:r>
    </w:p>
    <w:p>
      <w:pPr>
        <w:pStyle w:val="FirstParagraph"/>
      </w:pPr>
      <w:r>
        <w:t xml:space="preserve">This empirical paper supports Ananya Quinn (1B-SDA-170) and the dissertation project</w:t>
      </w:r>
      <w:r>
        <w:t xml:space="preserve"> </w:t>
      </w:r>
      <w:r>
        <w:rPr>
          <w:i/>
          <w:iCs/>
        </w:rPr>
        <w:t xml:space="preserve">Automation Trust Calibration in Conjunction Assessment: When Do Operators Over-</w:t>
      </w:r>
      <w:r>
        <w:t xml:space="preserve">. The model tests whether citation accumulation is structured by article age inside the retrieved corpus. The analysis uses the local candidate source pack and reports only deterministic workbook results</w:t>
      </w:r>
      <w:r>
        <w:t xml:space="preserve"> </w:t>
      </w:r>
      <w:hyperlink w:anchor="ref-1">
        <m:oMathPara>
          <m:oMathParaPr>
            <m:jc m:val="center"/>
          </m:oMathParaPr>
          <m:oMath>
            <m:r>
              <m:t>1</m:t>
            </m:r>
          </m:oMath>
        </m:oMathPara>
      </w:hyperlink>
      <w:r>
        <w:t xml:space="preserve">,</w:t>
      </w:r>
      <w:r>
        <w:t xml:space="preserve"> </w:t>
      </w:r>
      <w:hyperlink w:anchor="ref-2">
        <m:oMathPara>
          <m:oMathParaPr>
            <m:jc m:val="center"/>
          </m:oMathParaPr>
          <m:oMath>
            <m:r>
              <m:t>2</m:t>
            </m:r>
          </m:oMath>
        </m:oMathPara>
      </w:hyperlink>
      <w:r>
        <w:t xml:space="preserve">,</w:t>
      </w:r>
      <w:r>
        <w:t xml:space="preserve"> </w:t>
      </w:r>
      <w:hyperlink w:anchor="ref-3">
        <m:oMathPara>
          <m:oMathParaPr>
            <m:jc m:val="center"/>
          </m:oMathParaPr>
          <m:oMath>
            <m:r>
              <m:t>3</m:t>
            </m:r>
          </m:oMath>
        </m:oMathPara>
      </w:hyperlink>
      <w:r>
        <w:t xml:space="preserve">.</w:t>
      </w:r>
    </w:p>
    <w:bookmarkEnd w:id="61"/>
    <w:bookmarkStart w:id="62" w:name="theory-and-hypotheses"/>
    <w:p>
      <w:pPr>
        <w:pStyle w:val="Heading2"/>
      </w:pPr>
      <w:r>
        <w:t xml:space="preserve">2. Theory and Hypotheses</w:t>
      </w:r>
    </w:p>
    <w:p>
      <w:pPr>
        <w:pStyle w:val="FirstParagraph"/>
      </w:pPr>
      <w:r>
        <w:t xml:space="preserve">The theoretical claim is intentionally narrow. If the candidate topic has become more visible in the retrieved literature, then source metadata should show structure across time, attention, or venue. If it has not, the model should return weak or unstable associations</w:t>
      </w:r>
      <w:r>
        <w:t xml:space="preserve"> </w:t>
      </w:r>
      <w:hyperlink w:anchor="ref-3">
        <m:oMathPara>
          <m:oMathParaPr>
            <m:jc m:val="center"/>
          </m:oMathParaPr>
          <m:oMath>
            <m:r>
              <m:t>3</m:t>
            </m:r>
          </m:oMath>
        </m:oMathPara>
      </w:hyperlink>
      <w:r>
        <w:t xml:space="preserve">,</w:t>
      </w:r>
      <w:r>
        <w:t xml:space="preserve"> </w:t>
      </w:r>
      <w:hyperlink w:anchor="ref-4">
        <m:oMathPara>
          <m:oMathParaPr>
            <m:jc m:val="center"/>
          </m:oMathParaPr>
          <m:oMath>
            <m:r>
              <m:t>4</m:t>
            </m:r>
          </m:oMath>
        </m:oMathPara>
      </w:hyperlink>
      <w:r>
        <w:t xml:space="preserve">.</w:t>
      </w:r>
    </w:p>
    <w:p>
      <w:pPr>
        <w:pStyle w:val="FirstParagraph"/>
      </w:pPr>
      <w:r>
        <w:t xml:space="preserve">H0: the modeled outcome is unrelated to the specified predictors.</w:t>
      </w:r>
    </w:p>
    <w:p>
      <w:pPr>
        <w:pStyle w:val="BodyText"/>
      </w:pPr>
      <w:r>
        <w:t xml:space="preserve">H1: the modeled outcome is systematically related to the specified predictors.</w:t>
      </w:r>
    </w:p>
    <w:bookmarkEnd w:id="62"/>
    <w:bookmarkStart w:id="63" w:name="data"/>
    <w:p>
      <w:pPr>
        <w:pStyle w:val="Heading2"/>
      </w:pPr>
      <w:r>
        <w:t xml:space="preserve">3. Data</w:t>
      </w:r>
    </w:p>
    <w:p>
      <w:pPr>
        <w:pStyle w:val="FirstParagraph"/>
      </w:pPr>
      <w:r>
        <w:t xml:space="preserve">The estimation file contains 30 retrieved source records. Variables are constructed from local metadata, including publication year, reported citation count, venue family, and deterministic topic-signal fields. Every row preserves a source column so the empirical workbook remains auditable.</w:t>
      </w:r>
    </w:p>
    <w:bookmarkEnd w:id="63"/>
    <w:bookmarkStart w:id="64" w:name="method"/>
    <w:p>
      <w:pPr>
        <w:pStyle w:val="Heading2"/>
      </w:pPr>
      <w:r>
        <w:t xml:space="preserve">4. Method</w:t>
      </w:r>
    </w:p>
    <w:p>
      <w:pPr>
        <w:pStyle w:val="FirstParagraph"/>
      </w:pPr>
      <w:r>
        <w:t xml:space="preserve">The estimator is a log-log learning-curve model with robust HC1 standard errors. The exact fit summary is: N=30, R2=0.023440694416215435, elasticity_b=-0.25837076095764205, progress_ratio_2^b=0.8360315189649841. The exact term summary is: const coef=1.127290290225325 p=0.011145964193320777; _ln_x coef=-0.25837076095764205 p=0.389254389019277. These values are interpreted as corpus-screen evidence, not as final causal estimates.</w:t>
      </w:r>
    </w:p>
    <w:bookmarkEnd w:id="64"/>
    <w:bookmarkStart w:id="65" w:name="findings"/>
    <w:p>
      <w:pPr>
        <w:pStyle w:val="Heading2"/>
      </w:pPr>
      <w:r>
        <w:t xml:space="preserve">5. Findings</w:t>
      </w:r>
    </w:p>
    <w:p>
      <w:pPr>
        <w:pStyle w:val="FirstParagraph"/>
      </w:pPr>
      <w:r>
        <w:t xml:space="preserve">The findings are bounded by the estimator output. Where a coefficient is signed and precise, it indicates structure in the retrieved source corpus. Where a coefficient is imprecise, the paper treats the result as evidence against a strong claim. This distinction matters because a noisy source pack should not be forced to carry more policy weight than it can bear</w:t>
      </w:r>
      <w:r>
        <w:t xml:space="preserve"> </w:t>
      </w:r>
      <w:hyperlink w:anchor="ref-2">
        <m:oMathPara>
          <m:oMathParaPr>
            <m:jc m:val="center"/>
          </m:oMathParaPr>
          <m:oMath>
            <m:r>
              <m:t>2</m:t>
            </m:r>
          </m:oMath>
        </m:oMathPara>
      </w:hyperlink>
      <w:r>
        <w:t xml:space="preserve">,</w:t>
      </w:r>
      <w:r>
        <w:t xml:space="preserve"> </w:t>
      </w:r>
      <w:hyperlink w:anchor="ref-5">
        <m:oMathPara>
          <m:oMathParaPr>
            <m:jc m:val="center"/>
          </m:oMathParaPr>
          <m:oMath>
            <m:r>
              <m:t>5</m:t>
            </m:r>
          </m:oMath>
        </m:oMathPara>
      </w:hyperlink>
      <w:r>
        <w:t xml:space="preserve">.</w:t>
      </w:r>
    </w:p>
    <w:bookmarkEnd w:id="65"/>
    <w:bookmarkStart w:id="66" w:name="discussion"/>
    <w:p>
      <w:pPr>
        <w:pStyle w:val="Heading2"/>
      </w:pPr>
      <w:r>
        <w:t xml:space="preserve">6. Discussion</w:t>
      </w:r>
    </w:p>
    <w:p>
      <w:pPr>
        <w:pStyle w:val="FirstParagraph"/>
      </w:pPr>
      <w:r>
        <w:t xml:space="preserve">The paper contributes to the dissertation by keeping the evidentiary chain inspectable. It shows which parts of the candidate topic are visible in metadata and which parts need a more direct document-coding design. The result is a disciplined bridge from source retrieval to dissertation-level interpretation</w:t>
      </w:r>
      <w:r>
        <w:t xml:space="preserve"> </w:t>
      </w:r>
      <w:hyperlink w:anchor="ref-1">
        <m:oMathPara>
          <m:oMathParaPr>
            <m:jc m:val="center"/>
          </m:oMathParaPr>
          <m:oMath>
            <m:r>
              <m:t>1</m:t>
            </m:r>
          </m:oMath>
        </m:oMathPara>
      </w:hyperlink>
      <w:r>
        <w:t xml:space="preserve">,</w:t>
      </w:r>
      <w:r>
        <w:t xml:space="preserve"> </w:t>
      </w:r>
      <w:hyperlink w:anchor="ref-6">
        <m:oMathPara>
          <m:oMathParaPr>
            <m:jc m:val="center"/>
          </m:oMathParaPr>
          <m:oMath>
            <m:r>
              <m:t>6</m:t>
            </m:r>
          </m:oMath>
        </m:oMathPara>
      </w:hyperlink>
      <w:r>
        <w:t xml:space="preserve">.</w:t>
      </w:r>
    </w:p>
    <w:bookmarkEnd w:id="66"/>
    <w:bookmarkStart w:id="80" w:name="references"/>
    <w:p>
      <w:pPr>
        <w:pStyle w:val="Heading2"/>
      </w:pPr>
      <w:r>
        <w:t xml:space="preserve">References</w:t>
      </w:r>
    </w:p>
    <w:p>
      <w:pPr>
        <w:pStyle w:val="FirstParagraph"/>
      </w:pPr>
      <w:bookmarkStart w:id="67" w:name="ref-1"/>
      <w:bookmarkEnd w:id="67"/>
      <w:r>
        <w:t xml:space="preserve">1. James Reilly, Booz Allen Hamilton; Matthew Blackford, Booz Allen Hamilton; Jillian Mueller, Booz Allen Hamilton. Challenges in Space Traffic Management (2023). doi:</w:t>
      </w:r>
      <w:r>
        <w:t xml:space="preserve"> </w:t>
      </w:r>
      <w:hyperlink r:id="rId68">
        <w:r>
          <w:rPr>
            <w:rStyle w:val="Hyperlink"/>
          </w:rPr>
          <w:t xml:space="preserve">10.64861/UCTN1793</w:t>
        </w:r>
      </w:hyperlink>
      <w:r>
        <w:t xml:space="preserve"> </w:t>
      </w:r>
      <w:bookmarkStart w:id="69" w:name="ref-2"/>
      <w:bookmarkEnd w:id="69"/>
      <w:r>
        <w:t xml:space="preserve">2. Garrett Fitzgerald, U. S. Space Force; Rachel Morris, Applied Decision Science; Laura G. Militello, Applied Decision Science; Justin Fletcher, USSF/SSC. Building Trust in Human-Machine Teaming for Autonomous Space Sensing (2024). doi:</w:t>
      </w:r>
      <w:r>
        <w:t xml:space="preserve"> </w:t>
      </w:r>
      <w:hyperlink r:id="rId70">
        <w:r>
          <w:rPr>
            <w:rStyle w:val="Hyperlink"/>
          </w:rPr>
          <w:t xml:space="preserve">10.64861/HWZS9386</w:t>
        </w:r>
      </w:hyperlink>
      <w:r>
        <w:t xml:space="preserve"> </w:t>
      </w:r>
      <w:bookmarkStart w:id="71" w:name="ref-3"/>
      <w:bookmarkEnd w:id="71"/>
      <w:r>
        <w:t xml:space="preserve">3. Ruth Stilwell, Aerospace Policy Solutions, LLC; Kyle Quakenbush, MITRE; John Giles, Space Domain Strategies; Nathaniel Dailey, MITRE &amp; Space Force Association. Human Factors in Space Operators-Leveraging Aviation Safety Frameworks for Enhanced Orbital Domain Resilience (2025). doi:</w:t>
      </w:r>
      <w:r>
        <w:t xml:space="preserve"> </w:t>
      </w:r>
      <w:hyperlink r:id="rId72">
        <w:r>
          <w:rPr>
            <w:rStyle w:val="Hyperlink"/>
          </w:rPr>
          <w:t xml:space="preserve">10.64861/JSGC2795</w:t>
        </w:r>
      </w:hyperlink>
      <w:r>
        <w:t xml:space="preserve"> </w:t>
      </w:r>
      <w:bookmarkStart w:id="73" w:name="ref-4"/>
      <w:bookmarkEnd w:id="73"/>
      <w:r>
        <w:t xml:space="preserve">4. Joe Gorman, Charles River Analytics, Martin Voshell, Charles River Analytics, Amy Sliva, Charles River Analytics. Assessment for Operator Confidence in Automated Space Situational Awareness and Satellite Control Systems (2016). [AMOS]</w:t>
      </w:r>
      <w:r>
        <w:t xml:space="preserve"> </w:t>
      </w:r>
      <w:bookmarkStart w:id="74" w:name="ref-5"/>
      <w:bookmarkEnd w:id="74"/>
      <w:r>
        <w:t xml:space="preserve">5. Harvey Reed, MITRE; Nathaniel Dailey, MITRE; Ruth Stilwell, Aerospace Policy Solutions, LLC; Brian Weeden, Secure World Foundation. Decentralized Space Information Sharing as a Key Enabler of Trust and the Preservation of Space (2021). [AMOS]</w:t>
      </w:r>
      <w:r>
        <w:t xml:space="preserve"> </w:t>
      </w:r>
      <w:bookmarkStart w:id="75" w:name="ref-6"/>
      <w:bookmarkEnd w:id="75"/>
      <w:r>
        <w:t xml:space="preserve">6. Thomas Kelecy, L3 Harris; Emily Lambert, L3 Harris; Benjamin Sunderland, L3 Harris; Vivek Desai, University of Texas, Austin. Dynamic Calibration of Multiple Data Types (2019). [AMOS]</w:t>
      </w:r>
      <w:r>
        <w:t xml:space="preserve"> </w:t>
      </w:r>
      <w:bookmarkStart w:id="76" w:name="ref-7"/>
      <w:bookmarkEnd w:id="76"/>
      <w:r>
        <w:t xml:space="preserve">7. Oliver Schultz, Lockheed Martin; Joseph Brink, Lockheed Martin; Mark Williams, Lockheed Martin; Christopher Curry, Lockheed Martin. Data Insights, Pedigree, and Automation for Space Domain Awareness (2024). doi:</w:t>
      </w:r>
      <w:r>
        <w:t xml:space="preserve"> </w:t>
      </w:r>
      <w:hyperlink r:id="rId77">
        <w:r>
          <w:rPr>
            <w:rStyle w:val="Hyperlink"/>
          </w:rPr>
          <w:t xml:space="preserve">10.64861/NUFH1261</w:t>
        </w:r>
      </w:hyperlink>
      <w:r>
        <w:t xml:space="preserve"> </w:t>
      </w:r>
      <w:bookmarkStart w:id="78" w:name="ref-8"/>
      <w:bookmarkEnd w:id="78"/>
      <w:r>
        <w:t xml:space="preserve">8. Kerstyn Auman, The Aerospace Corporation; Timothy S. Murphy, The Aerospace Corporation; Eric George, The Aerospace Corporation; Patrick Kelly, The Aerospace Corporation; Carson Coursey, The Aerospace Corporation; David Goldstein, SpaceX; Ian Ruh, SpaceX; Kate Hymes, SpaceX. Validation Methodology for TraCSS Conjunction Assessment (2025). doi:</w:t>
      </w:r>
      <w:r>
        <w:t xml:space="preserve"> </w:t>
      </w:r>
      <w:hyperlink r:id="rId79">
        <w:r>
          <w:rPr>
            <w:rStyle w:val="Hyperlink"/>
          </w:rPr>
          <w:t xml:space="preserve">10.64861/GVYB8737</w:t>
        </w:r>
      </w:hyperlink>
    </w:p>
    <w:bookmarkEnd w:id="80"/>
    <w:bookmarkStart w:id="81" w:name="specification"/>
    <w:p>
      <w:pPr>
        <w:pStyle w:val="Heading2"/>
      </w:pPr>
      <w:r>
        <w:t xml:space="preserve">Specification</w:t>
      </w:r>
    </w:p>
    <w:p>
      <w:pPr>
        <w:pStyle w:val="FirstParagraph"/>
      </w:pPr>
      <m:oMathPara>
        <m:oMathParaPr>
          <m:jc m:val="center"/>
        </m:oMathParaPr>
        <m:oMath>
          <m:r>
            <m:rPr>
              <m:sty m:val="p"/>
            </m:rPr>
            <m:t>ln</m:t>
          </m:r>
          <m:r>
            <m:rPr>
              <m:sty m:val="p"/>
            </m:rPr>
            <m:t>(</m:t>
          </m:r>
          <m:sSub>
            <m:e>
              <m:r>
                <m:rPr>
                  <m:nor/>
                  <m:sty m:val="p"/>
                </m:rPr>
                <m:t>CitesPlus1</m:t>
              </m:r>
            </m:e>
            <m:sub>
              <m:r>
                <m:t>i</m:t>
              </m:r>
            </m:sub>
          </m:sSub>
          <m:r>
            <m:rPr>
              <m:sty m:val="p"/>
            </m:rPr>
            <m:t>)</m:t>
          </m:r>
          <m:r>
            <m:rPr>
              <m:sty m:val="p"/>
            </m:rPr>
            <m:t>=</m:t>
          </m:r>
          <m:r>
            <m:t>α</m:t>
          </m:r>
          <m:r>
            <m:rPr>
              <m:sty m:val="p"/>
            </m:rPr>
            <m:t>+</m:t>
          </m:r>
          <m:sSub>
            <m:e>
              <m:r>
                <m:t>β</m:t>
              </m:r>
            </m:e>
            <m:sub>
              <m:r>
                <m:t>1</m:t>
              </m:r>
            </m:sub>
          </m:sSub>
          <m:r>
            <m:rPr>
              <m:sty m:val="p"/>
            </m:rPr>
            <m:t>ln</m:t>
          </m:r>
          <m:r>
            <m:rPr>
              <m:sty m:val="p"/>
            </m:rPr>
            <m:t>(</m:t>
          </m:r>
          <m:sSub>
            <m:e>
              <m:r>
                <m:rPr>
                  <m:nor/>
                  <m:sty m:val="p"/>
                </m:rPr>
                <m:t>AgeIndex</m:t>
              </m:r>
            </m:e>
            <m:sub>
              <m:r>
                <m:t>i</m:t>
              </m:r>
            </m:sub>
          </m:sSub>
          <m:r>
            <m:rPr>
              <m:sty m:val="p"/>
            </m:rPr>
            <m:t>)</m:t>
          </m:r>
          <m:r>
            <m:rPr>
              <m:sty m:val="p"/>
            </m:rPr>
            <m:t>+</m:t>
          </m:r>
          <m:sSub>
            <m:e>
              <m:r>
                <m:t>ε</m:t>
              </m:r>
            </m:e>
            <m:sub>
              <m:r>
                <m:t>i</m:t>
              </m:r>
            </m:sub>
          </m:sSub>
        </m:oMath>
      </m:oMathPara>
    </w:p>
    <w:bookmarkEnd w:id="81"/>
    <w:bookmarkStart w:id="85" w:name="results"/>
    <w:p>
      <w:pPr>
        <w:pStyle w:val="Heading2"/>
      </w:pPr>
      <w:r>
        <w:t xml:space="preserve">Results</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1.1273</w:t>
            </w:r>
          </w:p>
        </w:tc>
        <w:tc>
          <w:tcPr>
            <w:tcW w:w="0" w:type="auto"/>
          </w:tcPr>
          <w:p>
            <w:pPr>
              <w:spacing w:line="240" w:lineRule="auto" w:before="0" w:after="0"/>
              <w:pStyle w:val="Compact"/>
            </w:pPr>
            <w:r>
              <w:rPr>
                <w:sz w:val="20"/>
                <w:szCs w:val="20"/>
              </w:rPr>
              <w:t xml:space="preserve">0.4441</w:t>
            </w:r>
          </w:p>
        </w:tc>
        <w:tc>
          <w:tcPr>
            <w:tcW w:w="0" w:type="auto"/>
          </w:tcPr>
          <w:p>
            <w:pPr>
              <w:spacing w:line="240" w:lineRule="auto" w:before="0" w:after="0"/>
              <w:pStyle w:val="Compact"/>
            </w:pPr>
            <w:r>
              <w:rPr>
                <w:sz w:val="20"/>
                <w:szCs w:val="20"/>
              </w:rPr>
              <w:t xml:space="preserve">2.5381</w:t>
            </w:r>
          </w:p>
        </w:tc>
        <w:tc>
          <w:tcPr>
            <w:tcW w:w="0" w:type="auto"/>
          </w:tcPr>
          <w:p>
            <w:pPr>
              <w:spacing w:line="240" w:lineRule="auto" w:before="0" w:after="0"/>
              <w:pStyle w:val="Compact"/>
            </w:pPr>
            <w:r>
              <w:rPr>
                <w:sz w:val="20"/>
                <w:szCs w:val="20"/>
              </w:rPr>
              <w:t xml:space="preserve">0.0111</w:t>
            </w:r>
          </w:p>
        </w:tc>
        <w:tc>
          <w:tcPr>
            <w:tcW w:w="0" w:type="auto"/>
          </w:tcPr>
          <w:p>
            <w:pPr>
              <w:spacing w:line="240" w:lineRule="auto" w:before="0" w:after="0"/>
              <w:pStyle w:val="Compact"/>
            </w:pPr>
            <w:r>
              <w:rPr>
                <w:sz w:val="20"/>
                <w:szCs w:val="20"/>
              </w:rPr>
              <w:t xml:space="preserve">[0.2568, 1.9978]</w:t>
            </w:r>
          </w:p>
        </w:tc>
      </w:tr>
      <w:tr>
        <w:tc>
          <w:tcPr>
            <w:tcW w:w="0" w:type="auto"/>
          </w:tcPr>
          <w:p>
            <w:pPr>
              <w:spacing w:line="240" w:lineRule="auto" w:before="0" w:after="0"/>
              <w:pStyle w:val="Compact"/>
            </w:pPr>
            <w:r>
              <w:rPr>
                <w:sz w:val="20"/>
                <w:szCs w:val="20"/>
              </w:rPr>
              <w:t xml:space="preserve">_ln_x</w:t>
            </w:r>
          </w:p>
        </w:tc>
        <w:tc>
          <w:tcPr>
            <w:tcW w:w="0" w:type="auto"/>
          </w:tcPr>
          <w:p>
            <w:pPr>
              <w:spacing w:line="240" w:lineRule="auto" w:before="0" w:after="0"/>
              <w:pStyle w:val="Compact"/>
            </w:pPr>
            <w:r>
              <w:rPr>
                <w:sz w:val="20"/>
                <w:szCs w:val="20"/>
              </w:rPr>
              <w:t xml:space="preserve">-0.2584</w:t>
            </w:r>
          </w:p>
        </w:tc>
        <w:tc>
          <w:tcPr>
            <w:tcW w:w="0" w:type="auto"/>
          </w:tcPr>
          <w:p>
            <w:pPr>
              <w:spacing w:line="240" w:lineRule="auto" w:before="0" w:after="0"/>
              <w:pStyle w:val="Compact"/>
            </w:pPr>
            <w:r>
              <w:rPr>
                <w:sz w:val="20"/>
                <w:szCs w:val="20"/>
              </w:rPr>
              <w:t xml:space="preserve">0.3001</w:t>
            </w:r>
          </w:p>
        </w:tc>
        <w:tc>
          <w:tcPr>
            <w:tcW w:w="0" w:type="auto"/>
          </w:tcPr>
          <w:p>
            <w:pPr>
              <w:spacing w:line="240" w:lineRule="auto" w:before="0" w:after="0"/>
              <w:pStyle w:val="Compact"/>
            </w:pPr>
            <w:r>
              <w:rPr>
                <w:sz w:val="20"/>
                <w:szCs w:val="20"/>
              </w:rPr>
              <w:t xml:space="preserve">-0.861</w:t>
            </w:r>
          </w:p>
        </w:tc>
        <w:tc>
          <w:tcPr>
            <w:tcW w:w="0" w:type="auto"/>
          </w:tcPr>
          <w:p>
            <w:pPr>
              <w:spacing w:line="240" w:lineRule="auto" w:before="0" w:after="0"/>
              <w:pStyle w:val="Compact"/>
            </w:pPr>
            <w:r>
              <w:rPr>
                <w:sz w:val="20"/>
                <w:szCs w:val="20"/>
              </w:rPr>
              <w:t xml:space="preserve">0.3893</w:t>
            </w:r>
          </w:p>
        </w:tc>
        <w:tc>
          <w:tcPr>
            <w:tcW w:w="0" w:type="auto"/>
          </w:tcPr>
          <w:p>
            <w:pPr>
              <w:spacing w:line="240" w:lineRule="auto" w:before="0" w:after="0"/>
              <w:pStyle w:val="Compact"/>
            </w:pPr>
            <w:r>
              <w:rPr>
                <w:sz w:val="20"/>
                <w:szCs w:val="20"/>
              </w:rPr>
              <w:t xml:space="preserve">[-0.8465, 0.3298]</w:t>
            </w:r>
          </w:p>
        </w:tc>
      </w:tr>
    </w:tbl>
    <w:p>
      <w:pPr>
        <w:pStyle w:val="BodyText"/>
      </w:pPr>
      <w:r>
        <w:t xml:space="preserve">Fit: N = 30 R2 = 0.0234 elasticity_b = -0.2584 progress_ratio_2^b = 0.836</w:t>
      </w:r>
    </w:p>
    <w:p>
      <w:pPr>
        <w:pStyle w:val="CaptionedFigure"/>
      </w:pPr>
      <w:r>
        <w:drawing>
          <wp:inline>
            <wp:extent cx="5669280" cy="3657600"/>
            <wp:effectExtent b="0" l="0" r="0" t="0"/>
            <wp:docPr descr="Figure 1. Citation accumulation against article age in the retrieved topic literature." title="" id="83" name="Picture"/>
            <a:graphic>
              <a:graphicData uri="http://schemas.openxmlformats.org/drawingml/2006/picture">
                <pic:pic>
                  <pic:nvPicPr>
                    <pic:cNvPr descr="D:\Claude_Code\brain\collegium\candidates\dissertations\SSA_SDA_07\research_papers\p2\paper_fig1.png" id="84" name="Picture"/>
                    <pic:cNvPicPr>
                      <a:picLocks noChangeArrowheads="1" noChangeAspect="1"/>
                    </pic:cNvPicPr>
                  </pic:nvPicPr>
                  <pic:blipFill>
                    <a:blip r:embed="rId82"/>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pPr>
      <w:r>
        <w:t xml:space="preserve">Figure 1. Citation accumulation against article age in the retrieved topic literature.</w:t>
      </w:r>
    </w:p>
    <w:bookmarkEnd w:id="85"/>
    <w:bookmarkStart w:id="89" w:name="empirical-workbook-embedded"/>
    <w:p>
      <w:pPr>
        <w:pStyle w:val="Heading2"/>
      </w:pPr>
      <w:r>
        <w:t xml:space="preserve">Empirical Workbook (embedded)</w:t>
      </w:r>
    </w:p>
    <w:p>
      <w:pPr>
        <w:pStyle w:val="FirstParagraph"/>
      </w:pPr>
      <w:r>
        <w:t xml:space="preserve">Every figure above is reproduced from the workbook below, which is also attached as the live spreadsheet</w:t>
      </w:r>
      <w:r>
        <w:t xml:space="preserve"> </w:t>
      </w:r>
      <w:r>
        <w:rPr>
          <w:rStyle w:val="VerbatimChar"/>
        </w:rPr>
        <w:t xml:space="preserve">paper.xlsx</w:t>
      </w:r>
      <w:r>
        <w:t xml:space="preserve">. Each observation carries its source.</w:t>
      </w:r>
    </w:p>
    <w:bookmarkStart w:id="86" w:name="data-real-observations"/>
    <w:p>
      <w:pPr>
        <w:pStyle w:val="Heading3"/>
      </w:pPr>
      <w:r>
        <w:t xml:space="preserve">Data (real observations)</w:t>
      </w:r>
    </w:p>
    <w:tbl>
      <w:tblPr>
        <w:tblStyle w:val="Table"/>
        <w:tblLook w:firstRow="1" w:lastRow="0" w:firstColumn="0" w:lastColumn="0" w:noHBand="0" w:noVBand="0" w:val="0020"/>
        <w:tblLayout w:type="autofit"/>
        <w:tblW w:w="0" w:type="auto"/>
      </w:tblPr>
      <w:tblGrid>
        <w:gridCol w:w="1131"/>
        <w:gridCol w:w="1131"/>
        <w:gridCol w:w="1131"/>
        <w:gridCol w:w="1131"/>
        <w:gridCol w:w="1131"/>
        <w:gridCol w:w="1131"/>
        <w:gridCol w:w="1131"/>
      </w:tblGrid>
      <w:tr>
        <w:trPr>
          <w:tblHeader w:val="on"/>
        </w:trPr>
        <w:tc>
          <w:tcPr>
            <w:tcW w:w="0" w:type="auto"/>
          </w:tcPr>
          <w:p>
            <w:pPr>
              <w:spacing w:line="240" w:lineRule="auto" w:before="0" w:after="0"/>
              <w:pStyle w:val="Compact"/>
            </w:pPr>
            <w:r>
              <w:rPr>
                <w:sz w:val="20"/>
                <w:szCs w:val="20"/>
              </w:rPr>
              <w:t xml:space="preserve">doc_id</w:t>
            </w:r>
          </w:p>
        </w:tc>
        <w:tc>
          <w:tcPr>
            <w:tcW w:w="0" w:type="auto"/>
          </w:tcPr>
          <w:p>
            <w:pPr>
              <w:spacing w:line="240" w:lineRule="auto" w:before="0" w:after="0"/>
              <w:pStyle w:val="Compact"/>
            </w:pPr>
            <w:r>
              <w:rPr>
                <w:sz w:val="20"/>
                <w:szCs w:val="20"/>
              </w:rPr>
              <w:t xml:space="preserve">year_num</w:t>
            </w:r>
          </w:p>
        </w:tc>
        <w:tc>
          <w:tcPr>
            <w:tcW w:w="0" w:type="auto"/>
          </w:tcPr>
          <w:p>
            <w:pPr>
              <w:spacing w:line="240" w:lineRule="auto" w:before="0" w:after="0"/>
              <w:pStyle w:val="Compact"/>
            </w:pPr>
            <w:r>
              <w:rPr>
                <w:sz w:val="20"/>
                <w:szCs w:val="20"/>
              </w:rPr>
              <w:t xml:space="preserve">age_index</w:t>
            </w:r>
          </w:p>
        </w:tc>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cites_plus1</w:t>
            </w:r>
          </w:p>
        </w:tc>
        <w:tc>
          <w:tcPr>
            <w:tcW w:w="0" w:type="auto"/>
          </w:tcPr>
          <w:p>
            <w:pPr>
              <w:spacing w:line="240" w:lineRule="auto" w:before="0" w:after="0"/>
              <w:pStyle w:val="Compact"/>
            </w:pPr>
            <w:r>
              <w:rPr>
                <w:sz w:val="20"/>
                <w:szCs w:val="20"/>
              </w:rPr>
              <w:t xml:space="preserve">signal_score</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10.64861/UCTN1793</w:t>
            </w:r>
          </w:p>
        </w:tc>
      </w:tr>
      <w:tr>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10.64861/HWZS9386</w:t>
            </w:r>
          </w:p>
        </w:tc>
      </w:tr>
      <w:tr>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10.64861/JSGC2795</w:t>
            </w:r>
          </w:p>
        </w:tc>
      </w:tr>
      <w:tr>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https://amostech.space/year/2016/assessment-for-operator-confidence-in-automated-space-situational-awareness-and-satellite-control-systems/</w:t>
            </w:r>
          </w:p>
        </w:tc>
      </w:tr>
      <w:tr>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https://amostech.space/year/2021/decentralized-space-information-sharing-as-a-key-enabler-of-trust-and-the-preservation-of-space/</w:t>
            </w:r>
          </w:p>
        </w:tc>
      </w:tr>
      <w:tr>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https://amostech.space/year/2019/dynamic-calibration-of-multiple-data-types/</w:t>
            </w:r>
          </w:p>
        </w:tc>
      </w:tr>
      <w:tr>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10.64861/NUFH1261</w:t>
            </w:r>
          </w:p>
        </w:tc>
      </w:tr>
      <w:tr>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10.64861/GVYB8737</w:t>
            </w:r>
          </w:p>
        </w:tc>
      </w:tr>
      <w:tr>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10.64861/KKFT4985</w:t>
            </w:r>
          </w:p>
        </w:tc>
      </w:tr>
      <w:tr>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2010</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https://amostech.space/year/2010/advances-in-satellite-conjunction-analysis/</w:t>
            </w:r>
          </w:p>
        </w:tc>
      </w:tr>
      <w:tr>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https://amostech.space/year/2022/decision-support-tool-for-risk-assessment-maneuver-planning-in-collision-avoidance/</w:t>
            </w:r>
          </w:p>
        </w:tc>
      </w:tr>
      <w:tr>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10.64861/OTAL2562</w:t>
            </w:r>
          </w:p>
        </w:tc>
      </w:tr>
      <w:tr>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10.1016/j.actaastro.2024.01.039</w:t>
            </w:r>
          </w:p>
        </w:tc>
      </w:tr>
      <w:tr>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10.1016/j.actaastro.2020.11.056</w:t>
            </w:r>
          </w:p>
        </w:tc>
      </w:tr>
      <w:tr>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10.1016/j.actaastro.2025.12.053</w:t>
            </w:r>
          </w:p>
        </w:tc>
      </w:tr>
      <w:tr>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10.1016/j.actaastro.2018.09.030</w:t>
            </w:r>
          </w:p>
        </w:tc>
      </w:tr>
      <w:tr>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10.1016/j.actaastro.2024.12.056</w:t>
            </w:r>
          </w:p>
        </w:tc>
      </w:tr>
      <w:tr>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10.1016/j.actaastro.2025.01.042</w:t>
            </w:r>
          </w:p>
        </w:tc>
      </w:tr>
      <w:tr>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51</w:t>
            </w:r>
          </w:p>
        </w:tc>
        <w:tc>
          <w:tcPr>
            <w:tcW w:w="0" w:type="auto"/>
          </w:tcPr>
          <w:p>
            <w:pPr>
              <w:spacing w:line="240" w:lineRule="auto" w:before="0" w:after="0"/>
              <w:pStyle w:val="Compact"/>
            </w:pPr>
            <w:r>
              <w:rPr>
                <w:sz w:val="20"/>
                <w:szCs w:val="20"/>
              </w:rPr>
              <w:t xml:space="preserve">52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10.1016/j.actaastro.2018.03.017</w:t>
            </w:r>
          </w:p>
        </w:tc>
      </w:tr>
      <w:tr>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10.1016/j.actaastro.2025.03.034</w:t>
            </w:r>
          </w:p>
        </w:tc>
      </w:tr>
      <w:tr>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10.1016/j.actaastro.2018.12.043</w:t>
            </w:r>
          </w:p>
        </w:tc>
      </w:tr>
      <w:tr>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10.1016/j.actaastro.2025.05.002</w:t>
            </w:r>
          </w:p>
        </w:tc>
      </w:tr>
      <w:tr>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10.1016/j.actaastro.2025.07.027</w:t>
            </w:r>
          </w:p>
        </w:tc>
      </w:tr>
      <w:tr>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10.1016/j.actaastro.2025.05.036</w:t>
            </w:r>
          </w:p>
        </w:tc>
      </w:tr>
      <w:tr>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Technical Challenges of Better SSA and STM</w:t>
            </w:r>
          </w:p>
        </w:tc>
      </w:tr>
      <w:tr>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10.1016/j.jsse.2019.05.004</w:t>
            </w:r>
          </w:p>
        </w:tc>
      </w:tr>
      <w:tr>
        <w:tc>
          <w:tcPr>
            <w:tcW w:w="0" w:type="auto"/>
          </w:tcPr>
          <w:p>
            <w:pPr>
              <w:spacing w:line="240" w:lineRule="auto" w:before="0" w:after="0"/>
              <w:pStyle w:val="Compact"/>
            </w:pPr>
            <w:r>
              <w:rPr>
                <w:sz w:val="20"/>
                <w:szCs w:val="20"/>
              </w:rPr>
              <w:t xml:space="preserve">27</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Prototyping Operational Autonomy for STM</w:t>
            </w:r>
          </w:p>
        </w:tc>
      </w:tr>
      <w:tr>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Blockchain Enabled Space Traffic Awareness (BESTA): Automated Comparison of SSA to Agreed Behavior</w:t>
            </w:r>
          </w:p>
        </w:tc>
      </w:tr>
      <w:tr>
        <w:tc>
          <w:tcPr>
            <w:tcW w:w="0" w:type="auto"/>
          </w:tcPr>
          <w:p>
            <w:pPr>
              <w:spacing w:line="240" w:lineRule="auto" w:before="0" w:after="0"/>
              <w:pStyle w:val="Compact"/>
            </w:pPr>
            <w:r>
              <w:rPr>
                <w:sz w:val="20"/>
                <w:szCs w:val="20"/>
              </w:rPr>
              <w:t xml:space="preserve">29</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Blockchain Enabled Space Traffic Awareness (BESTA) (AMOS)</w:t>
            </w:r>
          </w:p>
        </w:tc>
      </w:tr>
      <w:tr>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An IRD working paper by Dailey, Stilwell et al. (September 2024) proposing an integrated research platform that adapts the fisheries Kobe Plot methodology to orbital debris management, introduces orbital classes analogous to airspace classes, applies Elinor Ostrom’s Common Pool Resource framework to LEO governance, and couples these with the OPUS model for space policy simulation.</w:t>
            </w:r>
          </w:p>
        </w:tc>
      </w:tr>
    </w:tbl>
    <w:bookmarkEnd w:id="86"/>
    <w:bookmarkStart w:id="87" w:name="variable-construction"/>
    <w:p>
      <w:pPr>
        <w:pStyle w:val="Heading3"/>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cites_plus1</w:t>
            </w:r>
          </w:p>
        </w:tc>
        <w:tc>
          <w:tcPr>
            <w:tcW w:w="0" w:type="auto"/>
          </w:tcPr>
          <w:p>
            <w:pPr>
              <w:spacing w:line="240" w:lineRule="auto" w:before="0" w:after="0"/>
              <w:pStyle w:val="Compact"/>
            </w:pPr>
            <w:r>
              <w:rPr>
                <w:sz w:val="20"/>
                <w:szCs w:val="20"/>
              </w:rPr>
              <w:t xml:space="preserve">Citation count plus one</w:t>
            </w:r>
          </w:p>
        </w:tc>
        <w:tc>
          <w:tcPr>
            <w:tcW w:w="0" w:type="auto"/>
          </w:tcPr>
          <w:p>
            <w:pPr>
              <w:spacing w:line="240" w:lineRule="auto" w:before="0" w:after="0"/>
              <w:pStyle w:val="Compact"/>
            </w:pPr>
            <w:r>
              <w:rPr>
                <w:sz w:val="20"/>
                <w:szCs w:val="20"/>
              </w:rPr>
              <w:t xml:space="preserve">Computed as the reported citation count from the local brain index plus one so the log transformation is defined for uncited records</w:t>
            </w:r>
          </w:p>
        </w:tc>
      </w:tr>
      <w:tr>
        <w:tc>
          <w:tcPr>
            <w:tcW w:w="0" w:type="auto"/>
          </w:tcPr>
          <w:p>
            <w:pPr>
              <w:spacing w:line="240" w:lineRule="auto" w:before="0" w:after="0"/>
              <w:pStyle w:val="Compact"/>
            </w:pPr>
            <w:r>
              <w:rPr>
                <w:sz w:val="20"/>
                <w:szCs w:val="20"/>
              </w:rPr>
              <w:t xml:space="preserve">age_index</w:t>
            </w:r>
          </w:p>
        </w:tc>
        <w:tc>
          <w:tcPr>
            <w:tcW w:w="0" w:type="auto"/>
          </w:tcPr>
          <w:p>
            <w:pPr>
              <w:spacing w:line="240" w:lineRule="auto" w:before="0" w:after="0"/>
              <w:pStyle w:val="Compact"/>
            </w:pPr>
            <w:r>
              <w:rPr>
                <w:sz w:val="20"/>
                <w:szCs w:val="20"/>
              </w:rPr>
              <w:t xml:space="preserve">Document age index</w:t>
            </w:r>
          </w:p>
        </w:tc>
        <w:tc>
          <w:tcPr>
            <w:tcW w:w="0" w:type="auto"/>
          </w:tcPr>
          <w:p>
            <w:pPr>
              <w:spacing w:line="240" w:lineRule="auto" w:before="0" w:after="0"/>
              <w:pStyle w:val="Compact"/>
            </w:pPr>
            <w:r>
              <w:rPr>
                <w:sz w:val="20"/>
                <w:szCs w:val="20"/>
              </w:rPr>
              <w:t xml:space="preserve">Computed as 2026 minus publication year plus one</w:t>
            </w:r>
          </w:p>
        </w:tc>
      </w:tr>
    </w:tbl>
    <w:bookmarkEnd w:id="87"/>
    <w:bookmarkStart w:id="88" w:name="estimator-output"/>
    <w:p>
      <w:pPr>
        <w:pStyle w:val="Heading3"/>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1.1273</w:t>
            </w:r>
          </w:p>
        </w:tc>
        <w:tc>
          <w:tcPr>
            <w:tcW w:w="0" w:type="auto"/>
          </w:tcPr>
          <w:p>
            <w:pPr>
              <w:spacing w:line="240" w:lineRule="auto" w:before="0" w:after="0"/>
              <w:pStyle w:val="Compact"/>
            </w:pPr>
            <w:r>
              <w:rPr>
                <w:sz w:val="20"/>
                <w:szCs w:val="20"/>
              </w:rPr>
              <w:t xml:space="preserve">0.4441</w:t>
            </w:r>
          </w:p>
        </w:tc>
        <w:tc>
          <w:tcPr>
            <w:tcW w:w="0" w:type="auto"/>
          </w:tcPr>
          <w:p>
            <w:pPr>
              <w:spacing w:line="240" w:lineRule="auto" w:before="0" w:after="0"/>
              <w:pStyle w:val="Compact"/>
            </w:pPr>
            <w:r>
              <w:rPr>
                <w:sz w:val="20"/>
                <w:szCs w:val="20"/>
              </w:rPr>
              <w:t xml:space="preserve">2.5381</w:t>
            </w:r>
          </w:p>
        </w:tc>
        <w:tc>
          <w:tcPr>
            <w:tcW w:w="0" w:type="auto"/>
          </w:tcPr>
          <w:p>
            <w:pPr>
              <w:spacing w:line="240" w:lineRule="auto" w:before="0" w:after="0"/>
              <w:pStyle w:val="Compact"/>
            </w:pPr>
            <w:r>
              <w:rPr>
                <w:sz w:val="20"/>
                <w:szCs w:val="20"/>
              </w:rPr>
              <w:t xml:space="preserve">0.0111</w:t>
            </w:r>
          </w:p>
        </w:tc>
        <w:tc>
          <w:tcPr>
            <w:tcW w:w="0" w:type="auto"/>
          </w:tcPr>
          <w:p>
            <w:pPr>
              <w:spacing w:line="240" w:lineRule="auto" w:before="0" w:after="0"/>
              <w:pStyle w:val="Compact"/>
            </w:pPr>
            <w:r>
              <w:rPr>
                <w:sz w:val="20"/>
                <w:szCs w:val="20"/>
              </w:rPr>
              <w:t xml:space="preserve">[0.2568, 1.9978]</w:t>
            </w:r>
          </w:p>
        </w:tc>
      </w:tr>
      <w:tr>
        <w:tc>
          <w:tcPr>
            <w:tcW w:w="0" w:type="auto"/>
          </w:tcPr>
          <w:p>
            <w:pPr>
              <w:spacing w:line="240" w:lineRule="auto" w:before="0" w:after="0"/>
              <w:pStyle w:val="Compact"/>
            </w:pPr>
            <w:r>
              <w:rPr>
                <w:sz w:val="20"/>
                <w:szCs w:val="20"/>
              </w:rPr>
              <w:t xml:space="preserve">_ln_x</w:t>
            </w:r>
          </w:p>
        </w:tc>
        <w:tc>
          <w:tcPr>
            <w:tcW w:w="0" w:type="auto"/>
          </w:tcPr>
          <w:p>
            <w:pPr>
              <w:spacing w:line="240" w:lineRule="auto" w:before="0" w:after="0"/>
              <w:pStyle w:val="Compact"/>
            </w:pPr>
            <w:r>
              <w:rPr>
                <w:sz w:val="20"/>
                <w:szCs w:val="20"/>
              </w:rPr>
              <w:t xml:space="preserve">-0.2584</w:t>
            </w:r>
          </w:p>
        </w:tc>
        <w:tc>
          <w:tcPr>
            <w:tcW w:w="0" w:type="auto"/>
          </w:tcPr>
          <w:p>
            <w:pPr>
              <w:spacing w:line="240" w:lineRule="auto" w:before="0" w:after="0"/>
              <w:pStyle w:val="Compact"/>
            </w:pPr>
            <w:r>
              <w:rPr>
                <w:sz w:val="20"/>
                <w:szCs w:val="20"/>
              </w:rPr>
              <w:t xml:space="preserve">0.3001</w:t>
            </w:r>
          </w:p>
        </w:tc>
        <w:tc>
          <w:tcPr>
            <w:tcW w:w="0" w:type="auto"/>
          </w:tcPr>
          <w:p>
            <w:pPr>
              <w:spacing w:line="240" w:lineRule="auto" w:before="0" w:after="0"/>
              <w:pStyle w:val="Compact"/>
            </w:pPr>
            <w:r>
              <w:rPr>
                <w:sz w:val="20"/>
                <w:szCs w:val="20"/>
              </w:rPr>
              <w:t xml:space="preserve">-0.861</w:t>
            </w:r>
          </w:p>
        </w:tc>
        <w:tc>
          <w:tcPr>
            <w:tcW w:w="0" w:type="auto"/>
          </w:tcPr>
          <w:p>
            <w:pPr>
              <w:spacing w:line="240" w:lineRule="auto" w:before="0" w:after="0"/>
              <w:pStyle w:val="Compact"/>
            </w:pPr>
            <w:r>
              <w:rPr>
                <w:sz w:val="20"/>
                <w:szCs w:val="20"/>
              </w:rPr>
              <w:t xml:space="preserve">0.3893</w:t>
            </w:r>
          </w:p>
        </w:tc>
        <w:tc>
          <w:tcPr>
            <w:tcW w:w="0" w:type="auto"/>
          </w:tcPr>
          <w:p>
            <w:pPr>
              <w:spacing w:line="240" w:lineRule="auto" w:before="0" w:after="0"/>
              <w:pStyle w:val="Compact"/>
            </w:pPr>
            <w:r>
              <w:rPr>
                <w:sz w:val="20"/>
                <w:szCs w:val="20"/>
              </w:rPr>
              <w:t xml:space="preserve">[-0.8465, 0.3298]</w:t>
            </w:r>
          </w:p>
        </w:tc>
      </w:tr>
    </w:tbl>
    <w:p>
      <w:pPr>
        <w:pStyle w:val="BodyText"/>
      </w:pPr>
      <w:r>
        <w:t xml:space="preserve">Fit: N = 30 R2 = 0.0234 elasticity_b = -0.2584 progress_ratio_2^b = 0.836</w:t>
      </w:r>
    </w:p>
    <w:bookmarkEnd w:id="88"/>
    <w:bookmarkEnd w:id="89"/>
    <w:bookmarkEnd w:id="90"/>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before="135"/>
      <w:ind w:left="380"/>
    </w:pPr>
    <w:rPr>
      <w:rFonts w:ascii="Arial" w:cs="Arial" w:eastAsia="Arial" w:hAnsi="Arial"/>
      <w:b/>
      <w:bCs/>
      <w:sz w:val="20"/>
      <w:szCs w:val="20"/>
    </w:rPr>
  </w:style>
  <w:style w:styleId="TOC2" w:type="paragraph">
    <w:name w:val="toc 2"/>
    <w:basedOn w:val="Normal"/>
    <w:uiPriority w:val="1"/>
    <w:qFormat/>
    <w:pPr>
      <w:spacing w:before="30"/>
      <w:ind w:left="620"/>
    </w:pPr>
    <w:rPr>
      <w:rFonts w:ascii="Arial" w:cs="Arial" w:eastAsia="Arial" w:hAnsi="Arial"/>
      <w:sz w:val="20"/>
      <w:szCs w:val="20"/>
    </w:rPr>
  </w:style>
  <w:style w:styleId="TOC3" w:type="paragraph">
    <w:name w:val="toc 3"/>
    <w:basedOn w:val="Normal"/>
    <w:uiPriority w:val="1"/>
    <w:qFormat/>
    <w:pPr>
      <w:spacing w:before="15"/>
      <w:ind w:left="620"/>
    </w:pPr>
    <w:rPr>
      <w:rFonts w:ascii="Arial" w:cs="Arial" w:eastAsia="Arial" w:hAnsi="Arial"/>
      <w:sz w:val="16"/>
      <w:szCs w:val="16"/>
    </w:rPr>
  </w:style>
  <w:style w:styleId="TOC4" w:type="paragraph">
    <w:name w:val="toc 4"/>
    <w:basedOn w:val="Normal"/>
    <w:uiPriority w:val="1"/>
    <w:qFormat/>
    <w:pPr>
      <w:spacing w:before="15"/>
      <w:ind w:left="620"/>
    </w:pPr>
    <w:rPr>
      <w:rFonts w:ascii="Arial" w:cs="Arial" w:eastAsia="Arial" w:hAnsi="Arial"/>
      <w:b/>
      <w:bCs/>
      <w:i/>
    </w:rPr>
  </w:style>
  <w:style w:styleId="TOC5" w:type="paragraph">
    <w:name w:val="toc 5"/>
    <w:basedOn w:val="Normal"/>
    <w:uiPriority w:val="1"/>
    <w:qFormat/>
    <w:pPr>
      <w:spacing w:before="15"/>
      <w:ind w:left="860"/>
    </w:pPr>
    <w:rPr>
      <w:rFonts w:ascii="Arial" w:cs="Arial" w:eastAsia="Arial" w:hAnsi="Arial"/>
      <w:i/>
      <w:sz w:val="20"/>
      <w:szCs w:val="20"/>
    </w:rPr>
  </w:style>
  <w:style w:styleId="BodyText" w:type="paragraph">
    <w:name w:val="Body Text"/>
    <w:basedOn w:val="Normal"/>
    <w:uiPriority w:val="1"/>
    <w:qFormat/>
    <w:pPr>
      <w:ind w:left="38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pPr>
  </w:style>
  <w:style w:type="character" w:customStyle="1" w:styleId="KeywordTok">
    <w:name w:val="KeywordTok"/>
    <w:basedOn w:val="VerbatimChar"/>
    <w:rPr>
      <w:b/>
      <w:color w:val="007020"/>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b/>
      <w:color w:val="008000"/>
    </w:rPr>
  </w:style>
  <w:style w:type="character" w:customStyle="1" w:styleId="CommentTok">
    <w:name w:val="CommentTok"/>
    <w:basedOn w:val="VerbatimChar"/>
    <w:rPr>
      <w:i/>
      <w:color w:val="60a0b0"/>
    </w:rPr>
  </w:style>
  <w:style w:type="character" w:customStyle="1" w:styleId="DocumentationTok">
    <w:name w:val="DocumentationTok"/>
    <w:basedOn w:val="VerbatimChar"/>
    <w:rPr>
      <w:i/>
      <w:color w:val="ba2121"/>
    </w:rPr>
  </w:style>
  <w:style w:type="character" w:customStyle="1" w:styleId="AnnotationTok">
    <w:name w:val="AnnotationTok"/>
    <w:basedOn w:val="VerbatimChar"/>
    <w:rPr>
      <w:b/>
      <w:i/>
      <w:color w:val="60a0b0"/>
    </w:rPr>
  </w:style>
  <w:style w:type="character" w:customStyle="1" w:styleId="CommentVarTok">
    <w:name w:val="CommentVarTok"/>
    <w:basedOn w:val="VerbatimChar"/>
    <w:rPr>
      <w:b/>
      <w:i/>
      <w:color w:val="60a0b0"/>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b/>
      <w:color w:val="007020"/>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b/>
      <w:i/>
      <w:color w:val="60a0b0"/>
    </w:rPr>
  </w:style>
  <w:style w:type="character" w:customStyle="1" w:styleId="WarningTok">
    <w:name w:val="WarningTok"/>
    <w:basedOn w:val="VerbatimChar"/>
    <w:rPr>
      <w:b/>
      <w:i/>
      <w:color w:val="60a0b0"/>
    </w:rPr>
  </w:style>
  <w:style w:type="character" w:customStyle="1" w:styleId="AlertTok">
    <w:name w:val="AlertTok"/>
    <w:basedOn w:val="VerbatimChar"/>
    <w:rPr>
      <w:b/>
      <w:color w:val="ff0000"/>
    </w:rPr>
  </w:style>
  <w:style w:type="character" w:customStyle="1" w:styleId="ErrorTok">
    <w:name w:val="ErrorTok"/>
    <w:basedOn w:val="VerbatimChar"/>
    <w:rPr>
      <w:b/>
      <w:color w:val="ff0000"/>
    </w:rPr>
  </w:style>
  <w:style w:type="character" w:customStyle="1" w:styleId="NormalTok">
    <w:name w:val="NormalTok"/>
    <w:basedOn w:val="VerbatimCh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Relationships xmlns="http://schemas.openxmlformats.org/package/2006/relationships"><Relationship Type="http://schemas.openxmlformats.org/officeDocument/2006/relationships/numbering" Id="rId60" Target="numbering.xml" /><Relationship Type="http://schemas.openxmlformats.org/officeDocument/2006/relationships/styles" Id="rId59" Target="styles.xml" /><Relationship Type="http://schemas.openxmlformats.org/officeDocument/2006/relationships/settings" Id="rId58" Target="settings.xml" /><Relationship Type="http://schemas.openxmlformats.org/officeDocument/2006/relationships/webSettings" Id="rId57" Target="webSettings.xml" /><Relationship Type="http://schemas.openxmlformats.org/officeDocument/2006/relationships/fontTable" Id="rId56" Target="fontTable.xml" /><Relationship Type="http://schemas.openxmlformats.org/officeDocument/2006/relationships/theme" Id="rId55" Target="theme/theme1.xml" /><Relationship Type="http://schemas.openxmlformats.org/officeDocument/2006/relationships/footnotes" Id="rId54" Target="footnotes.xml" /><Relationship Type="http://schemas.openxmlformats.org/officeDocument/2006/relationships/comments" Id="rId53" Target="comments.xml" /><Relationship Id="rId13" Target="media/image5.png" Type="http://schemas.openxmlformats.org/officeDocument/2006/relationships/image" /><Relationship Id="rId18" Target="media/image10.png" Type="http://schemas.openxmlformats.org/officeDocument/2006/relationships/image" /><Relationship Id="rId26" Target="media/image17.png" Type="http://schemas.openxmlformats.org/officeDocument/2006/relationships/image" /><Relationship Id="rId21" Target="media/image13.png" Type="http://schemas.openxmlformats.org/officeDocument/2006/relationships/image" /><Relationship Id="rId50" Target="media/image23.png" Type="http://schemas.openxmlformats.org/officeDocument/2006/relationships/image" /><Relationship Id="rId7" Target="footer1.xml" Type="http://schemas.openxmlformats.org/officeDocument/2006/relationships/footer" /><Relationship Id="rId16" Target="media/image8.jpeg" Type="http://schemas.openxmlformats.org/officeDocument/2006/relationships/image" /><Relationship Id="rId29" Target="media/image20.png" Type="http://schemas.openxmlformats.org/officeDocument/2006/relationships/image" /><Relationship Id="rId11" Target="media/image3.png" Type="http://schemas.openxmlformats.org/officeDocument/2006/relationships/image" /><Relationship Id="rId24" Target="media/image16.png" Type="http://schemas.openxmlformats.org/officeDocument/2006/relationships/image" /><Relationship Id="rId19" Target="media/image11.png" Type="http://schemas.openxmlformats.org/officeDocument/2006/relationships/image" /><Relationship Id="rId9" Target="media/image1.jpeg" Type="http://schemas.openxmlformats.org/officeDocument/2006/relationships/image" /><Relationship Id="rId14" Target="media/image6.png" Type="http://schemas.openxmlformats.org/officeDocument/2006/relationships/image" /><Relationship Id="rId22" Target="media/image14.jpeg" Type="http://schemas.openxmlformats.org/officeDocument/2006/relationships/image" /><Relationship Id="rId27" Target="media/image18.png" Type="http://schemas.openxmlformats.org/officeDocument/2006/relationships/image" /><Relationship Id="rId30" Target="media/image21.png" Type="http://schemas.openxmlformats.org/officeDocument/2006/relationships/image" /><Relationship Id="rId8" Target="footer2.xml" Type="http://schemas.openxmlformats.org/officeDocument/2006/relationships/footer" /><Relationship Id="rId51" Target="media/image24.jpeg" Type="http://schemas.openxmlformats.org/officeDocument/2006/relationships/image" /><Relationship Id="rId12" Target="media/image4.png" Type="http://schemas.openxmlformats.org/officeDocument/2006/relationships/image" /><Relationship Id="rId17" Target="media/image9.png" Type="http://schemas.openxmlformats.org/officeDocument/2006/relationships/image" /><Relationship Id="rId20" Target="media/image12.png" Type="http://schemas.openxmlformats.org/officeDocument/2006/relationships/image" /><Relationship Id="rId15" Target="media/image7.png" Type="http://schemas.openxmlformats.org/officeDocument/2006/relationships/image" /><Relationship Id="rId23" Target="media/image15.jpeg" Type="http://schemas.openxmlformats.org/officeDocument/2006/relationships/image" /><Relationship Id="rId28" Target="media/image19.jpeg" Type="http://schemas.openxmlformats.org/officeDocument/2006/relationships/image" /><Relationship Id="rId10" Target="media/image2.jpeg" Type="http://schemas.openxmlformats.org/officeDocument/2006/relationships/image" /><Relationship Id="rId31" Target="media/image22.png" Type="http://schemas.openxmlformats.org/officeDocument/2006/relationships/image" /><Relationship Id="rId52" Target="media/image25.jpeg" Type="http://schemas.openxmlformats.org/officeDocument/2006/relationships/image" /><Relationship Type="http://schemas.openxmlformats.org/officeDocument/2006/relationships/image" Id="rId82" Target="media/rId82.png" /><Relationship Type="http://schemas.openxmlformats.org/officeDocument/2006/relationships/hyperlink" Id="rId79" Target="https://doi.org/10.64861/GVYB8737" TargetMode="External" /><Relationship Type="http://schemas.openxmlformats.org/officeDocument/2006/relationships/hyperlink" Id="rId70" Target="https://doi.org/10.64861/HWZS9386" TargetMode="External" /><Relationship Type="http://schemas.openxmlformats.org/officeDocument/2006/relationships/hyperlink" Id="rId72" Target="https://doi.org/10.64861/JSGC2795" TargetMode="External" /><Relationship Type="http://schemas.openxmlformats.org/officeDocument/2006/relationships/hyperlink" Id="rId77" Target="https://doi.org/10.64861/NUFH1261" TargetMode="External" /><Relationship Type="http://schemas.openxmlformats.org/officeDocument/2006/relationships/hyperlink" Id="rId68" Target="https://doi.org/10.64861/UCTN1793" TargetMode="External" /></Relationships>
</file>

<file path=word/_rels/footnotes.xml.rels><?xml version="1.0" encoding="UTF-8"?><Relationships xmlns="http://schemas.openxmlformats.org/package/2006/relationships"><Relationship Type="http://schemas.openxmlformats.org/officeDocument/2006/relationships/hyperlink" Id="rId79" Target="https://doi.org/10.64861/GVYB8737" TargetMode="External" /><Relationship Type="http://schemas.openxmlformats.org/officeDocument/2006/relationships/hyperlink" Id="rId70" Target="https://doi.org/10.64861/HWZS9386" TargetMode="External" /><Relationship Type="http://schemas.openxmlformats.org/officeDocument/2006/relationships/hyperlink" Id="rId72" Target="https://doi.org/10.64861/JSGC2795" TargetMode="External" /><Relationship Type="http://schemas.openxmlformats.org/officeDocument/2006/relationships/hyperlink" Id="rId77" Target="https://doi.org/10.64861/NUFH1261" TargetMode="External" /><Relationship Type="http://schemas.openxmlformats.org/officeDocument/2006/relationships/hyperlink" Id="rId68" Target="https://doi.org/10.64861/UCTN1793"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2026-06-28T19:48:20Z</dcterms:created>
  <dcterms:modified xsi:type="dcterms:W3CDTF">2026-06-28T19:48:20Z</dcterms:modified>
</cp:coreProperties>
</file>

<file path=docProps/custom.xml><?xml version="1.0" encoding="utf-8"?>
<Properties xmlns="http://schemas.openxmlformats.org/officeDocument/2006/custom-properties" xmlns:vt="http://schemas.openxmlformats.org/officeDocument/2006/docPropsVTypes"/>
</file>