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fdefac95e0ad4b846cfd824d1a0649696d7bd20"/>
    <w:p>
      <w:pPr>
        <w:pStyle w:val="Heading1"/>
      </w:pPr>
      <w:r>
        <w:t xml:space="preserve">Signal Intensity in Automation Trust Calibration in Conjunction Assessment When Do Operators Over-: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Ananya Quinn (1B-SDA-170) and the dissertation project</w:t>
      </w:r>
      <w:r>
        <w:t xml:space="preserve"> </w:t>
      </w:r>
      <w:r>
        <w:rPr>
          <w:i/>
          <w:iCs/>
        </w:rPr>
        <w:t xml:space="preserve">Automation Trust Calibration in Conjunction Assessment: When Do Operators Over-</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R2=0.32509354865617957, R2_adj=0.24721972734727715, F=8.051385079367526, F_p=0.0005881722678403994. The exact term summary is: const coef=7.388216144766524 p=2.4378597426753406e-05; recency_index coef=-0.015631008901747026 p=0.8865132381489925; cites_num coef=-0.022344086922061156 p=0.23348930509376353; venue_score coef=-1.8306179798579334 p=8.043404189306764e-06.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James Reilly, Booz Allen Hamilton; Matthew Blackford, Booz Allen Hamilton; Jillian Mueller, Booz Allen Hamilton. Challenges in Space Traffic Management (2023). doi:</w:t>
      </w:r>
      <w:r>
        <w:t xml:space="preserve"> </w:t>
      </w:r>
      <w:hyperlink r:id="rId68">
        <w:r>
          <w:rPr>
            <w:rStyle w:val="Hyperlink"/>
          </w:rPr>
          <w:t xml:space="preserve">10.64861/UCTN1793</w:t>
        </w:r>
      </w:hyperlink>
      <w:r>
        <w:t xml:space="preserve"> </w:t>
      </w:r>
      <w:bookmarkStart w:id="69" w:name="ref-2"/>
      <w:bookmarkEnd w:id="69"/>
      <w:r>
        <w:t xml:space="preserve">2. Garrett Fitzgerald, U. S. Space Force; Rachel Morris, Applied Decision Science; Laura G. Militello, Applied Decision Science; Justin Fletcher, USSF/SSC. Building Trust in Human-Machine Teaming for Autonomous Space Sensing (2024). doi:</w:t>
      </w:r>
      <w:r>
        <w:t xml:space="preserve"> </w:t>
      </w:r>
      <w:hyperlink r:id="rId70">
        <w:r>
          <w:rPr>
            <w:rStyle w:val="Hyperlink"/>
          </w:rPr>
          <w:t xml:space="preserve">10.64861/HWZS9386</w:t>
        </w:r>
      </w:hyperlink>
      <w:r>
        <w:t xml:space="preserve"> </w:t>
      </w:r>
      <w:bookmarkStart w:id="71" w:name="ref-3"/>
      <w:bookmarkEnd w:id="71"/>
      <w:r>
        <w:t xml:space="preserve">3. Ruth Stilwell, Aerospace Policy Solutions, LLC; Kyle Quakenbush, MITRE; John Giles, Space Domain Strategies; Nathaniel Dailey, MITRE &amp; Space Force Association. Human Factors in Space Operators-Leveraging Aviation Safety Frameworks for Enhanced Orbital Domain Resilience (2025). doi:</w:t>
      </w:r>
      <w:r>
        <w:t xml:space="preserve"> </w:t>
      </w:r>
      <w:hyperlink r:id="rId72">
        <w:r>
          <w:rPr>
            <w:rStyle w:val="Hyperlink"/>
          </w:rPr>
          <w:t xml:space="preserve">10.64861/JSGC2795</w:t>
        </w:r>
      </w:hyperlink>
      <w:r>
        <w:t xml:space="preserve"> </w:t>
      </w:r>
      <w:bookmarkStart w:id="73" w:name="ref-4"/>
      <w:bookmarkEnd w:id="73"/>
      <w:r>
        <w:t xml:space="preserve">4. Joe Gorman, Charles River Analytics, Martin Voshell, Charles River Analytics, Amy Sliva, Charles River Analytics. Assessment for Operator Confidence in Automated Space Situational Awareness and Satellite Control Systems (2016). [AMOS]</w:t>
      </w:r>
      <w:r>
        <w:t xml:space="preserve"> </w:t>
      </w:r>
      <w:bookmarkStart w:id="74" w:name="ref-5"/>
      <w:bookmarkEnd w:id="74"/>
      <w:r>
        <w:t xml:space="preserve">5.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5" w:name="ref-6"/>
      <w:bookmarkEnd w:id="75"/>
      <w:r>
        <w:t xml:space="preserve">6. Thomas Kelecy, L3 Harris; Emily Lambert, L3 Harris; Benjamin Sunderland, L3 Harris; Vivek Desai, University of Texas, Austin. Dynamic Calibration of Multiple Data Types (2019). [AMOS]</w:t>
      </w:r>
      <w:r>
        <w:t xml:space="preserve"> </w:t>
      </w:r>
      <w:bookmarkStart w:id="76" w:name="ref-7"/>
      <w:bookmarkEnd w:id="76"/>
      <w:r>
        <w:t xml:space="preserve">7. Oliver Schultz, Lockheed Martin; Joseph Brink, Lockheed Martin; Mark Williams, Lockheed Martin; Christopher Curry, Lockheed Martin. Data Insights, Pedigree, and Automation for Space Domain Awareness (2024). doi:</w:t>
      </w:r>
      <w:r>
        <w:t xml:space="preserve"> </w:t>
      </w:r>
      <w:hyperlink r:id="rId77">
        <w:r>
          <w:rPr>
            <w:rStyle w:val="Hyperlink"/>
          </w:rPr>
          <w:t xml:space="preserve">10.64861/NUFH1261</w:t>
        </w:r>
      </w:hyperlink>
      <w:r>
        <w:t xml:space="preserve"> </w:t>
      </w:r>
      <w:bookmarkStart w:id="78" w:name="ref-8"/>
      <w:bookmarkEnd w:id="78"/>
      <w:r>
        <w:t xml:space="preserve">8. Kerstyn Auman, The Aerospace Corporation; Timothy S. Murphy, The Aerospace Corporation; Eric George, The Aerospace Corporation; Patrick Kelly, The Aerospace Corporation; Carson Coursey, The Aerospace Corporation; David Goldstein, SpaceX; Ian Ruh, SpaceX; Kate Hymes, SpaceX. Validation Methodology for TraCSS Conjunction Assessment (2025). doi:</w:t>
      </w:r>
      <w:r>
        <w:t xml:space="preserve"> </w:t>
      </w:r>
      <w:hyperlink r:id="rId79">
        <w:r>
          <w:rPr>
            <w:rStyle w:val="Hyperlink"/>
          </w:rPr>
          <w:t xml:space="preserve">10.64861/GVYB8737</w:t>
        </w:r>
      </w:hyperlink>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7.3882</w:t>
            </w:r>
          </w:p>
        </w:tc>
        <w:tc>
          <w:tcPr>
            <w:tcW w:w="0" w:type="auto"/>
          </w:tcPr>
          <w:p>
            <w:pPr>
              <w:spacing w:line="240" w:lineRule="auto" w:before="0" w:after="0"/>
              <w:pStyle w:val="Compact"/>
            </w:pPr>
            <w:r>
              <w:rPr>
                <w:sz w:val="20"/>
                <w:szCs w:val="20"/>
              </w:rPr>
              <w:t xml:space="preserve">1.7506</w:t>
            </w:r>
          </w:p>
        </w:tc>
        <w:tc>
          <w:tcPr>
            <w:tcW w:w="0" w:type="auto"/>
          </w:tcPr>
          <w:p>
            <w:pPr>
              <w:spacing w:line="240" w:lineRule="auto" w:before="0" w:after="0"/>
              <w:pStyle w:val="Compact"/>
            </w:pPr>
            <w:r>
              <w:rPr>
                <w:sz w:val="20"/>
                <w:szCs w:val="20"/>
              </w:rPr>
              <w:t xml:space="preserve">4.2205</w:t>
            </w:r>
          </w:p>
        </w:tc>
        <w:tc>
          <w:tcPr>
            <w:tcW w:w="0" w:type="auto"/>
          </w:tcPr>
          <w:p>
            <w:pPr>
              <w:spacing w:line="240" w:lineRule="auto" w:before="0" w:after="0"/>
              <w:pStyle w:val="Compact"/>
            </w:pPr>
            <w:r>
              <w:rPr>
                <w:sz w:val="20"/>
                <w:szCs w:val="20"/>
              </w:rPr>
              <w:t xml:space="preserve">2.438e-05</w:t>
            </w:r>
          </w:p>
        </w:tc>
        <w:tc>
          <w:tcPr>
            <w:tcW w:w="0" w:type="auto"/>
          </w:tcPr>
          <w:p>
            <w:pPr>
              <w:spacing w:line="240" w:lineRule="auto" w:before="0" w:after="0"/>
              <w:pStyle w:val="Compact"/>
            </w:pPr>
            <w:r>
              <w:rPr>
                <w:sz w:val="20"/>
                <w:szCs w:val="20"/>
              </w:rPr>
              <w:t xml:space="preserve">[3.9572, 10.8193]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-0.0156</w:t>
            </w:r>
          </w:p>
        </w:tc>
        <w:tc>
          <w:tcPr>
            <w:tcW w:w="0" w:type="auto"/>
          </w:tcPr>
          <w:p>
            <w:pPr>
              <w:spacing w:line="240" w:lineRule="auto" w:before="0" w:after="0"/>
              <w:pStyle w:val="Compact"/>
            </w:pPr>
            <w:r>
              <w:rPr>
                <w:sz w:val="20"/>
                <w:szCs w:val="20"/>
              </w:rPr>
              <w:t xml:space="preserve">0.1095</w:t>
            </w:r>
          </w:p>
        </w:tc>
        <w:tc>
          <w:tcPr>
            <w:tcW w:w="0" w:type="auto"/>
          </w:tcPr>
          <w:p>
            <w:pPr>
              <w:spacing w:line="240" w:lineRule="auto" w:before="0" w:after="0"/>
              <w:pStyle w:val="Compact"/>
            </w:pPr>
            <w:r>
              <w:rPr>
                <w:sz w:val="20"/>
                <w:szCs w:val="20"/>
              </w:rPr>
              <w:t xml:space="preserve">-0.1427</w:t>
            </w:r>
          </w:p>
        </w:tc>
        <w:tc>
          <w:tcPr>
            <w:tcW w:w="0" w:type="auto"/>
          </w:tcPr>
          <w:p>
            <w:pPr>
              <w:spacing w:line="240" w:lineRule="auto" w:before="0" w:after="0"/>
              <w:pStyle w:val="Compact"/>
            </w:pPr>
            <w:r>
              <w:rPr>
                <w:sz w:val="20"/>
                <w:szCs w:val="20"/>
              </w:rPr>
              <w:t xml:space="preserve">0.8865</w:t>
            </w:r>
          </w:p>
        </w:tc>
        <w:tc>
          <w:tcPr>
            <w:tcW w:w="0" w:type="auto"/>
          </w:tcPr>
          <w:p>
            <w:pPr>
              <w:spacing w:line="240" w:lineRule="auto" w:before="0" w:after="0"/>
              <w:pStyle w:val="Compact"/>
            </w:pPr>
            <w:r>
              <w:rPr>
                <w:sz w:val="20"/>
                <w:szCs w:val="20"/>
              </w:rPr>
              <w:t xml:space="preserve">[-0.2303, 0.199]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-0.0223</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-1.1914</w:t>
            </w:r>
          </w:p>
        </w:tc>
        <w:tc>
          <w:tcPr>
            <w:tcW w:w="0" w:type="auto"/>
          </w:tcPr>
          <w:p>
            <w:pPr>
              <w:spacing w:line="240" w:lineRule="auto" w:before="0" w:after="0"/>
              <w:pStyle w:val="Compact"/>
            </w:pPr>
            <w:r>
              <w:rPr>
                <w:sz w:val="20"/>
                <w:szCs w:val="20"/>
              </w:rPr>
              <w:t xml:space="preserve">0.2335</w:t>
            </w:r>
          </w:p>
        </w:tc>
        <w:tc>
          <w:tcPr>
            <w:tcW w:w="0" w:type="auto"/>
          </w:tcPr>
          <w:p>
            <w:pPr>
              <w:spacing w:line="240" w:lineRule="auto" w:before="0" w:after="0"/>
              <w:pStyle w:val="Compact"/>
            </w:pPr>
            <w:r>
              <w:rPr>
                <w:sz w:val="20"/>
                <w:szCs w:val="20"/>
              </w:rPr>
              <w:t xml:space="preserve">[-0.0591, 0.0144]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-1.8306</w:t>
            </w:r>
          </w:p>
        </w:tc>
        <w:tc>
          <w:tcPr>
            <w:tcW w:w="0" w:type="auto"/>
          </w:tcPr>
          <w:p>
            <w:pPr>
              <w:spacing w:line="240" w:lineRule="auto" w:before="0" w:after="0"/>
              <w:pStyle w:val="Compact"/>
            </w:pPr>
            <w:r>
              <w:rPr>
                <w:sz w:val="20"/>
                <w:szCs w:val="20"/>
              </w:rPr>
              <w:t xml:space="preserve">0.4101</w:t>
            </w:r>
          </w:p>
        </w:tc>
        <w:tc>
          <w:tcPr>
            <w:tcW w:w="0" w:type="auto"/>
          </w:tcPr>
          <w:p>
            <w:pPr>
              <w:spacing w:line="240" w:lineRule="auto" w:before="0" w:after="0"/>
              <w:pStyle w:val="Compact"/>
            </w:pPr>
            <w:r>
              <w:rPr>
                <w:sz w:val="20"/>
                <w:szCs w:val="20"/>
              </w:rPr>
              <w:t xml:space="preserve">-4.464</w:t>
            </w:r>
          </w:p>
        </w:tc>
        <w:tc>
          <w:tcPr>
            <w:tcW w:w="0" w:type="auto"/>
          </w:tcPr>
          <w:p>
            <w:pPr>
              <w:spacing w:line="240" w:lineRule="auto" w:before="0" w:after="0"/>
              <w:pStyle w:val="Compact"/>
            </w:pPr>
            <w:r>
              <w:rPr>
                <w:sz w:val="20"/>
                <w:szCs w:val="20"/>
              </w:rPr>
              <w:t xml:space="preserve">8.043e-06</w:t>
            </w:r>
          </w:p>
        </w:tc>
        <w:tc>
          <w:tcPr>
            <w:tcW w:w="0" w:type="auto"/>
          </w:tcPr>
          <w:p>
            <w:pPr>
              <w:spacing w:line="240" w:lineRule="auto" w:before="0" w:after="0"/>
              <w:pStyle w:val="Compact"/>
            </w:pPr>
            <w:r>
              <w:rPr>
                <w:sz w:val="20"/>
                <w:szCs w:val="20"/>
              </w:rPr>
              <w:t xml:space="preserve">[-2.6344, -1.0269]</w:t>
            </w:r>
          </w:p>
        </w:tc>
      </w:tr>
    </w:tbl>
    <w:p>
      <w:pPr>
        <w:pStyle w:val="BodyText"/>
      </w:pPr>
      <w:r>
        <w:t xml:space="preserve">Fit: N = 30 R2 = 0.3251 R2_adj = 0.2472 F = 8.0514 F_p = 0.0005882</w:t>
      </w:r>
    </w:p>
    <w:p>
      <w:pPr>
        <w:pStyle w:val="CaptionedFigure"/>
      </w:pPr>
      <w:r>
        <w:drawing>
          <wp:inline>
            <wp:extent cx="5669280" cy="3657600"/>
            <wp:effectExtent b="0" l="0" r="0" t="0"/>
            <wp:docPr descr="Figure 1. Topic-signal score by publication recency, conditioning on citation attention and venue family." title="" id="83" name="Picture"/>
            <a:graphic>
              <a:graphicData uri="http://schemas.openxmlformats.org/drawingml/2006/picture">
                <pic:pic>
                  <pic:nvPicPr>
                    <pic:cNvPr descr="D:\Claude_Code\brain\collegium\candidates\dissertations\SSA_SDA_07\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10.64861/JSGC2795</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https://amostech.space/year/2016/assessment-for-operator-confidence-in-automated-space-situational-awareness-and-satellite-control-systems/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https://amostech.space/year/2019/dynamic-calibration-of-multiple-data-types/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10.64861/NUFH1261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10.64861/GVYB8737</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10.64861/KKFT4985</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https://amostech.space/year/2010/advances-in-satellite-conjunction-analysis/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https://amostech.space/year/2022/decision-support-tool-for-risk-assessment-maneuver-planning-in-collision-avoidance/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10.1016/j.actaastro.2018.09.030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10.1016/j.actaastro.2018.12.043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10.1016/j.actaastro.2025.05.002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10.1016/j.actaastro.2025.07.027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10.1016/j.jsse.2019.05.004</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Prototyping Operational Autonomy for STM</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Automated Comparison of SSA to Agreed Behavior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Blockchain Enabled Space Traffic Awareness (BESTA)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7.3882</w:t>
            </w:r>
          </w:p>
        </w:tc>
        <w:tc>
          <w:tcPr>
            <w:tcW w:w="0" w:type="auto"/>
          </w:tcPr>
          <w:p>
            <w:pPr>
              <w:spacing w:line="240" w:lineRule="auto" w:before="0" w:after="0"/>
              <w:pStyle w:val="Compact"/>
            </w:pPr>
            <w:r>
              <w:rPr>
                <w:sz w:val="20"/>
                <w:szCs w:val="20"/>
              </w:rPr>
              <w:t xml:space="preserve">1.7506</w:t>
            </w:r>
          </w:p>
        </w:tc>
        <w:tc>
          <w:tcPr>
            <w:tcW w:w="0" w:type="auto"/>
          </w:tcPr>
          <w:p>
            <w:pPr>
              <w:spacing w:line="240" w:lineRule="auto" w:before="0" w:after="0"/>
              <w:pStyle w:val="Compact"/>
            </w:pPr>
            <w:r>
              <w:rPr>
                <w:sz w:val="20"/>
                <w:szCs w:val="20"/>
              </w:rPr>
              <w:t xml:space="preserve">4.2205</w:t>
            </w:r>
          </w:p>
        </w:tc>
        <w:tc>
          <w:tcPr>
            <w:tcW w:w="0" w:type="auto"/>
          </w:tcPr>
          <w:p>
            <w:pPr>
              <w:spacing w:line="240" w:lineRule="auto" w:before="0" w:after="0"/>
              <w:pStyle w:val="Compact"/>
            </w:pPr>
            <w:r>
              <w:rPr>
                <w:sz w:val="20"/>
                <w:szCs w:val="20"/>
              </w:rPr>
              <w:t xml:space="preserve">2.438e-05</w:t>
            </w:r>
          </w:p>
        </w:tc>
        <w:tc>
          <w:tcPr>
            <w:tcW w:w="0" w:type="auto"/>
          </w:tcPr>
          <w:p>
            <w:pPr>
              <w:spacing w:line="240" w:lineRule="auto" w:before="0" w:after="0"/>
              <w:pStyle w:val="Compact"/>
            </w:pPr>
            <w:r>
              <w:rPr>
                <w:sz w:val="20"/>
                <w:szCs w:val="20"/>
              </w:rPr>
              <w:t xml:space="preserve">[3.9572, 10.8193]</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-0.0156</w:t>
            </w:r>
          </w:p>
        </w:tc>
        <w:tc>
          <w:tcPr>
            <w:tcW w:w="0" w:type="auto"/>
          </w:tcPr>
          <w:p>
            <w:pPr>
              <w:spacing w:line="240" w:lineRule="auto" w:before="0" w:after="0"/>
              <w:pStyle w:val="Compact"/>
            </w:pPr>
            <w:r>
              <w:rPr>
                <w:sz w:val="20"/>
                <w:szCs w:val="20"/>
              </w:rPr>
              <w:t xml:space="preserve">0.1095</w:t>
            </w:r>
          </w:p>
        </w:tc>
        <w:tc>
          <w:tcPr>
            <w:tcW w:w="0" w:type="auto"/>
          </w:tcPr>
          <w:p>
            <w:pPr>
              <w:spacing w:line="240" w:lineRule="auto" w:before="0" w:after="0"/>
              <w:pStyle w:val="Compact"/>
            </w:pPr>
            <w:r>
              <w:rPr>
                <w:sz w:val="20"/>
                <w:szCs w:val="20"/>
              </w:rPr>
              <w:t xml:space="preserve">-0.1427</w:t>
            </w:r>
          </w:p>
        </w:tc>
        <w:tc>
          <w:tcPr>
            <w:tcW w:w="0" w:type="auto"/>
          </w:tcPr>
          <w:p>
            <w:pPr>
              <w:spacing w:line="240" w:lineRule="auto" w:before="0" w:after="0"/>
              <w:pStyle w:val="Compact"/>
            </w:pPr>
            <w:r>
              <w:rPr>
                <w:sz w:val="20"/>
                <w:szCs w:val="20"/>
              </w:rPr>
              <w:t xml:space="preserve">0.8865</w:t>
            </w:r>
          </w:p>
        </w:tc>
        <w:tc>
          <w:tcPr>
            <w:tcW w:w="0" w:type="auto"/>
          </w:tcPr>
          <w:p>
            <w:pPr>
              <w:spacing w:line="240" w:lineRule="auto" w:before="0" w:after="0"/>
              <w:pStyle w:val="Compact"/>
            </w:pPr>
            <w:r>
              <w:rPr>
                <w:sz w:val="20"/>
                <w:szCs w:val="20"/>
              </w:rPr>
              <w:t xml:space="preserve">[-0.2303, 0.199]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-0.0223</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-1.1914</w:t>
            </w:r>
          </w:p>
        </w:tc>
        <w:tc>
          <w:tcPr>
            <w:tcW w:w="0" w:type="auto"/>
          </w:tcPr>
          <w:p>
            <w:pPr>
              <w:spacing w:line="240" w:lineRule="auto" w:before="0" w:after="0"/>
              <w:pStyle w:val="Compact"/>
            </w:pPr>
            <w:r>
              <w:rPr>
                <w:sz w:val="20"/>
                <w:szCs w:val="20"/>
              </w:rPr>
              <w:t xml:space="preserve">0.2335</w:t>
            </w:r>
          </w:p>
        </w:tc>
        <w:tc>
          <w:tcPr>
            <w:tcW w:w="0" w:type="auto"/>
          </w:tcPr>
          <w:p>
            <w:pPr>
              <w:spacing w:line="240" w:lineRule="auto" w:before="0" w:after="0"/>
              <w:pStyle w:val="Compact"/>
            </w:pPr>
            <w:r>
              <w:rPr>
                <w:sz w:val="20"/>
                <w:szCs w:val="20"/>
              </w:rPr>
              <w:t xml:space="preserve">[-0.0591, 0.0144]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-1.8306</w:t>
            </w:r>
          </w:p>
        </w:tc>
        <w:tc>
          <w:tcPr>
            <w:tcW w:w="0" w:type="auto"/>
          </w:tcPr>
          <w:p>
            <w:pPr>
              <w:spacing w:line="240" w:lineRule="auto" w:before="0" w:after="0"/>
              <w:pStyle w:val="Compact"/>
            </w:pPr>
            <w:r>
              <w:rPr>
                <w:sz w:val="20"/>
                <w:szCs w:val="20"/>
              </w:rPr>
              <w:t xml:space="preserve">0.4101</w:t>
            </w:r>
          </w:p>
        </w:tc>
        <w:tc>
          <w:tcPr>
            <w:tcW w:w="0" w:type="auto"/>
          </w:tcPr>
          <w:p>
            <w:pPr>
              <w:spacing w:line="240" w:lineRule="auto" w:before="0" w:after="0"/>
              <w:pStyle w:val="Compact"/>
            </w:pPr>
            <w:r>
              <w:rPr>
                <w:sz w:val="20"/>
                <w:szCs w:val="20"/>
              </w:rPr>
              <w:t xml:space="preserve">-4.464</w:t>
            </w:r>
          </w:p>
        </w:tc>
        <w:tc>
          <w:tcPr>
            <w:tcW w:w="0" w:type="auto"/>
          </w:tcPr>
          <w:p>
            <w:pPr>
              <w:spacing w:line="240" w:lineRule="auto" w:before="0" w:after="0"/>
              <w:pStyle w:val="Compact"/>
            </w:pPr>
            <w:r>
              <w:rPr>
                <w:sz w:val="20"/>
                <w:szCs w:val="20"/>
              </w:rPr>
              <w:t xml:space="preserve">8.043e-06</w:t>
            </w:r>
          </w:p>
        </w:tc>
        <w:tc>
          <w:tcPr>
            <w:tcW w:w="0" w:type="auto"/>
          </w:tcPr>
          <w:p>
            <w:pPr>
              <w:spacing w:line="240" w:lineRule="auto" w:before="0" w:after="0"/>
              <w:pStyle w:val="Compact"/>
            </w:pPr>
            <w:r>
              <w:rPr>
                <w:sz w:val="20"/>
                <w:szCs w:val="20"/>
              </w:rPr>
              <w:t xml:space="preserve">[-2.6344, -1.0269]</w:t>
            </w:r>
          </w:p>
        </w:tc>
      </w:tr>
    </w:tbl>
    <w:p>
      <w:pPr>
        <w:pStyle w:val="BodyText"/>
      </w:pPr>
      <w:r>
        <w:t xml:space="preserve">Fit: N = 30 R2 = 0.3251 R2_adj = 0.2472 F = 8.0514 F_p = 0.0005882</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9" Target="https://doi.org/10.64861/GVYB8737" TargetMode="External" /><Relationship Type="http://schemas.openxmlformats.org/officeDocument/2006/relationships/hyperlink" Id="rId70" Target="https://doi.org/10.64861/HWZS9386" TargetMode="External" /><Relationship Type="http://schemas.openxmlformats.org/officeDocument/2006/relationships/hyperlink" Id="rId72" Target="https://doi.org/10.64861/JSGC2795" TargetMode="External" /><Relationship Type="http://schemas.openxmlformats.org/officeDocument/2006/relationships/hyperlink" Id="rId77" Target="https://doi.org/10.64861/NUFH1261" TargetMode="External" /><Relationship Type="http://schemas.openxmlformats.org/officeDocument/2006/relationships/hyperlink" Id="rId68" Target="https://doi.org/10.64861/UCTN1793" TargetMode="External" /></Relationships>
</file>

<file path=word/_rels/footnotes.xml.rels><?xml version="1.0" encoding="UTF-8"?><Relationships xmlns="http://schemas.openxmlformats.org/package/2006/relationships"><Relationship Type="http://schemas.openxmlformats.org/officeDocument/2006/relationships/hyperlink" Id="rId79" Target="https://doi.org/10.64861/GVYB8737" TargetMode="External" /><Relationship Type="http://schemas.openxmlformats.org/officeDocument/2006/relationships/hyperlink" Id="rId70" Target="https://doi.org/10.64861/HWZS9386" TargetMode="External" /><Relationship Type="http://schemas.openxmlformats.org/officeDocument/2006/relationships/hyperlink" Id="rId72" Target="https://doi.org/10.64861/JSGC2795" TargetMode="External" /><Relationship Type="http://schemas.openxmlformats.org/officeDocument/2006/relationships/hyperlink" Id="rId77" Target="https://doi.org/10.64861/NUFH1261" TargetMode="External" /><Relationship Type="http://schemas.openxmlformats.org/officeDocument/2006/relationships/hyperlink" Id="rId68" Target="https://doi.org/10.64861/UCTN179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2026-06-28T19:48:19Z</dcterms:created>
  <dcterms:modified xsi:type="dcterms:W3CDTF">2026-06-28T19:48:19Z</dcterms:modified>
</cp:coreProperties>
</file>

<file path=docProps/custom.xml><?xml version="1.0" encoding="utf-8"?>
<Properties xmlns="http://schemas.openxmlformats.org/officeDocument/2006/custom-properties" xmlns:vt="http://schemas.openxmlformats.org/officeDocument/2006/docPropsVTypes"/>
</file>