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AUTOMATION TRUST CALIBRATION IN CONJUNCTION ASSESSMENT: WHEN DO OPERATORS OVER-</w:t>
      </w:r>
    </w:p>
    <w:p>
      <w:pPr>
        <w:jc w:val="center"/>
      </w:pPr>
    </w:p>
    <w:p>
      <w:pPr>
        <w:jc w:val="center"/>
      </w:pPr>
      <w:r>
        <w:rPr>
          <w:rFonts w:ascii="Times New Roman" w:hAnsi="Times New Roman"/>
          <w:sz w:val="24"/>
        </w:rPr>
        <w:t>by</w:t>
      </w:r>
    </w:p>
    <w:p>
      <w:pPr>
        <w:jc w:val="center"/>
      </w:pPr>
      <w:r>
        <w:rPr>
          <w:rFonts w:ascii="Times New Roman" w:hAnsi="Times New Roman"/>
          <w:b/>
          <w:sz w:val="28"/>
        </w:rPr>
        <w:t>Ananya Quinn</w:t>
      </w:r>
    </w:p>
    <w:p>
      <w:pPr>
        <w:jc w:val="center"/>
      </w:pPr>
      <w:r>
        <w:rPr>
          <w:rFonts w:ascii="Times New Roman" w:hAnsi="Times New Roman"/>
          <w:sz w:val="24"/>
        </w:rPr>
        <w:t>1B-SDA-170</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72" w:name="introduction"/>
    <w:p>
      <w:pPr>
        <w:pStyle w:val="Heading1"/>
        <w:spacing w:line="480" w:lineRule="auto"/>
      </w:pPr>
      <w:r>
        <w:t xml:space="preserve">Introduction</w:t>
      </w:r>
    </w:p>
    <w:p>
      <w:pPr>
        <w:pStyle w:val="FirstParagraph"/>
        <w:spacing w:line="480" w:lineRule="auto"/>
      </w:pPr>
      <w:r>
        <w:t xml:space="preserve">A conjunction warning arrives as a number and a clock. Two objects in low Earth orbit are projected to pass within some miss distance at some epoch, and an operator, often supported by an automated screening pipeline, must decide whether to burn fuel, wait for a fresh ephemeris, or do nothing. The decision is small in isolation and enormous in aggregate. Multiply it across a catalog that now runs to tens of thousands of tracked objects, across constellations that maneuver autonomously, across a transition from a single government screening service toward a distributed commercial and civil architecture, and the question of how much a human operator should trust the machine in front of them stops being a human-factors footnote. It becomes a governance problem with orbital consequences.</w:t>
      </w:r>
    </w:p>
    <w:p>
      <w:pPr>
        <w:pStyle w:val="BodyText"/>
        <w:spacing w:line="480" w:lineRule="auto"/>
        <w:ind w:firstLine="720"/>
      </w:pPr>
      <w:r>
        <w:t xml:space="preserve">This dissertation studies a narrow, tractable slice of that problem. It asks when operators are likely to over-trust or under-trust automated conjunction assessment, and, more precisely, whether the scholarly and technical literature that frames trust calibration in space situational awareness has itself become structured in ways that can be measured. The project is deliberately modest about what it claims to settle. It does not run an operator-in-the-loop experiment, and it does not model orbital dynamics. Instead it treats a curated corpus of source records as evidence in its own right, and it tests whether the topic signal inside that corpus varies with publication recency, citation attention, and the family of venue in which the work appears</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3">
        <w:r>
          <w:rPr>
            <w:rStyle w:val="Hyperlink"/>
          </w:rPr>
          <w:t xml:space="preserve">[3]</w:t>
        </w:r>
      </w:hyperlink>
      <w:r>
        <w:t xml:space="preserve">.</w:t>
      </w:r>
    </w:p>
    <w:bookmarkStart w:id="61" w:name="the-problem-and-why-it-matters"/>
    <w:p>
      <w:pPr>
        <w:pStyle w:val="Heading2"/>
        <w:spacing w:line="480" w:lineRule="auto"/>
      </w:pPr>
      <w:r>
        <w:t xml:space="preserve">The problem and why it matters</w:t>
      </w:r>
    </w:p>
    <w:p>
      <w:pPr>
        <w:pStyle w:val="FirstParagraph"/>
        <w:spacing w:line="480" w:lineRule="auto"/>
      </w:pPr>
      <w:r>
        <w:t xml:space="preserve">Trust in automation is not a virtue to be maximized. It is a quantity to be calibrated. An operator who trusts a conjunction screening tool too little will chase every alert, waste propellant, desensitize to warnings, and eventually miss the one event that mattered. An operator who trusts the same tool too much will accept a benign-looking screen and skip the manual check that would have caught a covariance error or a stale two-line element set. Both failure modes are documented across aviation, nuclear operations, and increasingly space operations, and both are shaped by how the surrounding institution talks about the tool</w:t>
      </w:r>
      <w:r>
        <w:t xml:space="preserve"> </w:t>
      </w:r>
      <w:hyperlink w:anchor="ref-4">
        <w:r>
          <w:rPr>
            <w:rStyle w:val="Hyperlink"/>
          </w:rPr>
          <w:t xml:space="preserve">[4]</w:t>
        </w:r>
      </w:hyperlink>
      <w:r>
        <w:t xml:space="preserve">. Language matters here in a concrete way. When a validation study describes a screening pipeline as trustworthy, it moves the operator’s prior. When a governance body hedges, that hedge propagates into training and standard operating procedure.</w:t>
      </w:r>
    </w:p>
    <w:p>
      <w:pPr>
        <w:pStyle w:val="BodyText"/>
        <w:spacing w:line="480" w:lineRule="auto"/>
        <w:ind w:firstLine="720"/>
      </w:pPr>
      <w:r>
        <w:t xml:space="preserve">Stakes are rising. The architecture underneath conjunction assessment is changing fast. The United States is moving conjunction screening from a military service toward a civil traffic coordination function, with commercial data providers feeding a shared picture</w:t>
      </w:r>
      <w:r>
        <w:t xml:space="preserve"> </w:t>
      </w:r>
      <w:hyperlink w:anchor="ref-8">
        <w:r>
          <w:rPr>
            <w:rStyle w:val="Hyperlink"/>
          </w:rPr>
          <w:t xml:space="preserve">[8]</w:t>
        </w:r>
      </w:hyperlink>
      <w:r>
        <w:t xml:space="preserve">. Autonomous collision avoidance is no longer hypothetical; large constellations already execute maneuvers with limited human review</w:t>
      </w:r>
      <w:r>
        <w:t xml:space="preserve"> </w:t>
      </w:r>
      <w:hyperlink w:anchor="ref-10">
        <w:r>
          <w:rPr>
            <w:rStyle w:val="Hyperlink"/>
          </w:rPr>
          <w:t xml:space="preserve">[10]</w:t>
        </w:r>
      </w:hyperlink>
      <w:r>
        <w:t xml:space="preserve">. Each of these shifts pushes more of the assessment burden onto software and pushes the human further toward a supervisory role. Supervisory control is precisely the regime in which trust miscalibration does the most damage, because the human is present, accountable, and increasingly out of the loop that generates the decision.</w:t>
      </w:r>
    </w:p>
    <w:p>
      <w:pPr>
        <w:pStyle w:val="BodyText"/>
        <w:spacing w:line="480" w:lineRule="auto"/>
        <w:ind w:firstLine="720"/>
      </w:pPr>
      <w:r>
        <w:t xml:space="preserve">Consider the operational texture. A collision avoidance analyst at a satellite operations center may receive dozens of conjunction data messages per day, each carrying a probability of collision, a predicted miss distance, and a covariance that itself may be poorly characterized. The analyst rarely re-derives the orbit. The analyst trusts, or does not trust, the pipeline that produced the number. Whether that trust is warranted depends on the quality of the underlying tracking data, the pedigree of the automation, and the analyst’s mental model of when the tool tends to fail</w:t>
      </w:r>
      <w:r>
        <w:t xml:space="preserve"> </w:t>
      </w:r>
      <w:hyperlink w:anchor="ref-7">
        <w:r>
          <w:rPr>
            <w:rStyle w:val="Hyperlink"/>
          </w:rPr>
          <w:t xml:space="preserve">[7]</w:t>
        </w:r>
      </w:hyperlink>
      <w:r>
        <w:t xml:space="preserve">. When any of those degrade, the calibration slips, and the slip is invisible until an event exposes it.</w:t>
      </w:r>
    </w:p>
    <w:bookmarkEnd w:id="61"/>
    <w:bookmarkStart w:id="62" w:name="the-gap-this-project-addresses"/>
    <w:p>
      <w:pPr>
        <w:pStyle w:val="Heading2"/>
        <w:spacing w:line="480" w:lineRule="auto"/>
      </w:pPr>
      <w:r>
        <w:t xml:space="preserve">The gap this project addresses</w:t>
      </w:r>
    </w:p>
    <w:p>
      <w:pPr>
        <w:pStyle w:val="FirstParagraph"/>
        <w:spacing w:line="480" w:lineRule="auto"/>
      </w:pPr>
      <w:r>
        <w:t xml:space="preserve">Two gaps motivate the design. The first sits between technical capability and institutional explanation. A validation methodology can demonstrate that a conjunction assessment service meets a numerical standard, but it cannot by itself explain why governance language around that service hardens into requirement or stays soft as guidance</w:t>
      </w:r>
      <w:r>
        <w:t xml:space="preserve"> </w:t>
      </w:r>
      <w:hyperlink w:anchor="ref-1">
        <w:r>
          <w:rPr>
            <w:rStyle w:val="Hyperlink"/>
          </w:rPr>
          <w:t xml:space="preserve">[1]</w:t>
        </w:r>
      </w:hyperlink>
      <w:r>
        <w:t xml:space="preserve"> </w:t>
      </w:r>
      <w:hyperlink w:anchor="ref-3">
        <w:r>
          <w:rPr>
            <w:rStyle w:val="Hyperlink"/>
          </w:rPr>
          <w:t xml:space="preserve">[3]</w:t>
        </w:r>
      </w:hyperlink>
      <w:r>
        <w:t xml:space="preserve">. The second gap sits between policy salience and measurement. Practitioners sense that automation trust has become a prominent topic, that it draws citations, that it clusters in particular venues. Sensing is not measuring. Citation attention, publication recency, and venue family are observable features of a corpus, and they can be examined rather than assumed</w:t>
      </w:r>
      <w:r>
        <w:t xml:space="preserve"> </w:t>
      </w:r>
      <w:hyperlink w:anchor="ref-2">
        <w:r>
          <w:rPr>
            <w:rStyle w:val="Hyperlink"/>
          </w:rPr>
          <w:t xml:space="preserve">[2]</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The dissertation closes a small, testable piece of the second gap. It builds a deterministic feature set from a candidate-specific corpus of thirty source records spanning conjunction analysis, human-machine teaming, decentralized information sharing, and space traffic management, and it asks whether the topic-signal intensity of those records is systematically related to when they were published, how often they are cited, and where they appeared. If the answer is yes, the corpus carries structure that a purely narrative review would miss. If the answer is no, then the field’s sense of its own momentum is not yet visible in these particular metadata, and stronger claims should wait for a direct document-coding study.</w:t>
      </w:r>
    </w:p>
    <w:bookmarkEnd w:id="62"/>
    <w:bookmarkStart w:id="63" w:name="the-single-falsifiable-contribution"/>
    <w:p>
      <w:pPr>
        <w:pStyle w:val="Heading2"/>
        <w:spacing w:line="480" w:lineRule="auto"/>
      </w:pPr>
      <w:r>
        <w:t xml:space="preserve">The single falsifiable contribution</w:t>
      </w:r>
    </w:p>
    <w:p>
      <w:pPr>
        <w:pStyle w:val="FirstParagraph"/>
        <w:spacing w:line="480" w:lineRule="auto"/>
      </w:pPr>
      <w:r>
        <w:t xml:space="preserve">One proposition carries this dissertation. It is falsifiable, and it is stated so it can fail. The null hypothesis holds that the topic-signal score of a source record is unrelated to its publication recency, its citation attention, and its venue family. The alternative holds that the signal is systematically related to those three features, and in particular that it rises with recency and with citation attention</w:t>
      </w:r>
      <w:r>
        <w:t xml:space="preserve"> </w:t>
      </w:r>
      <w:hyperlink w:anchor="ref-1">
        <w:r>
          <w:rPr>
            <w:rStyle w:val="Hyperlink"/>
          </w:rPr>
          <w:t xml:space="preserve">[1]</w:t>
        </w:r>
      </w:hyperlink>
      <w:r>
        <w:t xml:space="preserve"> </w:t>
      </w:r>
      <w:hyperlink w:anchor="ref-2">
        <w:r>
          <w:rPr>
            <w:rStyle w:val="Hyperlink"/>
          </w:rPr>
          <w:t xml:space="preserve">[2]</w:t>
        </w:r>
      </w:hyperlink>
      <w:r>
        <w:t xml:space="preserve">. A companion proposition addresses attention itself: the null holds that citation accumulation is unrelated to article age, and the alternative holds that citation growth follows a measurable age-based curve of the kind familiar from learning-curve and diffusion models.</w:t>
      </w:r>
    </w:p>
    <w:p>
      <w:pPr>
        <w:pStyle w:val="BodyText"/>
        <w:spacing w:line="480" w:lineRule="auto"/>
        <w:ind w:firstLine="720"/>
      </w:pPr>
      <w:r>
        <w:t xml:space="preserve">These are small hypotheses on purpose. A doctoral project in this pipeline earns its authority not by the sweep of its claims but by the auditability of its chain, from source selection to variable construction to estimator output to interpretation</w:t>
      </w:r>
      <w:r>
        <w:t xml:space="preserve"> </w:t>
      </w:r>
      <w:hyperlink w:anchor="ref-4">
        <w:r>
          <w:rPr>
            <w:rStyle w:val="Hyperlink"/>
          </w:rPr>
          <w:t xml:space="preserve">[4]</w:t>
        </w:r>
      </w:hyperlink>
      <w:r>
        <w:t xml:space="preserve"> </w:t>
      </w:r>
      <w:hyperlink w:anchor="ref-5">
        <w:r>
          <w:rPr>
            <w:rStyle w:val="Hyperlink"/>
          </w:rPr>
          <w:t xml:space="preserve">[5]</w:t>
        </w:r>
      </w:hyperlink>
      <w:r>
        <w:t xml:space="preserve">. Every number reported in the results chapter traces to a workbook row, and every workbook row preserves the source it came from. The reader can walk the chain backward. That property, not a grand causal finding, is what the design is built to deliver.</w:t>
      </w:r>
    </w:p>
    <w:bookmarkEnd w:id="63"/>
    <w:bookmarkStart w:id="64" w:name="what-the-evidence-can-and-cannot-do"/>
    <w:p>
      <w:pPr>
        <w:pStyle w:val="Heading2"/>
        <w:spacing w:line="480" w:lineRule="auto"/>
      </w:pPr>
      <w:r>
        <w:t xml:space="preserve">What the evidence can and cannot do</w:t>
      </w:r>
    </w:p>
    <w:p>
      <w:pPr>
        <w:pStyle w:val="FirstParagraph"/>
        <w:spacing w:line="480" w:lineRule="auto"/>
      </w:pPr>
      <w:r>
        <w:t xml:space="preserve">It is honest to state the limits at the outset rather than bury them. The corpus is a candidate-specific retrieval, not a census of the field, so absence of structure in these thirty records is not proof of absence in the literature at large. Citation counts are drawn from a local index and behave as relative attention measures, not as universal citation totals; several records report zero because the index carried no count, not because the work is genuinely uncited</w:t>
      </w:r>
      <w:r>
        <w:t xml:space="preserve"> </w:t>
      </w:r>
      <w:hyperlink w:anchor="ref-6">
        <w:r>
          <w:rPr>
            <w:rStyle w:val="Hyperlink"/>
          </w:rPr>
          <w:t xml:space="preserve">[6]</w:t>
        </w:r>
      </w:hyperlink>
      <w:r>
        <w:t xml:space="preserve">. Venue family is coded as an ordinal from conference proceedings through journal to policy-economy outlet, and an ordinal should not be pressed into service as an interval scale. The design tests corpus structure. It does not test the final causal question of whether trust miscalibration causes orbital incidents, and no coefficient in this dissertation should be read as if it did.</w:t>
      </w:r>
    </w:p>
    <w:p>
      <w:pPr>
        <w:pStyle w:val="BodyText"/>
        <w:spacing w:line="480" w:lineRule="auto"/>
        <w:ind w:firstLine="720"/>
      </w:pPr>
      <w:r>
        <w:t xml:space="preserve">Naming these limits does not weaken the project. It defines it. The fence is the design. The falsifiable contribution lives inside a fenced claim space, and the fence is part of the contribution. A reader who wants a sweeping theory of trust in autonomous space systems will be disappointed. A reader who wants a reproducible instrument for detecting structure in a topic corpus, together with an honest account of where that instrument runs out of resolution, will find the design fit for purpose.</w:t>
      </w:r>
    </w:p>
    <w:bookmarkEnd w:id="64"/>
    <w:bookmarkStart w:id="65" w:name="roadmap"/>
    <w:p>
      <w:pPr>
        <w:pStyle w:val="Heading2"/>
        <w:spacing w:line="480" w:lineRule="auto"/>
      </w:pPr>
      <w:r>
        <w:t xml:space="preserve">Roadmap</w:t>
      </w:r>
    </w:p>
    <w:p>
      <w:pPr>
        <w:pStyle w:val="FirstParagraph"/>
        <w:spacing w:line="480" w:lineRule="auto"/>
      </w:pPr>
      <w:r>
        <w:t xml:space="preserve">The remaining chapters proceed in order. Chapter 2 situates the work against prior literature on automation trust, human-machine teaming, conjunction assessment, and space traffic governance, drawing the corpus itself into the review</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3">
        <w:r>
          <w:rPr>
            <w:rStyle w:val="Hyperlink"/>
          </w:rPr>
          <w:t xml:space="preserve">[3]</w:t>
        </w:r>
      </w:hyperlink>
      <w:r>
        <w:t xml:space="preserve"> </w:t>
      </w:r>
      <w:hyperlink w:anchor="ref-4">
        <w:r>
          <w:rPr>
            <w:rStyle w:val="Hyperlink"/>
          </w:rPr>
          <w:t xml:space="preserve">[4]</w:t>
        </w:r>
      </w:hyperlink>
      <w:r>
        <w:t xml:space="preserve">. Chapter 3 develops the mechanism, explaining why recency, attention, and venue should move a topic signal at all, and derives the testable predictions. Chapter 4 sets out the two estimators, an ordinary least squares model and a log-log learning-curve model, and argues why each identifies the association it targets under stated assumptions</w:t>
      </w:r>
      <w:r>
        <w:t xml:space="preserve"> </w:t>
      </w:r>
      <w:hyperlink w:anchor="ref-10">
        <w:r>
          <w:rPr>
            <w:rStyle w:val="Hyperlink"/>
          </w:rPr>
          <w:t xml:space="preserve">[10]</w:t>
        </w:r>
      </w:hyperlink>
      <w:r>
        <w:t xml:space="preserve">. Chapter 5 describes the dataset, the thirty records, the variable construction, and the provenance discipline that keeps the workbook auditable. Chapter 6 reports the estimator output exactly as the workbooks produced it and interprets the signs and magnitudes. Chapter 7 discusses what the findings mean, catalogs the threats to validity, and marks the boundary of what the data can support. Chapter 8 states the contribution, connects it to governance and program relevance in the ongoing transition of conjunction services, and lays out the direct document-coding study that should come next</w:t>
      </w:r>
      <w:r>
        <w:t xml:space="preserve"> </w:t>
      </w:r>
      <w:hyperlink w:anchor="ref-8">
        <w:r>
          <w:rPr>
            <w:rStyle w:val="Hyperlink"/>
          </w:rPr>
          <w:t xml:space="preserve">[8]</w:t>
        </w:r>
      </w:hyperlink>
      <w:r>
        <w:t xml:space="preserve"> </w:t>
      </w:r>
      <w:hyperlink w:anchor="ref-13">
        <w:r>
          <w:rPr>
            <w:rStyle w:val="Hyperlink"/>
          </w:rPr>
          <w:t xml:space="preserve">[13]</w:t>
        </w:r>
      </w:hyperlink>
      <w:r>
        <w:t xml:space="preserve">.</w:t>
      </w:r>
    </w:p>
    <w:p>
      <w:pPr>
        <w:pStyle w:val="BodyText"/>
        <w:spacing w:line="480" w:lineRule="auto"/>
        <w:ind w:firstLine="720"/>
      </w:pPr>
      <w:r>
        <w:t xml:space="preserve">The through-line is simple to state and hard to honor. Trust in automated conjunction assessment must be calibrated, not maximized, and the first step toward calibrating it at the level of an institution is to make the institution’s own literature legible. This dissertation takes that first step and reports, without embellishment, exactly how far it reaches.</w:t>
      </w:r>
    </w:p>
    <w:bookmarkEnd w:id="65"/>
    <w:bookmarkStart w:id="66" w:name="the-transition-that-raises-the-stakes"/>
    <w:p>
      <w:pPr>
        <w:pStyle w:val="Heading2"/>
        <w:spacing w:line="480" w:lineRule="auto"/>
      </w:pPr>
      <w:r>
        <w:t xml:space="preserve">The transition that raises the stakes</w:t>
      </w:r>
    </w:p>
    <w:p>
      <w:pPr>
        <w:pStyle w:val="FirstParagraph"/>
        <w:spacing w:line="480" w:lineRule="auto"/>
      </w:pPr>
      <w:r>
        <w:t xml:space="preserve">It is worth dwelling on the institutional moment, because the moment is what makes a bibliometric study of trust more than an academic exercise. For most of the space age, conjunction screening in the United States flowed through a single military pipeline, and operators knew whose data and whose algorithms stood behind an alert. That arrangement is dissolving. Screening is migrating toward a civil traffic coordination function that ingests commercial observations, fuses them with government tracking, and issues warnings to a far larger and more heterogeneous population of operators than the original arrangement ever served</w:t>
      </w:r>
      <w:r>
        <w:t xml:space="preserve"> </w:t>
      </w:r>
      <w:hyperlink w:anchor="ref-8">
        <w:r>
          <w:rPr>
            <w:rStyle w:val="Hyperlink"/>
          </w:rPr>
          <w:t xml:space="preserve">[8]</w:t>
        </w:r>
      </w:hyperlink>
      <w:r>
        <w:t xml:space="preserve">. The migration multiplies the number of humans who must decide how much to trust a screen, and it multiplies the number of distinct automated pipelines whose pedigree those humans cannot personally vouch for</w:t>
      </w:r>
      <w:r>
        <w:t xml:space="preserve"> </w:t>
      </w:r>
      <w:hyperlink w:anchor="ref-7">
        <w:r>
          <w:rPr>
            <w:rStyle w:val="Hyperlink"/>
          </w:rPr>
          <w:t xml:space="preserve">[7]</w:t>
        </w:r>
      </w:hyperlink>
      <w:r>
        <w:t xml:space="preserve">.</w:t>
      </w:r>
    </w:p>
    <w:p>
      <w:pPr>
        <w:pStyle w:val="BodyText"/>
        <w:spacing w:line="480" w:lineRule="auto"/>
        <w:ind w:firstLine="720"/>
      </w:pPr>
      <w:r>
        <w:t xml:space="preserve">Two consequences follow, and both bear on trust calibration. The first consequence is that the provenance of an alert becomes opaque to the operator who acts on it. When a warning could originate from any of several fused data sources processed by any of several algorithms, the mental model an operator uses to judge reliability grows harder to maintain</w:t>
      </w:r>
      <w:r>
        <w:t xml:space="preserve"> </w:t>
      </w:r>
      <w:hyperlink w:anchor="ref-6">
        <w:r>
          <w:rPr>
            <w:rStyle w:val="Hyperlink"/>
          </w:rPr>
          <w:t xml:space="preserve">[6]</w:t>
        </w:r>
      </w:hyperlink>
      <w:r>
        <w:t xml:space="preserve">. The second consequence is that the institution issuing warnings must decide, in writing, how confident to sound. A validation methodology that certifies a service as fit for reliance is not a neutral technical document; it is a speech act that moves every downstream operator’s prior toward trust</w:t>
      </w:r>
      <w:r>
        <w:t xml:space="preserve"> </w:t>
      </w:r>
      <w:hyperlink w:anchor="ref-8">
        <w:r>
          <w:rPr>
            <w:rStyle w:val="Hyperlink"/>
          </w:rPr>
          <w:t xml:space="preserve">[8]</w:t>
        </w:r>
      </w:hyperlink>
      <w:r>
        <w:t xml:space="preserve">. This is exactly the point at which the governance language this dissertation studies begins to matter operationally rather than academically.</w:t>
      </w:r>
    </w:p>
    <w:bookmarkEnd w:id="66"/>
    <w:bookmarkStart w:id="67" w:name="reading-a-field-through-its-own-record"/>
    <w:p>
      <w:pPr>
        <w:pStyle w:val="Heading2"/>
        <w:spacing w:line="480" w:lineRule="auto"/>
      </w:pPr>
      <w:r>
        <w:t xml:space="preserve">Reading a field through its own record</w:t>
      </w:r>
    </w:p>
    <w:p>
      <w:pPr>
        <w:pStyle w:val="FirstParagraph"/>
        <w:spacing w:line="480" w:lineRule="auto"/>
      </w:pPr>
      <w:r>
        <w:t xml:space="preserve">The choice to study trust calibration through the literature rather than through operators deserves a direct defense, because it is the design’s most contestable move. The defense has three parts. The literature is observable, complete for the retrieved corpus, and available now, whereas an operator study would require access, instrumentation, and time that a design-stage project does not command</w:t>
      </w:r>
      <w:r>
        <w:t xml:space="preserve"> </w:t>
      </w:r>
      <w:hyperlink w:anchor="ref-4">
        <w:r>
          <w:rPr>
            <w:rStyle w:val="Hyperlink"/>
          </w:rPr>
          <w:t xml:space="preserve">[4]</w:t>
        </w:r>
      </w:hyperlink>
      <w:r>
        <w:t xml:space="preserve">. The literature is also where the institution encodes its stance; requirements, guidance, and validation criteria are documents before they are practices, and reading the documents is a legitimate way to read the emerging stance</w:t>
      </w:r>
      <w:r>
        <w:t xml:space="preserve"> </w:t>
      </w:r>
      <w:hyperlink w:anchor="ref-1">
        <w:r>
          <w:rPr>
            <w:rStyle w:val="Hyperlink"/>
          </w:rPr>
          <w:t xml:space="preserve">[1]</w:t>
        </w:r>
      </w:hyperlink>
      <w:r>
        <w:t xml:space="preserve"> </w:t>
      </w:r>
      <w:hyperlink w:anchor="ref-3">
        <w:r>
          <w:rPr>
            <w:rStyle w:val="Hyperlink"/>
          </w:rPr>
          <w:t xml:space="preserve">[3]</w:t>
        </w:r>
      </w:hyperlink>
      <w:r>
        <w:t xml:space="preserve">. And the literature is where the field’s own sense of momentum, the intuition that trust in automation has become a live problem, would leave its first measurable trace if it leaves one at all</w:t>
      </w:r>
      <w:r>
        <w:t xml:space="preserve"> </w:t>
      </w:r>
      <w:hyperlink w:anchor="ref-2">
        <w:r>
          <w:rPr>
            <w:rStyle w:val="Hyperlink"/>
          </w:rPr>
          <w:t xml:space="preserve">[2]</w:t>
        </w:r>
      </w:hyperlink>
      <w:r>
        <w:t xml:space="preserve">.</w:t>
      </w:r>
    </w:p>
    <w:p>
      <w:pPr>
        <w:pStyle w:val="BodyText"/>
        <w:spacing w:line="480" w:lineRule="auto"/>
        <w:ind w:firstLine="720"/>
      </w:pPr>
      <w:r>
        <w:t xml:space="preserve">None of this makes the bibliometric layer a substitute for studying operators. It makes the bibliometric layer a sensible first probe: cheap, reproducible, and honest about its distance from the console. The dissertation is explicit that its findings live one step removed from the decisions that motivate it, and it treats that remove as a boundary to respect rather than a gap to paper over</w:t>
      </w:r>
      <w:r>
        <w:t xml:space="preserve"> </w:t>
      </w:r>
      <w:hyperlink w:anchor="ref-5">
        <w:r>
          <w:rPr>
            <w:rStyle w:val="Hyperlink"/>
          </w:rPr>
          <w:t xml:space="preserve">[5]</w:t>
        </w:r>
      </w:hyperlink>
      <w:r>
        <w:t xml:space="preserve">.</w:t>
      </w:r>
    </w:p>
    <w:bookmarkEnd w:id="67"/>
    <w:bookmarkStart w:id="68" w:name="X4a6e1933e3dae1c0c6d6354f09ee54d2129f702"/>
    <w:p>
      <w:pPr>
        <w:pStyle w:val="Heading2"/>
        <w:spacing w:line="480" w:lineRule="auto"/>
      </w:pPr>
      <w:r>
        <w:t xml:space="preserve">Two failure modes, one calibration problem</w:t>
      </w:r>
    </w:p>
    <w:p>
      <w:pPr>
        <w:pStyle w:val="FirstParagraph"/>
        <w:spacing w:line="480" w:lineRule="auto"/>
      </w:pPr>
      <w:r>
        <w:t xml:space="preserve">The symmetry between over-trust and under-trust deserves a fuller treatment, because the two failures are usually discussed separately and the separation obscures that they are one problem seen from two sides. Under-trust is the more visible failure. An operator who distrusts the screening tool re-checks everything, maneuvers on marginal alerts, and burns propellant that shortens mission life. The cost is measurable in fuel budgets and in the desensitization that follows when too many maneuvers turn out to have been unnecessary</w:t>
      </w:r>
      <w:r>
        <w:t xml:space="preserve"> </w:t>
      </w:r>
      <w:hyperlink w:anchor="ref-4">
        <w:r>
          <w:rPr>
            <w:rStyle w:val="Hyperlink"/>
          </w:rPr>
          <w:t xml:space="preserve">[4]</w:t>
        </w:r>
      </w:hyperlink>
      <w:r>
        <w:t xml:space="preserve">. Over-trust is the quieter and more dangerous failure. An operator who accepts every screen without scrutiny will be right almost always, because most conjunctions resolve without incident, and the long run of correct acceptances builds a complacency that the automation itself did nothing to earn</w:t>
      </w:r>
      <w:r>
        <w:t xml:space="preserve"> </w:t>
      </w:r>
      <w:hyperlink w:anchor="ref-2">
        <w:r>
          <w:rPr>
            <w:rStyle w:val="Hyperlink"/>
          </w:rPr>
          <w:t xml:space="preserve">[2]</w:t>
        </w:r>
      </w:hyperlink>
      <w:r>
        <w:t xml:space="preserve">. The rare screen that was wrong, built on a stale element set or a mischaracterized covariance, then passes unchallenged, and the consequence is a collision that better calibration would have caught</w:t>
      </w:r>
      <w:r>
        <w:t xml:space="preserve"> </w:t>
      </w:r>
      <w:hyperlink w:anchor="ref-6">
        <w:r>
          <w:rPr>
            <w:rStyle w:val="Hyperlink"/>
          </w:rPr>
          <w:t xml:space="preserve">[6]</w:t>
        </w:r>
      </w:hyperlink>
      <w:r>
        <w:t xml:space="preserve">.</w:t>
      </w:r>
    </w:p>
    <w:p>
      <w:pPr>
        <w:pStyle w:val="BodyText"/>
        <w:spacing w:line="480" w:lineRule="auto"/>
        <w:ind w:firstLine="720"/>
      </w:pPr>
      <w:r>
        <w:t xml:space="preserve">What unites the two failures is that both are errors in the relationship between reliance and reliability, not errors in the tool. A perfectly reliable tool can still be misused by an operator whose reliance is miscalibrated, and the institution that fields the tool cannot fix the problem by improving the tool alone</w:t>
      </w:r>
      <w:r>
        <w:t xml:space="preserve"> </w:t>
      </w:r>
      <w:hyperlink w:anchor="ref-3">
        <w:r>
          <w:rPr>
            <w:rStyle w:val="Hyperlink"/>
          </w:rPr>
          <w:t xml:space="preserve">[3]</w:t>
        </w:r>
      </w:hyperlink>
      <w:r>
        <w:t xml:space="preserve">. This is why the governance language around automation matters so much. The language sets the operator’s prior before any specific alert arrives, and a validation document that oversells reliability nudges the whole operator population toward over-trust, while one that hedges excessively nudges it toward the wasteful under-trust that erodes vigilance</w:t>
      </w:r>
      <w:r>
        <w:t xml:space="preserve"> </w:t>
      </w:r>
      <w:hyperlink w:anchor="ref-8">
        <w:r>
          <w:rPr>
            <w:rStyle w:val="Hyperlink"/>
          </w:rPr>
          <w:t xml:space="preserve">[8]</w:t>
        </w:r>
      </w:hyperlink>
      <w:r>
        <w:t xml:space="preserve">. The calibration problem is therefore institutional before it is individual, which is what justifies studying it at the level of the field’s literature rather than only at the level of the console.</w:t>
      </w:r>
    </w:p>
    <w:bookmarkEnd w:id="68"/>
    <w:bookmarkStart w:id="69" w:name="X590373381730318d7c3614406edd1356db93bbe"/>
    <w:p>
      <w:pPr>
        <w:pStyle w:val="Heading2"/>
        <w:spacing w:line="480" w:lineRule="auto"/>
      </w:pPr>
      <w:r>
        <w:t xml:space="preserve">The console, the pipeline, and the paper trail</w:t>
      </w:r>
    </w:p>
    <w:p>
      <w:pPr>
        <w:pStyle w:val="FirstParagraph"/>
        <w:spacing w:line="480" w:lineRule="auto"/>
      </w:pPr>
      <w:r>
        <w:t xml:space="preserve">It helps to trace a single alert through the layers it touches, because the trace shows why a study of the paper trail speaks to the console at all. An alert begins as observations from sensors of varying pedigree, is fused into an orbit and a covariance, is screened against the catalog by an automated pipeline, and arrives at an operator as a probability and a miss distance</w:t>
      </w:r>
      <w:r>
        <w:t xml:space="preserve"> </w:t>
      </w:r>
      <w:hyperlink w:anchor="ref-6">
        <w:r>
          <w:rPr>
            <w:rStyle w:val="Hyperlink"/>
          </w:rPr>
          <w:t xml:space="preserve">[6]</w:t>
        </w:r>
      </w:hyperlink>
      <w:r>
        <w:t xml:space="preserve"> </w:t>
      </w:r>
      <w:hyperlink w:anchor="ref-7">
        <w:r>
          <w:rPr>
            <w:rStyle w:val="Hyperlink"/>
          </w:rPr>
          <w:t xml:space="preserve">[7]</w:t>
        </w:r>
      </w:hyperlink>
      <w:r>
        <w:t xml:space="preserve">. At each layer a design choice was made, and each choice was justified somewhere in writing, whether in a validation report, a standard operating procedure, or a technical paper describing the method</w:t>
      </w:r>
      <w:r>
        <w:t xml:space="preserve"> </w:t>
      </w:r>
      <w:hyperlink w:anchor="ref-8">
        <w:r>
          <w:rPr>
            <w:rStyle w:val="Hyperlink"/>
          </w:rPr>
          <w:t xml:space="preserve">[8]</w:t>
        </w:r>
      </w:hyperlink>
      <w:r>
        <w:t xml:space="preserve">. The operator inherits the sum of those choices without seeing most of them, and the operator’s trust is, at bottom, trust in the whole documented chain compressed into a single number. When the dissertation reads the field’s literature, it is reading the substrate from which that documented chain is built, and the density with which that substrate engages the trust problem is a measure of how seriously the chain’s authors treated the operator’s predicament</w:t>
      </w:r>
      <w:r>
        <w:t xml:space="preserve"> </w:t>
      </w:r>
      <w:hyperlink w:anchor="ref-2">
        <w:r>
          <w:rPr>
            <w:rStyle w:val="Hyperlink"/>
          </w:rPr>
          <w:t xml:space="preserve">[2]</w:t>
        </w:r>
      </w:hyperlink>
      <w:r>
        <w:t xml:space="preserve">. The connection is indirect, and the dissertation says so plainly, but it is not fanciful. The paper trail is where the institution decides how confident to make its operators, and reading the trail is a legitimate way to study a problem that ends at the console</w:t>
      </w:r>
      <w:r>
        <w:t xml:space="preserve"> </w:t>
      </w:r>
      <w:hyperlink w:anchor="ref-3">
        <w:r>
          <w:rPr>
            <w:rStyle w:val="Hyperlink"/>
          </w:rPr>
          <w:t xml:space="preserve">[3]</w:t>
        </w:r>
      </w:hyperlink>
      <w:r>
        <w:t xml:space="preserve">.</w:t>
      </w:r>
    </w:p>
    <w:bookmarkEnd w:id="69"/>
    <w:bookmarkStart w:id="70" w:name="orientation-for-the-reader"/>
    <w:p>
      <w:pPr>
        <w:pStyle w:val="Heading2"/>
        <w:spacing w:line="480" w:lineRule="auto"/>
      </w:pPr>
      <w:r>
        <w:t xml:space="preserve">Orientation for the reader</w:t>
      </w:r>
    </w:p>
    <w:p>
      <w:pPr>
        <w:pStyle w:val="FirstParagraph"/>
        <w:spacing w:line="480" w:lineRule="auto"/>
      </w:pPr>
      <w:r>
        <w:t xml:space="preserve">A final word orients the reader to the argument’s shape before it unfolds. This is not a study that will end in a policy recommendation or a causal claim, and a reader expecting either will find the conclusion deliberately restrained. It is a study that will measure one thing precisely, find that the field’s engagement with operator trust is organized by venue family rather than by time or citation attention, and stop exactly there</w:t>
      </w:r>
      <w:r>
        <w:t xml:space="preserve"> </w:t>
      </w:r>
      <w:hyperlink w:anchor="ref-1">
        <w:r>
          <w:rPr>
            <w:rStyle w:val="Hyperlink"/>
          </w:rPr>
          <w:t xml:space="preserve">[1]</w:t>
        </w:r>
      </w:hyperlink>
      <w:r>
        <w:t xml:space="preserve"> </w:t>
      </w:r>
      <w:hyperlink w:anchor="ref-4">
        <w:r>
          <w:rPr>
            <w:rStyle w:val="Hyperlink"/>
          </w:rPr>
          <w:t xml:space="preserve">[4]</w:t>
        </w:r>
      </w:hyperlink>
      <w:r>
        <w:t xml:space="preserve">. The value lies in the precision and in the honesty of the stopping point. Everything between here and the conclusion is built to make that single finding trustworthy: a literature review that treats the corpus as data, a framework that pre-commits to what each result would mean, a methodology that chooses transparency over sophistication, and a data chapter that earns the auditability the whole project rests on</w:t>
      </w:r>
      <w:r>
        <w:t xml:space="preserve"> </w:t>
      </w:r>
      <w:hyperlink w:anchor="ref-5">
        <w:r>
          <w:rPr>
            <w:rStyle w:val="Hyperlink"/>
          </w:rPr>
          <w:t xml:space="preserve">[5]</w:t>
        </w:r>
      </w:hyperlink>
      <w:r>
        <w:t xml:space="preserve"> </w:t>
      </w:r>
      <w:hyperlink w:anchor="ref-7">
        <w:r>
          <w:rPr>
            <w:rStyle w:val="Hyperlink"/>
          </w:rPr>
          <w:t xml:space="preserve">[7]</w:t>
        </w:r>
      </w:hyperlink>
      <w:r>
        <w:t xml:space="preserve">.</w:t>
      </w:r>
    </w:p>
    <w:bookmarkEnd w:id="70"/>
    <w:bookmarkStart w:id="71" w:name="why-a-small-claim-is-the-right-claim"/>
    <w:p>
      <w:pPr>
        <w:pStyle w:val="Heading2"/>
        <w:spacing w:line="480" w:lineRule="auto"/>
      </w:pPr>
      <w:r>
        <w:t xml:space="preserve">Why a small claim is the right claim</w:t>
      </w:r>
    </w:p>
    <w:p>
      <w:pPr>
        <w:pStyle w:val="FirstParagraph"/>
        <w:spacing w:line="480" w:lineRule="auto"/>
      </w:pPr>
      <w:r>
        <w:t xml:space="preserve">There is a temptation in doctoral work to inflate scope, to promise a theory of trust in autonomous space systems and then retreat to whatever the data actually showed. This project resists that shape deliberately. A single falsifiable proposition, tested to a clean result and fenced by an honest account of its limits, is more useful to the field than a sweeping claim hedged into meaninglessness</w:t>
      </w:r>
      <w:r>
        <w:t xml:space="preserve"> </w:t>
      </w:r>
      <w:hyperlink w:anchor="ref-9">
        <w:r>
          <w:rPr>
            <w:rStyle w:val="Hyperlink"/>
          </w:rPr>
          <w:t xml:space="preserve">[9]</w:t>
        </w:r>
      </w:hyperlink>
      <w:r>
        <w:t xml:space="preserve">. The proposition here can fail in specified ways, and the reader is told in advance what failure would look like. That property, rare enough in soft-governance research, is the discipline the substantive subject demands, because a field studying when humans over-trust their instruments should hold its own instruments to the same standard</w:t>
      </w:r>
      <w:r>
        <w:t xml:space="preserve"> </w:t>
      </w:r>
      <w:hyperlink w:anchor="ref-2">
        <w:r>
          <w:rPr>
            <w:rStyle w:val="Hyperlink"/>
          </w:rPr>
          <w:t xml:space="preserve">[2]</w:t>
        </w:r>
      </w:hyperlink>
      <w:r>
        <w:t xml:space="preserve">. The chapters that follow honor that standard by reporting what the corpus supports and refusing what it does not.</w:t>
      </w:r>
    </w:p>
    <w:bookmarkEnd w:id="71"/>
    <w:bookmarkEnd w:id="72"/>
    <w:bookmarkStart w:id="84" w:name="literature-review"/>
    <w:p>
      <w:pPr>
        <w:pStyle w:val="Heading1"/>
        <w:spacing w:line="480" w:lineRule="auto"/>
      </w:pPr>
      <w:r>
        <w:t xml:space="preserve">Literature Review</w:t>
      </w:r>
    </w:p>
    <w:p>
      <w:pPr>
        <w:pStyle w:val="FirstParagraph"/>
        <w:spacing w:line="480" w:lineRule="auto"/>
      </w:pPr>
      <w:r>
        <w:t xml:space="preserve">The literature surrounding automated conjunction assessment does not sit in a single discipline. It braids together human-factors research on trust in automation, systems-engineering work on space situational awareness, operational studies of collision avoidance, and an emerging governance conversation about how much authority to hand to software in the orbital domain. This chapter maps those strands and, unusually for a review, treats the mapped corpus as an object of study rather than only a backdrop. The thirty records that anchor the empirical chapters are drawn from exactly this literature, so situating them is both scholarly context and data description.</w:t>
      </w:r>
    </w:p>
    <w:bookmarkStart w:id="73" w:name="trust-as-a-calibrated-quantity"/>
    <w:p>
      <w:pPr>
        <w:pStyle w:val="Heading2"/>
        <w:spacing w:line="480" w:lineRule="auto"/>
      </w:pPr>
      <w:r>
        <w:t xml:space="preserve">Trust as a calibrated quantity</w:t>
      </w:r>
    </w:p>
    <w:p>
      <w:pPr>
        <w:pStyle w:val="FirstParagraph"/>
        <w:spacing w:line="480" w:lineRule="auto"/>
      </w:pPr>
      <w:r>
        <w:t xml:space="preserve">One move is foundational. Human-automation research rejects the intuition that more trust is better. Trust is a relationship between an operator’s reliance and a system’s true reliability, and the interesting failures are the mismatches: reliance that exceeds reliability, and reliance that falls short of it. In space operations this framing has been imported deliberately from adjacent high-consequence domains. Work on human-machine teaming for autonomous space sensing argues that trust must be built and maintained through transparency about what the machine knows and does not know, rather than assumed from a system passing acceptance tests</w:t>
      </w:r>
      <w:r>
        <w:t xml:space="preserve"> </w:t>
      </w:r>
      <w:hyperlink w:anchor="ref-2">
        <w:r>
          <w:rPr>
            <w:rStyle w:val="Hyperlink"/>
          </w:rPr>
          <w:t xml:space="preserve">[2]</w:t>
        </w:r>
      </w:hyperlink>
      <w:r>
        <w:t xml:space="preserve">. The claim is that a sensing pipeline earns calibrated reliance only when its uncertainty is legible to the operator, and that opaque automation invites exactly the over-trust supervisory control cannot afford.</w:t>
      </w:r>
    </w:p>
    <w:p>
      <w:pPr>
        <w:pStyle w:val="BodyText"/>
        <w:spacing w:line="480" w:lineRule="auto"/>
        <w:ind w:firstLine="720"/>
      </w:pPr>
      <w:r>
        <w:t xml:space="preserve">A parallel line takes the aviation safety apparatus as its template. Aviation spent decades formalizing how crews should interact with automation, when to intervene, and how to train against complacency, and a recent contribution argues that orbital operations can borrow that apparatus to build domain resilience</w:t>
      </w:r>
      <w:r>
        <w:t xml:space="preserve"> </w:t>
      </w:r>
      <w:hyperlink w:anchor="ref-3">
        <w:r>
          <w:rPr>
            <w:rStyle w:val="Hyperlink"/>
          </w:rPr>
          <w:t xml:space="preserve">[3]</w:t>
        </w:r>
      </w:hyperlink>
      <w:r>
        <w:t xml:space="preserve">. The argument is attractive because aviation already solved, imperfectly, the problem space operations now faces: many operators, shared airspace, automated advisories, and catastrophic tail risk. The transfer is not automatic, and the paper is careful about that, yet the analogy gives the field a vocabulary for treating trust as an engineered and governed property rather than a personal trait.</w:t>
      </w:r>
    </w:p>
    <w:p>
      <w:pPr>
        <w:pStyle w:val="BodyText"/>
        <w:spacing w:line="480" w:lineRule="auto"/>
        <w:ind w:firstLine="720"/>
      </w:pPr>
      <w:r>
        <w:t xml:space="preserve">Older experimental work grounds these claims in measured operator behavior. A study of operator confidence in automated space situational awareness and satellite control systems examined how analysts form and revise their reliance on automated tools, and it established that confidence is neither static nor uniformly warranted</w:t>
      </w:r>
      <w:r>
        <w:t xml:space="preserve"> </w:t>
      </w:r>
      <w:hyperlink w:anchor="ref-4">
        <w:r>
          <w:rPr>
            <w:rStyle w:val="Hyperlink"/>
          </w:rPr>
          <w:t xml:space="preserve">[4]</w:t>
        </w:r>
      </w:hyperlink>
      <w:r>
        <w:t xml:space="preserve">. That result matters for the present design because it establishes trust calibration as an empirical construct with observable antecedents, which is the premise the corpus-level analysis extends into bibliometric space.</w:t>
      </w:r>
    </w:p>
    <w:bookmarkEnd w:id="73"/>
    <w:bookmarkStart w:id="74" w:name="X2c98cd75e6c2a13098a292ab42f9f979379f6df"/>
    <w:p>
      <w:pPr>
        <w:pStyle w:val="Heading2"/>
        <w:spacing w:line="480" w:lineRule="auto"/>
      </w:pPr>
      <w:r>
        <w:t xml:space="preserve">Conjunction assessment and collision avoidance</w:t>
      </w:r>
    </w:p>
    <w:p>
      <w:pPr>
        <w:pStyle w:val="FirstParagraph"/>
        <w:spacing w:line="480" w:lineRule="auto"/>
      </w:pPr>
      <w:r>
        <w:t xml:space="preserve">The technical spine of the field is the machinery that turns tracking data into a probability of collision and then into a maneuver decision. Foundational operational work on satellite conjunction analysis established the process that operators still recognize: screen the catalog, identify close approaches, refine the estimate, decide. Later contributions sharpened the statistics. Volumetric assessment of satellite encounter rates reframed how often close approaches should be expected under realistic population assumptions, giving operators a base rate against which to judge any single alert</w:t>
      </w:r>
      <w:r>
        <w:t xml:space="preserve"> </w:t>
      </w:r>
      <w:hyperlink w:anchor="ref-12">
        <w:r>
          <w:rPr>
            <w:rStyle w:val="Hyperlink"/>
          </w:rPr>
          <w:t xml:space="preserve">[12]</w:t>
        </w:r>
      </w:hyperlink>
      <w:r>
        <w:t xml:space="preserve">. A comprehensive assessment of collision likelihood in geosynchronous orbit did the analogous work for the GEO belt, where the geometry and the stakes differ but the calibration problem is identical</w:t>
      </w:r>
      <w:r>
        <w:t xml:space="preserve"> </w:t>
      </w:r>
      <w:hyperlink w:anchor="ref-15">
        <w:r>
          <w:rPr>
            <w:rStyle w:val="Hyperlink"/>
          </w:rPr>
          <w:t xml:space="preserve">[15]</w:t>
        </w:r>
      </w:hyperlink>
      <w:r>
        <w:t xml:space="preserve">.</w:t>
      </w:r>
    </w:p>
    <w:p>
      <w:pPr>
        <w:pStyle w:val="BodyText"/>
        <w:spacing w:line="480" w:lineRule="auto"/>
        <w:ind w:firstLine="720"/>
      </w:pPr>
      <w:r>
        <w:t xml:space="preserve">Improvement of the collision avoidance process itself is an active thread. Recent space traffic management work on improvements to spacecraft collision avoidance catalogs where the current process introduces error and delay, and it points toward automation as a partial remedy while acknowledging the trust cost of that automation</w:t>
      </w:r>
      <w:r>
        <w:t xml:space="preserve"> </w:t>
      </w:r>
      <w:hyperlink w:anchor="ref-14">
        <w:r>
          <w:rPr>
            <w:rStyle w:val="Hyperlink"/>
          </w:rPr>
          <w:t xml:space="preserve">[14]</w:t>
        </w:r>
      </w:hyperlink>
      <w:r>
        <w:t xml:space="preserve">. The tension is explicit in this literature. Automation promises to handle volume that humans cannot, yet every increment of automation moves the operator further from the raw evidence and raises the calibration question this dissertation studies.</w:t>
      </w:r>
    </w:p>
    <w:p>
      <w:pPr>
        <w:pStyle w:val="BodyText"/>
        <w:spacing w:line="480" w:lineRule="auto"/>
        <w:ind w:firstLine="720"/>
      </w:pPr>
      <w:r>
        <w:t xml:space="preserve">Autonomy is the leading edge. Prototyping operational autonomy for space traffic management describes systems that would execute avoidance maneuvers with reduced human involvement, and it treats the transition as an engineering program rather than a distant aspiration</w:t>
      </w:r>
      <w:r>
        <w:t xml:space="preserve"> </w:t>
      </w:r>
      <w:hyperlink w:anchor="ref-10">
        <w:r>
          <w:rPr>
            <w:rStyle w:val="Hyperlink"/>
          </w:rPr>
          <w:t xml:space="preserve">[10]</w:t>
        </w:r>
      </w:hyperlink>
      <w:r>
        <w:t xml:space="preserve">. When maneuvers become autonomous, the operator’s role collapses toward monitoring, and monitoring is the regime where trust miscalibration is hardest to detect, because a well-behaved system provides little feedback about whether reliance is warranted.</w:t>
      </w:r>
    </w:p>
    <w:bookmarkEnd w:id="74"/>
    <w:bookmarkStart w:id="75" w:name="Xd711417691b50b8fbad83db3705af10205f123d"/>
    <w:p>
      <w:pPr>
        <w:pStyle w:val="Heading2"/>
        <w:spacing w:line="480" w:lineRule="auto"/>
      </w:pPr>
      <w:r>
        <w:t xml:space="preserve">Data quality, pedigree, and the roots of trust</w:t>
      </w:r>
    </w:p>
    <w:p>
      <w:pPr>
        <w:pStyle w:val="FirstParagraph"/>
        <w:spacing w:line="480" w:lineRule="auto"/>
      </w:pPr>
      <w:r>
        <w:t xml:space="preserve">Trust in a conjunction assessment rests on trust in the data underneath it. A line of work makes data pedigree the central variable. Research on data insights, pedigree, and automation for space domain awareness argues that operators calibrate their reliance partly on the provenance of the observations feeding a screen, and that automation which obscures pedigree undermines the very trust it aims to earn</w:t>
      </w:r>
      <w:r>
        <w:t xml:space="preserve"> </w:t>
      </w:r>
      <w:hyperlink w:anchor="ref-7">
        <w:r>
          <w:rPr>
            <w:rStyle w:val="Hyperlink"/>
          </w:rPr>
          <w:t xml:space="preserve">[7]</w:t>
        </w:r>
      </w:hyperlink>
      <w:r>
        <w:t xml:space="preserve">. Dynamic calibration of multiple data types addresses the sensor-fusion problem directly, showing how heterogeneous observations must be reconciled before a screen can be believed</w:t>
      </w:r>
      <w:r>
        <w:t xml:space="preserve"> </w:t>
      </w:r>
      <w:hyperlink w:anchor="ref-6">
        <w:r>
          <w:rPr>
            <w:rStyle w:val="Hyperlink"/>
          </w:rPr>
          <w:t xml:space="preserve">[6]</w:t>
        </w:r>
      </w:hyperlink>
      <w:r>
        <w:t xml:space="preserve">. These contributions locate the trust problem upstream of the operator, in the sensor and fusion layers, and they imply that operator-level calibration cannot be fixed by interface design alone.</w:t>
      </w:r>
    </w:p>
    <w:p>
      <w:pPr>
        <w:pStyle w:val="BodyText"/>
        <w:spacing w:line="480" w:lineRule="auto"/>
        <w:ind w:firstLine="720"/>
      </w:pPr>
      <w:r>
        <w:t xml:space="preserve">Validation supplies another root of trust. A validation methodology for the emerging civil conjunction assessment service specifies how such a service should be tested before operators rely on it, and it represents the institutional attempt to make trust warranted rather than assumed</w:t>
      </w:r>
      <w:r>
        <w:t xml:space="preserve"> </w:t>
      </w:r>
      <w:hyperlink w:anchor="ref-8">
        <w:r>
          <w:rPr>
            <w:rStyle w:val="Hyperlink"/>
          </w:rPr>
          <w:t xml:space="preserve">[8]</w:t>
        </w:r>
      </w:hyperlink>
      <w:r>
        <w:t xml:space="preserve">. Validation is where technical capability and governance language meet, and it is precisely the meeting point the first gap in this dissertation identifies.</w:t>
      </w:r>
    </w:p>
    <w:bookmarkEnd w:id="75"/>
    <w:bookmarkStart w:id="76" w:name="X4fc6fde2b3aa394d9ed775af5fb1f92be52fef7"/>
    <w:p>
      <w:pPr>
        <w:pStyle w:val="Heading2"/>
        <w:spacing w:line="480" w:lineRule="auto"/>
      </w:pPr>
      <w:r>
        <w:t xml:space="preserve">Governance, information sharing, and legal exposure</w:t>
      </w:r>
    </w:p>
    <w:p>
      <w:pPr>
        <w:pStyle w:val="FirstParagraph"/>
        <w:spacing w:line="480" w:lineRule="auto"/>
      </w:pPr>
      <w:r>
        <w:t xml:space="preserve">Accountability is the governance question. Who answers when automated assessment drives a decision? Challenges in space traffic management surveys the institutional landscape and names the coordination failures that a distributed screening architecture must overcome</w:t>
      </w:r>
      <w:r>
        <w:t xml:space="preserve"> </w:t>
      </w:r>
      <w:hyperlink w:anchor="ref-1">
        <w:r>
          <w:rPr>
            <w:rStyle w:val="Hyperlink"/>
          </w:rPr>
          <w:t xml:space="preserve">[1]</w:t>
        </w:r>
      </w:hyperlink>
      <w:r>
        <w:t xml:space="preserve">. Decentralized space information sharing argues that trust at the system level depends on sharing arrangements that no single actor controls, positioning openness as an enabler of trust rather than a threat to it</w:t>
      </w:r>
      <w:r>
        <w:t xml:space="preserve"> </w:t>
      </w:r>
      <w:hyperlink w:anchor="ref-5">
        <w:r>
          <w:rPr>
            <w:rStyle w:val="Hyperlink"/>
          </w:rPr>
          <w:t xml:space="preserve">[5]</w:t>
        </w:r>
      </w:hyperlink>
      <w:r>
        <w:t xml:space="preserve">. The legal literature closes the loop on accountability. Work on legal liability for artificial intelligence in outer space maps the exposure that arises when an autonomous system, not a human, makes the consequential call, and it warns that liability regimes have not caught up to automation already deployed</w:t>
      </w:r>
      <w:r>
        <w:t xml:space="preserve"> </w:t>
      </w:r>
      <w:hyperlink w:anchor="ref-9">
        <w:r>
          <w:rPr>
            <w:rStyle w:val="Hyperlink"/>
          </w:rPr>
          <w:t xml:space="preserve">[9]</w:t>
        </w:r>
      </w:hyperlink>
      <w:r>
        <w:t xml:space="preserve">.</w:t>
      </w:r>
    </w:p>
    <w:p>
      <w:pPr>
        <w:pStyle w:val="BodyText"/>
        <w:spacing w:line="480" w:lineRule="auto"/>
        <w:ind w:firstLine="720"/>
      </w:pPr>
      <w:r>
        <w:t xml:space="preserve">Two broader contributions frame the destination. Cislunar and moon-to-mars traffic management work extends the coordination problem beyond LEO into regimes where tracking is sparse and automation is not optional but mandatory</w:t>
      </w:r>
      <w:r>
        <w:t xml:space="preserve"> </w:t>
      </w:r>
      <w:hyperlink w:anchor="ref-13">
        <w:r>
          <w:rPr>
            <w:rStyle w:val="Hyperlink"/>
          </w:rPr>
          <w:t xml:space="preserve">[13]</w:t>
        </w:r>
      </w:hyperlink>
      <w:r>
        <w:t xml:space="preserve">. The space sustainability rating proposes a composite indicator to reward operators for behavior that preserves the orbital environment, showing how governance can be encoded as measurable incentive rather than exhortation</w:t>
      </w:r>
      <w:r>
        <w:t xml:space="preserve"> </w:t>
      </w:r>
      <w:hyperlink w:anchor="ref-16">
        <w:r>
          <w:rPr>
            <w:rStyle w:val="Hyperlink"/>
          </w:rPr>
          <w:t xml:space="preserve">[16]</w:t>
        </w:r>
      </w:hyperlink>
      <w:r>
        <w:t xml:space="preserve">. Both illustrate the field’s trajectory toward quantification, which is the same trajectory this dissertation follows at the scale of its own literature.</w:t>
      </w:r>
    </w:p>
    <w:p>
      <w:pPr>
        <w:pStyle w:val="BodyText"/>
        <w:spacing w:line="480" w:lineRule="auto"/>
        <w:ind w:firstLine="720"/>
      </w:pPr>
      <w:r>
        <w:t xml:space="preserve">Where does this project sit among them? The answer needs the strands read together.</w:t>
      </w:r>
    </w:p>
    <w:bookmarkEnd w:id="76"/>
    <w:bookmarkStart w:id="77" w:name="situating-this-dissertation"/>
    <w:p>
      <w:pPr>
        <w:pStyle w:val="Heading2"/>
        <w:spacing w:line="480" w:lineRule="auto"/>
      </w:pPr>
      <w:r>
        <w:t xml:space="preserve">Situating this dissertation</w:t>
      </w:r>
    </w:p>
    <w:p>
      <w:pPr>
        <w:pStyle w:val="FirstParagraph"/>
        <w:spacing w:line="480" w:lineRule="auto"/>
      </w:pPr>
      <w:r>
        <w:t xml:space="preserve">Read together, these strands establish three things this project depends on. Trust calibration is a real, measurable construct with operator-level and system-level antecedents</w:t>
      </w:r>
      <w:r>
        <w:t xml:space="preserve"> </w:t>
      </w:r>
      <w:hyperlink w:anchor="ref-2">
        <w:r>
          <w:rPr>
            <w:rStyle w:val="Hyperlink"/>
          </w:rPr>
          <w:t xml:space="preserve">[2]</w:t>
        </w:r>
      </w:hyperlink>
      <w:r>
        <w:t xml:space="preserve"> </w:t>
      </w:r>
      <w:hyperlink w:anchor="ref-4">
        <w:r>
          <w:rPr>
            <w:rStyle w:val="Hyperlink"/>
          </w:rPr>
          <w:t xml:space="preserve">[4]</w:t>
        </w:r>
      </w:hyperlink>
      <w:r>
        <w:t xml:space="preserve">. The technical apparatus of conjunction assessment is mature enough that automation is displacing human judgment, which raises the calibration stakes</w:t>
      </w:r>
      <w:r>
        <w:t xml:space="preserve"> </w:t>
      </w:r>
      <w:hyperlink w:anchor="ref-10">
        <w:r>
          <w:rPr>
            <w:rStyle w:val="Hyperlink"/>
          </w:rPr>
          <w:t xml:space="preserve">[10]</w:t>
        </w:r>
      </w:hyperlink>
      <w:r>
        <w:t xml:space="preserve"> </w:t>
      </w:r>
      <w:hyperlink w:anchor="ref-14">
        <w:r>
          <w:rPr>
            <w:rStyle w:val="Hyperlink"/>
          </w:rPr>
          <w:t xml:space="preserve">[14]</w:t>
        </w:r>
      </w:hyperlink>
      <w:r>
        <w:t xml:space="preserve">. And governance language around that automation is still forming, hardening in some places and hedging in others</w:t>
      </w:r>
      <w:r>
        <w:t xml:space="preserve"> </w:t>
      </w:r>
      <w:hyperlink w:anchor="ref-1">
        <w:r>
          <w:rPr>
            <w:rStyle w:val="Hyperlink"/>
          </w:rPr>
          <w:t xml:space="preserve">[1]</w:t>
        </w:r>
      </w:hyperlink>
      <w:r>
        <w:t xml:space="preserve"> </w:t>
      </w:r>
      <w:hyperlink w:anchor="ref-9">
        <w:r>
          <w:rPr>
            <w:rStyle w:val="Hyperlink"/>
          </w:rPr>
          <w:t xml:space="preserve">[9]</w:t>
        </w:r>
      </w:hyperlink>
      <w:r>
        <w:t xml:space="preserve">. The gap the dissertation enters is not whether these things are true but whether the field’s growing attention to them is visible in the structure of its own corpus. Prior work has read this literature narratively. This project reads it as data, asking whether topic signal, citation attention, and venue family carry the structure a narrative review can only assert. The instrument is crude and the corpus is small, yet the move is defensible precisely because the surrounding literature has already made quantification of soft governance properties, from sustainability to trust, a legitimate scholarly act</w:t>
      </w:r>
      <w:r>
        <w:t xml:space="preserve"> </w:t>
      </w:r>
      <w:hyperlink w:anchor="ref-16">
        <w:r>
          <w:rPr>
            <w:rStyle w:val="Hyperlink"/>
          </w:rPr>
          <w:t xml:space="preserve">[16]</w:t>
        </w:r>
      </w:hyperlink>
      <w:r>
        <w:t xml:space="preserve"> </w:t>
      </w:r>
      <w:hyperlink w:anchor="ref-7">
        <w:r>
          <w:rPr>
            <w:rStyle w:val="Hyperlink"/>
          </w:rPr>
          <w:t xml:space="preserve">[7]</w:t>
        </w:r>
      </w:hyperlink>
      <w:r>
        <w:t xml:space="preserve">.</w:t>
      </w:r>
    </w:p>
    <w:bookmarkEnd w:id="77"/>
    <w:bookmarkStart w:id="78" w:name="how-the-strands-connect-to-each-other"/>
    <w:p>
      <w:pPr>
        <w:pStyle w:val="Heading2"/>
        <w:spacing w:line="480" w:lineRule="auto"/>
      </w:pPr>
      <w:r>
        <w:t xml:space="preserve">How the strands connect to each other</w:t>
      </w:r>
    </w:p>
    <w:p>
      <w:pPr>
        <w:pStyle w:val="FirstParagraph"/>
        <w:spacing w:line="480" w:lineRule="auto"/>
      </w:pPr>
      <w:r>
        <w:t xml:space="preserve">The four strands are usually read in isolation, each in its own venue, and the isolation hides a dependency that matters for this dissertation. Operator trust does not float free of the technical apparatus; it is a function of it. An operator calibrates reliance on a screen partly by what the human-factors literature says about complacency and partly by what the pedigree literature says about the data underneath the screen</w:t>
      </w:r>
      <w:r>
        <w:t xml:space="preserve"> </w:t>
      </w:r>
      <w:hyperlink w:anchor="ref-2">
        <w:r>
          <w:rPr>
            <w:rStyle w:val="Hyperlink"/>
          </w:rPr>
          <w:t xml:space="preserve">[2]</w:t>
        </w:r>
      </w:hyperlink>
      <w:r>
        <w:t xml:space="preserve"> </w:t>
      </w:r>
      <w:hyperlink w:anchor="ref-7">
        <w:r>
          <w:rPr>
            <w:rStyle w:val="Hyperlink"/>
          </w:rPr>
          <w:t xml:space="preserve">[7]</w:t>
        </w:r>
      </w:hyperlink>
      <w:r>
        <w:t xml:space="preserve">. The governance literature, in turn, is downstream of both: a validation methodology exists because someone decided operators need a warrant for reliance, and that warrant is written in the vocabulary the human-factors work supplies</w:t>
      </w:r>
      <w:r>
        <w:t xml:space="preserve"> </w:t>
      </w:r>
      <w:hyperlink w:anchor="ref-8">
        <w:r>
          <w:rPr>
            <w:rStyle w:val="Hyperlink"/>
          </w:rPr>
          <w:t xml:space="preserve">[8]</w:t>
        </w:r>
      </w:hyperlink>
      <w:r>
        <w:t xml:space="preserve"> </w:t>
      </w:r>
      <w:hyperlink w:anchor="ref-3">
        <w:r>
          <w:rPr>
            <w:rStyle w:val="Hyperlink"/>
          </w:rPr>
          <w:t xml:space="preserve">[3]</w:t>
        </w:r>
      </w:hyperlink>
      <w:r>
        <w:t xml:space="preserve">. When these strands are read together, a chain appears. Data pedigree conditions system reliability</w:t>
      </w:r>
      <w:r>
        <w:t xml:space="preserve"> </w:t>
      </w:r>
      <w:hyperlink w:anchor="ref-6">
        <w:r>
          <w:rPr>
            <w:rStyle w:val="Hyperlink"/>
          </w:rPr>
          <w:t xml:space="preserve">[6]</w:t>
        </w:r>
      </w:hyperlink>
      <w:r>
        <w:t xml:space="preserve">; system reliability conditions warranted trust</w:t>
      </w:r>
      <w:r>
        <w:t xml:space="preserve"> </w:t>
      </w:r>
      <w:hyperlink w:anchor="ref-4">
        <w:r>
          <w:rPr>
            <w:rStyle w:val="Hyperlink"/>
          </w:rPr>
          <w:t xml:space="preserve">[4]</w:t>
        </w:r>
      </w:hyperlink>
      <w:r>
        <w:t xml:space="preserve">; warranted trust conditions the governance language that certifies a service</w:t>
      </w:r>
      <w:r>
        <w:t xml:space="preserve"> </w:t>
      </w:r>
      <w:hyperlink w:anchor="ref-1">
        <w:r>
          <w:rPr>
            <w:rStyle w:val="Hyperlink"/>
          </w:rPr>
          <w:t xml:space="preserve">[1]</w:t>
        </w:r>
      </w:hyperlink>
      <w:r>
        <w:t xml:space="preserve">; and legal liability sits at the end of the chain, ready to assign blame when the certified trust proves miscalibrated</w:t>
      </w:r>
      <w:r>
        <w:t xml:space="preserve"> </w:t>
      </w:r>
      <w:hyperlink w:anchor="ref-9">
        <w:r>
          <w:rPr>
            <w:rStyle w:val="Hyperlink"/>
          </w:rPr>
          <w:t xml:space="preserve">[9]</w:t>
        </w:r>
      </w:hyperlink>
      <w:r>
        <w:t xml:space="preserve">.</w:t>
      </w:r>
    </w:p>
    <w:p>
      <w:pPr>
        <w:pStyle w:val="BodyText"/>
        <w:spacing w:line="480" w:lineRule="auto"/>
        <w:ind w:firstLine="720"/>
      </w:pPr>
      <w:r>
        <w:t xml:space="preserve">That chain matters. It explains why a corpus-level study is even coherent. If the strands were unrelated, a topic-signal score built to detect trust-and-automation language would fire idiosyncratically across venues, and no structure would emerge. Because the strands share a vocabulary and a problem, a source that engages one strand tends to engage the theme as a whole, which is what makes a single composite signal a defensible target for measurement</w:t>
      </w:r>
      <w:r>
        <w:t xml:space="preserve"> </w:t>
      </w:r>
      <w:hyperlink w:anchor="ref-5">
        <w:r>
          <w:rPr>
            <w:rStyle w:val="Hyperlink"/>
          </w:rPr>
          <w:t xml:space="preserve">[5]</w:t>
        </w:r>
      </w:hyperlink>
      <w:r>
        <w:t xml:space="preserve">. The dependency among the strands is the precondition for the empirical design, not an incidental observation about the field.</w:t>
      </w:r>
    </w:p>
    <w:bookmarkEnd w:id="78"/>
    <w:bookmarkStart w:id="79" w:name="X79520e89173928ffcc8b6bfec435ce10994138a"/>
    <w:p>
      <w:pPr>
        <w:pStyle w:val="Heading2"/>
        <w:spacing w:line="480" w:lineRule="auto"/>
      </w:pPr>
      <w:r>
        <w:t xml:space="preserve">Where the corpus concentrates and why it varies</w:t>
      </w:r>
    </w:p>
    <w:p>
      <w:pPr>
        <w:pStyle w:val="FirstParagraph"/>
        <w:spacing w:line="480" w:lineRule="auto"/>
      </w:pPr>
      <w:r>
        <w:t xml:space="preserve">The retrieved corpus is not evenly distributed across the strands, and the unevenness is itself informative. Conference proceedings from the space situational awareness community carry the operational and pedigree material most densely, because practitioners report there first</w:t>
      </w:r>
      <w:r>
        <w:t xml:space="preserve"> </w:t>
      </w:r>
      <w:hyperlink w:anchor="ref-4">
        <w:r>
          <w:rPr>
            <w:rStyle w:val="Hyperlink"/>
          </w:rPr>
          <w:t xml:space="preserve">[4]</w:t>
        </w:r>
      </w:hyperlink>
      <w:r>
        <w:t xml:space="preserve"> </w:t>
      </w:r>
      <w:hyperlink w:anchor="ref-6">
        <w:r>
          <w:rPr>
            <w:rStyle w:val="Hyperlink"/>
          </w:rPr>
          <w:t xml:space="preserve">[6]</w:t>
        </w:r>
      </w:hyperlink>
      <w:r>
        <w:t xml:space="preserve">. Archival journals carry the collision-avoidance statistics and the autonomy prototypes, work that has matured enough to survive peer review and accumulate citations</w:t>
      </w:r>
      <w:r>
        <w:t xml:space="preserve"> </w:t>
      </w:r>
      <w:hyperlink w:anchor="ref-12">
        <w:r>
          <w:rPr>
            <w:rStyle w:val="Hyperlink"/>
          </w:rPr>
          <w:t xml:space="preserve">[12]</w:t>
        </w:r>
      </w:hyperlink>
      <w:r>
        <w:t xml:space="preserve"> </w:t>
      </w:r>
      <w:hyperlink w:anchor="ref-10">
        <w:r>
          <w:rPr>
            <w:rStyle w:val="Hyperlink"/>
          </w:rPr>
          <w:t xml:space="preserve">[10]</w:t>
        </w:r>
      </w:hyperlink>
      <w:r>
        <w:t xml:space="preserve"> </w:t>
      </w:r>
      <w:hyperlink w:anchor="ref-15">
        <w:r>
          <w:rPr>
            <w:rStyle w:val="Hyperlink"/>
          </w:rPr>
          <w:t xml:space="preserve">[15]</w:t>
        </w:r>
      </w:hyperlink>
      <w:r>
        <w:t xml:space="preserve">. Policy and space-economy records carry the governance and sustainability framing, where the trust problem is embedded in broader institutional argument rather than named directly</w:t>
      </w:r>
      <w:r>
        <w:t xml:space="preserve"> </w:t>
      </w:r>
      <w:hyperlink w:anchor="ref-16">
        <w:r>
          <w:rPr>
            <w:rStyle w:val="Hyperlink"/>
          </w:rPr>
          <w:t xml:space="preserve">[16]</w:t>
        </w:r>
      </w:hyperlink>
      <w:r>
        <w:t xml:space="preserve"> </w:t>
      </w:r>
      <w:hyperlink w:anchor="ref-5">
        <w:r>
          <w:rPr>
            <w:rStyle w:val="Hyperlink"/>
          </w:rPr>
          <w:t xml:space="preserve">[5]</w:t>
        </w:r>
      </w:hyperlink>
      <w:r>
        <w:t xml:space="preserve">. This three-way split maps onto the venue ordinal the empirical chapters use, and it foreshadows a central result: the density with which a source engages the trust theme is not constant across venue families, and the variation is orderly enough to measure.</w:t>
      </w:r>
    </w:p>
    <w:p>
      <w:pPr>
        <w:pStyle w:val="BodyText"/>
        <w:spacing w:line="480" w:lineRule="auto"/>
        <w:ind w:firstLine="720"/>
      </w:pPr>
      <w:r>
        <w:t xml:space="preserve">Prior narrative reviews have not exploited this structure because narrative review has no natural way to weigh venue against theme density. A reviewer reads for content and reports what the content says, treating venue as a marker of quality rather than a variable in its own right. Reframing venue as a measured predictor is the small methodological turn this dissertation contributes, and the literature reviewed here is what makes the turn legitimate: the field has already accepted that soft properties like sustainability and trust can be scored and modeled, so scoring the field’s own engagement with those properties is a natural extension rather than a departure</w:t>
      </w:r>
      <w:r>
        <w:t xml:space="preserve"> </w:t>
      </w:r>
      <w:hyperlink w:anchor="ref-16">
        <w:r>
          <w:rPr>
            <w:rStyle w:val="Hyperlink"/>
          </w:rPr>
          <w:t xml:space="preserve">[16]</w:t>
        </w:r>
      </w:hyperlink>
      <w:r>
        <w:t xml:space="preserve"> </w:t>
      </w:r>
      <w:hyperlink w:anchor="ref-2">
        <w:r>
          <w:rPr>
            <w:rStyle w:val="Hyperlink"/>
          </w:rPr>
          <w:t xml:space="preserve">[2]</w:t>
        </w:r>
      </w:hyperlink>
      <w:r>
        <w:t xml:space="preserve">.</w:t>
      </w:r>
    </w:p>
    <w:bookmarkEnd w:id="79"/>
    <w:bookmarkStart w:id="80" w:name="gaps-the-reviewed-literature-leaves-open"/>
    <w:p>
      <w:pPr>
        <w:pStyle w:val="Heading2"/>
        <w:spacing w:line="480" w:lineRule="auto"/>
      </w:pPr>
      <w:r>
        <w:t xml:space="preserve">Gaps the reviewed literature leaves open</w:t>
      </w:r>
    </w:p>
    <w:p>
      <w:pPr>
        <w:pStyle w:val="FirstParagraph"/>
        <w:spacing w:line="480" w:lineRule="auto"/>
      </w:pPr>
      <w:r>
        <w:t xml:space="preserve">Naming what the literature has not settled sharpens the contribution. Three gaps stand out. The first is the absence of any account that connects the venue in which trust research appears to the density with which it engages the problem. The human-factors work establishes that trust is calibratable</w:t>
      </w:r>
      <w:r>
        <w:t xml:space="preserve"> </w:t>
      </w:r>
      <w:hyperlink w:anchor="ref-2">
        <w:r>
          <w:rPr>
            <w:rStyle w:val="Hyperlink"/>
          </w:rPr>
          <w:t xml:space="preserve">[2]</w:t>
        </w:r>
      </w:hyperlink>
      <w:r>
        <w:t xml:space="preserve"> </w:t>
      </w:r>
      <w:hyperlink w:anchor="ref-4">
        <w:r>
          <w:rPr>
            <w:rStyle w:val="Hyperlink"/>
          </w:rPr>
          <w:t xml:space="preserve">[4]</w:t>
        </w:r>
      </w:hyperlink>
      <w:r>
        <w:t xml:space="preserve">; the technical work establishes that automation is displacing judgment</w:t>
      </w:r>
      <w:r>
        <w:t xml:space="preserve"> </w:t>
      </w:r>
      <w:hyperlink w:anchor="ref-10">
        <w:r>
          <w:rPr>
            <w:rStyle w:val="Hyperlink"/>
          </w:rPr>
          <w:t xml:space="preserve">[10]</w:t>
        </w:r>
      </w:hyperlink>
      <w:r>
        <w:t xml:space="preserve"> </w:t>
      </w:r>
      <w:hyperlink w:anchor="ref-14">
        <w:r>
          <w:rPr>
            <w:rStyle w:val="Hyperlink"/>
          </w:rPr>
          <w:t xml:space="preserve">[14]</w:t>
        </w:r>
      </w:hyperlink>
      <w:r>
        <w:t xml:space="preserve">; the governance work establishes that accountability is unsettled</w:t>
      </w:r>
      <w:r>
        <w:t xml:space="preserve"> </w:t>
      </w:r>
      <w:hyperlink w:anchor="ref-1">
        <w:r>
          <w:rPr>
            <w:rStyle w:val="Hyperlink"/>
          </w:rPr>
          <w:t xml:space="preserve">[1]</w:t>
        </w:r>
      </w:hyperlink>
      <w:r>
        <w:t xml:space="preserve"> </w:t>
      </w:r>
      <w:hyperlink w:anchor="ref-9">
        <w:r>
          <w:rPr>
            <w:rStyle w:val="Hyperlink"/>
          </w:rPr>
          <w:t xml:space="preserve">[9]</w:t>
        </w:r>
      </w:hyperlink>
      <w:r>
        <w:t xml:space="preserve">. None of them asks whether the field’s attention to these matters is itself patterned across venue, and that unasked question is the one this dissertation takes up.</w:t>
      </w:r>
    </w:p>
    <w:p>
      <w:pPr>
        <w:pStyle w:val="BodyText"/>
        <w:spacing w:line="480" w:lineRule="auto"/>
        <w:ind w:firstLine="720"/>
      </w:pPr>
      <w:r>
        <w:t xml:space="preserve">The second gap concerns measurement of the field’s own state. The sustainability-rating literature shows that a soft property can be turned into a composite indicator and modeled</w:t>
      </w:r>
      <w:r>
        <w:t xml:space="preserve"> </w:t>
      </w:r>
      <w:hyperlink w:anchor="ref-16">
        <w:r>
          <w:rPr>
            <w:rStyle w:val="Hyperlink"/>
          </w:rPr>
          <w:t xml:space="preserve">[16]</w:t>
        </w:r>
      </w:hyperlink>
      <w:r>
        <w:t xml:space="preserve">, but no comparable instrument exists for the trust literature’s self-description. Practitioners assert that automation trust is a growing concern without a reproducible way to check whether the growth is visible in the record. The dissertation supplies a crude but reproducible instrument for exactly that check.</w:t>
      </w:r>
    </w:p>
    <w:p>
      <w:pPr>
        <w:pStyle w:val="BodyText"/>
        <w:spacing w:line="480" w:lineRule="auto"/>
        <w:ind w:firstLine="720"/>
      </w:pPr>
      <w:r>
        <w:t xml:space="preserve">The third gap is the thinness of the citation record for the operational literature. The proceedings community produces the most theme-dense material on operator trust, yet that material sits in venues whose citations are poorly indexed, so any citation-weighted reading of the field structurally undercounts it</w:t>
      </w:r>
      <w:r>
        <w:t xml:space="preserve"> </w:t>
      </w:r>
      <w:hyperlink w:anchor="ref-7">
        <w:r>
          <w:rPr>
            <w:rStyle w:val="Hyperlink"/>
          </w:rPr>
          <w:t xml:space="preserve">[7]</w:t>
        </w:r>
      </w:hyperlink>
      <w:r>
        <w:t xml:space="preserve"> </w:t>
      </w:r>
      <w:hyperlink w:anchor="ref-6">
        <w:r>
          <w:rPr>
            <w:rStyle w:val="Hyperlink"/>
          </w:rPr>
          <w:t xml:space="preserve">[6]</w:t>
        </w:r>
      </w:hyperlink>
      <w:r>
        <w:t xml:space="preserve">. The reviewed literature does not confront this indexing asymmetry, and the empirical chapters show it directly in the data, where citation counts populate the journal block and vanish elsewhere. Surfacing that asymmetry is a secondary contribution of the design, because it warns any future synthesis that ranking sources by citation count will look away from where the operational thinking actually lives</w:t>
      </w:r>
      <w:r>
        <w:t xml:space="preserve"> </w:t>
      </w:r>
      <w:hyperlink w:anchor="ref-8">
        <w:r>
          <w:rPr>
            <w:rStyle w:val="Hyperlink"/>
          </w:rPr>
          <w:t xml:space="preserve">[8]</w:t>
        </w:r>
      </w:hyperlink>
      <w:r>
        <w:t xml:space="preserve">.</w:t>
      </w:r>
    </w:p>
    <w:bookmarkEnd w:id="80"/>
    <w:bookmarkStart w:id="81" w:name="the-template-of-adjacent-domains"/>
    <w:p>
      <w:pPr>
        <w:pStyle w:val="Heading2"/>
        <w:spacing w:line="480" w:lineRule="auto"/>
      </w:pPr>
      <w:r>
        <w:t xml:space="preserve">The template of adjacent domains</w:t>
      </w:r>
    </w:p>
    <w:p>
      <w:pPr>
        <w:pStyle w:val="FirstParagraph"/>
        <w:spacing w:line="480" w:lineRule="auto"/>
      </w:pPr>
      <w:r>
        <w:t xml:space="preserve">The reviewed work leans repeatedly on aviation as a template, and the lean deserves scrutiny rather than acceptance. Aviation earned its trust-calibration apparatus through decades of incident data, formal crew-automation protocols, and a regulatory culture that treats complacency as a named hazard</w:t>
      </w:r>
      <w:r>
        <w:t xml:space="preserve"> </w:t>
      </w:r>
      <w:hyperlink w:anchor="ref-3">
        <w:r>
          <w:rPr>
            <w:rStyle w:val="Hyperlink"/>
          </w:rPr>
          <w:t xml:space="preserve">[3]</w:t>
        </w:r>
      </w:hyperlink>
      <w:r>
        <w:t xml:space="preserve">. Space operations lack the incident density that made aviation’s lessons statistically legible, because orbital collisions are rare and their near-misses are often unobserved. Borrowing aviation’s vocabulary is therefore useful for framing but risky for inference, because the underlying base rates differ by orders of magnitude</w:t>
      </w:r>
      <w:r>
        <w:t xml:space="preserve"> </w:t>
      </w:r>
      <w:hyperlink w:anchor="ref-12">
        <w:r>
          <w:rPr>
            <w:rStyle w:val="Hyperlink"/>
          </w:rPr>
          <w:t xml:space="preserve">[12]</w:t>
        </w:r>
      </w:hyperlink>
      <w:r>
        <w:t xml:space="preserve"> </w:t>
      </w:r>
      <w:hyperlink w:anchor="ref-15">
        <w:r>
          <w:rPr>
            <w:rStyle w:val="Hyperlink"/>
          </w:rPr>
          <w:t xml:space="preserve">[15]</w:t>
        </w:r>
      </w:hyperlink>
      <w:r>
        <w:t xml:space="preserve">. The literature is generally careful about this, presenting the aviation analogy as a source of concepts rather than of calibrated thresholds, and this dissertation adopts the same caution: it uses the trust-calibration frame that aviation and human-factors research supply, while grounding every quantitative claim in the space corpus itself rather than in imported aviation numbers</w:t>
      </w:r>
      <w:r>
        <w:t xml:space="preserve"> </w:t>
      </w:r>
      <w:hyperlink w:anchor="ref-4">
        <w:r>
          <w:rPr>
            <w:rStyle w:val="Hyperlink"/>
          </w:rPr>
          <w:t xml:space="preserve">[4]</w:t>
        </w:r>
      </w:hyperlink>
      <w:r>
        <w:t xml:space="preserve">.</w:t>
      </w:r>
    </w:p>
    <w:bookmarkEnd w:id="81"/>
    <w:bookmarkStart w:id="82" w:name="X2aecd9582bc33c1a334f8a7278b0e26f92badd4"/>
    <w:p>
      <w:pPr>
        <w:pStyle w:val="Heading2"/>
        <w:spacing w:line="480" w:lineRule="auto"/>
      </w:pPr>
      <w:r>
        <w:t xml:space="preserve">The quantification turn and its precedents</w:t>
      </w:r>
    </w:p>
    <w:p>
      <w:pPr>
        <w:pStyle w:val="FirstParagraph"/>
        <w:spacing w:line="480" w:lineRule="auto"/>
      </w:pPr>
      <w:r>
        <w:t xml:space="preserve">The move this dissertation makes, treating a soft property as measurable, has clear precedent in the reviewed literature, and tracing that precedent legitimizes the design. The space sustainability rating is the sharpest example: it takes sustainability, a diffuse governance aspiration, and encodes it as a composite indicator with defined inputs and a defensible aggregation, precisely so that operators can be scored and incentivized</w:t>
      </w:r>
      <w:r>
        <w:t xml:space="preserve"> </w:t>
      </w:r>
      <w:hyperlink w:anchor="ref-16">
        <w:r>
          <w:rPr>
            <w:rStyle w:val="Hyperlink"/>
          </w:rPr>
          <w:t xml:space="preserve">[16]</w:t>
        </w:r>
      </w:hyperlink>
      <w:r>
        <w:t xml:space="preserve">. The trust literature has begun the same turn, arguing that trust must be operationalized through transparency metrics rather than treated as an ineffable operator trait</w:t>
      </w:r>
      <w:r>
        <w:t xml:space="preserve"> </w:t>
      </w:r>
      <w:hyperlink w:anchor="ref-2">
        <w:r>
          <w:rPr>
            <w:rStyle w:val="Hyperlink"/>
          </w:rPr>
          <w:t xml:space="preserve">[2]</w:t>
        </w:r>
      </w:hyperlink>
      <w:r>
        <w:t xml:space="preserve">. Even the collision-avoidance statistics reflect the turn, converting the vague notion of orbital danger into encounter rates and collision likelihoods that operators can act on</w:t>
      </w:r>
      <w:r>
        <w:t xml:space="preserve"> </w:t>
      </w:r>
      <w:hyperlink w:anchor="ref-12">
        <w:r>
          <w:rPr>
            <w:rStyle w:val="Hyperlink"/>
          </w:rPr>
          <w:t xml:space="preserve">[12]</w:t>
        </w:r>
      </w:hyperlink>
      <w:r>
        <w:t xml:space="preserve"> </w:t>
      </w:r>
      <w:hyperlink w:anchor="ref-15">
        <w:r>
          <w:rPr>
            <w:rStyle w:val="Hyperlink"/>
          </w:rPr>
          <w:t xml:space="preserve">[15]</w:t>
        </w:r>
      </w:hyperlink>
      <w:r>
        <w:t xml:space="preserve">. Each of these is a case of the field agreeing that a soft quantity can be made legible without pretending the measurement is perfect.</w:t>
      </w:r>
    </w:p>
    <w:p>
      <w:pPr>
        <w:pStyle w:val="BodyText"/>
        <w:spacing w:line="480" w:lineRule="auto"/>
        <w:ind w:firstLine="720"/>
      </w:pPr>
      <w:r>
        <w:t xml:space="preserve">This dissertation extends the turn one level up, to the field’s own literature. If sustainability and trust can be scored at the level of operators and systems, the field’s engagement with those topics can be scored at the level of its documents. The extension is modest and it inherits the same caveat every quantification carries: the score is an instrument, not the thing itself, and its resolution is finite</w:t>
      </w:r>
      <w:r>
        <w:t xml:space="preserve"> </w:t>
      </w:r>
      <w:hyperlink w:anchor="ref-5">
        <w:r>
          <w:rPr>
            <w:rStyle w:val="Hyperlink"/>
          </w:rPr>
          <w:t xml:space="preserve">[5]</w:t>
        </w:r>
      </w:hyperlink>
      <w:r>
        <w:t xml:space="preserve">. The reviewed literature has already accepted that trade in its object-level work, so accepting it in a study of the literature is consistent rather than novel.</w:t>
      </w:r>
    </w:p>
    <w:bookmarkEnd w:id="82"/>
    <w:bookmarkStart w:id="83" w:name="Xaf486472cade96394140b6a41fcf8c37c927c92"/>
    <w:p>
      <w:pPr>
        <w:pStyle w:val="Heading2"/>
        <w:spacing w:line="480" w:lineRule="auto"/>
      </w:pPr>
      <w:r>
        <w:t xml:space="preserve">Positioning against the closest prior work</w:t>
      </w:r>
    </w:p>
    <w:p>
      <w:pPr>
        <w:pStyle w:val="FirstParagraph"/>
        <w:spacing w:line="480" w:lineRule="auto"/>
      </w:pPr>
      <w:r>
        <w:t xml:space="preserve">The two contributions closest to this dissertation are the operator-confidence study and the human-machine teaming work, and positioning against them clarifies the marginal step taken here. The operator-confidence study measures trust at the level of individual analysts interacting with tools, establishing that confidence varies and can be miscalibrated</w:t>
      </w:r>
      <w:r>
        <w:t xml:space="preserve"> </w:t>
      </w:r>
      <w:hyperlink w:anchor="ref-4">
        <w:r>
          <w:rPr>
            <w:rStyle w:val="Hyperlink"/>
          </w:rPr>
          <w:t xml:space="preserve">[4]</w:t>
        </w:r>
      </w:hyperlink>
      <w:r>
        <w:t xml:space="preserve">. The human-machine teaming work argues for transparency as the route to calibrated reliance in autonomous sensing</w:t>
      </w:r>
      <w:r>
        <w:t xml:space="preserve"> </w:t>
      </w:r>
      <w:hyperlink w:anchor="ref-2">
        <w:r>
          <w:rPr>
            <w:rStyle w:val="Hyperlink"/>
          </w:rPr>
          <w:t xml:space="preserve">[2]</w:t>
        </w:r>
      </w:hyperlink>
      <w:r>
        <w:t xml:space="preserve">. Both study trust where it lives, in the human-machine interaction. Neither asks whether the field’s attention to that interaction is patterned across its own venues. This dissertation does not compete with those studies; it sits upstream of them, measuring the literature that frames the trust problem rather than the trust behavior itself. The relationship is complementary. The object-level studies tell us trust is calibratable and where it fails; this study tells us where the field’s thinking about that calibration concentrates, and warns that a citation-weighted synthesis would look in the wrong place</w:t>
      </w:r>
      <w:r>
        <w:t xml:space="preserve"> </w:t>
      </w:r>
      <w:hyperlink w:anchor="ref-7">
        <w:r>
          <w:rPr>
            <w:rStyle w:val="Hyperlink"/>
          </w:rPr>
          <w:t xml:space="preserve">[7]</w:t>
        </w:r>
      </w:hyperlink>
      <w:r>
        <w:t xml:space="preserve"> </w:t>
      </w:r>
      <w:hyperlink w:anchor="ref-8">
        <w:r>
          <w:rPr>
            <w:rStyle w:val="Hyperlink"/>
          </w:rPr>
          <w:t xml:space="preserve">[8]</w:t>
        </w:r>
      </w:hyperlink>
      <w:r>
        <w:t xml:space="preserve">. Read together they form a fuller picture than either supplies alone.</w:t>
      </w:r>
    </w:p>
    <w:bookmarkEnd w:id="83"/>
    <w:bookmarkEnd w:id="84"/>
    <w:bookmarkStart w:id="97" w:name="theoretical-framework-and-hypotheses"/>
    <w:p>
      <w:pPr>
        <w:pStyle w:val="Heading1"/>
        <w:spacing w:line="480" w:lineRule="auto"/>
      </w:pPr>
      <w:r>
        <w:t xml:space="preserve">Theoretical Framework and Hypotheses</w:t>
      </w:r>
    </w:p>
    <w:p>
      <w:pPr>
        <w:pStyle w:val="FirstParagraph"/>
        <w:spacing w:line="480" w:lineRule="auto"/>
      </w:pPr>
      <w:r>
        <w:t xml:space="preserve">A dissertation that treats a literature corpus as data owes the reader a mechanism. Why should the topic signal of a source record depend on when it was published, how often it has been cited, or where it appeared? Without a mechanism the empirical chapters would be dredging, and dredging cannot be falsified because it predicts nothing in advance. This chapter supplies the mechanism, connects it to the substantive problem of trust calibration, and states the predictions precisely enough that the estimator output in Chapter 6 can contradict them.</w:t>
      </w:r>
    </w:p>
    <w:bookmarkStart w:id="85" w:name="from-operator-trust-to-corpus-structure"/>
    <w:p>
      <w:pPr>
        <w:pStyle w:val="Heading2"/>
        <w:spacing w:line="480" w:lineRule="auto"/>
      </w:pPr>
      <w:r>
        <w:t xml:space="preserve">From operator trust to corpus structure</w:t>
      </w:r>
    </w:p>
    <w:p>
      <w:pPr>
        <w:pStyle w:val="FirstParagraph"/>
        <w:spacing w:line="480" w:lineRule="auto"/>
      </w:pPr>
      <w:r>
        <w:t xml:space="preserve">Trust calibration is the object. It lives inside automated conjunction assessment. That object lives inside human decisions at operations centers, and it is not directly observable in a bibliometric file. What the corpus can observe is the field’s attention to the object: how intensely a given source engages the trust-and-automation theme, how recent it is, how much scholarly notice it has drawn, and what kind of venue chose to publish it. The theoretical wager of the design is that a field’s attention to a maturing problem leaves a measurable trace in these features, and that the trace is informative even though it is indirect.</w:t>
      </w:r>
    </w:p>
    <w:p>
      <w:pPr>
        <w:pStyle w:val="BodyText"/>
        <w:spacing w:line="480" w:lineRule="auto"/>
        <w:ind w:firstLine="720"/>
      </w:pPr>
      <w:r>
        <w:t xml:space="preserve">The wager rests on a simple model of how a research problem moves through a community. A problem enters as a technical observation, often at a conference where operational practitioners report what they see</w:t>
      </w:r>
      <w:r>
        <w:t xml:space="preserve"> </w:t>
      </w:r>
      <w:hyperlink w:anchor="ref-4">
        <w:r>
          <w:rPr>
            <w:rStyle w:val="Hyperlink"/>
          </w:rPr>
          <w:t xml:space="preserve">[4]</w:t>
        </w:r>
      </w:hyperlink>
      <w:r>
        <w:t xml:space="preserve">. As the problem accumulates institutional weight, it migrates into archival journals and into policy and economics outlets that treat it as a governance question rather than an engineering detail</w:t>
      </w:r>
      <w:r>
        <w:t xml:space="preserve"> </w:t>
      </w:r>
      <w:hyperlink w:anchor="ref-16">
        <w:r>
          <w:rPr>
            <w:rStyle w:val="Hyperlink"/>
          </w:rPr>
          <w:t xml:space="preserve">[16]</w:t>
        </w:r>
      </w:hyperlink>
      <w:r>
        <w:t xml:space="preserve"> </w:t>
      </w:r>
      <w:hyperlink w:anchor="ref-9">
        <w:r>
          <w:rPr>
            <w:rStyle w:val="Hyperlink"/>
          </w:rPr>
          <w:t xml:space="preserve">[9]</w:t>
        </w:r>
      </w:hyperlink>
      <w:r>
        <w:t xml:space="preserve">. Along the way the intensity with which any single source engages the core theme varies, because some sources are squarely about trust calibration while others touch it only in passing. If that migration is real and orderly, then venue family, recency, and citation attention should carry structure that a model can detect. If the field’s attention is diffuse and unstructured, the model should return weak, imprecise associations, and the honest reading is that the corpus does not yet encode the momentum practitioners feel</w:t>
      </w:r>
      <w:r>
        <w:t xml:space="preserve"> </w:t>
      </w:r>
      <w:hyperlink w:anchor="ref-2">
        <w:r>
          <w:rPr>
            <w:rStyle w:val="Hyperlink"/>
          </w:rPr>
          <w:t xml:space="preserve">[2]</w:t>
        </w:r>
      </w:hyperlink>
      <w:r>
        <w:t xml:space="preserve"> </w:t>
      </w:r>
      <w:hyperlink w:anchor="ref-3">
        <w:r>
          <w:rPr>
            <w:rStyle w:val="Hyperlink"/>
          </w:rPr>
          <w:t xml:space="preserve">[3]</w:t>
        </w:r>
      </w:hyperlink>
      <w:r>
        <w:t xml:space="preserve">.</w:t>
      </w:r>
    </w:p>
    <w:bookmarkEnd w:id="85"/>
    <w:bookmarkStart w:id="86" w:name="Xba5ad3b96deb6e0170236f655a400eaa784e3ba"/>
    <w:p>
      <w:pPr>
        <w:pStyle w:val="Heading2"/>
        <w:spacing w:line="480" w:lineRule="auto"/>
      </w:pPr>
      <w:r>
        <w:t xml:space="preserve">The three predictors and their expected roles</w:t>
      </w:r>
    </w:p>
    <w:p>
      <w:pPr>
        <w:pStyle w:val="FirstParagraph"/>
        <w:spacing w:line="480" w:lineRule="auto"/>
      </w:pPr>
      <w:r>
        <w:t xml:space="preserve">Three features anchor the primary model. Each is chosen because a defensible mechanism ties it to topic signal.</w:t>
      </w:r>
    </w:p>
    <w:p>
      <w:pPr>
        <w:pStyle w:val="BodyText"/>
        <w:spacing w:line="480" w:lineRule="auto"/>
        <w:ind w:firstLine="720"/>
      </w:pPr>
      <w:r>
        <w:t xml:space="preserve">Recency comes first. Its mechanism is agenda formation. As a problem becomes salient, newer work engages it more directly and more densely, because the vocabulary has stabilized and the community has agreed the problem is worth naming</w:t>
      </w:r>
      <w:r>
        <w:t xml:space="preserve"> </w:t>
      </w:r>
      <w:hyperlink w:anchor="ref-1">
        <w:r>
          <w:rPr>
            <w:rStyle w:val="Hyperlink"/>
          </w:rPr>
          <w:t xml:space="preserve">[1]</w:t>
        </w:r>
      </w:hyperlink>
      <w:r>
        <w:t xml:space="preserve"> </w:t>
      </w:r>
      <w:hyperlink w:anchor="ref-3">
        <w:r>
          <w:rPr>
            <w:rStyle w:val="Hyperlink"/>
          </w:rPr>
          <w:t xml:space="preserve">[3]</w:t>
        </w:r>
      </w:hyperlink>
      <w:r>
        <w:t xml:space="preserve">. Under this mechanism, more recent sources should carry higher topic signal, so the recency coefficient should be positive. The prediction is directional and therefore falsifiable: a null or negative coefficient would count against the agenda-formation story.</w:t>
      </w:r>
    </w:p>
    <w:p>
      <w:pPr>
        <w:pStyle w:val="BodyText"/>
        <w:spacing w:line="480" w:lineRule="auto"/>
        <w:ind w:firstLine="720"/>
      </w:pPr>
      <w:r>
        <w:t xml:space="preserve">Citation attention is the second. The mechanism is selective amplification. Work that engages a live problem centrally tends to draw citations from others working the same problem, so citation count and topic signal should co-move</w:t>
      </w:r>
      <w:r>
        <w:t xml:space="preserve"> </w:t>
      </w:r>
      <w:hyperlink w:anchor="ref-2">
        <w:r>
          <w:rPr>
            <w:rStyle w:val="Hyperlink"/>
          </w:rPr>
          <w:t xml:space="preserve">[2]</w:t>
        </w:r>
      </w:hyperlink>
      <w:r>
        <w:t xml:space="preserve">. The expected sign is positive. A qualifier belongs here immediately, because in this corpus the citation field is populated only for the journal records and reads zero for the conference and policy records where the local index carried no count</w:t>
      </w:r>
      <w:r>
        <w:t xml:space="preserve"> </w:t>
      </w:r>
      <w:hyperlink w:anchor="ref-6">
        <w:r>
          <w:rPr>
            <w:rStyle w:val="Hyperlink"/>
          </w:rPr>
          <w:t xml:space="preserve">[6]</w:t>
        </w:r>
      </w:hyperlink>
      <w:r>
        <w:t xml:space="preserve">. That structure means the citation predictor and the venue predictor are entangled, a point the methodology chapter treats explicitly and the results chapter interprets with care.</w:t>
      </w:r>
    </w:p>
    <w:p>
      <w:pPr>
        <w:pStyle w:val="BodyText"/>
        <w:spacing w:line="480" w:lineRule="auto"/>
        <w:ind w:firstLine="720"/>
      </w:pPr>
      <w:r>
        <w:t xml:space="preserve">Venue family is the third. The mechanism is venue selection. Different venues select for different kinds of engagement with a problem: conference proceedings favor operational immediacy, archival journals favor methodological depth, and policy-economy outlets favor governance framing</w:t>
      </w:r>
      <w:r>
        <w:t xml:space="preserve"> </w:t>
      </w:r>
      <w:hyperlink w:anchor="ref-1">
        <w:r>
          <w:rPr>
            <w:rStyle w:val="Hyperlink"/>
          </w:rPr>
          <w:t xml:space="preserve">[1]</w:t>
        </w:r>
      </w:hyperlink>
      <w:r>
        <w:t xml:space="preserve"> </w:t>
      </w:r>
      <w:hyperlink w:anchor="ref-16">
        <w:r>
          <w:rPr>
            <w:rStyle w:val="Hyperlink"/>
          </w:rPr>
          <w:t xml:space="preserve">[16]</w:t>
        </w:r>
      </w:hyperlink>
      <w:r>
        <w:t xml:space="preserve">. Because the venue score is an ordinal that runs from proceedings through journal to policy-economy, its coefficient captures how topic signal shifts as one moves across that ordering. The sign is not predicted a priori with the same confidence as recency, because it depends on where in the corpus the most theme-dense sources happen to sit, and that is an empirical question the model exists to answer.</w:t>
      </w:r>
    </w:p>
    <w:bookmarkEnd w:id="86"/>
    <w:bookmarkStart w:id="87" w:name="the-attention-curve"/>
    <w:p>
      <w:pPr>
        <w:pStyle w:val="Heading2"/>
        <w:spacing w:line="480" w:lineRule="auto"/>
      </w:pPr>
      <w:r>
        <w:t xml:space="preserve">The attention curve</w:t>
      </w:r>
    </w:p>
    <w:p>
      <w:pPr>
        <w:pStyle w:val="FirstParagraph"/>
        <w:spacing w:line="480" w:lineRule="auto"/>
      </w:pPr>
      <w:r>
        <w:t xml:space="preserve">The companion model isolates citation attention and asks a different question: how does citation accumulation depend on the age of a document? The mechanism here is borrowed from learning-curve and diffusion theory. Citations to a work do not arrive uniformly. They accumulate as the work is discovered, and the rate of accumulation depends on age through a relationship a log-log specification can capture as an elasticity</w:t>
      </w:r>
      <w:r>
        <w:t xml:space="preserve"> </w:t>
      </w:r>
      <w:hyperlink w:anchor="ref-10">
        <w:r>
          <w:rPr>
            <w:rStyle w:val="Hyperlink"/>
          </w:rPr>
          <w:t xml:space="preserve">[10]</w:t>
        </w:r>
      </w:hyperlink>
      <w:r>
        <w:t xml:space="preserve">. A negative elasticity would indicate that, within this corpus, older documents carry disproportionately fewer citations per unit age than a naive linear expectation would predict, or equivalently that the youngest documents are drawing attention fast. A flat, imprecise elasticity would indicate that age does not organize attention in these records at all.</w:t>
      </w:r>
    </w:p>
    <w:p>
      <w:pPr>
        <w:pStyle w:val="BodyText"/>
        <w:spacing w:line="480" w:lineRule="auto"/>
        <w:ind w:firstLine="720"/>
      </w:pPr>
      <w:r>
        <w:t xml:space="preserve">The learning-curve framing is deliberate. It imports a well-understood functional form and a well-understood parameter, the progress ratio, so that the estimate can be read against a familiar benchmark rather than interpreted in a vacuum. The framing does not assume the mechanism is present; it provides an instrument sensitive enough to detect the mechanism if it is there and honest enough to report weakness if it is not.</w:t>
      </w:r>
    </w:p>
    <w:p>
      <w:pPr>
        <w:pStyle w:val="BodyText"/>
        <w:spacing w:line="480" w:lineRule="auto"/>
        <w:ind w:firstLine="720"/>
      </w:pPr>
      <w:r>
        <w:t xml:space="preserve">Now to the formal statements. Two nulls, two directional alternatives.</w:t>
      </w:r>
    </w:p>
    <w:bookmarkEnd w:id="87"/>
    <w:bookmarkStart w:id="88" w:name="hypotheses"/>
    <w:p>
      <w:pPr>
        <w:pStyle w:val="Heading2"/>
        <w:spacing w:line="480" w:lineRule="auto"/>
      </w:pPr>
      <w:r>
        <w:t xml:space="preserve">Hypotheses</w:t>
      </w:r>
    </w:p>
    <w:p>
      <w:pPr>
        <w:pStyle w:val="FirstParagraph"/>
        <w:spacing w:line="480" w:lineRule="auto"/>
      </w:pPr>
      <w:r>
        <w:t xml:space="preserve">Two propositions follow. Each is stated as a null against a directional alternative.</w:t>
      </w:r>
    </w:p>
    <w:p>
      <w:pPr>
        <w:pStyle w:val="BodyText"/>
        <w:spacing w:line="480" w:lineRule="auto"/>
        <w:ind w:firstLine="720"/>
      </w:pPr>
      <w:r>
        <w:t xml:space="preserve">The first proposition concerns signal structure. The null holds that the topic-signal score of a source record is unrelated to publication recency, citation attention, and venue family jointly. The alternative holds that the signal is systematically related to these features, with recency and citation attention expected to enter positively under the agenda-formation and selective-amplification mechanisms</w:t>
      </w:r>
      <w:r>
        <w:t xml:space="preserve"> </w:t>
      </w:r>
      <w:hyperlink w:anchor="ref-1">
        <w:r>
          <w:rPr>
            <w:rStyle w:val="Hyperlink"/>
          </w:rPr>
          <w:t xml:space="preserve">[1]</w:t>
        </w:r>
      </w:hyperlink>
      <w:r>
        <w:t xml:space="preserve"> </w:t>
      </w:r>
      <w:hyperlink w:anchor="ref-2">
        <w:r>
          <w:rPr>
            <w:rStyle w:val="Hyperlink"/>
          </w:rPr>
          <w:t xml:space="preserve">[2]</w:t>
        </w:r>
      </w:hyperlink>
      <w:r>
        <w:t xml:space="preserve">. This proposition is tested by the ordinary least squares model of Chapter 4, and it can fail in two ways: the joint fit can be indistinguishable from noise, or the individual coefficients can be imprecise or wrong-signed.</w:t>
      </w:r>
    </w:p>
    <w:p>
      <w:pPr>
        <w:pStyle w:val="BodyText"/>
        <w:spacing w:line="480" w:lineRule="auto"/>
        <w:ind w:firstLine="720"/>
      </w:pPr>
      <w:r>
        <w:t xml:space="preserve">The second proposition concerns attention accumulation. The null holds that citation accumulation is unrelated to article age. The alternative holds that citation growth follows a measurable age-based curve, which in the log-log specification means a precisely estimated, non-zero elasticity</w:t>
      </w:r>
      <w:r>
        <w:t xml:space="preserve"> </w:t>
      </w:r>
      <w:hyperlink w:anchor="ref-10">
        <w:r>
          <w:rPr>
            <w:rStyle w:val="Hyperlink"/>
          </w:rPr>
          <w:t xml:space="preserve">[10]</w:t>
        </w:r>
      </w:hyperlink>
      <w:r>
        <w:t xml:space="preserve">. This proposition is tested by the learning-curve model, and it fails if the elasticity is imprecise or if the model explains a negligible share of variance.</w:t>
      </w:r>
    </w:p>
    <w:bookmarkEnd w:id="88"/>
    <w:bookmarkStart w:id="89" w:name="X8e07b6d5d7b6a04ec7f14b75b00c7d34990bcee"/>
    <w:p>
      <w:pPr>
        <w:pStyle w:val="Heading2"/>
        <w:spacing w:line="480" w:lineRule="auto"/>
      </w:pPr>
      <w:r>
        <w:t xml:space="preserve">What a rejection and a non-rejection would each mean</w:t>
      </w:r>
    </w:p>
    <w:p>
      <w:pPr>
        <w:pStyle w:val="FirstParagraph"/>
        <w:spacing w:line="480" w:lineRule="auto"/>
      </w:pPr>
      <w:r>
        <w:t xml:space="preserve">Stating the interpretation in advance protects the design from post hoc storytelling. If the first null is rejected and the venue coefficient in particular is precise, the reading is that the field’s attention to trust calibration is organized by venue family in a detectable way, which vindicates treating the corpus as structured evidence and licenses the direct document-coding study of Chapter 8. If the first null cannot be rejected for the recency or citation predictors individually, the reading is that those particular channels do not carry the signal, and the corpus’s structure, if any, runs through venue rather than time or attention. If the second null cannot be rejected, the reading is that citation age does not organize attention in these thirty records, which is unsurprising given the sparse and index-dependent citation field and which should temper any claim built on citation counts</w:t>
      </w:r>
      <w:r>
        <w:t xml:space="preserve"> </w:t>
      </w:r>
      <w:hyperlink w:anchor="ref-6">
        <w:r>
          <w:rPr>
            <w:rStyle w:val="Hyperlink"/>
          </w:rPr>
          <w:t xml:space="preserve">[6]</w:t>
        </w:r>
      </w:hyperlink>
      <w:r>
        <w:t xml:space="preserve">. The value of the framework is that each of these outcomes is informative, and none requires the data to say more than it can.</w:t>
      </w:r>
    </w:p>
    <w:bookmarkEnd w:id="89"/>
    <w:bookmarkStart w:id="90" w:name="the-link-back-to-operator-trust"/>
    <w:p>
      <w:pPr>
        <w:pStyle w:val="Heading2"/>
        <w:spacing w:line="480" w:lineRule="auto"/>
      </w:pPr>
      <w:r>
        <w:t xml:space="preserve">The link back to operator trust</w:t>
      </w:r>
    </w:p>
    <w:p>
      <w:pPr>
        <w:pStyle w:val="FirstParagraph"/>
        <w:spacing w:line="480" w:lineRule="auto"/>
      </w:pPr>
      <w:r>
        <w:t xml:space="preserve">A skeptic might grant the bibliometric mechanism and still ask what it has to do with an operator deciding whether to burn fuel. The connection runs through how institutions form the trust environment operators inhabit. An operator does not calibrate reliance in a vacuum. The operator absorbs signals from training, from standard operating procedure, and from the validation language that certifies a service, and all of those artifacts are downstream of the literature this dissertation measures</w:t>
      </w:r>
      <w:r>
        <w:t xml:space="preserve"> </w:t>
      </w:r>
      <w:hyperlink w:anchor="ref-8">
        <w:r>
          <w:rPr>
            <w:rStyle w:val="Hyperlink"/>
          </w:rPr>
          <w:t xml:space="preserve">[8]</w:t>
        </w:r>
      </w:hyperlink>
      <w:r>
        <w:t xml:space="preserve"> </w:t>
      </w:r>
      <w:hyperlink w:anchor="ref-3">
        <w:r>
          <w:rPr>
            <w:rStyle w:val="Hyperlink"/>
          </w:rPr>
          <w:t xml:space="preserve">[3]</w:t>
        </w:r>
      </w:hyperlink>
      <w:r>
        <w:t xml:space="preserve">. If trust-and-automation engagement concentrates in the proceedings literature that operational practitioners write and read, then the field’s most direct thinking about calibration is reaching operators through a different channel than a journal-centric synthesis would assume</w:t>
      </w:r>
      <w:r>
        <w:t xml:space="preserve"> </w:t>
      </w:r>
      <w:hyperlink w:anchor="ref-4">
        <w:r>
          <w:rPr>
            <w:rStyle w:val="Hyperlink"/>
          </w:rPr>
          <w:t xml:space="preserve">[4]</w:t>
        </w:r>
      </w:hyperlink>
      <w:r>
        <w:t xml:space="preserve">. The corpus structure is therefore not an academic curiosity; it is a map of where the field’s calibration knowledge actually lives, and a map of where an institution should look when it writes the guidance that shapes operator priors</w:t>
      </w:r>
      <w:r>
        <w:t xml:space="preserve"> </w:t>
      </w:r>
      <w:hyperlink w:anchor="ref-2">
        <w:r>
          <w:rPr>
            <w:rStyle w:val="Hyperlink"/>
          </w:rPr>
          <w:t xml:space="preserve">[2]</w:t>
        </w:r>
      </w:hyperlink>
      <w:r>
        <w:t xml:space="preserve">.</w:t>
      </w:r>
    </w:p>
    <w:p>
      <w:pPr>
        <w:pStyle w:val="BodyText"/>
        <w:spacing w:line="480" w:lineRule="auto"/>
        <w:ind w:firstLine="720"/>
      </w:pPr>
      <w:r>
        <w:t xml:space="preserve">The mechanism also predicts a specific asymmetry worth naming. Because governance and policy records embed the trust theme inside broader institutional argument, they will tend to score lower on a direct term-hit instrument even when their substantive stake in trust is high</w:t>
      </w:r>
      <w:r>
        <w:t xml:space="preserve"> </w:t>
      </w:r>
      <w:hyperlink w:anchor="ref-16">
        <w:r>
          <w:rPr>
            <w:rStyle w:val="Hyperlink"/>
          </w:rPr>
          <w:t xml:space="preserve">[16]</w:t>
        </w:r>
      </w:hyperlink>
      <w:r>
        <w:t xml:space="preserve"> </w:t>
      </w:r>
      <w:hyperlink w:anchor="ref-5">
        <w:r>
          <w:rPr>
            <w:rStyle w:val="Hyperlink"/>
          </w:rPr>
          <w:t xml:space="preserve">[5]</w:t>
        </w:r>
      </w:hyperlink>
      <w:r>
        <w:t xml:space="preserve">. The framework anticipates this and treats a low signal score in a high-venue record as ambiguous evidence: it may reflect genuine thematic dilution, or it may reflect the fact that governance prose names the problem obliquely. Chapter 7 returns to this ambiguity as a threat to validity, but the framework flags it here so the venue prediction is read with the right caution from the start.</w:t>
      </w:r>
    </w:p>
    <w:bookmarkEnd w:id="90"/>
    <w:bookmarkStart w:id="91" w:name="scope-conditions-of-the-framework"/>
    <w:p>
      <w:pPr>
        <w:pStyle w:val="Heading2"/>
        <w:spacing w:line="480" w:lineRule="auto"/>
      </w:pPr>
      <w:r>
        <w:t xml:space="preserve">Scope conditions of the framework</w:t>
      </w:r>
    </w:p>
    <w:p>
      <w:pPr>
        <w:pStyle w:val="FirstParagraph"/>
        <w:spacing w:line="480" w:lineRule="auto"/>
      </w:pPr>
      <w:r>
        <w:t xml:space="preserve">Every mechanism holds only under conditions, and stating them is part of making the framework falsifiable rather than elastic. The agenda-formation mechanism assumes that the retrieved corpus samples the field’s recent history densely enough that a recency gradient could appear if one exists; a corpus clustered in a single year could not test recency at all, and the design checks that the sample spans 2010 through 2026 before trusting a recency null</w:t>
      </w:r>
      <w:r>
        <w:t xml:space="preserve"> </w:t>
      </w:r>
      <w:hyperlink w:anchor="ref-1">
        <w:r>
          <w:rPr>
            <w:rStyle w:val="Hyperlink"/>
          </w:rPr>
          <w:t xml:space="preserve">[1]</w:t>
        </w:r>
      </w:hyperlink>
      <w:r>
        <w:t xml:space="preserve">. The selective-amplification mechanism assumes that citation counts are comparable across records, an assumption the data violate because counts are populated only for the journal family; the framework therefore expects the citation channel to be weak by construction and treats a citation null as uninformative about the true mechanism rather than as evidence against it</w:t>
      </w:r>
      <w:r>
        <w:t xml:space="preserve"> </w:t>
      </w:r>
      <w:hyperlink w:anchor="ref-6">
        <w:r>
          <w:rPr>
            <w:rStyle w:val="Hyperlink"/>
          </w:rPr>
          <w:t xml:space="preserve">[6]</w:t>
        </w:r>
      </w:hyperlink>
      <w:r>
        <w:t xml:space="preserve">. The venue-selection mechanism assumes the ordinal ordering reflects a real gradient in how venues frame the theme, which is defensible for three coarse families but would break down under finer venue distinctions</w:t>
      </w:r>
      <w:r>
        <w:t xml:space="preserve"> </w:t>
      </w:r>
      <w:hyperlink w:anchor="ref-16">
        <w:r>
          <w:rPr>
            <w:rStyle w:val="Hyperlink"/>
          </w:rPr>
          <w:t xml:space="preserve">[16]</w:t>
        </w:r>
      </w:hyperlink>
      <w:r>
        <w:t xml:space="preserve">. Naming these scope conditions in advance is what separates a framework that can be wrong from a story that can absorb any result.</w:t>
      </w:r>
    </w:p>
    <w:bookmarkEnd w:id="91"/>
    <w:bookmarkStart w:id="92" w:name="formalizing-the-topic-signal-construct"/>
    <w:p>
      <w:pPr>
        <w:pStyle w:val="Heading2"/>
        <w:spacing w:line="480" w:lineRule="auto"/>
      </w:pPr>
      <w:r>
        <w:t xml:space="preserve">Formalizing the topic-signal construct</w:t>
      </w:r>
    </w:p>
    <w:p>
      <w:pPr>
        <w:pStyle w:val="FirstParagraph"/>
        <w:spacing w:line="480" w:lineRule="auto"/>
      </w:pPr>
      <w:r>
        <w:t xml:space="preserve">The mechanism rests on a construct, topic signal, that needs a sharper definition than intuition supplies. Topic signal is the density with which a source engages the trust-and-automation theme, operationalized as a count of theme-relevant term hits across a record’s title, snippet, keyword, and author fields. The construct is deliberately behavioral rather than interpretive: it measures how much theme-relevant language a source carries, not how insightful the source is about trust. This distinction matters for the mechanism, because the agenda-formation and venue-selection stories predict patterns in language density, not in insight. A source can be profound about trust while using little theme-specific vocabulary, and such a source would score low on the construct despite its depth</w:t>
      </w:r>
      <w:r>
        <w:t xml:space="preserve"> </w:t>
      </w:r>
      <w:hyperlink w:anchor="ref-5">
        <w:r>
          <w:rPr>
            <w:rStyle w:val="Hyperlink"/>
          </w:rPr>
          <w:t xml:space="preserve">[5]</w:t>
        </w:r>
      </w:hyperlink>
      <w:r>
        <w:t xml:space="preserve">. The framework accepts this as a known limitation of a term-hit instrument and predicts only what the instrument can see: the distribution of theme-relevant language across time, attention, and venue.</w:t>
      </w:r>
    </w:p>
    <w:p>
      <w:pPr>
        <w:pStyle w:val="BodyText"/>
        <w:spacing w:line="480" w:lineRule="auto"/>
        <w:ind w:firstLine="720"/>
      </w:pPr>
      <w:r>
        <w:t xml:space="preserve">Defining the construct behaviorally has a payoff for falsifiability. Because the construct is a deterministic function of observable fields, its values cannot drift with the analyst’s interpretation, and a prediction about how those values pattern is a prediction that the data can cleanly confirm or refute</w:t>
      </w:r>
      <w:r>
        <w:t xml:space="preserve"> </w:t>
      </w:r>
      <w:hyperlink w:anchor="ref-3">
        <w:r>
          <w:rPr>
            <w:rStyle w:val="Hyperlink"/>
          </w:rPr>
          <w:t xml:space="preserve">[3]</w:t>
        </w:r>
      </w:hyperlink>
      <w:r>
        <w:t xml:space="preserve">. The cost is that a null result carries two readings, one substantive and one instrumental. A weak recency coefficient might mean recency does not organize the field’s attention, or it might mean the term-hit instrument is too blunt to detect a recency gradient that a richer measure would find</w:t>
      </w:r>
      <w:r>
        <w:t xml:space="preserve"> </w:t>
      </w:r>
      <w:hyperlink w:anchor="ref-2">
        <w:r>
          <w:rPr>
            <w:rStyle w:val="Hyperlink"/>
          </w:rPr>
          <w:t xml:space="preserve">[2]</w:t>
        </w:r>
      </w:hyperlink>
      <w:r>
        <w:t xml:space="preserve">. The framework holds both readings open and resolves between them only in Chapter 8, where a direct document-coding study is proposed precisely to separate substantive nulls from instrumental ones.</w:t>
      </w:r>
    </w:p>
    <w:bookmarkEnd w:id="92"/>
    <w:bookmarkStart w:id="93" w:name="X73ecaf06caefb2288abf5ad8689a3ec493c10c3"/>
    <w:p>
      <w:pPr>
        <w:pStyle w:val="Heading2"/>
        <w:spacing w:line="480" w:lineRule="auto"/>
      </w:pPr>
      <w:r>
        <w:t xml:space="preserve">Competing predictions and the value of disagreement</w:t>
      </w:r>
    </w:p>
    <w:p>
      <w:pPr>
        <w:pStyle w:val="FirstParagraph"/>
        <w:spacing w:line="480" w:lineRule="auto"/>
      </w:pPr>
      <w:r>
        <w:t xml:space="preserve">A framework earns its keep when its channels can disagree, because disagreement is where the data becomes informative rather than confirmatory. Here the three predictors can and are expected to pull apart. The agenda-formation mechanism predicts a recency gradient; the venue-selection mechanism predicts a venue gradient; and the two need not both hold</w:t>
      </w:r>
      <w:r>
        <w:t xml:space="preserve"> </w:t>
      </w:r>
      <w:hyperlink w:anchor="ref-1">
        <w:r>
          <w:rPr>
            <w:rStyle w:val="Hyperlink"/>
          </w:rPr>
          <w:t xml:space="preserve">[1]</w:t>
        </w:r>
      </w:hyperlink>
      <w:r>
        <w:t xml:space="preserve"> </w:t>
      </w:r>
      <w:hyperlink w:anchor="ref-16">
        <w:r>
          <w:rPr>
            <w:rStyle w:val="Hyperlink"/>
          </w:rPr>
          <w:t xml:space="preserve">[16]</w:t>
        </w:r>
      </w:hyperlink>
      <w:r>
        <w:t xml:space="preserve">. If only the venue channel carries signal, the reading is that the field’s attention is organized by where work appears rather than by when, which would tell against a simple story in which trust research is uniformly newer and denser</w:t>
      </w:r>
      <w:r>
        <w:t xml:space="preserve"> </w:t>
      </w:r>
      <w:hyperlink w:anchor="ref-3">
        <w:r>
          <w:rPr>
            <w:rStyle w:val="Hyperlink"/>
          </w:rPr>
          <w:t xml:space="preserve">[3]</w:t>
        </w:r>
      </w:hyperlink>
      <w:r>
        <w:t xml:space="preserve">. If only recency carried signal, the reading would be the reverse. The framework does not privilege either outcome; it specifies both and lets the estimator adjudicate. This is the discipline that distinguishes a testable framework from a narrative that would have claimed vindication whichever channel fired. By committing in advance to what each pattern would mean, the framework converts the empirical chapters from a search for any structure into a test of specific, pre-registered mechanisms, and that commitment is what allows a reader to trust the interpretation that follows</w:t>
      </w:r>
      <w:r>
        <w:t xml:space="preserve"> </w:t>
      </w:r>
      <w:hyperlink w:anchor="ref-2">
        <w:r>
          <w:rPr>
            <w:rStyle w:val="Hyperlink"/>
          </w:rPr>
          <w:t xml:space="preserve">[2]</w:t>
        </w:r>
      </w:hyperlink>
      <w:r>
        <w:t xml:space="preserve"> </w:t>
      </w:r>
      <w:hyperlink w:anchor="ref-5">
        <w:r>
          <w:rPr>
            <w:rStyle w:val="Hyperlink"/>
          </w:rPr>
          <w:t xml:space="preserve">[5]</w:t>
        </w:r>
      </w:hyperlink>
      <w:r>
        <w:t xml:space="preserve">.</w:t>
      </w:r>
    </w:p>
    <w:bookmarkEnd w:id="93"/>
    <w:bookmarkStart w:id="94" w:name="from-mechanism-to-estimable-form"/>
    <w:p>
      <w:pPr>
        <w:pStyle w:val="Heading2"/>
        <w:spacing w:line="480" w:lineRule="auto"/>
      </w:pPr>
      <w:r>
        <w:t xml:space="preserve">From mechanism to estimable form</w:t>
      </w:r>
    </w:p>
    <w:p>
      <w:pPr>
        <w:pStyle w:val="FirstParagraph"/>
        <w:spacing w:line="480" w:lineRule="auto"/>
      </w:pPr>
      <w:r>
        <w:t xml:space="preserve">A mechanism is not yet a model, and the framework must specify how each predicted relationship becomes something an estimator can read. The agenda-formation and venue-selection mechanisms together predict that topic signal is a function of recency, citation attention, and venue family, which maps onto a linear specification with those three predictors</w:t>
      </w:r>
      <w:r>
        <w:t xml:space="preserve"> </w:t>
      </w:r>
      <w:hyperlink w:anchor="ref-1">
        <w:r>
          <w:rPr>
            <w:rStyle w:val="Hyperlink"/>
          </w:rPr>
          <w:t xml:space="preserve">[1]</w:t>
        </w:r>
      </w:hyperlink>
      <w:r>
        <w:t xml:space="preserve">. The linearity is an assumption, not a derivation; the mechanisms predict direction and rough monotonicity, not a functional form, and the linear form is chosen as the simplest specification consistent with the predicted directions. The selective-amplification mechanism, applied to attention itself, predicts that citation accumulation scales with age in a way a log-log specification can capture as an elasticity</w:t>
      </w:r>
      <w:r>
        <w:t xml:space="preserve"> </w:t>
      </w:r>
      <w:hyperlink w:anchor="ref-10">
        <w:r>
          <w:rPr>
            <w:rStyle w:val="Hyperlink"/>
          </w:rPr>
          <w:t xml:space="preserve">[10]</w:t>
        </w:r>
      </w:hyperlink>
      <w:r>
        <w:t xml:space="preserve">. Again the functional form is a modeling choice that the mechanism motivates but does not dictate. Making these steps explicit matters because it locates precisely where the framework’s substantive claims end and its modeling conveniences begin, so that a reader can hold the estimator accountable to the mechanism rather than to an arbitrary form.</w:t>
      </w:r>
    </w:p>
    <w:bookmarkEnd w:id="94"/>
    <w:bookmarkStart w:id="95" w:name="the-role-of-the-null-in-a-small-design"/>
    <w:p>
      <w:pPr>
        <w:pStyle w:val="Heading2"/>
        <w:spacing w:line="480" w:lineRule="auto"/>
      </w:pPr>
      <w:r>
        <w:t xml:space="preserve">The role of the null in a small design</w:t>
      </w:r>
    </w:p>
    <w:p>
      <w:pPr>
        <w:pStyle w:val="FirstParagraph"/>
        <w:spacing w:line="480" w:lineRule="auto"/>
      </w:pPr>
      <w:r>
        <w:t xml:space="preserve">In a thirty-record design the null hypothesis carries more weight than it does in a large study, and the framework leans on that weight deliberately. With a small sample, the honest default is that a channel carries no detectable structure, and the burden falls on the data to overturn that default</w:t>
      </w:r>
      <w:r>
        <w:t xml:space="preserve"> </w:t>
      </w:r>
      <w:hyperlink w:anchor="ref-6">
        <w:r>
          <w:rPr>
            <w:rStyle w:val="Hyperlink"/>
          </w:rPr>
          <w:t xml:space="preserve">[6]</w:t>
        </w:r>
      </w:hyperlink>
      <w:r>
        <w:t xml:space="preserve">. This is not statistical timidity; it is the correct posture for a study whose whole subject is the danger of over-reading a weak signal. The framework therefore treats a rejected null as a genuine finding and a surviving null as a genuine, if softer, result rather than as a failure to find something. A surviving recency null means the recency channel does not carry structure the data can see; a surviving citation-age null means age does not organize attention in these records</w:t>
      </w:r>
      <w:r>
        <w:t xml:space="preserve"> </w:t>
      </w:r>
      <w:hyperlink w:anchor="ref-3">
        <w:r>
          <w:rPr>
            <w:rStyle w:val="Hyperlink"/>
          </w:rPr>
          <w:t xml:space="preserve">[3]</w:t>
        </w:r>
      </w:hyperlink>
      <w:r>
        <w:t xml:space="preserve"> </w:t>
      </w:r>
      <w:hyperlink w:anchor="ref-10">
        <w:r>
          <w:rPr>
            <w:rStyle w:val="Hyperlink"/>
          </w:rPr>
          <w:t xml:space="preserve">[10]</w:t>
        </w:r>
      </w:hyperlink>
      <w:r>
        <w:t xml:space="preserve">. Neither is a disappointment to be explained away. Both are the framework working as designed, refusing to certify structure that thirty records cannot support, and both feed the direct-coding study that Chapter 8 proposes to test the channels the present instrument leaves ambiguous</w:t>
      </w:r>
      <w:r>
        <w:t xml:space="preserve"> </w:t>
      </w:r>
      <w:hyperlink w:anchor="ref-5">
        <w:r>
          <w:rPr>
            <w:rStyle w:val="Hyperlink"/>
          </w:rPr>
          <w:t xml:space="preserve">[5]</w:t>
        </w:r>
      </w:hyperlink>
      <w:r>
        <w:t xml:space="preserve">.</w:t>
      </w:r>
    </w:p>
    <w:bookmarkEnd w:id="95"/>
    <w:bookmarkStart w:id="96" w:name="the-frameworks-stance-toward-causation"/>
    <w:p>
      <w:pPr>
        <w:pStyle w:val="Heading2"/>
        <w:spacing w:line="480" w:lineRule="auto"/>
      </w:pPr>
      <w:r>
        <w:t xml:space="preserve">The framework’s stance toward causation</w:t>
      </w:r>
    </w:p>
    <w:p>
      <w:pPr>
        <w:pStyle w:val="FirstParagraph"/>
        <w:spacing w:line="480" w:lineRule="auto"/>
      </w:pPr>
      <w:r>
        <w:t xml:space="preserve">A last clarification fixes the framework’s ambition where it belongs. The mechanisms described here are mechanisms of the literature, not of the world. Agenda formation describes how a problem migrates through a scholarly community; venue selection describes how venues sort work by framing; selective amplification describes how citations accrue to central work</w:t>
      </w:r>
      <w:r>
        <w:t xml:space="preserve"> </w:t>
      </w:r>
      <w:hyperlink w:anchor="ref-1">
        <w:r>
          <w:rPr>
            <w:rStyle w:val="Hyperlink"/>
          </w:rPr>
          <w:t xml:space="preserve">[1]</w:t>
        </w:r>
      </w:hyperlink>
      <w:r>
        <w:t xml:space="preserve"> </w:t>
      </w:r>
      <w:hyperlink w:anchor="ref-2">
        <w:r>
          <w:rPr>
            <w:rStyle w:val="Hyperlink"/>
          </w:rPr>
          <w:t xml:space="preserve">[2]</w:t>
        </w:r>
      </w:hyperlink>
      <w:r>
        <w:t xml:space="preserve">. None of these is a claim about what causes operators to over-trust automation, and the framework never pretends otherwise. The object of the mechanisms is the pattern of the field’s attention, and the pattern is worth explaining because it maps where the field’s calibration knowledge concentrates, not because it causes any operator decision</w:t>
      </w:r>
      <w:r>
        <w:t xml:space="preserve"> </w:t>
      </w:r>
      <w:hyperlink w:anchor="ref-4">
        <w:r>
          <w:rPr>
            <w:rStyle w:val="Hyperlink"/>
          </w:rPr>
          <w:t xml:space="preserve">[4]</w:t>
        </w:r>
      </w:hyperlink>
      <w:r>
        <w:t xml:space="preserve">. Holding this stance prevents a subtle error a reader might otherwise make, of treating a venue coefficient as if it revealed something about operator behavior directly. It reveals something about the literature that shapes operator behavior at a remove, which is a genuine but bounded contribution, and the framework’s job is to keep that boundary visible from the first prediction to the last interpretation</w:t>
      </w:r>
      <w:r>
        <w:t xml:space="preserve"> </w:t>
      </w:r>
      <w:hyperlink w:anchor="ref-5">
        <w:r>
          <w:rPr>
            <w:rStyle w:val="Hyperlink"/>
          </w:rPr>
          <w:t xml:space="preserve">[5]</w:t>
        </w:r>
      </w:hyperlink>
      <w:r>
        <w:t xml:space="preserve">.</w:t>
      </w:r>
    </w:p>
    <w:bookmarkEnd w:id="96"/>
    <w:bookmarkEnd w:id="97"/>
    <w:bookmarkStart w:id="110" w:name="methodology-and-identification"/>
    <w:p>
      <w:pPr>
        <w:pStyle w:val="Heading1"/>
        <w:spacing w:line="480" w:lineRule="auto"/>
      </w:pPr>
      <w:r>
        <w:t xml:space="preserve">Methodology and Identification</w:t>
      </w:r>
    </w:p>
    <w:p>
      <w:pPr>
        <w:pStyle w:val="FirstParagraph"/>
        <w:spacing w:line="480" w:lineRule="auto"/>
      </w:pPr>
      <w:r>
        <w:t xml:space="preserve">This chapter specifies the two estimators that carry the empirical weight of the dissertation, states the assumptions under which each identifies the association it targets, and explains the choices that keep the analysis auditable. The estimators are intentionally standard. Novelty here would be a liability, because the contribution is the disciplined application of familiar tools to a corpus treated as data, and familiar tools come with known failure modes that a reader can check.</w:t>
      </w:r>
    </w:p>
    <w:bookmarkStart w:id="98" w:name="X55437ac0feaeaa84f50c98e630040ffafba3b8b"/>
    <w:p>
      <w:pPr>
        <w:pStyle w:val="Heading2"/>
        <w:spacing w:line="480" w:lineRule="auto"/>
      </w:pPr>
      <w:r>
        <w:t xml:space="preserve">Estimator one: ordinary least squares on topic signal</w:t>
      </w:r>
    </w:p>
    <w:p>
      <w:pPr>
        <w:pStyle w:val="FirstParagraph"/>
        <w:spacing w:line="480" w:lineRule="auto"/>
      </w:pPr>
      <w:r>
        <w:t xml:space="preserve">Three predictors enter the primary model. It regresses the topic-signal score of each source record on a publication recency index, a reported citation count, and an ordinal venue-family score. The specification is linear in the predictors and estimated by ordinary least squares. Written in the notation of the workbook, the model is</w:t>
      </w:r>
    </w:p>
    <w:p>
      <w:pPr>
        <w:pStyle w:val="BodyText"/>
        <w:spacing w:line="480" w:lineRule="auto"/>
        <w:ind w:firstLine="720"/>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r>
            <m:rPr>
              <m:sty m:val="p"/>
            </m:rPr>
            <m:t>.</m:t>
          </m:r>
        </m:oMath>
      </m:oMathPara>
    </w:p>
    <w:p>
      <w:pPr>
        <w:pStyle w:val="FirstParagraph"/>
        <w:spacing w:line="480" w:lineRule="auto"/>
      </w:pPr>
      <w:r>
        <w:t xml:space="preserve">Each coefficient answers a conditional question. The recency coefficient reports how topic signal changes with one additional unit of recency, holding citation attention and venue family fixed. The citation coefficient reports the change associated with one additional citation, holding recency and venue fixed. The venue coefficient reports the change associated with moving one step up the venue ordinal, from proceedings toward journal toward policy-economy, holding the other two fixed. The conditioning is the entire point. A raw correlation between venue and signal could be confounded by the fact that different venues publish in different years; the multiple regression holds recency constant while reading the venue association, which is the minimal defense against that particular confound</w:t>
      </w:r>
      <w:r>
        <w:t xml:space="preserve"> </w:t>
      </w:r>
      <w:hyperlink w:anchor="ref-1">
        <w:r>
          <w:rPr>
            <w:rStyle w:val="Hyperlink"/>
          </w:rPr>
          <w:t xml:space="preserve">[1]</w:t>
        </w:r>
      </w:hyperlink>
      <w:r>
        <w:t xml:space="preserve"> </w:t>
      </w:r>
      <w:hyperlink w:anchor="ref-7">
        <w:r>
          <w:rPr>
            <w:rStyle w:val="Hyperlink"/>
          </w:rPr>
          <w:t xml:space="preserve">[7]</w:t>
        </w:r>
      </w:hyperlink>
      <w:r>
        <w:t xml:space="preserve">.</w:t>
      </w:r>
    </w:p>
    <w:p>
      <w:pPr>
        <w:pStyle w:val="BodyText"/>
        <w:spacing w:line="480" w:lineRule="auto"/>
        <w:ind w:firstLine="720"/>
      </w:pPr>
      <w:r>
        <w:t xml:space="preserve">Standard errors are computed with the heteroskedasticity-consistent HC1 estimator. This choice matters because the topic-signal score is a bounded count constructed from term hits, and count-like outcomes routinely exhibit variance that changes with the mean. Classical standard errors would understate uncertainty in that setting and could manufacture significance where none is warranted. HC1 is the conservative default, and using it signals that the inference is built to resist, not exploit, the noise in a small sample</w:t>
      </w:r>
      <w:r>
        <w:t xml:space="preserve"> </w:t>
      </w:r>
      <w:hyperlink w:anchor="ref-6">
        <w:r>
          <w:rPr>
            <w:rStyle w:val="Hyperlink"/>
          </w:rPr>
          <w:t xml:space="preserve">[6]</w:t>
        </w:r>
      </w:hyperlink>
      <w:r>
        <w:t xml:space="preserve">.</w:t>
      </w:r>
    </w:p>
    <w:bookmarkEnd w:id="98"/>
    <w:bookmarkStart w:id="99" w:name="X11c7eee4a93973d3bd775fccd2c47650d7daacf"/>
    <w:p>
      <w:pPr>
        <w:pStyle w:val="Heading2"/>
        <w:spacing w:line="480" w:lineRule="auto"/>
      </w:pPr>
      <w:r>
        <w:t xml:space="preserve">What the OLS model identifies, and what it does not</w:t>
      </w:r>
    </w:p>
    <w:p>
      <w:pPr>
        <w:pStyle w:val="FirstParagraph"/>
        <w:spacing w:line="480" w:lineRule="auto"/>
      </w:pPr>
      <w:r>
        <w:t xml:space="preserve">Identification is a claim about what a coefficient means, and honesty about it is the difference between a defensible screen and a misleading one. Under the assumption that the three predictors are uncorrelated with the error term, each coefficient identifies the partial association between that predictor and topic signal within this corpus. That is a descriptive identification, not a causal one. Nothing in the design randomizes recency, citation count, or venue, so the coefficients describe how signal is distributed across the observed records rather than what would happen to signal if recency were manipulated.</w:t>
      </w:r>
    </w:p>
    <w:p>
      <w:pPr>
        <w:pStyle w:val="BodyText"/>
        <w:spacing w:line="480" w:lineRule="auto"/>
        <w:ind w:firstLine="720"/>
      </w:pPr>
      <w:r>
        <w:t xml:space="preserve">Two structural features of the data constrain interpretation further. First, the citation field is non-zero only for the journal-family records; the conference and policy-economy records carry zero because the local index reported no count for them</w:t>
      </w:r>
      <w:r>
        <w:t xml:space="preserve"> </w:t>
      </w:r>
      <w:hyperlink w:anchor="ref-6">
        <w:r>
          <w:rPr>
            <w:rStyle w:val="Hyperlink"/>
          </w:rPr>
          <w:t xml:space="preserve">[6]</w:t>
        </w:r>
      </w:hyperlink>
      <w:r>
        <w:t xml:space="preserve">. That means the citation predictor and the venue predictor share information, and their coefficients must be read as a pair rather than in isolation. Collinearity of this kind does not bias the estimates, but it inflates their variances and can leave an individually imprecise coefficient even when the pair jointly carries structure. Second, the recency index and the venue score are themselves mildly related, because the newest records cluster in the journal family. The model handles both features correctly by conditioning, yet the reader should expect wider intervals on the entangled predictors, and the results chapter reports exactly that pattern.</w:t>
      </w:r>
    </w:p>
    <w:p>
      <w:pPr>
        <w:pStyle w:val="BodyText"/>
        <w:spacing w:line="480" w:lineRule="auto"/>
        <w:ind w:firstLine="720"/>
      </w:pPr>
      <w:r>
        <w:t xml:space="preserve">The estimand is corpus structure, stated plainly. A precise, signed coefficient is evidence that the corpus is organized along that dimension. An imprecise coefficient is evidence against a strong claim on that dimension, and the design treats it that way rather than straining to rescue a story</w:t>
      </w:r>
      <w:r>
        <w:t xml:space="preserve"> </w:t>
      </w:r>
      <w:hyperlink w:anchor="ref-2">
        <w:r>
          <w:rPr>
            <w:rStyle w:val="Hyperlink"/>
          </w:rPr>
          <w:t xml:space="preserve">[2]</w:t>
        </w:r>
      </w:hyperlink>
      <w:r>
        <w:t xml:space="preserve"> </w:t>
      </w:r>
      <w:hyperlink w:anchor="ref-5">
        <w:r>
          <w:rPr>
            <w:rStyle w:val="Hyperlink"/>
          </w:rPr>
          <w:t xml:space="preserve">[5]</w:t>
        </w:r>
      </w:hyperlink>
      <w:r>
        <w:t xml:space="preserve">.</w:t>
      </w:r>
    </w:p>
    <w:bookmarkEnd w:id="99"/>
    <w:bookmarkStart w:id="100" w:name="estimator-two-the-log-log-learning-curve"/>
    <w:p>
      <w:pPr>
        <w:pStyle w:val="Heading2"/>
        <w:spacing w:line="480" w:lineRule="auto"/>
      </w:pPr>
      <w:r>
        <w:t xml:space="preserve">Estimator two: the log-log learning curve</w:t>
      </w:r>
    </w:p>
    <w:p>
      <w:pPr>
        <w:pStyle w:val="FirstParagraph"/>
        <w:spacing w:line="480" w:lineRule="auto"/>
      </w:pPr>
      <w:r>
        <w:t xml:space="preserve">Attention gets its own model. The companion regression asks how citation attention scales with document age. It regresses the natural log of citation count plus one on the natural log of an age index, by ordinary least squares:</w:t>
      </w:r>
    </w:p>
    <w:p>
      <w:pPr>
        <w:pStyle w:val="BodyText"/>
        <w:spacing w:line="480" w:lineRule="auto"/>
        <w:ind w:firstLine="720"/>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r>
            <m:rPr>
              <m:sty m:val="p"/>
            </m:rPr>
            <m:t>.</m:t>
          </m:r>
        </m:oMath>
      </m:oMathPara>
    </w:p>
    <w:p>
      <w:pPr>
        <w:pStyle w:val="FirstParagraph"/>
        <w:spacing w:line="480" w:lineRule="auto"/>
      </w:pPr>
      <w:r>
        <w:t xml:space="preserve">The plus-one transformation is not cosmetic. Many records carry zero citations, and the logarithm of zero is undefined, so adding one before taking logs keeps every record in the estimation rather than silently dropping the uncited majority</w:t>
      </w:r>
      <w:r>
        <w:t xml:space="preserve"> </w:t>
      </w:r>
      <w:hyperlink w:anchor="ref-6">
        <w:r>
          <w:rPr>
            <w:rStyle w:val="Hyperlink"/>
          </w:rPr>
          <w:t xml:space="preserve">[6]</w:t>
        </w:r>
      </w:hyperlink>
      <w:r>
        <w:t xml:space="preserve">. Dropping them would bias the sample toward the cited journal records and would answer a different, narrower question than the one posed.</w:t>
      </w:r>
    </w:p>
    <w:p>
      <w:pPr>
        <w:pStyle w:val="BodyText"/>
        <w:spacing w:line="480" w:lineRule="auto"/>
        <w:ind w:firstLine="720"/>
      </w:pPr>
      <w:r>
        <w:t xml:space="preserve">The slope coefficient is an elasticity: the percentage change in citations-plus-one associated with a one percent change in age. Under the learning-curve reading, this elasticity converts into a progress ratio through the relation</w:t>
      </w:r>
      <w:r>
        <w:t xml:space="preserve"> </w:t>
      </w:r>
      <m:oMath>
        <m:sSup>
          <m:e>
            <m:r>
              <m:t>2</m:t>
            </m:r>
          </m:e>
          <m:sup>
            <m:sSub>
              <m:e>
                <m:r>
                  <m:t>β</m:t>
                </m:r>
              </m:e>
              <m:sub>
                <m:r>
                  <m:t>1</m:t>
                </m:r>
              </m:sub>
            </m:sSub>
          </m:sup>
        </m:sSup>
      </m:oMath>
      <w:r>
        <w:t xml:space="preserve">, which expresses how citation attention changes as age doubles. The progress ratio gives the estimate a benchmark from diffusion and learning-curve theory, so the number can be read against a familiar scale rather than interpreted in the abstract</w:t>
      </w:r>
      <w:r>
        <w:t xml:space="preserve"> </w:t>
      </w:r>
      <w:hyperlink w:anchor="ref-10">
        <w:r>
          <w:rPr>
            <w:rStyle w:val="Hyperlink"/>
          </w:rPr>
          <w:t xml:space="preserve">[10]</w:t>
        </w:r>
      </w:hyperlink>
      <w:r>
        <w:t xml:space="preserve">. As before, HC1 standard errors guard against the heteroskedasticity that a log-transformed count outcome tends to display.</w:t>
      </w:r>
    </w:p>
    <w:bookmarkEnd w:id="100"/>
    <w:bookmarkStart w:id="101" w:name="Xa31ab65c904d431597f2401e29876dc7775c003"/>
    <w:p>
      <w:pPr>
        <w:pStyle w:val="Heading2"/>
        <w:spacing w:line="480" w:lineRule="auto"/>
      </w:pPr>
      <w:r>
        <w:t xml:space="preserve">Why these estimators identify the hypotheses</w:t>
      </w:r>
    </w:p>
    <w:p>
      <w:pPr>
        <w:pStyle w:val="FirstParagraph"/>
        <w:spacing w:line="480" w:lineRule="auto"/>
      </w:pPr>
      <w:r>
        <w:t xml:space="preserve">The two estimators map cleanly onto the two hypotheses of Chapter 3. The OLS model tests the first null by asking whether recency, citation attention, and venue family jointly and severally organize topic signal; the joint F test speaks to the joint null, and the individual coefficients with their HC1 intervals speak to each channel</w:t>
      </w:r>
      <w:r>
        <w:t xml:space="preserve"> </w:t>
      </w:r>
      <w:hyperlink w:anchor="ref-1">
        <w:r>
          <w:rPr>
            <w:rStyle w:val="Hyperlink"/>
          </w:rPr>
          <w:t xml:space="preserve">[1]</w:t>
        </w:r>
      </w:hyperlink>
      <w:r>
        <w:t xml:space="preserve">. The learning-curve model tests the second null by asking whether age organizes citation accumulation; a precise, non-zero elasticity rejects the null, and an imprecise one fails to reject it. Neither estimator can identify a causal effect, and the design never claims one. What each identifies is a descriptive regularity, or its absence, in a fully specified corpus.</w:t>
      </w:r>
    </w:p>
    <w:p>
      <w:pPr>
        <w:pStyle w:val="BodyText"/>
        <w:spacing w:line="480" w:lineRule="auto"/>
        <w:ind w:firstLine="720"/>
      </w:pPr>
      <w:r>
        <w:t xml:space="preserve">Auditability is the binding constraint. Everything else bends to it.</w:t>
      </w:r>
    </w:p>
    <w:bookmarkEnd w:id="101"/>
    <w:bookmarkStart w:id="102" w:name="auditability-as-a-design-constraint"/>
    <w:p>
      <w:pPr>
        <w:pStyle w:val="Heading2"/>
        <w:spacing w:line="480" w:lineRule="auto"/>
      </w:pPr>
      <w:r>
        <w:t xml:space="preserve">Auditability as a design constraint</w:t>
      </w:r>
    </w:p>
    <w:p>
      <w:pPr>
        <w:pStyle w:val="FirstParagraph"/>
        <w:spacing w:line="480" w:lineRule="auto"/>
      </w:pPr>
      <w:r>
        <w:t xml:space="preserve">A final methodological commitment governs everything above. Every row entering either estimator preserves a source column, so that any coefficient can be traced back to the specific records that produced it</w:t>
      </w:r>
      <w:r>
        <w:t xml:space="preserve"> </w:t>
      </w:r>
      <w:hyperlink w:anchor="ref-3">
        <w:r>
          <w:rPr>
            <w:rStyle w:val="Hyperlink"/>
          </w:rPr>
          <w:t xml:space="preserve">[3]</w:t>
        </w:r>
      </w:hyperlink>
      <w:r>
        <w:t xml:space="preserve">. The feature construction is deterministic, meaning the same corpus yields the same variables on every run, with no stochastic preprocessing to obscure the chain. The estimators are the default implementations of well-documented methods, not bespoke code. Taken together these commitments make the analysis reproducible by inspection: a reader with the workbook can recompute every number in Chapter 6 and confirm that the interpretation does not exceed what the estimator produced. That property is the methodological contribution, and it is worth more in a design-stage dissertation than any single coefficient.</w:t>
      </w:r>
    </w:p>
    <w:bookmarkEnd w:id="102"/>
    <w:bookmarkStart w:id="103" w:name="diagnostics-and-the-small-sample-regime"/>
    <w:p>
      <w:pPr>
        <w:pStyle w:val="Heading2"/>
        <w:spacing w:line="480" w:lineRule="auto"/>
      </w:pPr>
      <w:r>
        <w:t xml:space="preserve">Diagnostics and the small-sample regime</w:t>
      </w:r>
    </w:p>
    <w:p>
      <w:pPr>
        <w:pStyle w:val="FirstParagraph"/>
        <w:spacing w:line="480" w:lineRule="auto"/>
      </w:pPr>
      <w:r>
        <w:t xml:space="preserve">Thirty observations is a small sample. Small samples demand explicit diagnostic thinking rather than reflexive reporting of asymptotic statistics. Three concerns govern the reading of the OLS output. The first is leverage. A single record with an extreme predictor value can dominate a thirty-row regression, and the citation field contains exactly such a record at fifty-one citations, well outside the range of every other value</w:t>
      </w:r>
      <w:r>
        <w:t xml:space="preserve"> </w:t>
      </w:r>
      <w:hyperlink w:anchor="ref-15">
        <w:r>
          <w:rPr>
            <w:rStyle w:val="Hyperlink"/>
          </w:rPr>
          <w:t xml:space="preserve">[15]</w:t>
        </w:r>
      </w:hyperlink>
      <w:r>
        <w:t xml:space="preserve">. The design does not delete it, because deletion would be a discretionary act that breaks the deterministic chain, but the interpretation in Chapter 6 reads the citation coefficient with that leverage point in mind. The second concern is the effective degrees of freedom. With four parameters and thirty observations, the model spends its degrees of freedom quickly, which is why the adjusted R2 is reported alongside the raw R2; the gap between them measures how much the fit is discounted for the parameters it consumes. The third concern is the joint versus individual distinction. In a small entangled sample, a joint F test can reject the null while individual coefficients remain imprecise, and reporting both prevents a reader from mistaking joint significance for evidence on every channel</w:t>
      </w:r>
      <w:r>
        <w:t xml:space="preserve"> </w:t>
      </w:r>
      <w:hyperlink w:anchor="ref-1">
        <w:r>
          <w:rPr>
            <w:rStyle w:val="Hyperlink"/>
          </w:rPr>
          <w:t xml:space="preserve">[1]</w:t>
        </w:r>
      </w:hyperlink>
      <w:r>
        <w:t xml:space="preserve">.</w:t>
      </w:r>
    </w:p>
    <w:p>
      <w:pPr>
        <w:pStyle w:val="BodyText"/>
        <w:spacing w:line="480" w:lineRule="auto"/>
        <w:ind w:firstLine="720"/>
      </w:pPr>
      <w:r>
        <w:t xml:space="preserve">The learning-curve model faces a parallel set of concerns. Its outcome is a log of a count that is one for the majority of records, which compresses most of the sample into a single outcome value and leaves the slope to be identified almost entirely by the handful of cited journal records</w:t>
      </w:r>
      <w:r>
        <w:t xml:space="preserve"> </w:t>
      </w:r>
      <w:hyperlink w:anchor="ref-6">
        <w:r>
          <w:rPr>
            <w:rStyle w:val="Hyperlink"/>
          </w:rPr>
          <w:t xml:space="preserve">[6]</w:t>
        </w:r>
      </w:hyperlink>
      <w:r>
        <w:t xml:space="preserve">. This is a fragile identification, and the design reports the R2 precisely so a reader can see how little variance the model explains before weighing the elasticity. Robust HC1 standard errors are not a cure for this fragility; they are an honest accounting of it, widening the interval to reflect the thin signal rather than reporting a falsely tight estimate.</w:t>
      </w:r>
    </w:p>
    <w:bookmarkEnd w:id="103"/>
    <w:bookmarkStart w:id="104" w:name="why-not-a-richer-model"/>
    <w:p>
      <w:pPr>
        <w:pStyle w:val="Heading2"/>
        <w:spacing w:line="480" w:lineRule="auto"/>
      </w:pPr>
      <w:r>
        <w:t xml:space="preserve">Why not a richer model</w:t>
      </w:r>
    </w:p>
    <w:p>
      <w:pPr>
        <w:pStyle w:val="FirstParagraph"/>
        <w:spacing w:line="480" w:lineRule="auto"/>
      </w:pPr>
      <w:r>
        <w:t xml:space="preserve">A reader might ask why the design does not reach for a count model, a fixed-effect specification, or an interaction between venue and recency. The answer is sample size and auditability in equal measure. A Poisson or negative-binomial model would better respect the count nature of the signal score, but it would add distributional assumptions that thirty records cannot support and would move the analysis away from the transparent linear form a reader can recompute by hand</w:t>
      </w:r>
      <w:r>
        <w:t xml:space="preserve"> </w:t>
      </w:r>
      <w:hyperlink w:anchor="ref-2">
        <w:r>
          <w:rPr>
            <w:rStyle w:val="Hyperlink"/>
          </w:rPr>
          <w:t xml:space="preserve">[2]</w:t>
        </w:r>
      </w:hyperlink>
      <w:r>
        <w:t xml:space="preserve">. Interaction terms would consume degrees of freedom the sample does not have and would invite exactly the specification search this design forswears. The linear OLS and the single-slope learning curve are chosen because they are the simplest estimators that address the hypotheses, and simplicity here is a virtue with a specific payoff: every coefficient has a plain-language meaning, and every meaning can be checked against the workbook. The methodology is built to be believed, not to be impressive, and in a design-stage study those are not the same goal</w:t>
      </w:r>
      <w:r>
        <w:t xml:space="preserve"> </w:t>
      </w:r>
      <w:hyperlink w:anchor="ref-5">
        <w:r>
          <w:rPr>
            <w:rStyle w:val="Hyperlink"/>
          </w:rPr>
          <w:t xml:space="preserve">[5]</w:t>
        </w:r>
      </w:hyperlink>
      <w:r>
        <w:t xml:space="preserve"> </w:t>
      </w:r>
      <w:hyperlink w:anchor="ref-7">
        <w:r>
          <w:rPr>
            <w:rStyle w:val="Hyperlink"/>
          </w:rPr>
          <w:t xml:space="preserve">[7]</w:t>
        </w:r>
      </w:hyperlink>
      <w:r>
        <w:t xml:space="preserve">.</w:t>
      </w:r>
    </w:p>
    <w:bookmarkEnd w:id="104"/>
    <w:bookmarkStart w:id="105" w:name="interpreting-the-progress-ratio"/>
    <w:p>
      <w:pPr>
        <w:pStyle w:val="Heading2"/>
        <w:spacing w:line="480" w:lineRule="auto"/>
      </w:pPr>
      <w:r>
        <w:t xml:space="preserve">Interpreting the progress ratio</w:t>
      </w:r>
    </w:p>
    <w:p>
      <w:pPr>
        <w:pStyle w:val="FirstParagraph"/>
        <w:spacing w:line="480" w:lineRule="auto"/>
      </w:pPr>
      <w:r>
        <w:t xml:space="preserve">The learning-curve model produces a parameter that deserves its own treatment, because the progress ratio is easy to misread. In classical learning-curve analysis the progress ratio expresses how a quantity changes each time a driving variable doubles, and a ratio below one denotes decline while a ratio above one denotes growth. Applied here to citation accumulation against age, a progress ratio below one would say that citations-plus-one fall as documents age double, which in this corpus would mean younger records carry proportionally more attention per unit age</w:t>
      </w:r>
      <w:r>
        <w:t xml:space="preserve"> </w:t>
      </w:r>
      <w:hyperlink w:anchor="ref-10">
        <w:r>
          <w:rPr>
            <w:rStyle w:val="Hyperlink"/>
          </w:rPr>
          <w:t xml:space="preserve">[10]</w:t>
        </w:r>
      </w:hyperlink>
      <w:r>
        <w:t xml:space="preserve">. The parameter is derived from the elasticity through the relation two raised to the elasticity, so its value is fully determined by the slope and carries no independent information; it is a re-expression of the elasticity on a more interpretable scale. Reporting it alongside the elasticity gives a reader two views of the same estimate, one in the units of a regression coefficient and one in the units of a doubling, and neither should be read as if it added evidence the other lacked.</w:t>
      </w:r>
    </w:p>
    <w:p>
      <w:pPr>
        <w:pStyle w:val="BodyText"/>
        <w:spacing w:line="480" w:lineRule="auto"/>
        <w:ind w:firstLine="720"/>
      </w:pPr>
      <w:r>
        <w:t xml:space="preserve">The interpretive discipline is to weigh the progress ratio only as heavily as the elasticity’s precision permits. A progress ratio computed from an imprecise elasticity is itself imprecise, however clean the number looks, and the model’s explanatory power bounds how much the ratio can be trusted</w:t>
      </w:r>
      <w:r>
        <w:t xml:space="preserve"> </w:t>
      </w:r>
      <w:hyperlink w:anchor="ref-6">
        <w:r>
          <w:rPr>
            <w:rStyle w:val="Hyperlink"/>
          </w:rPr>
          <w:t xml:space="preserve">[6]</w:t>
        </w:r>
      </w:hyperlink>
      <w:r>
        <w:t xml:space="preserve">. This is why the design reports the R2 next to the progress ratio: the ratio is a headline number, and the R2 is the fine print that tells a reader how much weight the headline can bear. Divorcing the two would invite exactly the over-reading the substantive topic warns against.</w:t>
      </w:r>
    </w:p>
    <w:bookmarkEnd w:id="105"/>
    <w:bookmarkStart w:id="106" w:name="X23ea38149b5ca78ec23e27aff63b175a9ed72c0"/>
    <w:p>
      <w:pPr>
        <w:pStyle w:val="Heading2"/>
        <w:spacing w:line="480" w:lineRule="auto"/>
      </w:pPr>
      <w:r>
        <w:t xml:space="preserve">The estimand stated as a counterfactual boundary</w:t>
      </w:r>
    </w:p>
    <w:p>
      <w:pPr>
        <w:pStyle w:val="FirstParagraph"/>
        <w:spacing w:line="480" w:lineRule="auto"/>
      </w:pPr>
      <w:r>
        <w:t xml:space="preserve">It helps to state precisely what the coefficients are not, using the language of counterfactuals. A causal estimand would answer a question of the form: if this record’s recency were increased by one unit and nothing else changed, how would its topic signal respond? No coefficient in this dissertation answers that question, because recency, citation attention, and venue are observed as they are and never manipulated</w:t>
      </w:r>
      <w:r>
        <w:t xml:space="preserve"> </w:t>
      </w:r>
      <w:hyperlink w:anchor="ref-1">
        <w:r>
          <w:rPr>
            <w:rStyle w:val="Hyperlink"/>
          </w:rPr>
          <w:t xml:space="preserve">[1]</w:t>
        </w:r>
      </w:hyperlink>
      <w:r>
        <w:t xml:space="preserve">. The coefficients answer a descriptive question instead: among the records that happen to differ in recency while sharing venue and citation attention, how does topic signal differ on average? The two questions coincide only when the predictors are independent of the unobserved determinants of signal, a condition the design cannot guarantee and does not assert</w:t>
      </w:r>
      <w:r>
        <w:t xml:space="preserve"> </w:t>
      </w:r>
      <w:hyperlink w:anchor="ref-2">
        <w:r>
          <w:rPr>
            <w:rStyle w:val="Hyperlink"/>
          </w:rPr>
          <w:t xml:space="preserve">[2]</w:t>
        </w:r>
      </w:hyperlink>
      <w:r>
        <w:t xml:space="preserve">. Marking this boundary in counterfactual terms is more than pedantry. It fixes the ceiling on every claim the results chapter can make, and it ensures that a precise venue coefficient is read as a fact about how the corpus is arranged rather than as a lever an institution could pull. The methodology thereby pre-commits the interpretation to description, and the discussion chapter honors that commitment when it separates what the finding describes from what it might tempt a reader to prescribe</w:t>
      </w:r>
      <w:r>
        <w:t xml:space="preserve"> </w:t>
      </w:r>
      <w:hyperlink w:anchor="ref-7">
        <w:r>
          <w:rPr>
            <w:rStyle w:val="Hyperlink"/>
          </w:rPr>
          <w:t xml:space="preserve">[7]</w:t>
        </w:r>
      </w:hyperlink>
      <w:r>
        <w:t xml:space="preserve"> </w:t>
      </w:r>
      <w:hyperlink w:anchor="ref-5">
        <w:r>
          <w:rPr>
            <w:rStyle w:val="Hyperlink"/>
          </w:rPr>
          <w:t xml:space="preserve">[5]</w:t>
        </w:r>
      </w:hyperlink>
      <w:r>
        <w:t xml:space="preserve">.</w:t>
      </w:r>
    </w:p>
    <w:bookmarkEnd w:id="106"/>
    <w:bookmarkStart w:id="107" w:name="Xdb2d0e84d85dd5ac2c4cdb38befa315dc36047c"/>
    <w:p>
      <w:pPr>
        <w:pStyle w:val="Heading2"/>
        <w:spacing w:line="480" w:lineRule="auto"/>
      </w:pPr>
      <w:r>
        <w:t xml:space="preserve">Robust standard errors and the shape of the noise</w:t>
      </w:r>
    </w:p>
    <w:p>
      <w:pPr>
        <w:pStyle w:val="FirstParagraph"/>
        <w:spacing w:line="480" w:lineRule="auto"/>
      </w:pPr>
      <w:r>
        <w:t xml:space="preserve">The choice of HC1 standard errors over classical ones is not a reflex, and its justification connects directly to the structure of the two outcomes. The topic-signal score is a bounded count, so its variance is not constant across the range of the fitted values; a record with a high fitted signal has more room to vary than one pinned near the floor of one</w:t>
      </w:r>
      <w:r>
        <w:t xml:space="preserve"> </w:t>
      </w:r>
      <w:hyperlink w:anchor="ref-4">
        <w:r>
          <w:rPr>
            <w:rStyle w:val="Hyperlink"/>
          </w:rPr>
          <w:t xml:space="preserve">[4]</w:t>
        </w:r>
      </w:hyperlink>
      <w:r>
        <w:t xml:space="preserve">. Classical standard errors assume constant variance and would misstate the uncertainty in exactly this setting, understating it where the variance is high and overstating it where it is low. HC1 estimates the variance from the residuals themselves, letting the data reveal the heteroskedasticity rather than assuming it away</w:t>
      </w:r>
      <w:r>
        <w:t xml:space="preserve"> </w:t>
      </w:r>
      <w:hyperlink w:anchor="ref-6">
        <w:r>
          <w:rPr>
            <w:rStyle w:val="Hyperlink"/>
          </w:rPr>
          <w:t xml:space="preserve">[6]</w:t>
        </w:r>
      </w:hyperlink>
      <w:r>
        <w:t xml:space="preserve">. The logged citation outcome of the learning-curve model has the same problem in a different form, because a log transform of a count with many structural zeros produces residuals whose spread depends on whether a record sits in the cited journal block or the uncited remainder. In both models the robust estimator is the conservative choice, and conservatism is the right bias for a study warning against over-confidence in a small sample.</w:t>
      </w:r>
    </w:p>
    <w:bookmarkEnd w:id="107"/>
    <w:bookmarkStart w:id="108" w:name="reproducibility-as-a-testable-property"/>
    <w:p>
      <w:pPr>
        <w:pStyle w:val="Heading2"/>
        <w:spacing w:line="480" w:lineRule="auto"/>
      </w:pPr>
      <w:r>
        <w:t xml:space="preserve">Reproducibility as a testable property</w:t>
      </w:r>
    </w:p>
    <w:p>
      <w:pPr>
        <w:pStyle w:val="FirstParagraph"/>
        <w:spacing w:line="480" w:lineRule="auto"/>
      </w:pPr>
      <w:r>
        <w:t xml:space="preserve">The methodology makes a claim that is itself testable: that the analysis is reproducible by inspection. This claim can be checked, and the design invites the check. A reader with the workbook can recompute the topic-signal score for any record from its title, snippet, keyword, and author fields, confirm that the recency index equals the publication year minus the sample minimum plus one, verify that the venue score follows the stated ordinal, and re-run the ordinary least squares and learning-curve estimators to reproduce every coefficient in Chapter 6</w:t>
      </w:r>
      <w:r>
        <w:t xml:space="preserve"> </w:t>
      </w:r>
      <w:hyperlink w:anchor="ref-3">
        <w:r>
          <w:rPr>
            <w:rStyle w:val="Hyperlink"/>
          </w:rPr>
          <w:t xml:space="preserve">[3]</w:t>
        </w:r>
      </w:hyperlink>
      <w:r>
        <w:t xml:space="preserve">. Nothing in the chain requires a random seed, a proprietary tool, or an undocumented judgment. This is a stronger standard than most empirical work meets, and it is chosen deliberately because the substantive subject is trust in opaque automated systems. A dissertation arguing that operators need legible pipelines would undermine itself by presenting an illegible one. The methodology’s reproducibility is therefore not only a scholarly virtue but a substantive commitment, aligning the form of the analysis with the content of its argument</w:t>
      </w:r>
      <w:r>
        <w:t xml:space="preserve"> </w:t>
      </w:r>
      <w:hyperlink w:anchor="ref-7">
        <w:r>
          <w:rPr>
            <w:rStyle w:val="Hyperlink"/>
          </w:rPr>
          <w:t xml:space="preserve">[7]</w:t>
        </w:r>
      </w:hyperlink>
      <w:r>
        <w:t xml:space="preserve"> </w:t>
      </w:r>
      <w:hyperlink w:anchor="ref-5">
        <w:r>
          <w:rPr>
            <w:rStyle w:val="Hyperlink"/>
          </w:rPr>
          <w:t xml:space="preserve">[5]</w:t>
        </w:r>
      </w:hyperlink>
      <w:r>
        <w:t xml:space="preserve">.</w:t>
      </w:r>
    </w:p>
    <w:bookmarkEnd w:id="108"/>
    <w:bookmarkStart w:id="109" w:name="identification-restated-in-plain-terms"/>
    <w:p>
      <w:pPr>
        <w:pStyle w:val="Heading2"/>
        <w:spacing w:line="480" w:lineRule="auto"/>
      </w:pPr>
      <w:r>
        <w:t xml:space="preserve">Identification restated in plain terms</w:t>
      </w:r>
    </w:p>
    <w:p>
      <w:pPr>
        <w:pStyle w:val="FirstParagraph"/>
        <w:spacing w:line="480" w:lineRule="auto"/>
      </w:pPr>
      <w:r>
        <w:t xml:space="preserve">Because identification is the chapter’s load-bearing concept, it is worth one plain-language restatement free of technical vocabulary. To identify an effect is to be able to say what a coefficient means. In this dissertation the coefficients mean partial associations within a fixed corpus: how topic signal differs, on average, between records that differ in one predictor while matching on the others</w:t>
      </w:r>
      <w:r>
        <w:t xml:space="preserve"> </w:t>
      </w:r>
      <w:hyperlink w:anchor="ref-1">
        <w:r>
          <w:rPr>
            <w:rStyle w:val="Hyperlink"/>
          </w:rPr>
          <w:t xml:space="preserve">[1]</w:t>
        </w:r>
      </w:hyperlink>
      <w:r>
        <w:t xml:space="preserve">. They do not mean what would happen if a predictor were changed, because nothing here is changed; the records are observed as they are</w:t>
      </w:r>
      <w:r>
        <w:t xml:space="preserve"> </w:t>
      </w:r>
      <w:hyperlink w:anchor="ref-2">
        <w:r>
          <w:rPr>
            <w:rStyle w:val="Hyperlink"/>
          </w:rPr>
          <w:t xml:space="preserve">[2]</w:t>
        </w:r>
      </w:hyperlink>
      <w:r>
        <w:t xml:space="preserve">. This is descriptive identification, and it is the most the design can claim honestly. A reader who wants the stronger, causal meaning must supply the stronger design, and the methodology says so rather than blurring the two. The plainness is deliberate. A dissertation about operators trusting opaque systems should not itself hide behind vocabulary that obscures what its numbers can and cannot support, and stating identification in words a non-specialist can check is part of practicing the transparency the subject demands</w:t>
      </w:r>
      <w:r>
        <w:t xml:space="preserve"> </w:t>
      </w:r>
      <w:hyperlink w:anchor="ref-7">
        <w:r>
          <w:rPr>
            <w:rStyle w:val="Hyperlink"/>
          </w:rPr>
          <w:t xml:space="preserve">[7]</w:t>
        </w:r>
      </w:hyperlink>
      <w:r>
        <w:t xml:space="preserve">.</w:t>
      </w:r>
    </w:p>
    <w:bookmarkEnd w:id="109"/>
    <w:bookmarkEnd w:id="110"/>
    <w:bookmarkStart w:id="123" w:name="data-and-measurement"/>
    <w:p>
      <w:pPr>
        <w:pStyle w:val="Heading1"/>
        <w:spacing w:line="480" w:lineRule="auto"/>
      </w:pPr>
      <w:r>
        <w:t xml:space="preserve">Data and Measurement</w:t>
      </w:r>
    </w:p>
    <w:p>
      <w:pPr>
        <w:pStyle w:val="FirstParagraph"/>
        <w:spacing w:line="480" w:lineRule="auto"/>
      </w:pPr>
      <w:r>
        <w:t xml:space="preserve">The empirical claims of this dissertation are only as good as the file behind them. This chapter describes that file: where the thirty source records come from, how each variable is constructed, why the construction is deterministic, and what the resulting distributions look like before any model touches them. The discipline here is provenance. Every record carries the source it was drawn from, so the dataset is not a black box but a ledger a reader can walk.</w:t>
      </w:r>
    </w:p>
    <w:bookmarkStart w:id="111" w:name="the-corpus-and-its-provenance"/>
    <w:p>
      <w:pPr>
        <w:pStyle w:val="Heading2"/>
        <w:spacing w:line="480" w:lineRule="auto"/>
      </w:pPr>
      <w:r>
        <w:t xml:space="preserve">The corpus and its provenance</w:t>
      </w:r>
    </w:p>
    <w:p>
      <w:pPr>
        <w:pStyle w:val="FirstParagraph"/>
        <w:spacing w:line="480" w:lineRule="auto"/>
      </w:pPr>
      <w:r>
        <w:t xml:space="preserve">Thirty records make up the file. They are drawn from the literature on automation trust, conjunction assessment, and space traffic governance. The records span from 2010 to 2026 and cross three venue families. Some are conference proceedings from the space situational awareness community, identified by their proceedings URLs</w:t>
      </w:r>
      <w:r>
        <w:t xml:space="preserve"> </w:t>
      </w:r>
      <w:hyperlink w:anchor="ref-4">
        <w:r>
          <w:rPr>
            <w:rStyle w:val="Hyperlink"/>
          </w:rPr>
          <w:t xml:space="preserve">[4]</w:t>
        </w:r>
      </w:hyperlink>
      <w:r>
        <w:t xml:space="preserve"> </w:t>
      </w:r>
      <w:hyperlink w:anchor="ref-6">
        <w:r>
          <w:rPr>
            <w:rStyle w:val="Hyperlink"/>
          </w:rPr>
          <w:t xml:space="preserve">[6]</w:t>
        </w:r>
      </w:hyperlink>
      <w:r>
        <w:t xml:space="preserve">. Some are archival journal articles, identified by digital object identifiers in the aerospace and space-safety literature</w:t>
      </w:r>
      <w:r>
        <w:t xml:space="preserve"> </w:t>
      </w:r>
      <w:hyperlink w:anchor="ref-12">
        <w:r>
          <w:rPr>
            <w:rStyle w:val="Hyperlink"/>
          </w:rPr>
          <w:t xml:space="preserve">[12]</w:t>
        </w:r>
      </w:hyperlink>
      <w:r>
        <w:t xml:space="preserve"> </w:t>
      </w:r>
      <w:hyperlink w:anchor="ref-15">
        <w:r>
          <w:rPr>
            <w:rStyle w:val="Hyperlink"/>
          </w:rPr>
          <w:t xml:space="preserve">[15]</w:t>
        </w:r>
      </w:hyperlink>
      <w:r>
        <w:t xml:space="preserve">. A smaller set are policy and space-economy records, including working-paper and governance material that engages the trust problem from an institutional angle</w:t>
      </w:r>
      <w:r>
        <w:t xml:space="preserve"> </w:t>
      </w:r>
      <w:hyperlink w:anchor="ref-5">
        <w:r>
          <w:rPr>
            <w:rStyle w:val="Hyperlink"/>
          </w:rPr>
          <w:t xml:space="preserve">[5]</w:t>
        </w:r>
      </w:hyperlink>
      <w:r>
        <w:t xml:space="preserve">. The retrieval is candidate-specific, assembled to represent the topic rather than to census the entire field, and that scoping is stated plainly because it bounds every inference drawn later.</w:t>
      </w:r>
    </w:p>
    <w:p>
      <w:pPr>
        <w:pStyle w:val="BodyText"/>
        <w:spacing w:line="480" w:lineRule="auto"/>
        <w:ind w:firstLine="720"/>
      </w:pPr>
      <w:r>
        <w:t xml:space="preserve">Each row preserves a source column. For journal records the source is a DOI; for conference records it is a proceedings URL; for policy records it is a descriptive citation to the working paper or governance document. This column is the backbone of auditability. It means that a coefficient in Chapter 6 can be traced not merely to a number but to the specific documents that number summarizes, and it means that a skeptical reader can pull any record and check whether its coded variables match its content</w:t>
      </w:r>
      <w:r>
        <w:t xml:space="preserve"> </w:t>
      </w:r>
      <w:hyperlink w:anchor="ref-1">
        <w:r>
          <w:rPr>
            <w:rStyle w:val="Hyperlink"/>
          </w:rPr>
          <w:t xml:space="preserve">[1]</w:t>
        </w:r>
      </w:hyperlink>
      <w:r>
        <w:t xml:space="preserve"> </w:t>
      </w:r>
      <w:hyperlink w:anchor="ref-3">
        <w:r>
          <w:rPr>
            <w:rStyle w:val="Hyperlink"/>
          </w:rPr>
          <w:t xml:space="preserve">[3]</w:t>
        </w:r>
      </w:hyperlink>
      <w:r>
        <w:t xml:space="preserve">.</w:t>
      </w:r>
    </w:p>
    <w:bookmarkEnd w:id="111"/>
    <w:bookmarkStart w:id="112" w:name="X867d32f50edad61433e46d902c09434addd1398"/>
    <w:p>
      <w:pPr>
        <w:pStyle w:val="Heading2"/>
        <w:spacing w:line="480" w:lineRule="auto"/>
      </w:pPr>
      <w:r>
        <w:t xml:space="preserve">Constructing the outcome: the topic-signal score</w:t>
      </w:r>
    </w:p>
    <w:p>
      <w:pPr>
        <w:pStyle w:val="FirstParagraph"/>
        <w:spacing w:line="480" w:lineRule="auto"/>
      </w:pPr>
      <w:r>
        <w:t xml:space="preserve">Consider the outcome. It is a composite topic-signal score built deterministically from each record’s metadata. The construction counts candidate-theme term hits across four fields: the source title, the retrieved snippet, the keyword field, and the author metadata. The workbook records the intermediate quantities that feed the score, including the title word count, the snippet word count, the keyword count, and the raw theme-hit count, so the composite is not an opaque index but a transparent aggregation whose parts are visible.</w:t>
      </w:r>
    </w:p>
    <w:p>
      <w:pPr>
        <w:pStyle w:val="BodyText"/>
        <w:spacing w:line="480" w:lineRule="auto"/>
        <w:ind w:firstLine="720"/>
      </w:pPr>
      <w:r>
        <w:t xml:space="preserve">Determinism is the essential property. The same record always yields the same score, because the construction is a fixed function of fields that do not change between runs. No stochastic preprocessing, no manual coding judgment, and no model-based scoring intervene between the raw metadata and the outcome. This choice trades richness for reproducibility. A human coder reading each document for its true depth of engagement with trust calibration would produce a more nuanced outcome, and Chapter 8 recommends exactly that study, but such coding would not be reproducible by inspection. The deterministic score is the honest instrument for a design whose whole claim is auditability</w:t>
      </w:r>
      <w:r>
        <w:t xml:space="preserve"> </w:t>
      </w:r>
      <w:hyperlink w:anchor="ref-4">
        <w:r>
          <w:rPr>
            <w:rStyle w:val="Hyperlink"/>
          </w:rPr>
          <w:t xml:space="preserve">[4]</w:t>
        </w:r>
      </w:hyperlink>
      <w:r>
        <w:t xml:space="preserve">.</w:t>
      </w:r>
    </w:p>
    <w:p>
      <w:pPr>
        <w:pStyle w:val="BodyText"/>
        <w:spacing w:line="480" w:lineRule="auto"/>
        <w:ind w:firstLine="720"/>
      </w:pPr>
      <w:r>
        <w:t xml:space="preserve">The score’s distribution is worth previewing. Across the thirty records it ranges from a low of one, for records that touch the theme only glancingly, to a high of eleven for the most theme-dense record, a journal article squarely about the trust-and-automation problem</w:t>
      </w:r>
      <w:r>
        <w:t xml:space="preserve"> </w:t>
      </w:r>
      <w:hyperlink w:anchor="ref-13">
        <w:r>
          <w:rPr>
            <w:rStyle w:val="Hyperlink"/>
          </w:rPr>
          <w:t xml:space="preserve">[13]</w:t>
        </w:r>
      </w:hyperlink>
      <w:r>
        <w:t xml:space="preserve">. Most records fall between one and eight. Several policy-economy records sit at the floor because their snippet and keyword fields were sparse or empty in the retrieval, which depresses their hit count regardless of the document’s substantive relevance. That artifact matters for interpretation and is flagged again in the discussion.</w:t>
      </w:r>
    </w:p>
    <w:bookmarkEnd w:id="112"/>
    <w:bookmarkStart w:id="113" w:name="constructing-the-predictors"/>
    <w:p>
      <w:pPr>
        <w:pStyle w:val="Heading2"/>
        <w:spacing w:line="480" w:lineRule="auto"/>
      </w:pPr>
      <w:r>
        <w:t xml:space="preserve">Constructing the predictors</w:t>
      </w:r>
    </w:p>
    <w:p>
      <w:pPr>
        <w:pStyle w:val="FirstParagraph"/>
        <w:spacing w:line="480" w:lineRule="auto"/>
      </w:pPr>
      <w:r>
        <w:t xml:space="preserve">Recency comes first among the predictors. Its index converts publication year into a positive integer by subtracting the minimum year in the sample and adding one. On this scale the oldest record, from 2010, receives a recency index of one, and the newest, from 2026, receives seventeen. The transformation preserves the ordering and the spacing of the raw years while producing a clean positive predictor for the linear model. It carries no information beyond the year, and it should be read as a proxy for how far into the field’s recent history a record sits.</w:t>
      </w:r>
    </w:p>
    <w:p>
      <w:pPr>
        <w:pStyle w:val="BodyText"/>
        <w:spacing w:line="480" w:lineRule="auto"/>
        <w:ind w:firstLine="720"/>
      </w:pPr>
      <w:r>
        <w:t xml:space="preserve">The citation count is parsed from the citation field of the local brain index. Where the index reported a count, that number is used; where it reported nothing, the count is set to zero. This rule produces a citation field that is populated for the journal-family records, which carry counts ranging from zero to fifty-one, and that reads zero for every conference and policy record, because the local index carried no citation figure for those venues</w:t>
      </w:r>
      <w:r>
        <w:t xml:space="preserve"> </w:t>
      </w:r>
      <w:hyperlink w:anchor="ref-6">
        <w:r>
          <w:rPr>
            <w:rStyle w:val="Hyperlink"/>
          </w:rPr>
          <w:t xml:space="preserve">[6]</w:t>
        </w:r>
      </w:hyperlink>
      <w:r>
        <w:t xml:space="preserve">. The zeros are therefore a property of the index, not a claim that the underlying work is uncited. This is the single most important measurement caveat in the dissertation, and it shapes how the citation coefficient and the learning-curve elasticity must be read.</w:t>
      </w:r>
    </w:p>
    <w:p>
      <w:pPr>
        <w:pStyle w:val="BodyText"/>
        <w:spacing w:line="480" w:lineRule="auto"/>
        <w:ind w:firstLine="720"/>
      </w:pPr>
      <w:r>
        <w:t xml:space="preserve">The venue-family score is an ordinal. Conference proceedings in the space situational awareness community are coded one, archival journal articles are coded two, and space-economy and policy records are coded three. The ordering reflects a rough movement from operational immediacy toward governance framing, consistent with the migration mechanism of Chapter 3</w:t>
      </w:r>
      <w:r>
        <w:t xml:space="preserve"> </w:t>
      </w:r>
      <w:hyperlink w:anchor="ref-16">
        <w:r>
          <w:rPr>
            <w:rStyle w:val="Hyperlink"/>
          </w:rPr>
          <w:t xml:space="preserve">[16]</w:t>
        </w:r>
      </w:hyperlink>
      <w:r>
        <w:t xml:space="preserve">. The ordinal must not be treated as an interval scale; the distance between proceedings and journal is not asserted to equal the distance between journal and policy-economy. The venue coefficient in the linear model reads the association per ordinal step, and that is the correct and limited interpretation.</w:t>
      </w:r>
    </w:p>
    <w:bookmarkEnd w:id="113"/>
    <w:bookmarkStart w:id="114" w:name="variables-for-the-learning-curve-model"/>
    <w:p>
      <w:pPr>
        <w:pStyle w:val="Heading2"/>
        <w:spacing w:line="480" w:lineRule="auto"/>
      </w:pPr>
      <w:r>
        <w:t xml:space="preserve">Variables for the learning-curve model</w:t>
      </w:r>
    </w:p>
    <w:p>
      <w:pPr>
        <w:pStyle w:val="FirstParagraph"/>
        <w:spacing w:line="480" w:lineRule="auto"/>
      </w:pPr>
      <w:r>
        <w:t xml:space="preserve">The companion model uses two derived variables. Citations-plus-one is the citation count with one added, so that the logarithm is defined for the many records reporting zero citations</w:t>
      </w:r>
      <w:r>
        <w:t xml:space="preserve"> </w:t>
      </w:r>
      <w:hyperlink w:anchor="ref-6">
        <w:r>
          <w:rPr>
            <w:rStyle w:val="Hyperlink"/>
          </w:rPr>
          <w:t xml:space="preserve">[6]</w:t>
        </w:r>
      </w:hyperlink>
      <w:r>
        <w:t xml:space="preserve">. The age index is 2026 minus the publication year plus one, so that the newest record receives an age of one and the oldest, from 2010, receives an age of seventeen. Both transformations are deterministic and both preserve the ordering of the underlying quantities. The plus-one and the plus-one-in-age are not arbitrary; each keeps a well-defined logarithm across the full sample and thereby keeps every record in the estimation rather than discarding the uncited majority that dropping zeros would remove.</w:t>
      </w:r>
    </w:p>
    <w:bookmarkEnd w:id="114"/>
    <w:bookmarkStart w:id="115" w:name="Xbe22e338b3822d2ac5d3f44da6fdb46a5567af2"/>
    <w:p>
      <w:pPr>
        <w:pStyle w:val="Heading2"/>
        <w:spacing w:line="480" w:lineRule="auto"/>
      </w:pPr>
      <w:r>
        <w:t xml:space="preserve">Distributions and structure before modeling</w:t>
      </w:r>
    </w:p>
    <w:p>
      <w:pPr>
        <w:pStyle w:val="FirstParagraph"/>
        <w:spacing w:line="480" w:lineRule="auto"/>
      </w:pPr>
      <w:r>
        <w:t xml:space="preserve">Two structural facts about the file deserve emphasis because they govern the results. First, citation attention is concentrated. The journal records hold all of it, and within that family it is skewed, with one record at fifty-one citations dominating a field where most values are in the single digits</w:t>
      </w:r>
      <w:r>
        <w:t xml:space="preserve"> </w:t>
      </w:r>
      <w:hyperlink w:anchor="ref-15">
        <w:r>
          <w:rPr>
            <w:rStyle w:val="Hyperlink"/>
          </w:rPr>
          <w:t xml:space="preserve">[15]</w:t>
        </w:r>
      </w:hyperlink>
      <w:r>
        <w:t xml:space="preserve">. A skewed, concentrated predictor with many structural zeros is exactly the setting where a log transformation and robust standard errors earn their place. Second, venue family and citation attention are entangled by construction, because only the journal family carries counts. Any model that includes both predictors is reading correlated columns, and the resulting coefficients will show wider intervals on the entangled terms, a pattern the next chapter documents rather than hides.</w:t>
      </w:r>
    </w:p>
    <w:p>
      <w:pPr>
        <w:pStyle w:val="BodyText"/>
        <w:spacing w:line="480" w:lineRule="auto"/>
        <w:ind w:firstLine="720"/>
      </w:pPr>
      <w:r>
        <w:t xml:space="preserve">The dataset is small, deterministic, and fully sourced. It cannot support broad claims about the field, and it is not built to. It is built so that every number downstream can be checked against the record that produced it, and that is the standard the measurement chapter holds itself to</w:t>
      </w:r>
      <w:r>
        <w:t xml:space="preserve"> </w:t>
      </w:r>
      <w:hyperlink w:anchor="ref-3">
        <w:r>
          <w:rPr>
            <w:rStyle w:val="Hyperlink"/>
          </w:rPr>
          <w:t xml:space="preserve">[3]</w:t>
        </w:r>
      </w:hyperlink>
      <w:r>
        <w:t xml:space="preserve"> </w:t>
      </w:r>
      <w:hyperlink w:anchor="ref-7">
        <w:r>
          <w:rPr>
            <w:rStyle w:val="Hyperlink"/>
          </w:rPr>
          <w:t xml:space="preserve">[7]</w:t>
        </w:r>
      </w:hyperlink>
      <w:r>
        <w:t xml:space="preserve">.</w:t>
      </w:r>
    </w:p>
    <w:bookmarkEnd w:id="115"/>
    <w:bookmarkStart w:id="116" w:name="a-closer-look-at-representative-records"/>
    <w:p>
      <w:pPr>
        <w:pStyle w:val="Heading2"/>
        <w:spacing w:line="480" w:lineRule="auto"/>
      </w:pPr>
      <w:r>
        <w:t xml:space="preserve">A closer look at representative records</w:t>
      </w:r>
    </w:p>
    <w:p>
      <w:pPr>
        <w:pStyle w:val="FirstParagraph"/>
        <w:spacing w:line="480" w:lineRule="auto"/>
      </w:pPr>
      <w:r>
        <w:t xml:space="preserve">Naming specific records makes the abstract construction concrete and lets a reader audit the coding directly. The most theme-dense record in the corpus, scoring eleven, is a 2025 journal article on cislunar and moon-to-mars traffic management, which engages the trust-and-automation theme densely across its title and keyword fields while also carrying a moderate citation count</w:t>
      </w:r>
      <w:r>
        <w:t xml:space="preserve"> </w:t>
      </w:r>
      <w:hyperlink w:anchor="ref-13">
        <w:r>
          <w:rPr>
            <w:rStyle w:val="Hyperlink"/>
          </w:rPr>
          <w:t xml:space="preserve">[13]</w:t>
        </w:r>
      </w:hyperlink>
      <w:r>
        <w:t xml:space="preserve">. At the other extreme sit several policy-economy records scoring one, including a 2020 working-paper record whose long descriptive title carries the substance but whose snippet and keyword fields were empty in the retrieval, so the term-hit instrument registers almost nothing despite the document’s real governance stake</w:t>
      </w:r>
      <w:r>
        <w:t xml:space="preserve"> </w:t>
      </w:r>
      <w:hyperlink w:anchor="ref-5">
        <w:r>
          <w:rPr>
            <w:rStyle w:val="Hyperlink"/>
          </w:rPr>
          <w:t xml:space="preserve">[5]</w:t>
        </w:r>
      </w:hyperlink>
      <w:r>
        <w:t xml:space="preserve">. Between these poles, a 2021 proceedings record on decentralized information sharing scores eight, engaging the theme directly in the operational vocabulary that proceedings favor. These three records span the outcome’s range and illustrate why venue family and signal score move together in the corpus: the densest term hits concentrate where practitioners write plainly, and the sparest concentrate where governance prose embeds the theme obliquely or where retrieval left fields empty.</w:t>
      </w:r>
    </w:p>
    <w:p>
      <w:pPr>
        <w:pStyle w:val="BodyText"/>
        <w:spacing w:line="480" w:lineRule="auto"/>
        <w:ind w:firstLine="720"/>
      </w:pPr>
      <w:r>
        <w:t xml:space="preserve">The citation field tells a similar story of concentration. The record carrying fifty-one citations is a 2018 journal assessment of collision likelihood in geosynchronous orbit, a foundational statistical contribution old enough to have accumulated attention and central enough to draw it</w:t>
      </w:r>
      <w:r>
        <w:t xml:space="preserve"> </w:t>
      </w:r>
      <w:hyperlink w:anchor="ref-15">
        <w:r>
          <w:rPr>
            <w:rStyle w:val="Hyperlink"/>
          </w:rPr>
          <w:t xml:space="preserve">[15]</w:t>
        </w:r>
      </w:hyperlink>
      <w:r>
        <w:t xml:space="preserve">. No conference or policy record carries any citation count, not because those works are uncited in the wider world but because the local index that supplied the counts had no figure for those venues</w:t>
      </w:r>
      <w:r>
        <w:t xml:space="preserve"> </w:t>
      </w:r>
      <w:hyperlink w:anchor="ref-6">
        <w:r>
          <w:rPr>
            <w:rStyle w:val="Hyperlink"/>
          </w:rPr>
          <w:t xml:space="preserve">[6]</w:t>
        </w:r>
      </w:hyperlink>
      <w:r>
        <w:t xml:space="preserve">. A reader auditing the file will see a citation column that is dense in the journal block and uniformly zero elsewhere, and that visible pattern is the honest face of the entanglement the methodology chapter warned about.</w:t>
      </w:r>
    </w:p>
    <w:p>
      <w:pPr>
        <w:pStyle w:val="BodyText"/>
        <w:spacing w:line="480" w:lineRule="auto"/>
        <w:ind w:firstLine="720"/>
      </w:pPr>
      <w:r>
        <w:t xml:space="preserve">Provenance is not a slogan here. It changes what the analyst may do.</w:t>
      </w:r>
    </w:p>
    <w:bookmarkEnd w:id="116"/>
    <w:bookmarkStart w:id="117" w:name="provenance-discipline-in-practice"/>
    <w:p>
      <w:pPr>
        <w:pStyle w:val="Heading2"/>
        <w:spacing w:line="480" w:lineRule="auto"/>
      </w:pPr>
      <w:r>
        <w:t xml:space="preserve">Provenance discipline in practice</w:t>
      </w:r>
    </w:p>
    <w:p>
      <w:pPr>
        <w:pStyle w:val="FirstParagraph"/>
        <w:spacing w:line="480" w:lineRule="auto"/>
      </w:pPr>
      <w:r>
        <w:t xml:space="preserve">The provenance commitment is not a slogan; it changes what the analyst is permitted to do. Because every row carries its source, the analyst cannot quietly drop an inconvenient record, cannot recode a variable by judgment, and cannot smooth an outlier without leaving a visible trace</w:t>
      </w:r>
      <w:r>
        <w:t xml:space="preserve"> </w:t>
      </w:r>
      <w:hyperlink w:anchor="ref-3">
        <w:r>
          <w:rPr>
            <w:rStyle w:val="Hyperlink"/>
          </w:rPr>
          <w:t xml:space="preserve">[3]</w:t>
        </w:r>
      </w:hyperlink>
      <w:r>
        <w:t xml:space="preserve">. The fifty-one-citation record stays in the file even though it strains the learning-curve model, because removing it would be a discretionary act invisible to a later reader</w:t>
      </w:r>
      <w:r>
        <w:t xml:space="preserve"> </w:t>
      </w:r>
      <w:hyperlink w:anchor="ref-15">
        <w:r>
          <w:rPr>
            <w:rStyle w:val="Hyperlink"/>
          </w:rPr>
          <w:t xml:space="preserve">[15]</w:t>
        </w:r>
      </w:hyperlink>
      <w:r>
        <w:t xml:space="preserve">. The empty-field policy records stay in at a signal score of one, because imputing a higher score from the title would substitute the analyst’s judgment for the deterministic rule</w:t>
      </w:r>
      <w:r>
        <w:t xml:space="preserve"> </w:t>
      </w:r>
      <w:hyperlink w:anchor="ref-5">
        <w:r>
          <w:rPr>
            <w:rStyle w:val="Hyperlink"/>
          </w:rPr>
          <w:t xml:space="preserve">[5]</w:t>
        </w:r>
      </w:hyperlink>
      <w:r>
        <w:t xml:space="preserve">. This discipline costs the analysis some power and some tidiness. It buys something more valuable for a design-stage project: a file whose every value a skeptic can reconstruct from the stated rules and the sourced records, with no hidden step where the result could have been shaped. Measurement built this way is slower and blunter than measurement built for maximum signal, and that trade is made deliberately, because the dissertation’s central claim is auditability and the data chapter is where auditability is either earned or lost</w:t>
      </w:r>
      <w:r>
        <w:t xml:space="preserve"> </w:t>
      </w:r>
      <w:hyperlink w:anchor="ref-7">
        <w:r>
          <w:rPr>
            <w:rStyle w:val="Hyperlink"/>
          </w:rPr>
          <w:t xml:space="preserve">[7]</w:t>
        </w:r>
      </w:hyperlink>
      <w:r>
        <w:t xml:space="preserve">.</w:t>
      </w:r>
    </w:p>
    <w:bookmarkEnd w:id="117"/>
    <w:bookmarkStart w:id="118" w:name="temporal-and-venue-coverage"/>
    <w:p>
      <w:pPr>
        <w:pStyle w:val="Heading2"/>
        <w:spacing w:line="480" w:lineRule="auto"/>
      </w:pPr>
      <w:r>
        <w:t xml:space="preserve">Temporal and venue coverage</w:t>
      </w:r>
    </w:p>
    <w:p>
      <w:pPr>
        <w:pStyle w:val="FirstParagraph"/>
        <w:spacing w:line="480" w:lineRule="auto"/>
      </w:pPr>
      <w:r>
        <w:t xml:space="preserve">The corpus spans sixteen years, from a 2010 proceedings record on advances in satellite conjunction analysis to a 2026 journal article on sun sensor calibration, which gives the recency predictor a genuine range to work with rather than a cluster that could not test a time gradient</w:t>
      </w:r>
      <w:r>
        <w:t xml:space="preserve"> </w:t>
      </w:r>
      <w:hyperlink w:anchor="ref-11">
        <w:r>
          <w:rPr>
            <w:rStyle w:val="Hyperlink"/>
          </w:rPr>
          <w:t xml:space="preserve">[11]</w:t>
        </w:r>
      </w:hyperlink>
      <w:r>
        <w:t xml:space="preserve">. The distribution across that span is uneven and informative. The journal-family records concentrate in the recent years, with a dense block from 2018 through 2026 reflecting the surge of archival attention to collision avoidance and traffic management</w:t>
      </w:r>
      <w:r>
        <w:t xml:space="preserve"> </w:t>
      </w:r>
      <w:hyperlink w:anchor="ref-12">
        <w:r>
          <w:rPr>
            <w:rStyle w:val="Hyperlink"/>
          </w:rPr>
          <w:t xml:space="preserve">[12]</w:t>
        </w:r>
      </w:hyperlink>
      <w:r>
        <w:t xml:space="preserve"> </w:t>
      </w:r>
      <w:hyperlink w:anchor="ref-14">
        <w:r>
          <w:rPr>
            <w:rStyle w:val="Hyperlink"/>
          </w:rPr>
          <w:t xml:space="preserve">[14]</w:t>
        </w:r>
      </w:hyperlink>
      <w:r>
        <w:t xml:space="preserve"> </w:t>
      </w:r>
      <w:hyperlink w:anchor="ref-16">
        <w:r>
          <w:rPr>
            <w:rStyle w:val="Hyperlink"/>
          </w:rPr>
          <w:t xml:space="preserve">[16]</w:t>
        </w:r>
      </w:hyperlink>
      <w:r>
        <w:t xml:space="preserve">. The proceedings records spread more evenly back through the 2010s, and the policy-economy records cluster around 2020, when governance framing of the trust problem gathered pace</w:t>
      </w:r>
      <w:r>
        <w:t xml:space="preserve"> </w:t>
      </w:r>
      <w:hyperlink w:anchor="ref-5">
        <w:r>
          <w:rPr>
            <w:rStyle w:val="Hyperlink"/>
          </w:rPr>
          <w:t xml:space="preserve">[5]</w:t>
        </w:r>
      </w:hyperlink>
      <w:r>
        <w:t xml:space="preserve">. This uneven coverage means recency and venue are mildly correlated in the file, a fact the multiple regression handles by conditioning but which a reader should hold in view when interpreting either coefficient.</w:t>
      </w:r>
    </w:p>
    <w:p>
      <w:pPr>
        <w:pStyle w:val="BodyText"/>
        <w:spacing w:line="480" w:lineRule="auto"/>
        <w:ind w:firstLine="720"/>
      </w:pPr>
      <w:r>
        <w:t xml:space="preserve">Venue coverage is deliberately three-way and coarse. Ten records fall in the conference-proceedings family, a larger block in the journal family, and a handful in the policy-economy family. The coarseness is a choice, not an oversight. Finer venue distinctions would fragment thirty records into cells too small to estimate, and the ordinal’s three levels are the most granularity the sample can bear while still leaving degrees of freedom for the other predictors</w:t>
      </w:r>
      <w:r>
        <w:t xml:space="preserve"> </w:t>
      </w:r>
      <w:hyperlink w:anchor="ref-16">
        <w:r>
          <w:rPr>
            <w:rStyle w:val="Hyperlink"/>
          </w:rPr>
          <w:t xml:space="preserve">[16]</w:t>
        </w:r>
      </w:hyperlink>
      <w:r>
        <w:t xml:space="preserve">. The cost is that within-family heterogeneity is invisible to the model; a rigorous journal and a marginal one receive the same venue code. The design accepts this flattening because the alternative, a venue variable with more levels than the sample can support, would trade a real limitation for a worse one.</w:t>
      </w:r>
    </w:p>
    <w:bookmarkEnd w:id="118"/>
    <w:bookmarkStart w:id="119" w:name="the-provenance-of-the-citation-figures"/>
    <w:p>
      <w:pPr>
        <w:pStyle w:val="Heading2"/>
        <w:spacing w:line="480" w:lineRule="auto"/>
      </w:pPr>
      <w:r>
        <w:t xml:space="preserve">The provenance of the citation figures</w:t>
      </w:r>
    </w:p>
    <w:p>
      <w:pPr>
        <w:pStyle w:val="FirstParagraph"/>
        <w:spacing w:line="480" w:lineRule="auto"/>
      </w:pPr>
      <w:r>
        <w:t xml:space="preserve">Because the citation field carries so much interpretive weight, its provenance deserves a final, explicit accounting. Every citation count in the file comes from a single local index, parsed from that index’s citation field at retrieval time</w:t>
      </w:r>
      <w:r>
        <w:t xml:space="preserve"> </w:t>
      </w:r>
      <w:hyperlink w:anchor="ref-6">
        <w:r>
          <w:rPr>
            <w:rStyle w:val="Hyperlink"/>
          </w:rPr>
          <w:t xml:space="preserve">[6]</w:t>
        </w:r>
      </w:hyperlink>
      <w:r>
        <w:t xml:space="preserve">. The index populates counts for records it recognizes, which in practice means the journal-family records with clean digital object identifiers, and it returns nothing for proceedings and policy records whose identifiers it does not resolve. The workbook records a zero in those cases, and the zero is a coded absence, not an observed value. This provenance means the citation variable measures indexed attention within one system rather than universal citation attention, and it means the many zeros are a property of the index’s coverage rather than of the works themselves</w:t>
      </w:r>
      <w:r>
        <w:t xml:space="preserve"> </w:t>
      </w:r>
      <w:hyperlink w:anchor="ref-7">
        <w:r>
          <w:rPr>
            <w:rStyle w:val="Hyperlink"/>
          </w:rPr>
          <w:t xml:space="preserve">[7]</w:t>
        </w:r>
      </w:hyperlink>
      <w:r>
        <w:t xml:space="preserve">. A reader who forgets this will misread every citation-based result in the dissertation, which is why the caveat appears in the data chapter, again in the methodology chapter, and once more in the discussion. The figure is used because it is what the deterministic retrieval produced, and it is fenced because it is what the deterministic retrieval could not do better. That combination, using the honest number and fencing it explicitly, is the measurement posture the whole dissertation adopts</w:t>
      </w:r>
      <w:r>
        <w:t xml:space="preserve"> </w:t>
      </w:r>
      <w:hyperlink w:anchor="ref-3">
        <w:r>
          <w:rPr>
            <w:rStyle w:val="Hyperlink"/>
          </w:rPr>
          <w:t xml:space="preserve">[3]</w:t>
        </w:r>
      </w:hyperlink>
      <w:r>
        <w:t xml:space="preserve">.</w:t>
      </w:r>
    </w:p>
    <w:bookmarkEnd w:id="119"/>
    <w:bookmarkStart w:id="120" w:name="the-signal-score-decomposed"/>
    <w:p>
      <w:pPr>
        <w:pStyle w:val="Heading2"/>
        <w:spacing w:line="480" w:lineRule="auto"/>
      </w:pPr>
      <w:r>
        <w:t xml:space="preserve">The signal score decomposed</w:t>
      </w:r>
    </w:p>
    <w:p>
      <w:pPr>
        <w:pStyle w:val="FirstParagraph"/>
        <w:spacing w:line="480" w:lineRule="auto"/>
      </w:pPr>
      <w:r>
        <w:t xml:space="preserve">Because the topic-signal score is the outcome of both the primary model and every substantive claim built on it, its internal composition deserves one more pass. The score aggregates theme-hit counts from four fields, and the fields differ in how reliably they are populated across the corpus. Titles are present for every record and carry theme terms densely when a source is squarely on topic</w:t>
      </w:r>
      <w:r>
        <w:t xml:space="preserve"> </w:t>
      </w:r>
      <w:hyperlink w:anchor="ref-13">
        <w:r>
          <w:rPr>
            <w:rStyle w:val="Hyperlink"/>
          </w:rPr>
          <w:t xml:space="preserve">[13]</w:t>
        </w:r>
      </w:hyperlink>
      <w:r>
        <w:t xml:space="preserve">. Snippets are present for most records but empty for several policy items, which is where the sparsity artifact enters</w:t>
      </w:r>
      <w:r>
        <w:t xml:space="preserve"> </w:t>
      </w:r>
      <w:hyperlink w:anchor="ref-5">
        <w:r>
          <w:rPr>
            <w:rStyle w:val="Hyperlink"/>
          </w:rPr>
          <w:t xml:space="preserve">[5]</w:t>
        </w:r>
      </w:hyperlink>
      <w:r>
        <w:t xml:space="preserve">. Keyword counts vary widely, from two for a terse proceedings record to fifteen for a keyword-rich journal article, and they reward records whose indexing was thorough regardless of substance. Author metadata contributes least and most unevenly. The composite is therefore not a uniform instrument; it is a weighted-by-availability aggregation whose reliability is highest for well-indexed journal records and lowest for sparsely indexed policy records</w:t>
      </w:r>
      <w:r>
        <w:t xml:space="preserve"> </w:t>
      </w:r>
      <w:hyperlink w:anchor="ref-6">
        <w:r>
          <w:rPr>
            <w:rStyle w:val="Hyperlink"/>
          </w:rPr>
          <w:t xml:space="preserve">[6]</w:t>
        </w:r>
      </w:hyperlink>
      <w:r>
        <w:t xml:space="preserve">. This unevenness is the mechanical root of the venue gradient the results chapter reports, and naming it here lets the discussion chapter separate the real thematic signal from the indexing artifact without surprise.</w:t>
      </w:r>
    </w:p>
    <w:bookmarkEnd w:id="120"/>
    <w:bookmarkStart w:id="121" w:name="what-a-richer-dataset-would-add"/>
    <w:p>
      <w:pPr>
        <w:pStyle w:val="Heading2"/>
        <w:spacing w:line="480" w:lineRule="auto"/>
      </w:pPr>
      <w:r>
        <w:t xml:space="preserve">What a richer dataset would add</w:t>
      </w:r>
    </w:p>
    <w:p>
      <w:pPr>
        <w:pStyle w:val="FirstParagraph"/>
        <w:spacing w:line="480" w:lineRule="auto"/>
      </w:pPr>
      <w:r>
        <w:t xml:space="preserve">Stating what the present file lacks sharpens what it is. A richer dataset would add three things the deterministic retrieval could not supply. It would add human coding of thematic engagement, so that a governance record’s true stake in the trust problem could be scored independently of how many theme terms its metadata happened to carry</w:t>
      </w:r>
      <w:r>
        <w:t xml:space="preserve"> </w:t>
      </w:r>
      <w:hyperlink w:anchor="ref-5">
        <w:r>
          <w:rPr>
            <w:rStyle w:val="Hyperlink"/>
          </w:rPr>
          <w:t xml:space="preserve">[5]</w:t>
        </w:r>
      </w:hyperlink>
      <w:r>
        <w:t xml:space="preserve">. It would add uniform citation coverage across venue families, harvested from a source that indexes proceedings as well as journals, so that the citation and venue channels could be disentangled</w:t>
      </w:r>
      <w:r>
        <w:t xml:space="preserve"> </w:t>
      </w:r>
      <w:hyperlink w:anchor="ref-7">
        <w:r>
          <w:rPr>
            <w:rStyle w:val="Hyperlink"/>
          </w:rPr>
          <w:t xml:space="preserve">[7]</w:t>
        </w:r>
      </w:hyperlink>
      <w:r>
        <w:t xml:space="preserve">. And it would add enough records to test interactions and non-linearities that thirty observations cannot support</w:t>
      </w:r>
      <w:r>
        <w:t xml:space="preserve"> </w:t>
      </w:r>
      <w:hyperlink w:anchor="ref-1">
        <w:r>
          <w:rPr>
            <w:rStyle w:val="Hyperlink"/>
          </w:rPr>
          <w:t xml:space="preserve">[1]</w:t>
        </w:r>
      </w:hyperlink>
      <w:r>
        <w:t xml:space="preserve">. The present file has none of these, and the data chapter neither hides that nor apologizes for it. The file is what a deterministic, fully sourced retrieval produces, and its limitations are the price of the auditability that is the dissertation’s central claim. A study that wanted the richer file would trade auditability for reach, and Chapter 8 argues that trade is worth making next, after the auditable version has fixed the falsifiable proposition in place</w:t>
      </w:r>
      <w:r>
        <w:t xml:space="preserve"> </w:t>
      </w:r>
      <w:hyperlink w:anchor="ref-3">
        <w:r>
          <w:rPr>
            <w:rStyle w:val="Hyperlink"/>
          </w:rPr>
          <w:t xml:space="preserve">[3]</w:t>
        </w:r>
      </w:hyperlink>
      <w:r>
        <w:t xml:space="preserve">.</w:t>
      </w:r>
    </w:p>
    <w:bookmarkEnd w:id="121"/>
    <w:bookmarkStart w:id="122" w:name="the-dataset-as-an-evidentiary-contract"/>
    <w:p>
      <w:pPr>
        <w:pStyle w:val="Heading2"/>
        <w:spacing w:line="480" w:lineRule="auto"/>
      </w:pPr>
      <w:r>
        <w:t xml:space="preserve">The dataset as an evidentiary contract</w:t>
      </w:r>
    </w:p>
    <w:p>
      <w:pPr>
        <w:pStyle w:val="FirstParagraph"/>
        <w:spacing w:line="480" w:lineRule="auto"/>
      </w:pPr>
      <w:r>
        <w:t xml:space="preserve">The file described in this chapter functions as a contract between the analyst and the reader, and stating the contract makes its terms enforceable. The analyst promises that every value in the file derives from a stated rule applied to a sourced record, with no undocumented judgment intervening</w:t>
      </w:r>
      <w:r>
        <w:t xml:space="preserve"> </w:t>
      </w:r>
      <w:hyperlink w:anchor="ref-3">
        <w:r>
          <w:rPr>
            <w:rStyle w:val="Hyperlink"/>
          </w:rPr>
          <w:t xml:space="preserve">[3]</w:t>
        </w:r>
      </w:hyperlink>
      <w:r>
        <w:t xml:space="preserve">. The reader, in exchange, is entitled to check any value against its rule and its source and to reject any downstream claim that exceeds what the file supports</w:t>
      </w:r>
      <w:r>
        <w:t xml:space="preserve"> </w:t>
      </w:r>
      <w:hyperlink w:anchor="ref-7">
        <w:r>
          <w:rPr>
            <w:rStyle w:val="Hyperlink"/>
          </w:rPr>
          <w:t xml:space="preserve">[7]</w:t>
        </w:r>
      </w:hyperlink>
      <w:r>
        <w:t xml:space="preserve">. This contract is what turns a small, imperfect dataset into a usable evidentiary base. The imperfections, the sparse policy fields, the index-dependent citations, the coarse venue ordinal, are all disclosed in the file itself, so the reader who accepts the contract accepts the imperfections with eyes open rather than being surprised by them later</w:t>
      </w:r>
      <w:r>
        <w:t xml:space="preserve"> </w:t>
      </w:r>
      <w:hyperlink w:anchor="ref-5">
        <w:r>
          <w:rPr>
            <w:rStyle w:val="Hyperlink"/>
          </w:rPr>
          <w:t xml:space="preserve">[5]</w:t>
        </w:r>
      </w:hyperlink>
      <w:r>
        <w:t xml:space="preserve"> </w:t>
      </w:r>
      <w:hyperlink w:anchor="ref-6">
        <w:r>
          <w:rPr>
            <w:rStyle w:val="Hyperlink"/>
          </w:rPr>
          <w:t xml:space="preserve">[6]</w:t>
        </w:r>
      </w:hyperlink>
      <w:r>
        <w:t xml:space="preserve">. A larger, richer dataset assembled without this contract would offer more signal and less trust; this one offers less signal and more trust, and for a design-stage dissertation whose central claim is auditability, that is the right side of the trade to be on. The measurement chapter closes having delivered exactly what the contract promised: a file a skeptic can walk end to end, and a full disclosure of everywhere the file falls short of what a mature study would want</w:t>
      </w:r>
      <w:r>
        <w:t xml:space="preserve"> </w:t>
      </w:r>
      <w:hyperlink w:anchor="ref-1">
        <w:r>
          <w:rPr>
            <w:rStyle w:val="Hyperlink"/>
          </w:rPr>
          <w:t xml:space="preserve">[1]</w:t>
        </w:r>
      </w:hyperlink>
      <w:r>
        <w:t xml:space="preserve">.</w:t>
      </w:r>
    </w:p>
    <w:bookmarkEnd w:id="122"/>
    <w:bookmarkEnd w:id="123"/>
    <w:bookmarkStart w:id="137" w:name="results"/>
    <w:p>
      <w:pPr>
        <w:pStyle w:val="Heading1"/>
        <w:spacing w:line="480" w:lineRule="auto"/>
      </w:pPr>
      <w:r>
        <w:t xml:space="preserve">Results</w:t>
      </w:r>
    </w:p>
    <w:p>
      <w:pPr>
        <w:pStyle w:val="FirstParagraph"/>
        <w:spacing w:line="480" w:lineRule="auto"/>
      </w:pPr>
      <w:r>
        <w:t xml:space="preserve">This chapter reports the estimator output exactly as the workbooks produced it and interprets the signs and magnitudes without inflating them. Two models are reported: the ordinary least squares regression of topic signal on recency, citation attention, and venue family, and the log-log learning-curve regression of citation accumulation on document age. Both are estimated on the same thirty source records with heteroskedasticity-consistent HC1 standard errors. No number in this chapter is rounded away from the value the workbook returned, because the auditability claim of the dissertation depends on the reported figures matching the file.</w:t>
      </w:r>
    </w:p>
    <w:bookmarkStart w:id="124" w:name="the-signal-model"/>
    <w:p>
      <w:pPr>
        <w:pStyle w:val="Heading2"/>
        <w:spacing w:line="480" w:lineRule="auto"/>
      </w:pPr>
      <w:r>
        <w:t xml:space="preserve">The signal model</w:t>
      </w:r>
    </w:p>
    <w:p>
      <w:pPr>
        <w:pStyle w:val="FirstParagraph"/>
        <w:spacing w:line="480" w:lineRule="auto"/>
      </w:pPr>
      <w:r>
        <w:t xml:space="preserve">Thirty records went into the model. The ordinary least squares estimation used all of them, so N=30. The overall fit summary is R2=0.32509354865617957, with adjusted R2_adj=0.24721972734727715, an F statistic of F=8.051385079367526, and a joint significance level of F_p=0.0005881722678403994. The model therefore explains roughly a third of the variance in topic signal across the corpus, and the joint test against the null of no relationship is decisively rejected at any conventional level, since the F p-value is below one in a thousand.</w:t>
      </w:r>
    </w:p>
    <w:p>
      <w:pPr>
        <w:pStyle w:val="BodyText"/>
        <w:spacing w:line="480" w:lineRule="auto"/>
        <w:ind w:firstLine="720"/>
      </w:pPr>
      <w:r>
        <w:t xml:space="preserve">The coefficient estimates and their p-values are as follows. The intercept is const coef=7.388216144766524 with p=2.4378597426753406e-05. The recency predictor is recency_index coef=-0.015631008901747026 with p=0.8865132381489925. The citation predictor is cites_num coef=-0.022344086922061156 with p=0.23348930509376353. The venue predictor is venue_score coef=-1.8306179798579334 with p=8.043404189306764e-06.</w:t>
      </w:r>
    </w:p>
    <w:p>
      <w:pPr>
        <w:pStyle w:val="BodyText"/>
        <w:spacing w:line="480" w:lineRule="auto"/>
        <w:ind w:firstLine="720"/>
      </w:pPr>
      <w:r>
        <w:t xml:space="preserve">Read these together. The joint fit is strong and the joint null is rejected, yet the strength does not come from every predictor equally. It comes almost entirely from venue family.</w:t>
      </w:r>
    </w:p>
    <w:p>
      <w:pPr>
        <w:pStyle w:val="BodyText"/>
        <w:spacing w:line="480" w:lineRule="auto"/>
        <w:ind w:firstLine="720"/>
      </w:pPr>
      <w:r>
        <w:t xml:space="preserve">One predictor does the work. The other two are quiet.</w:t>
      </w:r>
    </w:p>
    <w:bookmarkEnd w:id="124"/>
    <w:bookmarkStart w:id="125" w:name="interpreting-the-signal-model"/>
    <w:p>
      <w:pPr>
        <w:pStyle w:val="Heading2"/>
        <w:spacing w:line="480" w:lineRule="auto"/>
      </w:pPr>
      <w:r>
        <w:t xml:space="preserve">Interpreting the signal model</w:t>
      </w:r>
    </w:p>
    <w:p>
      <w:pPr>
        <w:pStyle w:val="FirstParagraph"/>
        <w:spacing w:line="480" w:lineRule="auto"/>
      </w:pPr>
      <w:r>
        <w:t xml:space="preserve">Venue family carries the model. It is the load-bearing predictor. Its coefficient of -1.8306179798579334 is precisely estimated, with a p-value of roughly eight in a million, and its sign is negative. Each step up the venue ordinal, from conference proceedings toward journal toward space-economy and policy records, is associated with a topic-signal score lower by about 1.83 points, holding recency and citation attention fixed. The magnitude is substantial against an outcome that ranges from one to eleven; moving two ordinal steps predicts a signal lower by roughly 3.7 points, which is a large share of the outcome’s range. The interpretation is concrete. In this corpus the conference-proceedings records engage the trust-and-automation theme most densely, and the policy-economy records engage it least densely in term-hit terms, with journals in between</w:t>
      </w:r>
      <w:r>
        <w:t xml:space="preserve"> </w:t>
      </w:r>
      <w:hyperlink w:anchor="ref-4">
        <w:r>
          <w:rPr>
            <w:rStyle w:val="Hyperlink"/>
          </w:rPr>
          <w:t xml:space="preserve">[4]</w:t>
        </w:r>
      </w:hyperlink>
      <w:r>
        <w:t xml:space="preserve"> </w:t>
      </w:r>
      <w:hyperlink w:anchor="ref-1">
        <w:r>
          <w:rPr>
            <w:rStyle w:val="Hyperlink"/>
          </w:rPr>
          <w:t xml:space="preserve">[1]</w:t>
        </w:r>
      </w:hyperlink>
      <w:r>
        <w:t xml:space="preserve">. That pattern is consistent with the migration mechanism of Chapter 3 read in reverse: the operational proceedings community writes about trust calibration in the most theme-saturated language, while governance-oriented records frame it more diffusely and score lower on a term-hit instrument</w:t>
      </w:r>
      <w:r>
        <w:t xml:space="preserve"> </w:t>
      </w:r>
      <w:hyperlink w:anchor="ref-16">
        <w:r>
          <w:rPr>
            <w:rStyle w:val="Hyperlink"/>
          </w:rPr>
          <w:t xml:space="preserve">[16]</w:t>
        </w:r>
      </w:hyperlink>
      <w:r>
        <w:t xml:space="preserve">.</w:t>
      </w:r>
    </w:p>
    <w:p>
      <w:pPr>
        <w:pStyle w:val="BodyText"/>
        <w:spacing w:line="480" w:lineRule="auto"/>
        <w:ind w:firstLine="720"/>
      </w:pPr>
      <w:r>
        <w:t xml:space="preserve">A measurement caveat sharpens this reading rather than undoing it. Several policy-economy records carried sparse or empty snippet and keyword fields in the retrieval, which mechanically depresses their theme-hit count</w:t>
      </w:r>
      <w:r>
        <w:t xml:space="preserve"> </w:t>
      </w:r>
      <w:hyperlink w:anchor="ref-5">
        <w:r>
          <w:rPr>
            <w:rStyle w:val="Hyperlink"/>
          </w:rPr>
          <w:t xml:space="preserve">[5]</w:t>
        </w:r>
      </w:hyperlink>
      <w:r>
        <w:t xml:space="preserve">. Part of the negative venue coefficient therefore reflects field sparsity in the higher venue tiers, not only genuine thematic dilution. The coefficient is real and precise as a description of this corpus, and its substantive interpretation must carry that qualification.</w:t>
      </w:r>
    </w:p>
    <w:p>
      <w:pPr>
        <w:pStyle w:val="BodyText"/>
        <w:spacing w:line="480" w:lineRule="auto"/>
        <w:ind w:firstLine="720"/>
      </w:pPr>
      <w:r>
        <w:t xml:space="preserve">Recency contributes essentially nothing. Its coefficient of -0.015631008901747026 is tiny and its p-value of 0.8865132381489925 is as far from significance as a coefficient can be. Within this corpus, once venue and citation attention are held fixed, how recent a record is carries no detectable association with how densely it engages the theme. This contradicts the directional prediction of Chapter 3, which expected recency to enter positively under an agenda-formation mechanism</w:t>
      </w:r>
      <w:r>
        <w:t xml:space="preserve"> </w:t>
      </w:r>
      <w:hyperlink w:anchor="ref-3">
        <w:r>
          <w:rPr>
            <w:rStyle w:val="Hyperlink"/>
          </w:rPr>
          <w:t xml:space="preserve">[3]</w:t>
        </w:r>
      </w:hyperlink>
      <w:r>
        <w:t xml:space="preserve">. The honest reading is that agenda formation, if it operates in this literature, does not express itself through the recency channel in these thirty records. The field’s attention is organized by where work appears, not by how new it is.</w:t>
      </w:r>
    </w:p>
    <w:p>
      <w:pPr>
        <w:pStyle w:val="BodyText"/>
        <w:spacing w:line="480" w:lineRule="auto"/>
        <w:ind w:firstLine="720"/>
      </w:pPr>
      <w:r>
        <w:t xml:space="preserve">Citation attention is also not individually significant. Its coefficient of -0.022344086922061156 carries a p-value of 0.23348930509376353, which does not reach conventional thresholds. The point estimate is negative and small. Two features of the data explain the imprecision. Citation counts are non-zero only for the journal family, so the citation predictor is entangled with the venue predictor, and entangled predictors carry wider intervals</w:t>
      </w:r>
      <w:r>
        <w:t xml:space="preserve"> </w:t>
      </w:r>
      <w:hyperlink w:anchor="ref-6">
        <w:r>
          <w:rPr>
            <w:rStyle w:val="Hyperlink"/>
          </w:rPr>
          <w:t xml:space="preserve">[6]</w:t>
        </w:r>
      </w:hyperlink>
      <w:r>
        <w:t xml:space="preserve">. The distribution is also skewed by a single record at fifty-one citations</w:t>
      </w:r>
      <w:r>
        <w:t xml:space="preserve"> </w:t>
      </w:r>
      <w:hyperlink w:anchor="ref-15">
        <w:r>
          <w:rPr>
            <w:rStyle w:val="Hyperlink"/>
          </w:rPr>
          <w:t xml:space="preserve">[15]</w:t>
        </w:r>
      </w:hyperlink>
      <w:r>
        <w:t xml:space="preserve">. The prudent conclusion is not that citations reduce topic signal, but that this corpus cannot resolve an independent citation effect once venue is in the model. The predicted positive selective-amplification channel is not visible here.</w:t>
      </w:r>
    </w:p>
    <w:p>
      <w:pPr>
        <w:pStyle w:val="BodyText"/>
        <w:spacing w:line="480" w:lineRule="auto"/>
        <w:ind w:firstLine="720"/>
      </w:pPr>
      <w:r>
        <w:t xml:space="preserve">The intercept of 7.388216144766524 is the model’s fitted signal for the baseline, a conference-proceedings record at zero recency and zero citations, and its near-zero p-value simply confirms the baseline level is well determined. It carries no substantive claim on its own.</w:t>
      </w:r>
    </w:p>
    <w:bookmarkEnd w:id="125"/>
    <w:bookmarkStart w:id="126" w:name="the-attention-model"/>
    <w:p>
      <w:pPr>
        <w:pStyle w:val="Heading2"/>
        <w:spacing w:line="480" w:lineRule="auto"/>
      </w:pPr>
      <w:r>
        <w:t xml:space="preserve">The attention model</w:t>
      </w:r>
    </w:p>
    <w:p>
      <w:pPr>
        <w:pStyle w:val="FirstParagraph"/>
        <w:spacing w:line="480" w:lineRule="auto"/>
      </w:pPr>
      <w:r>
        <w:t xml:space="preserve">Now the second model. It regresses the log of citations-plus-one on the log of the age index, again on N=30 records. The fit summary is R2=0.023440694416215435, with an estimated elasticity elasticity_b=-0.25837076095764205 and an implied progress ratio progress_ratio_2^b=0.8360315189649841. The coefficient summary is const coef=1.127290290225325 with p=0.011145964193320777, and _ln_x coef=-0.25837076095764205 with p=0.389254389019277.</w:t>
      </w:r>
    </w:p>
    <w:p>
      <w:pPr>
        <w:pStyle w:val="BodyText"/>
        <w:spacing w:line="480" w:lineRule="auto"/>
        <w:ind w:firstLine="720"/>
      </w:pPr>
      <w:r>
        <w:t xml:space="preserve">The elasticity is negative and the progress ratio is 0.836, which in learning-curve terms would say that as document age doubles, citations-plus-one fall to about eighty-four percent of their prior level. Taken at face value that would describe a corpus in which younger records carry relatively more citation attention per unit age. The face value should not be taken. The elasticity’s p-value is 0.389254389019277, nowhere near significance, and the model’s R2 of 0.023440694416215435 means age explains barely two percent of the variance in logged citation attention. The null of Chapter 3, that citation accumulation is unrelated to article age, cannot be rejected in this corpus</w:t>
      </w:r>
      <w:r>
        <w:t xml:space="preserve"> </w:t>
      </w:r>
      <w:hyperlink w:anchor="ref-10">
        <w:r>
          <w:rPr>
            <w:rStyle w:val="Hyperlink"/>
          </w:rPr>
          <w:t xml:space="preserve">[10]</w:t>
        </w:r>
      </w:hyperlink>
      <w:r>
        <w:t xml:space="preserve">.</w:t>
      </w:r>
    </w:p>
    <w:p>
      <w:pPr>
        <w:pStyle w:val="BodyText"/>
        <w:spacing w:line="480" w:lineRule="auto"/>
        <w:ind w:firstLine="720"/>
      </w:pPr>
      <w:r>
        <w:t xml:space="preserve">Age explains almost nothing here. The number confirms it.</w:t>
      </w:r>
    </w:p>
    <w:bookmarkEnd w:id="126"/>
    <w:bookmarkStart w:id="127" w:name="interpreting-the-attention-model"/>
    <w:p>
      <w:pPr>
        <w:pStyle w:val="Heading2"/>
        <w:spacing w:line="480" w:lineRule="auto"/>
      </w:pPr>
      <w:r>
        <w:t xml:space="preserve">Interpreting the attention model</w:t>
      </w:r>
    </w:p>
    <w:p>
      <w:pPr>
        <w:pStyle w:val="FirstParagraph"/>
        <w:spacing w:line="480" w:lineRule="auto"/>
      </w:pPr>
      <w:r>
        <w:t xml:space="preserve">The learning-curve result is a clean non-finding, and it is informative for that reason. Document age does not organize citation attention in these thirty records. The reason is legible in the data described in Chapter 5. Citation counts are populated only for the journal family, and among those records the counts are skewed and sparse, so the age-to-citation relationship the model tries to estimate is built on a thin, uneven signal</w:t>
      </w:r>
      <w:r>
        <w:t xml:space="preserve"> </w:t>
      </w:r>
      <w:hyperlink w:anchor="ref-6">
        <w:r>
          <w:rPr>
            <w:rStyle w:val="Hyperlink"/>
          </w:rPr>
          <w:t xml:space="preserve">[6]</w:t>
        </w:r>
      </w:hyperlink>
      <w:r>
        <w:t xml:space="preserve">. The single record at fifty-one citations, which is itself an older 2018 record, works directly against a clean negative age elasticity and helps flatten the estimate toward noise</w:t>
      </w:r>
      <w:r>
        <w:t xml:space="preserve"> </w:t>
      </w:r>
      <w:hyperlink w:anchor="ref-15">
        <w:r>
          <w:rPr>
            <w:rStyle w:val="Hyperlink"/>
          </w:rPr>
          <w:t xml:space="preserve">[15]</w:t>
        </w:r>
      </w:hyperlink>
      <w:r>
        <w:t xml:space="preserve">. The intercept term is significant at conventional levels, which reflects that citations-plus-one has a well-determined average level, but the average level is not the hypothesis; the slope is, and the slope is indistinguishable from zero.</w:t>
      </w:r>
    </w:p>
    <w:bookmarkEnd w:id="127"/>
    <w:bookmarkStart w:id="128" w:name="what-the-two-models-say-together"/>
    <w:p>
      <w:pPr>
        <w:pStyle w:val="Heading2"/>
        <w:spacing w:line="480" w:lineRule="auto"/>
      </w:pPr>
      <w:r>
        <w:t xml:space="preserve">What the two models say together</w:t>
      </w:r>
    </w:p>
    <w:p>
      <w:pPr>
        <w:pStyle w:val="FirstParagraph"/>
        <w:spacing w:line="480" w:lineRule="auto"/>
      </w:pPr>
      <w:r>
        <w:t xml:space="preserve">The pair of results tells a consistent story about where structure lives in this corpus and where it does not. Structure lives in venue family. The signal model rejects its joint null decisively, and that rejection is driven by a large, precisely estimated venue coefficient, with recency and citation attention contributing nothing individually</w:t>
      </w:r>
      <w:r>
        <w:t xml:space="preserve"> </w:t>
      </w:r>
      <w:hyperlink w:anchor="ref-1">
        <w:r>
          <w:rPr>
            <w:rStyle w:val="Hyperlink"/>
          </w:rPr>
          <w:t xml:space="preserve">[1]</w:t>
        </w:r>
      </w:hyperlink>
      <w:r>
        <w:t xml:space="preserve"> </w:t>
      </w:r>
      <w:hyperlink w:anchor="ref-4">
        <w:r>
          <w:rPr>
            <w:rStyle w:val="Hyperlink"/>
          </w:rPr>
          <w:t xml:space="preserve">[4]</w:t>
        </w:r>
      </w:hyperlink>
      <w:r>
        <w:t xml:space="preserve">. Attention, by contrast, is not organized by age; the learning-curve model returns a non-significant elasticity and near-zero explanatory power</w:t>
      </w:r>
      <w:r>
        <w:t xml:space="preserve"> </w:t>
      </w:r>
      <w:hyperlink w:anchor="ref-10">
        <w:r>
          <w:rPr>
            <w:rStyle w:val="Hyperlink"/>
          </w:rPr>
          <w:t xml:space="preserve">[10]</w:t>
        </w:r>
      </w:hyperlink>
      <w:r>
        <w:t xml:space="preserve">. The corpus is structured, but along one dimension rather than three, and the dimension is the one a narrative review would be least likely to notice: not time, not raw citation counts, but the family of venue that selects for how densely a source engages the trust-and-automation theme. Chapter 7 takes up what that single finding can and cannot support.</w:t>
      </w:r>
    </w:p>
    <w:bookmarkEnd w:id="128"/>
    <w:bookmarkStart w:id="129" w:name="magnitudes-in-the-units-of-the-data"/>
    <w:p>
      <w:pPr>
        <w:pStyle w:val="Heading2"/>
        <w:spacing w:line="480" w:lineRule="auto"/>
      </w:pPr>
      <w:r>
        <w:t xml:space="preserve">Magnitudes in the units of the data</w:t>
      </w:r>
    </w:p>
    <w:p>
      <w:pPr>
        <w:pStyle w:val="FirstParagraph"/>
        <w:spacing w:line="480" w:lineRule="auto"/>
      </w:pPr>
      <w:r>
        <w:t xml:space="preserve">Statistical significance is not substantive importance, and the venue result earns its weight only when the magnitude is read in the outcome’s own units. The topic-signal score in this corpus ranges from one to eleven, a span of ten points. The venue coefficient of -1.8306179798579334 predicts a drop of about 1.83 points for each ordinal step, which is roughly eighteen percent of the entire observed range per step</w:t>
      </w:r>
      <w:r>
        <w:t xml:space="preserve"> </w:t>
      </w:r>
      <w:hyperlink w:anchor="ref-4">
        <w:r>
          <w:rPr>
            <w:rStyle w:val="Hyperlink"/>
          </w:rPr>
          <w:t xml:space="preserve">[4]</w:t>
        </w:r>
      </w:hyperlink>
      <w:r>
        <w:t xml:space="preserve">. A record moving from the conference tier to the policy-economy tier, two steps, is predicted to lose about 3.66 points of signal, better than a third of the range, holding recency and citation attention fixed. That is not a subtle effect at the margin; it is a dominant organizing feature of the corpus. By contrast the recency coefficient of -0.015631008901747026 predicts a change of about one-sixtieth of a point per year of recency, a quantity that would be invisible across the full sixteen-year span of the sample even if it were precisely estimated, which it is not</w:t>
      </w:r>
      <w:r>
        <w:t xml:space="preserve"> </w:t>
      </w:r>
      <w:hyperlink w:anchor="ref-3">
        <w:r>
          <w:rPr>
            <w:rStyle w:val="Hyperlink"/>
          </w:rPr>
          <w:t xml:space="preserve">[3]</w:t>
        </w:r>
      </w:hyperlink>
      <w:r>
        <w:t xml:space="preserve">. The citation coefficient of -0.022344086922061156 is of similar practical negligibility, predicting about two hundredths of a point per citation against a citation range that runs to fifty-one</w:t>
      </w:r>
      <w:r>
        <w:t xml:space="preserve"> </w:t>
      </w:r>
      <w:hyperlink w:anchor="ref-15">
        <w:r>
          <w:rPr>
            <w:rStyle w:val="Hyperlink"/>
          </w:rPr>
          <w:t xml:space="preserve">[15]</w:t>
        </w:r>
      </w:hyperlink>
      <w:r>
        <w:t xml:space="preserve">. Reading the magnitudes this way confirms what the p-values imply: venue does the explanatory work, and the other two channels are quiet both statistically and substantively.</w:t>
      </w:r>
    </w:p>
    <w:bookmarkEnd w:id="129"/>
    <w:bookmarkStart w:id="130" w:name="X0cabcb96518288a234537b8a877499de68d7041"/>
    <w:p>
      <w:pPr>
        <w:pStyle w:val="Heading2"/>
        <w:spacing w:line="480" w:lineRule="auto"/>
      </w:pPr>
      <w:r>
        <w:t xml:space="preserve">The joint test versus the individual channels</w:t>
      </w:r>
    </w:p>
    <w:p>
      <w:pPr>
        <w:pStyle w:val="FirstParagraph"/>
        <w:spacing w:line="480" w:lineRule="auto"/>
      </w:pPr>
      <w:r>
        <w:t xml:space="preserve">The gap between the decisive joint F test and the two non-significant individual coefficients is not a contradiction, and it is worth resolving explicitly because a careless reader could misreport it. The F statistic of 8.051385079367526 with F_p=0.0005881722678403994 tests whether the three predictors jointly explain more variance than chance, and they do, overwhelmingly</w:t>
      </w:r>
      <w:r>
        <w:t xml:space="preserve"> </w:t>
      </w:r>
      <w:hyperlink w:anchor="ref-1">
        <w:r>
          <w:rPr>
            <w:rStyle w:val="Hyperlink"/>
          </w:rPr>
          <w:t xml:space="preserve">[1]</w:t>
        </w:r>
      </w:hyperlink>
      <w:r>
        <w:t xml:space="preserve">. That joint rejection is carried almost entirely by venue, whose individual p-value of 8.043404189306764e-06 is itself far past any threshold. Recency and citation attention ride along in the joint test without contributing to it. The adjusted R2 of 0.24721972734727715, appreciably lower than the raw R2 of 0.32509354865617957, records the cost of carrying two predictors that add little, discounting the fit for the degrees of freedom they consume. The correct summary is therefore precise: the model is jointly informative because one of its three predictors is strongly informative, and honesty requires saying so rather than distributing the credit evenly.</w:t>
      </w:r>
    </w:p>
    <w:bookmarkEnd w:id="130"/>
    <w:bookmarkStart w:id="131" w:name="reading-the-non-findings-as-evidence"/>
    <w:p>
      <w:pPr>
        <w:pStyle w:val="Heading2"/>
        <w:spacing w:line="480" w:lineRule="auto"/>
      </w:pPr>
      <w:r>
        <w:t xml:space="preserve">Reading the non-findings as evidence</w:t>
      </w:r>
    </w:p>
    <w:p>
      <w:pPr>
        <w:pStyle w:val="FirstParagraph"/>
        <w:spacing w:line="480" w:lineRule="auto"/>
      </w:pPr>
      <w:r>
        <w:t xml:space="preserve">A non-finding is still a result, and both nulls that survive here carry meaning rather than mere absence. The recency null tells against the agenda-formation prediction of Chapter 3: within this corpus, newer work does not engage the trust theme more densely once venue is held fixed</w:t>
      </w:r>
      <w:r>
        <w:t xml:space="preserve"> </w:t>
      </w:r>
      <w:hyperlink w:anchor="ref-3">
        <w:r>
          <w:rPr>
            <w:rStyle w:val="Hyperlink"/>
          </w:rPr>
          <w:t xml:space="preserve">[3]</w:t>
        </w:r>
      </w:hyperlink>
      <w:r>
        <w:t xml:space="preserve">. The learning-curve null tells against any age-based attention story: with an elasticity p-value of 0.389254389019277 and an R2 of 0.023440694416215435, document age explains essentially none of the variation in logged citation attention</w:t>
      </w:r>
      <w:r>
        <w:t xml:space="preserve"> </w:t>
      </w:r>
      <w:hyperlink w:anchor="ref-10">
        <w:r>
          <w:rPr>
            <w:rStyle w:val="Hyperlink"/>
          </w:rPr>
          <w:t xml:space="preserve">[10]</w:t>
        </w:r>
      </w:hyperlink>
      <w:r>
        <w:t xml:space="preserve">. Neither null is surprising given the data described in Chapter 5, and neither is treated as a defeat. They are the estimators declining to certify structure the corpus cannot support, which is precisely the behavior a study of trust miscalibration should model in its own inference</w:t>
      </w:r>
      <w:r>
        <w:t xml:space="preserve"> </w:t>
      </w:r>
      <w:hyperlink w:anchor="ref-6">
        <w:r>
          <w:rPr>
            <w:rStyle w:val="Hyperlink"/>
          </w:rPr>
          <w:t xml:space="preserve">[6]</w:t>
        </w:r>
      </w:hyperlink>
      <w:r>
        <w:t xml:space="preserve">. The results chapter closes on that symmetry: the one precise coefficient is reported as a finding, and the imprecise ones are reported as evidence against strong claims, with no attempt to launder noise into signal.</w:t>
      </w:r>
    </w:p>
    <w:bookmarkEnd w:id="131"/>
    <w:bookmarkStart w:id="132" w:name="the-fit-statistics-in-context"/>
    <w:p>
      <w:pPr>
        <w:pStyle w:val="Heading2"/>
        <w:spacing w:line="480" w:lineRule="auto"/>
      </w:pPr>
      <w:r>
        <w:t xml:space="preserve">The fit statistics in context</w:t>
      </w:r>
    </w:p>
    <w:p>
      <w:pPr>
        <w:pStyle w:val="FirstParagraph"/>
        <w:spacing w:line="480" w:lineRule="auto"/>
      </w:pPr>
      <w:r>
        <w:t xml:space="preserve">The two models sit at opposite ends of the explanatory spectrum, and placing their fit statistics side by side makes the contrast legible. The signal model returns R2=0.32509354865617957, meaning it accounts for roughly a third of the variation in topic signal across the thirty records, which is a substantial share for a three-predictor model on a small, noisy, behaviorally constructed outcome</w:t>
      </w:r>
      <w:r>
        <w:t xml:space="preserve"> </w:t>
      </w:r>
      <w:hyperlink w:anchor="ref-4">
        <w:r>
          <w:rPr>
            <w:rStyle w:val="Hyperlink"/>
          </w:rPr>
          <w:t xml:space="preserve">[4]</w:t>
        </w:r>
      </w:hyperlink>
      <w:r>
        <w:t xml:space="preserve">. The learning-curve model returns R2=0.023440694416215435, meaning it accounts for barely two percent of the variation in logged citation attention, which is negligible</w:t>
      </w:r>
      <w:r>
        <w:t xml:space="preserve"> </w:t>
      </w:r>
      <w:hyperlink w:anchor="ref-10">
        <w:r>
          <w:rPr>
            <w:rStyle w:val="Hyperlink"/>
          </w:rPr>
          <w:t xml:space="preserve">[10]</w:t>
        </w:r>
      </w:hyperlink>
      <w:r>
        <w:t xml:space="preserve">. The gap between the two is not a defect in either model; it is the data speaking. Topic signal is organizable by the predictors on offer, and citation attention, as measured by an index-dependent field riddled with structural zeros, is not</w:t>
      </w:r>
      <w:r>
        <w:t xml:space="preserve"> </w:t>
      </w:r>
      <w:hyperlink w:anchor="ref-6">
        <w:r>
          <w:rPr>
            <w:rStyle w:val="Hyperlink"/>
          </w:rPr>
          <w:t xml:space="preserve">[6]</w:t>
        </w:r>
      </w:hyperlink>
      <w:r>
        <w:t xml:space="preserve">. Reporting both R2 values plainly lets a reader see that the dissertation’s one strong result and its one clean null rest on the same thirty records analyzed with the same care, and that the difference between them is a property of the corpus rather than of the effort applied.</w:t>
      </w:r>
    </w:p>
    <w:bookmarkEnd w:id="132"/>
    <w:bookmarkStart w:id="133" w:name="why-the-venue-sign-points-down"/>
    <w:p>
      <w:pPr>
        <w:pStyle w:val="Heading2"/>
        <w:spacing w:line="480" w:lineRule="auto"/>
      </w:pPr>
      <w:r>
        <w:t xml:space="preserve">Why the venue sign points down</w:t>
      </w:r>
    </w:p>
    <w:p>
      <w:pPr>
        <w:pStyle w:val="FirstParagraph"/>
        <w:spacing w:line="480" w:lineRule="auto"/>
      </w:pPr>
      <w:r>
        <w:t xml:space="preserve">The negative sign on the venue coefficient can surprise a reader who expected higher-tier venues to engage a theme more, and it is worth explaining rather than merely reporting. The venue ordinal runs from conference proceedings at one, through journals at two, to policy-economy records at three, and the negative coefficient means signal falls as one climbs that ladder</w:t>
      </w:r>
      <w:r>
        <w:t xml:space="preserve"> </w:t>
      </w:r>
      <w:hyperlink w:anchor="ref-4">
        <w:r>
          <w:rPr>
            <w:rStyle w:val="Hyperlink"/>
          </w:rPr>
          <w:t xml:space="preserve">[4]</w:t>
        </w:r>
      </w:hyperlink>
      <w:r>
        <w:t xml:space="preserve"> </w:t>
      </w:r>
      <w:hyperlink w:anchor="ref-16">
        <w:r>
          <w:rPr>
            <w:rStyle w:val="Hyperlink"/>
          </w:rPr>
          <w:t xml:space="preserve">[16]</w:t>
        </w:r>
      </w:hyperlink>
      <w:r>
        <w:t xml:space="preserve">. Two forces produce the descent. The first is genuine: proceedings written by operational practitioners name the trust-and-automation problem in dense, direct vocabulary, while governance and economy records embed it inside broader institutional argument that dilutes the term-hit count</w:t>
      </w:r>
      <w:r>
        <w:t xml:space="preserve"> </w:t>
      </w:r>
      <w:hyperlink w:anchor="ref-5">
        <w:r>
          <w:rPr>
            <w:rStyle w:val="Hyperlink"/>
          </w:rPr>
          <w:t xml:space="preserve">[5]</w:t>
        </w:r>
      </w:hyperlink>
      <w:r>
        <w:t xml:space="preserve"> </w:t>
      </w:r>
      <w:hyperlink w:anchor="ref-1">
        <w:r>
          <w:rPr>
            <w:rStyle w:val="Hyperlink"/>
          </w:rPr>
          <w:t xml:space="preserve">[1]</w:t>
        </w:r>
      </w:hyperlink>
      <w:r>
        <w:t xml:space="preserve">. The second is artifactual: several policy records carried empty snippet and keyword fields in the retrieval, which floors their signal regardless of content</w:t>
      </w:r>
      <w:r>
        <w:t xml:space="preserve"> </w:t>
      </w:r>
      <w:hyperlink w:anchor="ref-5">
        <w:r>
          <w:rPr>
            <w:rStyle w:val="Hyperlink"/>
          </w:rPr>
          <w:t xml:space="preserve">[5]</w:t>
        </w:r>
      </w:hyperlink>
      <w:r>
        <w:t xml:space="preserve">. Both forces push the same direction, so the observed coefficient is a sum of a real thematic gradient and a measurement artifact, and Chapter 7 devotes a section to separating them. The results chapter reports the sign and magnitude faithfully and defers the decomposition, because the coefficient as estimated is exactly what the workbook produced and the interpretation of its two components is a matter for the discussion.</w:t>
      </w:r>
    </w:p>
    <w:bookmarkEnd w:id="133"/>
    <w:bookmarkStart w:id="134" w:name="a-note-on-what-significance-means-here"/>
    <w:p>
      <w:pPr>
        <w:pStyle w:val="Heading2"/>
        <w:spacing w:line="480" w:lineRule="auto"/>
      </w:pPr>
      <w:r>
        <w:t xml:space="preserve">A note on what significance means here</w:t>
      </w:r>
    </w:p>
    <w:p>
      <w:pPr>
        <w:pStyle w:val="FirstParagraph"/>
        <w:spacing w:line="480" w:lineRule="auto"/>
      </w:pPr>
      <w:r>
        <w:t xml:space="preserve">Because several p-values in this chapter are extreme, a word on their meaning prevents over-reading. A p-value near eight in a million on the venue coefficient does not mean the venue effect is enormous or that the finding is eight-in-a-million certain to replicate; it means that, under the model’s assumptions and within this sample, a coefficient this far from zero would be very unlikely if venue truly had no partial association with signal</w:t>
      </w:r>
      <w:r>
        <w:t xml:space="preserve"> </w:t>
      </w:r>
      <w:hyperlink w:anchor="ref-1">
        <w:r>
          <w:rPr>
            <w:rStyle w:val="Hyperlink"/>
          </w:rPr>
          <w:t xml:space="preserve">[1]</w:t>
        </w:r>
      </w:hyperlink>
      <w:r>
        <w:t xml:space="preserve">. The extremity reflects both a large point estimate and a small standard error, and the small standard error is itself a product of the deterministic, low-noise construction of the venue variable. Conversely, the recency p-value of 0.8865132381489925 does not prove recency has no effect; it means the sample cannot distinguish this recency coefficient from zero</w:t>
      </w:r>
      <w:r>
        <w:t xml:space="preserve"> </w:t>
      </w:r>
      <w:hyperlink w:anchor="ref-3">
        <w:r>
          <w:rPr>
            <w:rStyle w:val="Hyperlink"/>
          </w:rPr>
          <w:t xml:space="preserve">[3]</w:t>
        </w:r>
      </w:hyperlink>
      <w:r>
        <w:t xml:space="preserve">. Holding these interpretations precisely is the difference between reporting statistics and understanding them, and the results chapter insists on the precise reading so that no coefficient is asked to carry more certainty than a thirty-record sample can supply.</w:t>
      </w:r>
    </w:p>
    <w:bookmarkEnd w:id="134"/>
    <w:bookmarkStart w:id="135" w:name="the-learning-curve-result-in-full"/>
    <w:p>
      <w:pPr>
        <w:pStyle w:val="Heading2"/>
        <w:spacing w:line="480" w:lineRule="auto"/>
      </w:pPr>
      <w:r>
        <w:t xml:space="preserve">The learning-curve result in full</w:t>
      </w:r>
    </w:p>
    <w:p>
      <w:pPr>
        <w:pStyle w:val="FirstParagraph"/>
        <w:spacing w:line="480" w:lineRule="auto"/>
      </w:pPr>
      <w:r>
        <w:t xml:space="preserve">The learning-curve model warrants a fuller reading than its non-significance might suggest, because a clean null on a well-specified model is itself a finding worth stating carefully. The elasticity of -0.25837076095764205 is negative, which in isolation would suggest younger documents carry proportionally more citation attention, and the implied progress ratio of 0.8360315189649841 would put a tidy number on that decline, saying attention falls to about eighty-four percent as age doubles</w:t>
      </w:r>
      <w:r>
        <w:t xml:space="preserve"> </w:t>
      </w:r>
      <w:hyperlink w:anchor="ref-10">
        <w:r>
          <w:rPr>
            <w:rStyle w:val="Hyperlink"/>
          </w:rPr>
          <w:t xml:space="preserve">[10]</w:t>
        </w:r>
      </w:hyperlink>
      <w:r>
        <w:t xml:space="preserve">. The isolation is the trap. The elasticity’s p-value of 0.389254389019277 sits far from any threshold of significance, and the model’s R2 of 0.023440694416215435 means age accounts for barely two percent of the variance in logged citation attention. The tidy progress ratio is therefore a number computed from noise, and reporting it without its precision would be a small act of the over-trust the dissertation studies. The intercept of 1.127290290225325, significant at p=0.011145964193320777, reflects only that logged citations-plus-one has a well-determined average level across the corpus, which is unsurprising given that most records sit at the same floor value of one citation-plus-one</w:t>
      </w:r>
      <w:r>
        <w:t xml:space="preserve"> </w:t>
      </w:r>
      <w:hyperlink w:anchor="ref-6">
        <w:r>
          <w:rPr>
            <w:rStyle w:val="Hyperlink"/>
          </w:rPr>
          <w:t xml:space="preserve">[6]</w:t>
        </w:r>
      </w:hyperlink>
      <w:r>
        <w:t xml:space="preserve">. The intercept is not the hypothesis; the slope is, and the slope is indistinguishable from zero.</w:t>
      </w:r>
    </w:p>
    <w:p>
      <w:pPr>
        <w:pStyle w:val="BodyText"/>
        <w:spacing w:line="480" w:lineRule="auto"/>
        <w:ind w:firstLine="720"/>
      </w:pPr>
      <w:r>
        <w:t xml:space="preserve">The reason for the null is visible in the data of Chapter 5. Citation counts populate only the journal block, and within that block the single record at fifty-one citations is itself a 2018 article, old enough that a clean negative age elasticity would predict low attention for it, yet it carries the highest count in the corpus</w:t>
      </w:r>
      <w:r>
        <w:t xml:space="preserve"> </w:t>
      </w:r>
      <w:hyperlink w:anchor="ref-15">
        <w:r>
          <w:rPr>
            <w:rStyle w:val="Hyperlink"/>
          </w:rPr>
          <w:t xml:space="preserve">[15]</w:t>
        </w:r>
      </w:hyperlink>
      <w:r>
        <w:t xml:space="preserve">. That one leverage point pulls directly against the negative slope the other cited records might suggest, flattening the estimate toward noise. The learning-curve model is thus not merely non-significant by accident; it is non-significant because the citation field it depends on is too sparse, too skewed, and too index-dependent to encode an age structure even if one exists in the true citation record</w:t>
      </w:r>
      <w:r>
        <w:t xml:space="preserve"> </w:t>
      </w:r>
      <w:hyperlink w:anchor="ref-10">
        <w:r>
          <w:rPr>
            <w:rStyle w:val="Hyperlink"/>
          </w:rPr>
          <w:t xml:space="preserve">[10]</w:t>
        </w:r>
      </w:hyperlink>
      <w:r>
        <w:t xml:space="preserve">.</w:t>
      </w:r>
    </w:p>
    <w:bookmarkEnd w:id="135"/>
    <w:bookmarkStart w:id="136" w:name="X1e68e57d648e48e183e5fda611fab856165dbfb"/>
    <w:p>
      <w:pPr>
        <w:pStyle w:val="Heading2"/>
        <w:spacing w:line="480" w:lineRule="auto"/>
      </w:pPr>
      <w:r>
        <w:t xml:space="preserve">Reading the two models as a single verdict</w:t>
      </w:r>
    </w:p>
    <w:p>
      <w:pPr>
        <w:pStyle w:val="FirstParagraph"/>
        <w:spacing w:line="480" w:lineRule="auto"/>
      </w:pPr>
      <w:r>
        <w:t xml:space="preserve">Taken as one verdict rather than two, the results say something specific and defensible about the corpus. The field’s engagement with operator trust in automated conjunction assessment is organized, and it is organized by venue family, with proceedings carrying the densest engagement and policy-economy records the sparsest as a term-hit instrument measures it</w:t>
      </w:r>
      <w:r>
        <w:t xml:space="preserve"> </w:t>
      </w:r>
      <w:hyperlink w:anchor="ref-4">
        <w:r>
          <w:rPr>
            <w:rStyle w:val="Hyperlink"/>
          </w:rPr>
          <w:t xml:space="preserve">[4]</w:t>
        </w:r>
      </w:hyperlink>
      <w:r>
        <w:t xml:space="preserve"> </w:t>
      </w:r>
      <w:hyperlink w:anchor="ref-1">
        <w:r>
          <w:rPr>
            <w:rStyle w:val="Hyperlink"/>
          </w:rPr>
          <w:t xml:space="preserve">[1]</w:t>
        </w:r>
      </w:hyperlink>
      <w:r>
        <w:t xml:space="preserve">. It is not organized by publication recency, at least not through the term-hit channel, and its citation attention is not organized by document age in any way the index-derived counts can reveal</w:t>
      </w:r>
      <w:r>
        <w:t xml:space="preserve"> </w:t>
      </w:r>
      <w:hyperlink w:anchor="ref-3">
        <w:r>
          <w:rPr>
            <w:rStyle w:val="Hyperlink"/>
          </w:rPr>
          <w:t xml:space="preserve">[3]</w:t>
        </w:r>
      </w:hyperlink>
      <w:r>
        <w:t xml:space="preserve"> </w:t>
      </w:r>
      <w:hyperlink w:anchor="ref-10">
        <w:r>
          <w:rPr>
            <w:rStyle w:val="Hyperlink"/>
          </w:rPr>
          <w:t xml:space="preserve">[10]</w:t>
        </w:r>
      </w:hyperlink>
      <w:r>
        <w:t xml:space="preserve">. This is a narrower verdict than the framework’s full alternative hypothesis, which had hoped recency and citation attention would also carry signal. The narrowing is the honest result. One channel spoke clearly, two did not, and the chapter reports each exactly as the estimator rendered it, reserving the interpretation of what the venue gradient means, and how much of it is artifact, for the discussion that follows</w:t>
      </w:r>
      <w:r>
        <w:t xml:space="preserve"> </w:t>
      </w:r>
      <w:hyperlink w:anchor="ref-5">
        <w:r>
          <w:rPr>
            <w:rStyle w:val="Hyperlink"/>
          </w:rPr>
          <w:t xml:space="preserve">[5]</w:t>
        </w:r>
      </w:hyperlink>
      <w:r>
        <w:t xml:space="preserve">.</w:t>
      </w:r>
    </w:p>
    <w:bookmarkEnd w:id="136"/>
    <w:bookmarkEnd w:id="137"/>
    <w:bookmarkStart w:id="151" w:name="discussion-and-limitations"/>
    <w:p>
      <w:pPr>
        <w:pStyle w:val="Heading1"/>
        <w:spacing w:line="480" w:lineRule="auto"/>
      </w:pPr>
      <w:r>
        <w:t xml:space="preserve">Discussion and Limitations</w:t>
      </w:r>
    </w:p>
    <w:p>
      <w:pPr>
        <w:pStyle w:val="FirstParagraph"/>
        <w:spacing w:line="480" w:lineRule="auto"/>
      </w:pPr>
      <w:r>
        <w:t xml:space="preserve">The results of Chapter 6 are narrow and, in one respect, sharp. A single dimension of the corpus, venue family, carries a large and precisely estimated association with topic signal, while recency, citation attention, and document age carry none that the data can resolve. This chapter interprets that pattern, connects it back to the trust-calibration problem that motivated the project, and then does the harder work of naming every reason the pattern might mislead. A design-stage dissertation is measured less by the confidence of its findings than by the completeness of its own critique.</w:t>
      </w:r>
    </w:p>
    <w:bookmarkStart w:id="138" w:name="what-the-venue-finding-means"/>
    <w:p>
      <w:pPr>
        <w:pStyle w:val="Heading2"/>
        <w:spacing w:line="480" w:lineRule="auto"/>
      </w:pPr>
      <w:r>
        <w:t xml:space="preserve">What the venue finding means</w:t>
      </w:r>
    </w:p>
    <w:p>
      <w:pPr>
        <w:pStyle w:val="FirstParagraph"/>
        <w:spacing w:line="480" w:lineRule="auto"/>
      </w:pPr>
      <w:r>
        <w:t xml:space="preserve">One result endures. The venue coefficient is it. Moving up the venue ordinal predicts a topic-signal score lower by about 1.83 points per step, with a p-value near eight in a million</w:t>
      </w:r>
      <w:r>
        <w:t xml:space="preserve"> </w:t>
      </w:r>
      <w:hyperlink w:anchor="ref-1">
        <w:r>
          <w:rPr>
            <w:rStyle w:val="Hyperlink"/>
          </w:rPr>
          <w:t xml:space="preserve">[1]</w:t>
        </w:r>
      </w:hyperlink>
      <w:r>
        <w:t xml:space="preserve">. Stripped of statistical language, the finding is that the conference-proceedings community writes about automation trust in the most theme-dense terms, and that governance and policy-economy records engage the same theme more diffusely, at least as a term-hit instrument measures engagement</w:t>
      </w:r>
      <w:r>
        <w:t xml:space="preserve"> </w:t>
      </w:r>
      <w:hyperlink w:anchor="ref-4">
        <w:r>
          <w:rPr>
            <w:rStyle w:val="Hyperlink"/>
          </w:rPr>
          <w:t xml:space="preserve">[4]</w:t>
        </w:r>
      </w:hyperlink>
      <w:r>
        <w:t xml:space="preserve"> </w:t>
      </w:r>
      <w:hyperlink w:anchor="ref-16">
        <w:r>
          <w:rPr>
            <w:rStyle w:val="Hyperlink"/>
          </w:rPr>
          <w:t xml:space="preserve">[16]</w:t>
        </w:r>
      </w:hyperlink>
      <w:r>
        <w:t xml:space="preserve">. This is a plausible and even expected pattern for a maturing problem. Operational practitioners name the trust problem directly because they live it at the console, whereas governance writing embeds the same concern inside broader institutional language and scores lower on direct term hits</w:t>
      </w:r>
      <w:r>
        <w:t xml:space="preserve"> </w:t>
      </w:r>
      <w:hyperlink w:anchor="ref-3">
        <w:r>
          <w:rPr>
            <w:rStyle w:val="Hyperlink"/>
          </w:rPr>
          <w:t xml:space="preserve">[3]</w:t>
        </w:r>
      </w:hyperlink>
      <w:r>
        <w:t xml:space="preserve"> </w:t>
      </w:r>
      <w:hyperlink w:anchor="ref-5">
        <w:r>
          <w:rPr>
            <w:rStyle w:val="Hyperlink"/>
          </w:rPr>
          <w:t xml:space="preserve">[5]</w:t>
        </w:r>
      </w:hyperlink>
      <w:r>
        <w:t xml:space="preserve">.</w:t>
      </w:r>
    </w:p>
    <w:p>
      <w:pPr>
        <w:pStyle w:val="BodyText"/>
        <w:spacing w:line="480" w:lineRule="auto"/>
        <w:ind w:firstLine="720"/>
      </w:pPr>
      <w:r>
        <w:t xml:space="preserve">If the pattern is real, it has a modest but genuine implication for how the field’s attention should be read. A narrative reviewer scanning journal abstracts might conclude that automation trust is chiefly a journal-and-policy topic, because those are the visible archival venues. The venue coefficient suggests the opposite center of gravity: the densest engagement sits in the proceedings literature, which a citation-weighted or journal-weighted reading would systematically undercount</w:t>
      </w:r>
      <w:r>
        <w:t xml:space="preserve"> </w:t>
      </w:r>
      <w:hyperlink w:anchor="ref-7">
        <w:r>
          <w:rPr>
            <w:rStyle w:val="Hyperlink"/>
          </w:rPr>
          <w:t xml:space="preserve">[7]</w:t>
        </w:r>
      </w:hyperlink>
      <w:r>
        <w:t xml:space="preserve">. For a field trying to locate its own frontier on trust calibration, knowing that the frontier speaks most plainly in proceedings is a small course correction with real consequences for where a synthesis should look.</w:t>
      </w:r>
    </w:p>
    <w:bookmarkEnd w:id="138"/>
    <w:bookmarkStart w:id="139" w:name="what-the-null-results-mean"/>
    <w:p>
      <w:pPr>
        <w:pStyle w:val="Heading2"/>
        <w:spacing w:line="480" w:lineRule="auto"/>
      </w:pPr>
      <w:r>
        <w:t xml:space="preserve">What the null results mean</w:t>
      </w:r>
    </w:p>
    <w:p>
      <w:pPr>
        <w:pStyle w:val="FirstParagraph"/>
        <w:spacing w:line="480" w:lineRule="auto"/>
      </w:pPr>
      <w:r>
        <w:t xml:space="preserve">Nulls matter too. The non-findings are as important as the finding. Recency does not predict topic signal once venue is held fixed, which means the intuition that newer work engages the trust theme more densely is not supported in this corpus</w:t>
      </w:r>
      <w:r>
        <w:t xml:space="preserve"> </w:t>
      </w:r>
      <w:hyperlink w:anchor="ref-3">
        <w:r>
          <w:rPr>
            <w:rStyle w:val="Hyperlink"/>
          </w:rPr>
          <w:t xml:space="preserve">[3]</w:t>
        </w:r>
      </w:hyperlink>
      <w:r>
        <w:t xml:space="preserve">. Citation attention does not enter significantly, and document age does not organize citation accumulation, which together mean that the attention side of the corpus is simply too thin and too index-dependent to speak</w:t>
      </w:r>
      <w:r>
        <w:t xml:space="preserve"> </w:t>
      </w:r>
      <w:hyperlink w:anchor="ref-6">
        <w:r>
          <w:rPr>
            <w:rStyle w:val="Hyperlink"/>
          </w:rPr>
          <w:t xml:space="preserve">[6]</w:t>
        </w:r>
      </w:hyperlink>
      <w:r>
        <w:t xml:space="preserve"> </w:t>
      </w:r>
      <w:hyperlink w:anchor="ref-10">
        <w:r>
          <w:rPr>
            <w:rStyle w:val="Hyperlink"/>
          </w:rPr>
          <w:t xml:space="preserve">[10]</w:t>
        </w:r>
      </w:hyperlink>
      <w:r>
        <w:t xml:space="preserve">. These nulls are not failures of the design. They are the design working as intended, refusing to manufacture structure where the data cannot support it. A project that reported a confident recency effect from these thirty records, given a p-value of 0.887, would be committing exactly the over-trust in a noisy instrument that the substantive topic warns against.</w:t>
      </w:r>
    </w:p>
    <w:p>
      <w:pPr>
        <w:pStyle w:val="BodyText"/>
        <w:spacing w:line="480" w:lineRule="auto"/>
        <w:ind w:firstLine="720"/>
      </w:pPr>
      <w:r>
        <w:t xml:space="preserve">There is a pleasing consistency between method and subject here. The dissertation studies when operators over-trust automation, and its own estimators decline to over-trust a weak signal. The venue result is believed because it is precise and large; the recency and attention results are disbelieved because they are imprecise. That is calibration applied to the evidence, and it models the discipline the substantive problem demands.</w:t>
      </w:r>
    </w:p>
    <w:bookmarkEnd w:id="139"/>
    <w:bookmarkStart w:id="140" w:name="threats-to-validity"/>
    <w:p>
      <w:pPr>
        <w:pStyle w:val="Heading2"/>
        <w:spacing w:line="480" w:lineRule="auto"/>
      </w:pPr>
      <w:r>
        <w:t xml:space="preserve">Threats to validity</w:t>
      </w:r>
    </w:p>
    <w:p>
      <w:pPr>
        <w:pStyle w:val="FirstParagraph"/>
        <w:spacing w:line="480" w:lineRule="auto"/>
      </w:pPr>
      <w:r>
        <w:t xml:space="preserve">Several threats could undermine the interpretation, and each deserves an explicit hearing.</w:t>
      </w:r>
    </w:p>
    <w:p>
      <w:pPr>
        <w:pStyle w:val="BodyText"/>
        <w:spacing w:line="480" w:lineRule="auto"/>
        <w:ind w:firstLine="720"/>
      </w:pPr>
      <w:r>
        <w:t xml:space="preserve">Start with the outcome. The first threat is a measurement artifact in it. The topic-signal score counts term hits across title, snippet, keyword, and author fields, and some policy-economy records carried sparse or empty snippet and keyword fields in the retrieval</w:t>
      </w:r>
      <w:r>
        <w:t xml:space="preserve"> </w:t>
      </w:r>
      <w:hyperlink w:anchor="ref-5">
        <w:r>
          <w:rPr>
            <w:rStyle w:val="Hyperlink"/>
          </w:rPr>
          <w:t xml:space="preserve">[5]</w:t>
        </w:r>
      </w:hyperlink>
      <w:r>
        <w:t xml:space="preserve">. Part of the negative venue coefficient therefore reflects missing text in the higher venue tiers rather than genuine thematic dilution. The finding is valid as a description of this corpus, but the substantive claim that governance records engage the theme less densely is partly confounded with field completeness, and it should not be pressed beyond that.</w:t>
      </w:r>
    </w:p>
    <w:p>
      <w:pPr>
        <w:pStyle w:val="BodyText"/>
        <w:spacing w:line="480" w:lineRule="auto"/>
        <w:ind w:firstLine="720"/>
      </w:pPr>
      <w:r>
        <w:t xml:space="preserve">The second is the entanglement of predictors. Citation counts are populated only for the journal family, so the citation and venue predictors share information</w:t>
      </w:r>
      <w:r>
        <w:t xml:space="preserve"> </w:t>
      </w:r>
      <w:hyperlink w:anchor="ref-6">
        <w:r>
          <w:rPr>
            <w:rStyle w:val="Hyperlink"/>
          </w:rPr>
          <w:t xml:space="preserve">[6]</w:t>
        </w:r>
      </w:hyperlink>
      <w:r>
        <w:t xml:space="preserve">. The model conditions correctly, but the shared information widens the citation interval and makes an independent citation effect unrecoverable in this sample. A larger corpus with citation counts available across all venue families would break the entanglement and give the citation channel a fair test.</w:t>
      </w:r>
    </w:p>
    <w:p>
      <w:pPr>
        <w:pStyle w:val="BodyText"/>
        <w:spacing w:line="480" w:lineRule="auto"/>
        <w:ind w:firstLine="720"/>
      </w:pPr>
      <w:r>
        <w:t xml:space="preserve">The third is the citation field itself. Counts come from a local index, and zeros mean the index carried no figure, not that the work is uncited</w:t>
      </w:r>
      <w:r>
        <w:t xml:space="preserve"> </w:t>
      </w:r>
      <w:hyperlink w:anchor="ref-6">
        <w:r>
          <w:rPr>
            <w:rStyle w:val="Hyperlink"/>
          </w:rPr>
          <w:t xml:space="preserve">[6]</w:t>
        </w:r>
      </w:hyperlink>
      <w:r>
        <w:t xml:space="preserve">. This is not a minor caveat. It means every citation-based result, including the entire learning-curve model, rests on a variable that is structurally incomplete. The learning-curve non-finding is therefore doubly cautious: age may organize attention in the true citation record even though it does not in the index-derived one.</w:t>
      </w:r>
    </w:p>
    <w:p>
      <w:pPr>
        <w:pStyle w:val="BodyText"/>
        <w:spacing w:line="480" w:lineRule="auto"/>
        <w:ind w:firstLine="720"/>
      </w:pPr>
      <w:r>
        <w:t xml:space="preserve">The fourth is sample size and scope. Thirty records is enough to estimate four coefficients but not enough to probe interactions, non-linearities, or subgroup structure, and the corpus is a candidate-specific retrieval rather than a census</w:t>
      </w:r>
      <w:r>
        <w:t xml:space="preserve"> </w:t>
      </w:r>
      <w:hyperlink w:anchor="ref-1">
        <w:r>
          <w:rPr>
            <w:rStyle w:val="Hyperlink"/>
          </w:rPr>
          <w:t xml:space="preserve">[1]</w:t>
        </w:r>
      </w:hyperlink>
      <w:r>
        <w:t xml:space="preserve">. Absence of a recency effect in these thirty records is not evidence of absence in the field. The external validity of every result is bounded by the retrieval.</w:t>
      </w:r>
    </w:p>
    <w:p>
      <w:pPr>
        <w:pStyle w:val="BodyText"/>
        <w:spacing w:line="480" w:lineRule="auto"/>
        <w:ind w:firstLine="720"/>
      </w:pPr>
      <w:r>
        <w:t xml:space="preserve">The fifth is the ordinal venue scale. Coding venue as one, two, three imposes an ordering and an implicit equal spacing that the underlying reality need not honor</w:t>
      </w:r>
      <w:r>
        <w:t xml:space="preserve"> </w:t>
      </w:r>
      <w:hyperlink w:anchor="ref-16">
        <w:r>
          <w:rPr>
            <w:rStyle w:val="Hyperlink"/>
          </w:rPr>
          <w:t xml:space="preserve">[16]</w:t>
        </w:r>
      </w:hyperlink>
      <w:r>
        <w:t xml:space="preserve">. The linear venue coefficient reads an average per-step association, and if the true relationship is non-monotonic across the three families, the linear coefficient would average over that structure and could mislead. With only three levels the risk is contained, but it is real.</w:t>
      </w:r>
    </w:p>
    <w:p>
      <w:pPr>
        <w:pStyle w:val="BodyText"/>
        <w:spacing w:line="480" w:lineRule="auto"/>
        <w:ind w:firstLine="720"/>
      </w:pPr>
      <w:r>
        <w:t xml:space="preserve">Some questions sit outside this evidence entirely. Naming them is its own discipline.</w:t>
      </w:r>
    </w:p>
    <w:bookmarkEnd w:id="140"/>
    <w:bookmarkStart w:id="141" w:name="what-the-data-cannot-show"/>
    <w:p>
      <w:pPr>
        <w:pStyle w:val="Heading2"/>
        <w:spacing w:line="480" w:lineRule="auto"/>
      </w:pPr>
      <w:r>
        <w:t xml:space="preserve">What the data cannot show</w:t>
      </w:r>
    </w:p>
    <w:p>
      <w:pPr>
        <w:pStyle w:val="FirstParagraph"/>
        <w:spacing w:line="480" w:lineRule="auto"/>
      </w:pPr>
      <w:r>
        <w:t xml:space="preserve">It is worth stating plainly what lies outside the reach of this evidence. The dissertation cannot show that operators over-trust or under-trust automated conjunction assessment in practice, because it observes no operators and no decisions</w:t>
      </w:r>
      <w:r>
        <w:t xml:space="preserve"> </w:t>
      </w:r>
      <w:hyperlink w:anchor="ref-2">
        <w:r>
          <w:rPr>
            <w:rStyle w:val="Hyperlink"/>
          </w:rPr>
          <w:t xml:space="preserve">[2]</w:t>
        </w:r>
      </w:hyperlink>
      <w:r>
        <w:t xml:space="preserve"> </w:t>
      </w:r>
      <w:hyperlink w:anchor="ref-4">
        <w:r>
          <w:rPr>
            <w:rStyle w:val="Hyperlink"/>
          </w:rPr>
          <w:t xml:space="preserve">[4]</w:t>
        </w:r>
      </w:hyperlink>
      <w:r>
        <w:t xml:space="preserve">. It cannot show that governance language around automation is hardening or softening over time, because the recency channel returned nothing and the corpus does not code governance stance directly</w:t>
      </w:r>
      <w:r>
        <w:t xml:space="preserve"> </w:t>
      </w:r>
      <w:hyperlink w:anchor="ref-9">
        <w:r>
          <w:rPr>
            <w:rStyle w:val="Hyperlink"/>
          </w:rPr>
          <w:t xml:space="preserve">[9]</w:t>
        </w:r>
      </w:hyperlink>
      <w:r>
        <w:t xml:space="preserve">. It cannot show any causal effect of anything on anything, because nothing is randomized and the estimands are descriptive by construction. And it cannot generalize from thirty candidate-specific records to the full literature on trust calibration.</w:t>
      </w:r>
    </w:p>
    <w:p>
      <w:pPr>
        <w:pStyle w:val="BodyText"/>
        <w:spacing w:line="480" w:lineRule="auto"/>
        <w:ind w:firstLine="720"/>
      </w:pPr>
      <w:r>
        <w:t xml:space="preserve">What it can show is bounded and honest: that within a fully sourced, deterministically constructed corpus, topic signal is organized by venue family and not by recency, and that citation attention in these records is too sparse and index-dependent to reveal an age structure</w:t>
      </w:r>
      <w:r>
        <w:t xml:space="preserve"> </w:t>
      </w:r>
      <w:hyperlink w:anchor="ref-10">
        <w:r>
          <w:rPr>
            <w:rStyle w:val="Hyperlink"/>
          </w:rPr>
          <w:t xml:space="preserve">[10]</w:t>
        </w:r>
      </w:hyperlink>
      <w:r>
        <w:t xml:space="preserve"> </w:t>
      </w:r>
      <w:hyperlink w:anchor="ref-6">
        <w:r>
          <w:rPr>
            <w:rStyle w:val="Hyperlink"/>
          </w:rPr>
          <w:t xml:space="preserve">[6]</w:t>
        </w:r>
      </w:hyperlink>
      <w:r>
        <w:t xml:space="preserve">. That is a real finding inside a fenced claim space, and the fence is not a weakness to apologize for. It is the reason the finding can be believed at all.</w:t>
      </w:r>
    </w:p>
    <w:bookmarkEnd w:id="141"/>
    <w:bookmarkStart w:id="142" w:name="X37bd9fb0507134dc9363fffc96f0f58091941ca"/>
    <w:p>
      <w:pPr>
        <w:pStyle w:val="Heading2"/>
        <w:spacing w:line="480" w:lineRule="auto"/>
      </w:pPr>
      <w:r>
        <w:t xml:space="preserve">Alternative explanations for the venue result</w:t>
      </w:r>
    </w:p>
    <w:p>
      <w:pPr>
        <w:pStyle w:val="FirstParagraph"/>
        <w:spacing w:line="480" w:lineRule="auto"/>
      </w:pPr>
      <w:r>
        <w:t xml:space="preserve">Good practice requires entertaining rival accounts of the one durable finding before resting on the preferred one. The preferred account is thematic: proceedings authors engage trust calibration in denser, more direct language than governance authors</w:t>
      </w:r>
      <w:r>
        <w:t xml:space="preserve"> </w:t>
      </w:r>
      <w:hyperlink w:anchor="ref-4">
        <w:r>
          <w:rPr>
            <w:rStyle w:val="Hyperlink"/>
          </w:rPr>
          <w:t xml:space="preserve">[4]</w:t>
        </w:r>
      </w:hyperlink>
      <w:r>
        <w:t xml:space="preserve"> </w:t>
      </w:r>
      <w:hyperlink w:anchor="ref-16">
        <w:r>
          <w:rPr>
            <w:rStyle w:val="Hyperlink"/>
          </w:rPr>
          <w:t xml:space="preserve">[16]</w:t>
        </w:r>
      </w:hyperlink>
      <w:r>
        <w:t xml:space="preserve">. A first rival is the sparsity artifact already named, in which empty snippet and keyword fields in policy records mechanically lower their score irrespective of content</w:t>
      </w:r>
      <w:r>
        <w:t xml:space="preserve"> </w:t>
      </w:r>
      <w:hyperlink w:anchor="ref-5">
        <w:r>
          <w:rPr>
            <w:rStyle w:val="Hyperlink"/>
          </w:rPr>
          <w:t xml:space="preserve">[5]</w:t>
        </w:r>
      </w:hyperlink>
      <w:r>
        <w:t xml:space="preserve">. This rival cannot be dismissed, and it means the venue coefficient overstates the true thematic gradient by some unknown amount; the honest position is that the coefficient is an upper bound on the thematic effect and a lower bound on nothing. A second rival is temporal confounding: if the venue families differ systematically in publication year, the venue coefficient could be absorbing a recency effect in disguise. The data argue against this rival, because recency enters the same model directly and returns nothing, so any recency structure would have been captured by its own term rather than displaced onto venue</w:t>
      </w:r>
      <w:r>
        <w:t xml:space="preserve"> </w:t>
      </w:r>
      <w:hyperlink w:anchor="ref-3">
        <w:r>
          <w:rPr>
            <w:rStyle w:val="Hyperlink"/>
          </w:rPr>
          <w:t xml:space="preserve">[3]</w:t>
        </w:r>
      </w:hyperlink>
      <w:r>
        <w:t xml:space="preserve">. A third rival is selection in the retrieval itself: if the retrieval favored theme-dense proceedings and theme-diffuse policy records for reasons unrelated to the field, the venue gradient would be an artifact of corpus assembly rather than a property of the literature</w:t>
      </w:r>
      <w:r>
        <w:t xml:space="preserve"> </w:t>
      </w:r>
      <w:hyperlink w:anchor="ref-1">
        <w:r>
          <w:rPr>
            <w:rStyle w:val="Hyperlink"/>
          </w:rPr>
          <w:t xml:space="preserve">[1]</w:t>
        </w:r>
      </w:hyperlink>
      <w:r>
        <w:t xml:space="preserve">. This rival is the most serious, and it can be answered only by a differently assembled corpus, which is why Chapter 8 makes corpus expansion the first item of future work.</w:t>
      </w:r>
    </w:p>
    <w:bookmarkEnd w:id="142"/>
    <w:bookmarkStart w:id="143" w:name="the-reflexive-risk"/>
    <w:p>
      <w:pPr>
        <w:pStyle w:val="Heading2"/>
        <w:spacing w:line="480" w:lineRule="auto"/>
      </w:pPr>
      <w:r>
        <w:t xml:space="preserve">The reflexive risk</w:t>
      </w:r>
    </w:p>
    <w:p>
      <w:pPr>
        <w:pStyle w:val="FirstParagraph"/>
        <w:spacing w:line="480" w:lineRule="auto"/>
      </w:pPr>
      <w:r>
        <w:t xml:space="preserve">A dissertation about trust miscalibration runs a specific reflexive risk: that the analyst over-trusts the one significant coefficient simply because it is significant. The venue result is precise and large, and precision is seductive</w:t>
      </w:r>
      <w:r>
        <w:t xml:space="preserve"> </w:t>
      </w:r>
      <w:hyperlink w:anchor="ref-2">
        <w:r>
          <w:rPr>
            <w:rStyle w:val="Hyperlink"/>
          </w:rPr>
          <w:t xml:space="preserve">[2]</w:t>
        </w:r>
      </w:hyperlink>
      <w:r>
        <w:t xml:space="preserve">. The discipline against this risk is to hold the venue finding to the same standard the substantive topic sets for operators, which means asking not only whether the coefficient is significant but whether the mechanism behind it is sound and whether rival mechanisms have been excluded. The preceding section does that work, and its conclusion is deliberately hedged: the venue result is real as a description of this corpus and partly confounded as a claim about the field. Reporting it that way, rather than as a clean discovery, is the analytic analogue of an operator who acts on an alert while flagging the covariance it rests on. The dissertation tries to practice the calibration it studies.</w:t>
      </w:r>
    </w:p>
    <w:bookmarkEnd w:id="143"/>
    <w:bookmarkStart w:id="144" w:name="X598d664ac7946e2e6615d75e203d1bdf9dbab01"/>
    <w:p>
      <w:pPr>
        <w:pStyle w:val="Heading2"/>
        <w:spacing w:line="480" w:lineRule="auto"/>
      </w:pPr>
      <w:r>
        <w:t xml:space="preserve">Boundary between description and prescription</w:t>
      </w:r>
    </w:p>
    <w:p>
      <w:pPr>
        <w:pStyle w:val="FirstParagraph"/>
        <w:spacing w:line="480" w:lineRule="auto"/>
      </w:pPr>
      <w:r>
        <w:t xml:space="preserve">One further limit deserves a clean statement because it is the one most likely to be transgressed by a reader in a hurry. The finding that trust-and-automation engagement concentrates in proceedings is descriptive. It describes where the field’s densest thinking sits in this corpus. It does not prescribe that institutions should therefore weight proceedings more heavily in their guidance, because that prescription would require evidence about the quality and reliability of proceedings-based claims that this design does not gather</w:t>
      </w:r>
      <w:r>
        <w:t xml:space="preserve"> </w:t>
      </w:r>
      <w:hyperlink w:anchor="ref-7">
        <w:r>
          <w:rPr>
            <w:rStyle w:val="Hyperlink"/>
          </w:rPr>
          <w:t xml:space="preserve">[7]</w:t>
        </w:r>
      </w:hyperlink>
      <w:r>
        <w:t xml:space="preserve"> </w:t>
      </w:r>
      <w:hyperlink w:anchor="ref-8">
        <w:r>
          <w:rPr>
            <w:rStyle w:val="Hyperlink"/>
          </w:rPr>
          <w:t xml:space="preserve">[8]</w:t>
        </w:r>
      </w:hyperlink>
      <w:r>
        <w:t xml:space="preserve">. The dissertation can say where to look; it cannot say that what is found there is correct. Keeping description and prescription separate is the final act of validity discipline in this chapter, and it sets up Chapter 8 to draw only those implications the evidence actually licenses.</w:t>
      </w:r>
    </w:p>
    <w:bookmarkEnd w:id="144"/>
    <w:bookmarkStart w:id="145" w:name="what-generalization-would-require"/>
    <w:p>
      <w:pPr>
        <w:pStyle w:val="Heading2"/>
        <w:spacing w:line="480" w:lineRule="auto"/>
      </w:pPr>
      <w:r>
        <w:t xml:space="preserve">What generalization would require</w:t>
      </w:r>
    </w:p>
    <w:p>
      <w:pPr>
        <w:pStyle w:val="FirstParagraph"/>
        <w:spacing w:line="480" w:lineRule="auto"/>
      </w:pPr>
      <w:r>
        <w:t xml:space="preserve">Because the corpus is a candidate-specific retrieval of thirty records, the question of generalization is not academic; it determines how far any reader may carry the venue finding. Generalizing the finding to the broader trust-and-automation literature would require three conditions the present study does not meet. The retrieval would need to sample the field rather than represent a topic, so that the venue distribution mirrored the field’s rather than the candidate’s search</w:t>
      </w:r>
      <w:r>
        <w:t xml:space="preserve"> </w:t>
      </w:r>
      <w:hyperlink w:anchor="ref-1">
        <w:r>
          <w:rPr>
            <w:rStyle w:val="Hyperlink"/>
          </w:rPr>
          <w:t xml:space="preserve">[1]</w:t>
        </w:r>
      </w:hyperlink>
      <w:r>
        <w:t xml:space="preserve">. The topic-signal instrument would need validation against human coding, so that a low score in a governance record could be read as genuine thematic distance rather than empty metadata</w:t>
      </w:r>
      <w:r>
        <w:t xml:space="preserve"> </w:t>
      </w:r>
      <w:hyperlink w:anchor="ref-5">
        <w:r>
          <w:rPr>
            <w:rStyle w:val="Hyperlink"/>
          </w:rPr>
          <w:t xml:space="preserve">[5]</w:t>
        </w:r>
      </w:hyperlink>
      <w:r>
        <w:t xml:space="preserve">. And the citation field would need uniform coverage across venue families, so that the entanglement between citation and venue could be broken and each channel tested on its own</w:t>
      </w:r>
      <w:r>
        <w:t xml:space="preserve"> </w:t>
      </w:r>
      <w:hyperlink w:anchor="ref-6">
        <w:r>
          <w:rPr>
            <w:rStyle w:val="Hyperlink"/>
          </w:rPr>
          <w:t xml:space="preserve">[6]</w:t>
        </w:r>
      </w:hyperlink>
      <w:r>
        <w:t xml:space="preserve">. None of these holds here, and their absence is why the dissertation frames the venue result as a property of this corpus rather than a law of the literature. A reader who wants the general claim must run the study that meets the three conditions, and Chapter 8 specifies that study.</w:t>
      </w:r>
    </w:p>
    <w:bookmarkEnd w:id="145"/>
    <w:bookmarkStart w:id="146" w:name="the-asymmetry-of-the-two-results"/>
    <w:p>
      <w:pPr>
        <w:pStyle w:val="Heading2"/>
        <w:spacing w:line="480" w:lineRule="auto"/>
      </w:pPr>
      <w:r>
        <w:t xml:space="preserve">The asymmetry of the two results</w:t>
      </w:r>
    </w:p>
    <w:p>
      <w:pPr>
        <w:pStyle w:val="FirstParagraph"/>
        <w:spacing w:line="480" w:lineRule="auto"/>
      </w:pPr>
      <w:r>
        <w:t xml:space="preserve">There is an instructive asymmetry between the venue finding and the citation nulls that bears on how much each should travel. The venue finding rests on a variable, venue family, that is coded completely and deterministically for every record, so its precision reflects real structure rather than a coverage accident</w:t>
      </w:r>
      <w:r>
        <w:t xml:space="preserve"> </w:t>
      </w:r>
      <w:hyperlink w:anchor="ref-4">
        <w:r>
          <w:rPr>
            <w:rStyle w:val="Hyperlink"/>
          </w:rPr>
          <w:t xml:space="preserve">[4]</w:t>
        </w:r>
      </w:hyperlink>
      <w:r>
        <w:t xml:space="preserve">. The citation nulls rest on a variable riddled with structural zeros, so their imprecision could reflect either a true absence of structure or the impoverishment of the measure</w:t>
      </w:r>
      <w:r>
        <w:t xml:space="preserve"> </w:t>
      </w:r>
      <w:hyperlink w:anchor="ref-6">
        <w:r>
          <w:rPr>
            <w:rStyle w:val="Hyperlink"/>
          </w:rPr>
          <w:t xml:space="preserve">[6]</w:t>
        </w:r>
      </w:hyperlink>
      <w:r>
        <w:t xml:space="preserve">. This asymmetry means the two kinds of result do not deserve equal epistemic weight even though both emerge from the same estimator. The venue finding is a firm description of the corpus. The citation nulls are soft evidence, informative mainly as a warning that the citation channel cannot be tested on this data. Treating them as symmetric, as if a null on a broken variable carried the same authority as a finding on a clean one, would be its own small act of miscalibration, and the discussion is careful to weight them differently</w:t>
      </w:r>
      <w:r>
        <w:t xml:space="preserve"> </w:t>
      </w:r>
      <w:hyperlink w:anchor="ref-7">
        <w:r>
          <w:rPr>
            <w:rStyle w:val="Hyperlink"/>
          </w:rPr>
          <w:t xml:space="preserve">[7]</w:t>
        </w:r>
      </w:hyperlink>
      <w:r>
        <w:t xml:space="preserve">.</w:t>
      </w:r>
    </w:p>
    <w:bookmarkEnd w:id="146"/>
    <w:bookmarkStart w:id="147" w:name="X9df788158e20fbafd77ceb2141047f2d64dfa9a"/>
    <w:p>
      <w:pPr>
        <w:pStyle w:val="Heading2"/>
        <w:spacing w:line="480" w:lineRule="auto"/>
      </w:pPr>
      <w:r>
        <w:t xml:space="preserve">Consequences for the substantive question</w:t>
      </w:r>
    </w:p>
    <w:p>
      <w:pPr>
        <w:pStyle w:val="FirstParagraph"/>
        <w:spacing w:line="480" w:lineRule="auto"/>
      </w:pPr>
      <w:r>
        <w:t xml:space="preserve">Stepping back to the operator, the honest accounting of limits still leaves a usable residue. The dissertation cannot say whether operators over-trust automated conjunction assessment, but it can say where the field’s most direct thinking about that question is written, and it can say that a citation-weighted reading of the field will miss it</w:t>
      </w:r>
      <w:r>
        <w:t xml:space="preserve"> </w:t>
      </w:r>
      <w:hyperlink w:anchor="ref-4">
        <w:r>
          <w:rPr>
            <w:rStyle w:val="Hyperlink"/>
          </w:rPr>
          <w:t xml:space="preserve">[4]</w:t>
        </w:r>
      </w:hyperlink>
      <w:r>
        <w:t xml:space="preserve"> </w:t>
      </w:r>
      <w:hyperlink w:anchor="ref-8">
        <w:r>
          <w:rPr>
            <w:rStyle w:val="Hyperlink"/>
          </w:rPr>
          <w:t xml:space="preserve">[8]</w:t>
        </w:r>
      </w:hyperlink>
      <w:r>
        <w:t xml:space="preserve">. For an institution designing the trust environment operators will inhabit, that is a real if modest input: it tells the institution where to read and warns it against a reflexive weighting that would look past the operational literature</w:t>
      </w:r>
      <w:r>
        <w:t xml:space="preserve"> </w:t>
      </w:r>
      <w:hyperlink w:anchor="ref-3">
        <w:r>
          <w:rPr>
            <w:rStyle w:val="Hyperlink"/>
          </w:rPr>
          <w:t xml:space="preserve">[3]</w:t>
        </w:r>
      </w:hyperlink>
      <w:r>
        <w:t xml:space="preserve">. The finding does not resolve the substantive question, and this chapter has been at pains to say so. It sharpens where the resolution should be sought, and in a field moving as fast as this one, a sharpened search is not nothing</w:t>
      </w:r>
      <w:r>
        <w:t xml:space="preserve"> </w:t>
      </w:r>
      <w:hyperlink w:anchor="ref-10">
        <w:r>
          <w:rPr>
            <w:rStyle w:val="Hyperlink"/>
          </w:rPr>
          <w:t xml:space="preserve">[10]</w:t>
        </w:r>
      </w:hyperlink>
      <w:r>
        <w:t xml:space="preserve"> </w:t>
      </w:r>
      <w:hyperlink w:anchor="ref-13">
        <w:r>
          <w:rPr>
            <w:rStyle w:val="Hyperlink"/>
          </w:rPr>
          <w:t xml:space="preserve">[13]</w:t>
        </w:r>
      </w:hyperlink>
      <w:r>
        <w:t xml:space="preserve">.</w:t>
      </w:r>
    </w:p>
    <w:bookmarkEnd w:id="147"/>
    <w:bookmarkStart w:id="148" w:name="decomposing-the-venue-coefficient"/>
    <w:p>
      <w:pPr>
        <w:pStyle w:val="Heading2"/>
        <w:spacing w:line="480" w:lineRule="auto"/>
      </w:pPr>
      <w:r>
        <w:t xml:space="preserve">Decomposing the venue coefficient</w:t>
      </w:r>
    </w:p>
    <w:p>
      <w:pPr>
        <w:pStyle w:val="FirstParagraph"/>
        <w:spacing w:line="480" w:lineRule="auto"/>
      </w:pPr>
      <w:r>
        <w:t xml:space="preserve">The single most consequential interpretive task in this chapter is to decompose the venue coefficient into its real and artifactual parts, because the whole substantive reading turns on it. The coefficient of roughly -1.83 per ordinal step is a sum of two effects that push the same direction</w:t>
      </w:r>
      <w:r>
        <w:t xml:space="preserve"> </w:t>
      </w:r>
      <w:hyperlink w:anchor="ref-4">
        <w:r>
          <w:rPr>
            <w:rStyle w:val="Hyperlink"/>
          </w:rPr>
          <w:t xml:space="preserve">[4]</w:t>
        </w:r>
      </w:hyperlink>
      <w:r>
        <w:t xml:space="preserve">. The real effect is thematic: proceedings authors, closest to the console, name the trust-and-automation problem in dense operational vocabulary, while governance authors embed it in broader institutional language that a term-hit instrument scores lower</w:t>
      </w:r>
      <w:r>
        <w:t xml:space="preserve"> </w:t>
      </w:r>
      <w:hyperlink w:anchor="ref-5">
        <w:r>
          <w:rPr>
            <w:rStyle w:val="Hyperlink"/>
          </w:rPr>
          <w:t xml:space="preserve">[5]</w:t>
        </w:r>
      </w:hyperlink>
      <w:r>
        <w:t xml:space="preserve"> </w:t>
      </w:r>
      <w:hyperlink w:anchor="ref-16">
        <w:r>
          <w:rPr>
            <w:rStyle w:val="Hyperlink"/>
          </w:rPr>
          <w:t xml:space="preserve">[16]</w:t>
        </w:r>
      </w:hyperlink>
      <w:r>
        <w:t xml:space="preserve">. The artifactual effect is sparsity: several policy-economy records carried empty snippet and keyword fields, flooring their signal for reasons unrelated to content</w:t>
      </w:r>
      <w:r>
        <w:t xml:space="preserve"> </w:t>
      </w:r>
      <w:hyperlink w:anchor="ref-5">
        <w:r>
          <w:rPr>
            <w:rStyle w:val="Hyperlink"/>
          </w:rPr>
          <w:t xml:space="preserve">[5]</w:t>
        </w:r>
      </w:hyperlink>
      <w:r>
        <w:t xml:space="preserve">. The two cannot be separated with the present data, which is why the coefficient is best read as an upper bound on the thematic gradient. The honest position is a range: some of the venue effect is a genuine property of how the field writes about trust, and some is an accident of how completely the retrieval populated each record’s fields. A direct-coding study that scored engagement independently of metadata completeness would fix the decomposition, and until it is run the venue finding must carry this qualification wherever it travels</w:t>
      </w:r>
      <w:r>
        <w:t xml:space="preserve"> </w:t>
      </w:r>
      <w:hyperlink w:anchor="ref-7">
        <w:r>
          <w:rPr>
            <w:rStyle w:val="Hyperlink"/>
          </w:rPr>
          <w:t xml:space="preserve">[7]</w:t>
        </w:r>
      </w:hyperlink>
      <w:r>
        <w:t xml:space="preserve">.</w:t>
      </w:r>
    </w:p>
    <w:bookmarkEnd w:id="148"/>
    <w:bookmarkStart w:id="149" w:name="the-finding-in-proportion"/>
    <w:p>
      <w:pPr>
        <w:pStyle w:val="Heading2"/>
        <w:spacing w:line="480" w:lineRule="auto"/>
      </w:pPr>
      <w:r>
        <w:t xml:space="preserve">The finding in proportion</w:t>
      </w:r>
    </w:p>
    <w:p>
      <w:pPr>
        <w:pStyle w:val="FirstParagraph"/>
        <w:spacing w:line="480" w:lineRule="auto"/>
      </w:pPr>
      <w:r>
        <w:t xml:space="preserve">Keeping the finding in proportion guards against both inflation and dismissal. Inflation would read the venue coefficient as proof that the field’s operational thinking is systematically undervalued, a claim the artifact contamination cannot support on its own</w:t>
      </w:r>
      <w:r>
        <w:t xml:space="preserve"> </w:t>
      </w:r>
      <w:hyperlink w:anchor="ref-5">
        <w:r>
          <w:rPr>
            <w:rStyle w:val="Hyperlink"/>
          </w:rPr>
          <w:t xml:space="preserve">[5]</w:t>
        </w:r>
      </w:hyperlink>
      <w:r>
        <w:t xml:space="preserve">. Dismissal would read the sparsity artifact as grounds to discard the coefficient entirely, ignoring that the thematic component is real and that even a partially artifactual gradient tells a synthesis where the dense material sits</w:t>
      </w:r>
      <w:r>
        <w:t xml:space="preserve"> </w:t>
      </w:r>
      <w:hyperlink w:anchor="ref-4">
        <w:r>
          <w:rPr>
            <w:rStyle w:val="Hyperlink"/>
          </w:rPr>
          <w:t xml:space="preserve">[4]</w:t>
        </w:r>
      </w:hyperlink>
      <w:r>
        <w:t xml:space="preserve">. The proportionate reading lands between: the corpus is organized by venue, the organization is partly thematic and partly artifactual, and the practical upshot, that a citation-weighted synthesis will undercount the proceedings literature, survives either way, because proceedings score high on theme density whether or not the policy records were sparsely indexed</w:t>
      </w:r>
      <w:r>
        <w:t xml:space="preserve"> </w:t>
      </w:r>
      <w:hyperlink w:anchor="ref-8">
        <w:r>
          <w:rPr>
            <w:rStyle w:val="Hyperlink"/>
          </w:rPr>
          <w:t xml:space="preserve">[8]</w:t>
        </w:r>
      </w:hyperlink>
      <w:r>
        <w:t xml:space="preserve"> </w:t>
      </w:r>
      <w:hyperlink w:anchor="ref-7">
        <w:r>
          <w:rPr>
            <w:rStyle w:val="Hyperlink"/>
          </w:rPr>
          <w:t xml:space="preserve">[7]</w:t>
        </w:r>
      </w:hyperlink>
      <w:r>
        <w:t xml:space="preserve">. The dissertation adopts this proportionate reading and resists the temptation to round it in either direction, which is the same discipline it asks of the operators it studies.</w:t>
      </w:r>
    </w:p>
    <w:bookmarkEnd w:id="149"/>
    <w:bookmarkStart w:id="150" w:name="limits-of-the-learning-curve-non-finding"/>
    <w:p>
      <w:pPr>
        <w:pStyle w:val="Heading2"/>
        <w:spacing w:line="480" w:lineRule="auto"/>
      </w:pPr>
      <w:r>
        <w:t xml:space="preserve">Limits of the learning-curve non-finding</w:t>
      </w:r>
    </w:p>
    <w:p>
      <w:pPr>
        <w:pStyle w:val="FirstParagraph"/>
        <w:spacing w:line="480" w:lineRule="auto"/>
      </w:pPr>
      <w:r>
        <w:t xml:space="preserve">The learning-curve null carries its own interpretive limits, and honesty requires naming them rather than treating the null as settled. The model found no age structure in citation accumulation, but the finding is conditional on a citation field that is structurally incomplete, populated only for the journal block and zero everywhere else by index coverage rather than by true absence of citations</w:t>
      </w:r>
      <w:r>
        <w:t xml:space="preserve"> </w:t>
      </w:r>
      <w:hyperlink w:anchor="ref-6">
        <w:r>
          <w:rPr>
            <w:rStyle w:val="Hyperlink"/>
          </w:rPr>
          <w:t xml:space="preserve">[6]</w:t>
        </w:r>
      </w:hyperlink>
      <w:r>
        <w:t xml:space="preserve">. This means the null has two possible readings, and the data cannot choose between them. Age may genuinely fail to organize attention in this literature, or age may organize attention in the true citation record while the index-derived field is too impoverished to reveal it</w:t>
      </w:r>
      <w:r>
        <w:t xml:space="preserve"> </w:t>
      </w:r>
      <w:hyperlink w:anchor="ref-10">
        <w:r>
          <w:rPr>
            <w:rStyle w:val="Hyperlink"/>
          </w:rPr>
          <w:t xml:space="preserve">[10]</w:t>
        </w:r>
      </w:hyperlink>
      <w:r>
        <w:t xml:space="preserve">. The dissertation reports the null as what the estimator produced and refuses to elevate it into a claim that citation attention is truly unstructured by age, because the measure cannot support that stronger statement. This is the softest result in the dissertation, and it is labeled plainly for what it is. Its main value is not as a finding about the field but as a diagnostic about the data: it tells any future study that the citation channel cannot be tested until the citation field is rebuilt with uniform coverage</w:t>
      </w:r>
      <w:r>
        <w:t xml:space="preserve"> </w:t>
      </w:r>
      <w:hyperlink w:anchor="ref-7">
        <w:r>
          <w:rPr>
            <w:rStyle w:val="Hyperlink"/>
          </w:rPr>
          <w:t xml:space="preserve">[7]</w:t>
        </w:r>
      </w:hyperlink>
      <w:r>
        <w:t xml:space="preserve">. A null that mostly indicts its own measure is still informative, but it is informative about the instrument more than about the world, and the discussion keeps that distinction sharp.</w:t>
      </w:r>
    </w:p>
    <w:bookmarkEnd w:id="150"/>
    <w:bookmarkEnd w:id="151"/>
    <w:bookmarkStart w:id="196" w:name="conclusions-and-implications"/>
    <w:p>
      <w:pPr>
        <w:pStyle w:val="Heading1"/>
        <w:spacing w:line="480" w:lineRule="auto"/>
      </w:pPr>
      <w:r>
        <w:t xml:space="preserve">Conclusions and Implications</w:t>
      </w:r>
    </w:p>
    <w:p>
      <w:pPr>
        <w:pStyle w:val="FirstParagraph"/>
        <w:spacing w:line="480" w:lineRule="auto"/>
      </w:pPr>
      <w:r>
        <w:t xml:space="preserve">This dissertation began with a decision made thousands of times a day at satellite operations centers: whether to trust an automated conjunction screen. It ended somewhere more modest and more tractable, with a measurement of how the field’s own literature on that decision is structured. The distance between the two is the honest scope of a design-stage project. This chapter states what was contributed, what it means for the institutions now rebuilding conjunction assessment as a civil and commercial function, and what study should come next.</w:t>
      </w:r>
    </w:p>
    <w:bookmarkStart w:id="152" w:name="the-contribution-stated-exactly"/>
    <w:p>
      <w:pPr>
        <w:pStyle w:val="Heading2"/>
        <w:spacing w:line="480" w:lineRule="auto"/>
      </w:pPr>
      <w:r>
        <w:t xml:space="preserve">The contribution, stated exactly</w:t>
      </w:r>
    </w:p>
    <w:p>
      <w:pPr>
        <w:pStyle w:val="FirstParagraph"/>
        <w:spacing w:line="480" w:lineRule="auto"/>
      </w:pPr>
      <w:r>
        <w:t xml:space="preserve">One proposition, tested to a clean result. That is the contribution. The proposition held that topic signal in a corpus on automation trust is systematically related to publication recency, citation attention, and venue family. The ordinary least squares model rejected its joint null decisively, with an F p-value below one in a thousand and about a third of the variance explained, and the rejection was driven entirely by venue family, whose coefficient of roughly -1.83 per ordinal step was estimated with a p-value near eight in a million</w:t>
      </w:r>
      <w:r>
        <w:t xml:space="preserve"> </w:t>
      </w:r>
      <w:hyperlink w:anchor="ref-1">
        <w:r>
          <w:rPr>
            <w:rStyle w:val="Hyperlink"/>
          </w:rPr>
          <w:t xml:space="preserve">[1]</w:t>
        </w:r>
      </w:hyperlink>
      <w:r>
        <w:t xml:space="preserve"> </w:t>
      </w:r>
      <w:hyperlink w:anchor="ref-4">
        <w:r>
          <w:rPr>
            <w:rStyle w:val="Hyperlink"/>
          </w:rPr>
          <w:t xml:space="preserve">[4]</w:t>
        </w:r>
      </w:hyperlink>
      <w:r>
        <w:t xml:space="preserve">. Recency and citation attention contributed nothing the data could resolve. The companion learning-curve model found no age structure in citation accumulation, returning a non-significant elasticity and near-zero explanatory power</w:t>
      </w:r>
      <w:r>
        <w:t xml:space="preserve"> </w:t>
      </w:r>
      <w:hyperlink w:anchor="ref-10">
        <w:r>
          <w:rPr>
            <w:rStyle w:val="Hyperlink"/>
          </w:rPr>
          <w:t xml:space="preserve">[10]</w:t>
        </w:r>
      </w:hyperlink>
      <w:r>
        <w:t xml:space="preserve">. The falsifiable claim was tested, and the corpus answered along one dimension while declining to answer along the others.</w:t>
      </w:r>
    </w:p>
    <w:p>
      <w:pPr>
        <w:pStyle w:val="BodyText"/>
        <w:spacing w:line="480" w:lineRule="auto"/>
        <w:ind w:firstLine="720"/>
      </w:pPr>
      <w:r>
        <w:t xml:space="preserve">That is the whole contribution, and its value is not the size of any coefficient. Its value is that the entire chain, from source selection through deterministic variable construction to estimator output and interpretation, is auditable end to end. A reader with the workbook can recompute every reported number and confirm that the interpretation does not exceed it</w:t>
      </w:r>
      <w:r>
        <w:t xml:space="preserve"> </w:t>
      </w:r>
      <w:hyperlink w:anchor="ref-3">
        <w:r>
          <w:rPr>
            <w:rStyle w:val="Hyperlink"/>
          </w:rPr>
          <w:t xml:space="preserve">[3]</w:t>
        </w:r>
      </w:hyperlink>
      <w:r>
        <w:t xml:space="preserve"> </w:t>
      </w:r>
      <w:hyperlink w:anchor="ref-7">
        <w:r>
          <w:rPr>
            <w:rStyle w:val="Hyperlink"/>
          </w:rPr>
          <w:t xml:space="preserve">[7]</w:t>
        </w:r>
      </w:hyperlink>
      <w:r>
        <w:t xml:space="preserve">. In a field where trust in automated pipelines is the substantive subject, delivering an analysis whose own pipeline is fully inspectable is not incidental. It is the point, enacted at the level of method.</w:t>
      </w:r>
    </w:p>
    <w:bookmarkEnd w:id="152"/>
    <w:bookmarkStart w:id="153" w:name="Xe6f419bfdfbf95a5f4c64a8258b3a13b7595695"/>
    <w:p>
      <w:pPr>
        <w:pStyle w:val="Heading2"/>
        <w:spacing w:line="480" w:lineRule="auto"/>
      </w:pPr>
      <w:r>
        <w:t xml:space="preserve">Why the venue finding matters for the field</w:t>
      </w:r>
    </w:p>
    <w:p>
      <w:pPr>
        <w:pStyle w:val="FirstParagraph"/>
        <w:spacing w:line="480" w:lineRule="auto"/>
      </w:pPr>
      <w:r>
        <w:t xml:space="preserve">The one durable result has a practical edge. The densest engagement with automation trust in this corpus sits in the conference-proceedings literature, not in the archival journals or the policy-economy records</w:t>
      </w:r>
      <w:r>
        <w:t xml:space="preserve"> </w:t>
      </w:r>
      <w:hyperlink w:anchor="ref-4">
        <w:r>
          <w:rPr>
            <w:rStyle w:val="Hyperlink"/>
          </w:rPr>
          <w:t xml:space="preserve">[4]</w:t>
        </w:r>
      </w:hyperlink>
      <w:r>
        <w:t xml:space="preserve"> </w:t>
      </w:r>
      <w:hyperlink w:anchor="ref-16">
        <w:r>
          <w:rPr>
            <w:rStyle w:val="Hyperlink"/>
          </w:rPr>
          <w:t xml:space="preserve">[16]</w:t>
        </w:r>
      </w:hyperlink>
      <w:r>
        <w:t xml:space="preserve">. For institutions synthesizing the state of knowledge as they design the next conjunction assessment architecture, that is a directional correction. A synthesis that weights journals and citation counts, as syntheses reflexively do, will systematically undercount the proceedings community that speaks about operator trust most directly</w:t>
      </w:r>
      <w:r>
        <w:t xml:space="preserve"> </w:t>
      </w:r>
      <w:hyperlink w:anchor="ref-7">
        <w:r>
          <w:rPr>
            <w:rStyle w:val="Hyperlink"/>
          </w:rPr>
          <w:t xml:space="preserve">[7]</w:t>
        </w:r>
      </w:hyperlink>
      <w:r>
        <w:t xml:space="preserve">. The people closest to the console are writing the most theme-dense material in the least archived venue. Any effort to codify trust-calibration requirements for a civil screening service should read the proceedings literature as a primary source, not a secondary one</w:t>
      </w:r>
      <w:r>
        <w:t xml:space="preserve"> </w:t>
      </w:r>
      <w:hyperlink w:anchor="ref-8">
        <w:r>
          <w:rPr>
            <w:rStyle w:val="Hyperlink"/>
          </w:rPr>
          <w:t xml:space="preserve">[8]</w:t>
        </w:r>
      </w:hyperlink>
      <w:r>
        <w:t xml:space="preserve">.</w:t>
      </w:r>
    </w:p>
    <w:bookmarkEnd w:id="153"/>
    <w:bookmarkStart w:id="154" w:name="governance-and-program-relevance"/>
    <w:p>
      <w:pPr>
        <w:pStyle w:val="Heading2"/>
        <w:spacing w:line="480" w:lineRule="auto"/>
      </w:pPr>
      <w:r>
        <w:t xml:space="preserve">Governance and program relevance</w:t>
      </w:r>
    </w:p>
    <w:p>
      <w:pPr>
        <w:pStyle w:val="FirstParagraph"/>
        <w:spacing w:line="480" w:lineRule="auto"/>
      </w:pPr>
      <w:r>
        <w:t xml:space="preserve">The timing gives the finding a home. Conjunction assessment is moving from a single military service toward a distributed civil and commercial function, with validation methodologies being written now to decide when operators should rely on the new service</w:t>
      </w:r>
      <w:r>
        <w:t xml:space="preserve"> </w:t>
      </w:r>
      <w:hyperlink w:anchor="ref-8">
        <w:r>
          <w:rPr>
            <w:rStyle w:val="Hyperlink"/>
          </w:rPr>
          <w:t xml:space="preserve">[8]</w:t>
        </w:r>
      </w:hyperlink>
      <w:r>
        <w:t xml:space="preserve">. The governance question underneath that transition is precisely the one this dissertation could not answer directly and could only frame: how much authority to grant automation, and how to keep operator trust calibrated as the human moves into a supervisory role</w:t>
      </w:r>
      <w:r>
        <w:t xml:space="preserve"> </w:t>
      </w:r>
      <w:hyperlink w:anchor="ref-2">
        <w:r>
          <w:rPr>
            <w:rStyle w:val="Hyperlink"/>
          </w:rPr>
          <w:t xml:space="preserve">[2]</w:t>
        </w:r>
      </w:hyperlink>
      <w:r>
        <w:t xml:space="preserve"> </w:t>
      </w:r>
      <w:hyperlink w:anchor="ref-3">
        <w:r>
          <w:rPr>
            <w:rStyle w:val="Hyperlink"/>
          </w:rPr>
          <w:t xml:space="preserve">[3]</w:t>
        </w:r>
      </w:hyperlink>
      <w:r>
        <w:t xml:space="preserve">. The legal exposure that attaches when an autonomous system makes the consequential call is already outrunning the liability regimes meant to govern it</w:t>
      </w:r>
      <w:r>
        <w:t xml:space="preserve"> </w:t>
      </w:r>
      <w:hyperlink w:anchor="ref-9">
        <w:r>
          <w:rPr>
            <w:rStyle w:val="Hyperlink"/>
          </w:rPr>
          <w:t xml:space="preserve">[9]</w:t>
        </w:r>
      </w:hyperlink>
      <w:r>
        <w:t xml:space="preserve">. As coordination extends into cislunar space, where tracking is sparse and automation is not optional, the calibration problem only sharpens</w:t>
      </w:r>
      <w:r>
        <w:t xml:space="preserve"> </w:t>
      </w:r>
      <w:hyperlink w:anchor="ref-13">
        <w:r>
          <w:rPr>
            <w:rStyle w:val="Hyperlink"/>
          </w:rPr>
          <w:t xml:space="preserve">[13]</w:t>
        </w:r>
      </w:hyperlink>
      <w:r>
        <w:t xml:space="preserve">.</w:t>
      </w:r>
    </w:p>
    <w:p>
      <w:pPr>
        <w:pStyle w:val="BodyText"/>
        <w:spacing w:line="480" w:lineRule="auto"/>
        <w:ind w:firstLine="720"/>
      </w:pPr>
      <w:r>
        <w:t xml:space="preserve">This dissertation contributes to that conversation not with a policy recommendation, which its evidence cannot support, but with a disciplined instrument and an honest map of where the field’s attention actually concentrates. A program office does not need another confident assertion about trust. It needs to know where to look and how to read what it finds, and it needs analysts who will report a non-finding as readily as a finding</w:t>
      </w:r>
      <w:r>
        <w:t xml:space="preserve"> </w:t>
      </w:r>
      <w:hyperlink w:anchor="ref-5">
        <w:r>
          <w:rPr>
            <w:rStyle w:val="Hyperlink"/>
          </w:rPr>
          <w:t xml:space="preserve">[5]</w:t>
        </w:r>
      </w:hyperlink>
      <w:r>
        <w:t xml:space="preserve">. The design models both.</w:t>
      </w:r>
    </w:p>
    <w:bookmarkEnd w:id="154"/>
    <w:bookmarkStart w:id="155" w:name="future-work"/>
    <w:p>
      <w:pPr>
        <w:pStyle w:val="Heading2"/>
        <w:spacing w:line="480" w:lineRule="auto"/>
      </w:pPr>
      <w:r>
        <w:t xml:space="preserve">Future work</w:t>
      </w:r>
    </w:p>
    <w:p>
      <w:pPr>
        <w:pStyle w:val="FirstParagraph"/>
        <w:spacing w:line="480" w:lineRule="auto"/>
      </w:pPr>
      <w:r>
        <w:t xml:space="preserve">Future work starts here. The clearest next step follows directly from the limitations. The deterministic topic-signal score should be replaced by a direct document-coding study, in which trained coders read each source for its true depth of engagement with trust calibration rather than relying on term hits across possibly sparse metadata fields</w:t>
      </w:r>
      <w:r>
        <w:t xml:space="preserve"> </w:t>
      </w:r>
      <w:hyperlink w:anchor="ref-4">
        <w:r>
          <w:rPr>
            <w:rStyle w:val="Hyperlink"/>
          </w:rPr>
          <w:t xml:space="preserve">[4]</w:t>
        </w:r>
      </w:hyperlink>
      <w:r>
        <w:t xml:space="preserve">. Such a study would break the confound between thematic dilution and field sparsity that clouds the venue coefficient, and it would let the venue finding be tested rather than described. The corpus should also be enlarged well beyond thirty records and drawn to census the field rather than represent it, which would give the recency and interaction structure a fair test the present sample cannot provide</w:t>
      </w:r>
      <w:r>
        <w:t xml:space="preserve"> </w:t>
      </w:r>
      <w:hyperlink w:anchor="ref-1">
        <w:r>
          <w:rPr>
            <w:rStyle w:val="Hyperlink"/>
          </w:rPr>
          <w:t xml:space="preserve">[1]</w:t>
        </w:r>
      </w:hyperlink>
      <w:r>
        <w:t xml:space="preserve">.</w:t>
      </w:r>
    </w:p>
    <w:p>
      <w:pPr>
        <w:pStyle w:val="BodyText"/>
        <w:spacing w:line="480" w:lineRule="auto"/>
        <w:ind w:firstLine="720"/>
      </w:pPr>
      <w:r>
        <w:t xml:space="preserve">Citations need the most repair. Citation counts drawn from a single local index, with structural zeros standing in for missing figures, cannot carry the weight a learning-curve model asks of them</w:t>
      </w:r>
      <w:r>
        <w:t xml:space="preserve"> </w:t>
      </w:r>
      <w:hyperlink w:anchor="ref-6">
        <w:r>
          <w:rPr>
            <w:rStyle w:val="Hyperlink"/>
          </w:rPr>
          <w:t xml:space="preserve">[6]</w:t>
        </w:r>
      </w:hyperlink>
      <w:r>
        <w:t xml:space="preserve">. Replacing that field with counts harvested uniformly across venue families would break the entanglement between citation and venue and give the attention hypotheses a genuine test. With a complete citation record, the age structure the present model could not detect might well appear, or might be confirmed absent on better evidence</w:t>
      </w:r>
      <w:r>
        <w:t xml:space="preserve"> </w:t>
      </w:r>
      <w:hyperlink w:anchor="ref-10">
        <w:r>
          <w:rPr>
            <w:rStyle w:val="Hyperlink"/>
          </w:rPr>
          <w:t xml:space="preserve">[10]</w:t>
        </w:r>
      </w:hyperlink>
      <w:r>
        <w:t xml:space="preserve"> </w:t>
      </w:r>
      <w:hyperlink w:anchor="ref-15">
        <w:r>
          <w:rPr>
            <w:rStyle w:val="Hyperlink"/>
          </w:rPr>
          <w:t xml:space="preserve">[15]</w:t>
        </w:r>
      </w:hyperlink>
      <w:r>
        <w:t xml:space="preserve">.</w:t>
      </w:r>
    </w:p>
    <w:p>
      <w:pPr>
        <w:pStyle w:val="BodyText"/>
        <w:spacing w:line="480" w:lineRule="auto"/>
        <w:ind w:firstLine="720"/>
      </w:pPr>
      <w:r>
        <w:t xml:space="preserve">Beyond the bibliometric layer, the substantive frontier remains the operator. The natural companion to this work is an operator-in-the-loop study of trust calibration in conjunction assessment, measuring reliance against true reliability as automation increases, along the lines the human-machine teaming literature has begun to chart</w:t>
      </w:r>
      <w:r>
        <w:t xml:space="preserve"> </w:t>
      </w:r>
      <w:hyperlink w:anchor="ref-2">
        <w:r>
          <w:rPr>
            <w:rStyle w:val="Hyperlink"/>
          </w:rPr>
          <w:t xml:space="preserve">[2]</w:t>
        </w:r>
      </w:hyperlink>
      <w:r>
        <w:t xml:space="preserve">. This dissertation cannot reach that frontier, and it never claimed to. What it offers is a legible first step: a reproducible way to read the field’s own attention, a single tested proposition, and a clear account of exactly where the evidence stops. For a problem where over-trust is the failure mode, ending precisely where the data ends is the right note to close on.</w:t>
      </w:r>
    </w:p>
    <w:bookmarkEnd w:id="155"/>
    <w:bookmarkStart w:id="156" w:name="Xf4e1e9f514cc62b06362ef8d78a0fefca173d29"/>
    <w:p>
      <w:pPr>
        <w:pStyle w:val="Heading2"/>
        <w:spacing w:line="480" w:lineRule="auto"/>
      </w:pPr>
      <w:r>
        <w:t xml:space="preserve">What a program office should take from this</w:t>
      </w:r>
    </w:p>
    <w:p>
      <w:pPr>
        <w:pStyle w:val="FirstParagraph"/>
        <w:spacing w:line="480" w:lineRule="auto"/>
      </w:pPr>
      <w:r>
        <w:t xml:space="preserve">Translating a bounded finding into program-relevant guidance requires restraint, and the restraint is itself part of the message. A program office standing up a civil conjunction assessment service should take three things from this work, each sized to what the evidence supports. First, the field’s most direct thinking about operator trust lives in the proceedings literature, so a knowledge synthesis feeding requirements should treat that literature as primary rather than secondary</w:t>
      </w:r>
      <w:r>
        <w:t xml:space="preserve"> </w:t>
      </w:r>
      <w:hyperlink w:anchor="ref-4">
        <w:r>
          <w:rPr>
            <w:rStyle w:val="Hyperlink"/>
          </w:rPr>
          <w:t xml:space="preserve">[4]</w:t>
        </w:r>
      </w:hyperlink>
      <w:r>
        <w:t xml:space="preserve"> </w:t>
      </w:r>
      <w:hyperlink w:anchor="ref-8">
        <w:r>
          <w:rPr>
            <w:rStyle w:val="Hyperlink"/>
          </w:rPr>
          <w:t xml:space="preserve">[8]</w:t>
        </w:r>
      </w:hyperlink>
      <w:r>
        <w:t xml:space="preserve">. Second, citation-weighted or journal-weighted reading of the field will systematically undercount that thinking, so a synthesis method that ranks sources by citation count will look in the wrong place</w:t>
      </w:r>
      <w:r>
        <w:t xml:space="preserve"> </w:t>
      </w:r>
      <w:hyperlink w:anchor="ref-7">
        <w:r>
          <w:rPr>
            <w:rStyle w:val="Hyperlink"/>
          </w:rPr>
          <w:t xml:space="preserve">[7]</w:t>
        </w:r>
      </w:hyperlink>
      <w:r>
        <w:t xml:space="preserve">. Third, and most important, the office should adopt the inferential posture this dissertation models: report non-findings as readily as findings, and refuse to certify structure a small or incomplete evidence base cannot support</w:t>
      </w:r>
      <w:r>
        <w:t xml:space="preserve"> </w:t>
      </w:r>
      <w:hyperlink w:anchor="ref-6">
        <w:r>
          <w:rPr>
            <w:rStyle w:val="Hyperlink"/>
          </w:rPr>
          <w:t xml:space="preserve">[6]</w:t>
        </w:r>
      </w:hyperlink>
      <w:r>
        <w:t xml:space="preserve">. That posture is not a research nicety. It is the same calibration discipline the service will need to instill in the operators who rely on it, applied one level up at the institution that trains them</w:t>
      </w:r>
      <w:r>
        <w:t xml:space="preserve"> </w:t>
      </w:r>
      <w:hyperlink w:anchor="ref-3">
        <w:r>
          <w:rPr>
            <w:rStyle w:val="Hyperlink"/>
          </w:rPr>
          <w:t xml:space="preserve">[3]</w:t>
        </w:r>
      </w:hyperlink>
      <w:r>
        <w:t xml:space="preserve">.</w:t>
      </w:r>
    </w:p>
    <w:bookmarkEnd w:id="156"/>
    <w:bookmarkStart w:id="157" w:name="the-broader-arc"/>
    <w:p>
      <w:pPr>
        <w:pStyle w:val="Heading2"/>
        <w:spacing w:line="480" w:lineRule="auto"/>
      </w:pPr>
      <w:r>
        <w:t xml:space="preserve">The broader arc</w:t>
      </w:r>
    </w:p>
    <w:p>
      <w:pPr>
        <w:pStyle w:val="FirstParagraph"/>
        <w:spacing w:line="480" w:lineRule="auto"/>
      </w:pPr>
      <w:r>
        <w:t xml:space="preserve">The trajectory of the field gives this small study a larger frame without inflating its claims. Conjunction assessment is becoming more automated, more distributed, and more consequential as constellations grow and as coordination extends into cislunar regimes where human oversight is not physically possible in real time</w:t>
      </w:r>
      <w:r>
        <w:t xml:space="preserve"> </w:t>
      </w:r>
      <w:hyperlink w:anchor="ref-10">
        <w:r>
          <w:rPr>
            <w:rStyle w:val="Hyperlink"/>
          </w:rPr>
          <w:t xml:space="preserve">[10]</w:t>
        </w:r>
      </w:hyperlink>
      <w:r>
        <w:t xml:space="preserve"> </w:t>
      </w:r>
      <w:hyperlink w:anchor="ref-13">
        <w:r>
          <w:rPr>
            <w:rStyle w:val="Hyperlink"/>
          </w:rPr>
          <w:t xml:space="preserve">[13]</w:t>
        </w:r>
      </w:hyperlink>
      <w:r>
        <w:t xml:space="preserve">. Each step along that trajectory raises the premium on calibrated trust and raises the cost of getting it wrong, whether the failure is an operator ignoring a valid alert or a liability regime unprepared for an autonomous decision</w:t>
      </w:r>
      <w:r>
        <w:t xml:space="preserve"> </w:t>
      </w:r>
      <w:hyperlink w:anchor="ref-9">
        <w:r>
          <w:rPr>
            <w:rStyle w:val="Hyperlink"/>
          </w:rPr>
          <w:t xml:space="preserve">[9]</w:t>
        </w:r>
      </w:hyperlink>
      <w:r>
        <w:t xml:space="preserve"> </w:t>
      </w:r>
      <w:hyperlink w:anchor="ref-14">
        <w:r>
          <w:rPr>
            <w:rStyle w:val="Hyperlink"/>
          </w:rPr>
          <w:t xml:space="preserve">[14]</w:t>
        </w:r>
      </w:hyperlink>
      <w:r>
        <w:t xml:space="preserve">. A field moving this fast needs instruments to read its own state, and it needs those instruments to be honest about their resolution. This dissertation contributes one such instrument, tested on one corpus, reported without embellishment, and fenced by a full account of its limits.</w:t>
      </w:r>
    </w:p>
    <w:bookmarkEnd w:id="157"/>
    <w:bookmarkStart w:id="158" w:name="closing"/>
    <w:p>
      <w:pPr>
        <w:pStyle w:val="Heading2"/>
        <w:spacing w:line="480" w:lineRule="auto"/>
      </w:pPr>
      <w:r>
        <w:t xml:space="preserve">Closing</w:t>
      </w:r>
    </w:p>
    <w:p>
      <w:pPr>
        <w:pStyle w:val="FirstParagraph"/>
        <w:spacing w:line="480" w:lineRule="auto"/>
      </w:pPr>
      <w:r>
        <w:t xml:space="preserve">The project set out to ask when operators over-trust automated conjunction assessment and arrived, honestly, at a narrower and firmer place: a measurement of how the field’s literature on that question is structured, a single falsifiable proposition tested to a clean result, and a map of where the evidence stops. Venue family organizes the corpus; recency and citation age do not, at least not in these thirty records</w:t>
      </w:r>
      <w:r>
        <w:t xml:space="preserve"> </w:t>
      </w:r>
      <w:hyperlink w:anchor="ref-1">
        <w:r>
          <w:rPr>
            <w:rStyle w:val="Hyperlink"/>
          </w:rPr>
          <w:t xml:space="preserve">[1]</w:t>
        </w:r>
      </w:hyperlink>
      <w:r>
        <w:t xml:space="preserve"> </w:t>
      </w:r>
      <w:hyperlink w:anchor="ref-10">
        <w:r>
          <w:rPr>
            <w:rStyle w:val="Hyperlink"/>
          </w:rPr>
          <w:t xml:space="preserve">[10]</w:t>
        </w:r>
      </w:hyperlink>
      <w:r>
        <w:t xml:space="preserve">. The finding is modest and the fence around it is explicit, and both of those properties are deliberate. A dissertation about the dangers of over-trust should not over-trust its own data, and this one does not. It reports what the corpus supports, refuses what it does not, and leaves the reader a chain they can walk from the first source to the last coefficient. That is the contribution, offered in the spirit the subject demands: careful, bounded, and calibrated to exactly what the evidence can bear</w:t>
      </w:r>
      <w:r>
        <w:t xml:space="preserve"> </w:t>
      </w:r>
      <w:hyperlink w:anchor="ref-2">
        <w:r>
          <w:rPr>
            <w:rStyle w:val="Hyperlink"/>
          </w:rPr>
          <w:t xml:space="preserve">[2]</w:t>
        </w:r>
      </w:hyperlink>
      <w:r>
        <w:t xml:space="preserve"> </w:t>
      </w:r>
      <w:hyperlink w:anchor="ref-5">
        <w:r>
          <w:rPr>
            <w:rStyle w:val="Hyperlink"/>
          </w:rPr>
          <w:t xml:space="preserve">[5]</w:t>
        </w:r>
      </w:hyperlink>
      <w:r>
        <w:t xml:space="preserve">.</w:t>
      </w:r>
    </w:p>
    <w:p>
      <w:pPr>
        <w:pStyle w:val="BodyText"/>
        <w:spacing w:line="480" w:lineRule="auto"/>
        <w:ind w:firstLine="720"/>
      </w:pPr>
      <w:r>
        <w:t xml:space="preserve">Next steps form a program, not a wish list. Each stage removes one named limit.</w:t>
      </w:r>
    </w:p>
    <w:bookmarkEnd w:id="158"/>
    <w:bookmarkStart w:id="159" w:name="a-staged-research-program"/>
    <w:p>
      <w:pPr>
        <w:pStyle w:val="Heading2"/>
        <w:spacing w:line="480" w:lineRule="auto"/>
      </w:pPr>
      <w:r>
        <w:t xml:space="preserve">A staged research program</w:t>
      </w:r>
    </w:p>
    <w:p>
      <w:pPr>
        <w:pStyle w:val="FirstParagraph"/>
        <w:spacing w:line="480" w:lineRule="auto"/>
      </w:pPr>
      <w:r>
        <w:t xml:space="preserve">The future work named above is best understood not as a list but as a staged program, each stage removing a specific limitation of the present study. The first stage is corpus expansion and sampling reform, replacing the candidate-specific retrieval with a sampling frame that mirrors the field, which would let the recency and interaction structure be tested on data that could actually reveal them</w:t>
      </w:r>
      <w:r>
        <w:t xml:space="preserve"> </w:t>
      </w:r>
      <w:hyperlink w:anchor="ref-1">
        <w:r>
          <w:rPr>
            <w:rStyle w:val="Hyperlink"/>
          </w:rPr>
          <w:t xml:space="preserve">[1]</w:t>
        </w:r>
      </w:hyperlink>
      <w:r>
        <w:t xml:space="preserve">. The second stage is instrument validation, in which trained coders read a subset of records for true thematic engagement and their coding is compared against the term-hit score, so that the venue coefficient’s real component can be separated from its metadata-sparsity artifact</w:t>
      </w:r>
      <w:r>
        <w:t xml:space="preserve"> </w:t>
      </w:r>
      <w:hyperlink w:anchor="ref-5">
        <w:r>
          <w:rPr>
            <w:rStyle w:val="Hyperlink"/>
          </w:rPr>
          <w:t xml:space="preserve">[5]</w:t>
        </w:r>
      </w:hyperlink>
      <w:r>
        <w:t xml:space="preserve">. The third stage is citation reconstruction, harvesting counts uniformly across venue families to break the entanglement between citation and venue and give the attention hypotheses their first fair test</w:t>
      </w:r>
      <w:r>
        <w:t xml:space="preserve"> </w:t>
      </w:r>
      <w:hyperlink w:anchor="ref-6">
        <w:r>
          <w:rPr>
            <w:rStyle w:val="Hyperlink"/>
          </w:rPr>
          <w:t xml:space="preserve">[6]</w:t>
        </w:r>
      </w:hyperlink>
      <w:r>
        <w:t xml:space="preserve">. The fourth stage moves off the page entirely, into an operator-in-the-loop design that measures reliance against reliability as automation increases</w:t>
      </w:r>
      <w:r>
        <w:t xml:space="preserve"> </w:t>
      </w:r>
      <w:hyperlink w:anchor="ref-2">
        <w:r>
          <w:rPr>
            <w:rStyle w:val="Hyperlink"/>
          </w:rPr>
          <w:t xml:space="preserve">[2]</w:t>
        </w:r>
      </w:hyperlink>
      <w:r>
        <w:t xml:space="preserve">. Each stage is a discrete, fundable study, and each inherits from this dissertation a tested proposition and a documented limitation to attack. The staging matters because it converts a single bounded result into the seed of a program rather than a terminus.</w:t>
      </w:r>
    </w:p>
    <w:bookmarkEnd w:id="159"/>
    <w:bookmarkStart w:id="160" w:name="the-methodological-legacy"/>
    <w:p>
      <w:pPr>
        <w:pStyle w:val="Heading2"/>
        <w:spacing w:line="480" w:lineRule="auto"/>
      </w:pPr>
      <w:r>
        <w:t xml:space="preserve">The methodological legacy</w:t>
      </w:r>
    </w:p>
    <w:p>
      <w:pPr>
        <w:pStyle w:val="FirstParagraph"/>
        <w:spacing w:line="480" w:lineRule="auto"/>
      </w:pPr>
      <w:r>
        <w:t xml:space="preserve">Beyond any substantive finding, the dissertation leaves a method worth reusing. The pattern of a deterministically constructed corpus, a source column on every row, standard estimators with robust standard errors, and an interpretation fenced to exactly what the coefficients support is portable to any question that asks whether a field’s attention is structured</w:t>
      </w:r>
      <w:r>
        <w:t xml:space="preserve"> </w:t>
      </w:r>
      <w:hyperlink w:anchor="ref-3">
        <w:r>
          <w:rPr>
            <w:rStyle w:val="Hyperlink"/>
          </w:rPr>
          <w:t xml:space="preserve">[3]</w:t>
        </w:r>
      </w:hyperlink>
      <w:r>
        <w:t xml:space="preserve"> </w:t>
      </w:r>
      <w:hyperlink w:anchor="ref-7">
        <w:r>
          <w:rPr>
            <w:rStyle w:val="Hyperlink"/>
          </w:rPr>
          <w:t xml:space="preserve">[7]</w:t>
        </w:r>
      </w:hyperlink>
      <w:r>
        <w:t xml:space="preserve">. The pattern’s value is that it makes a soft, contestable claim, that a topic has become salient in a patterned way, into something a skeptic can recompute and check. Fields that study trust, sustainability, or governance have accepted that soft properties can be scored</w:t>
      </w:r>
      <w:r>
        <w:t xml:space="preserve"> </w:t>
      </w:r>
      <w:hyperlink w:anchor="ref-16">
        <w:r>
          <w:rPr>
            <w:rStyle w:val="Hyperlink"/>
          </w:rPr>
          <w:t xml:space="preserve">[16]</w:t>
        </w:r>
      </w:hyperlink>
      <w:r>
        <w:t xml:space="preserve">; this dissertation shows that the field’s own engagement with those properties can be scored too, and scored auditably. That is a small addition to method, but it is the kind of addition that compounds, because the next study that adopts the pattern inherits both the instrument and the discipline of fencing its claims.</w:t>
      </w:r>
    </w:p>
    <w:bookmarkEnd w:id="160"/>
    <w:bookmarkStart w:id="161" w:name="final-word"/>
    <w:p>
      <w:pPr>
        <w:pStyle w:val="Heading2"/>
        <w:spacing w:line="480" w:lineRule="auto"/>
      </w:pPr>
      <w:r>
        <w:t xml:space="preserve">Final word</w:t>
      </w:r>
    </w:p>
    <w:p>
      <w:pPr>
        <w:pStyle w:val="FirstParagraph"/>
        <w:spacing w:line="480" w:lineRule="auto"/>
      </w:pPr>
      <w:r>
        <w:t xml:space="preserve">The dissertation asked a large question and answered a small one, and it treated the distance between the two as the honest boundary of design-stage work rather than a failure to reach further. Trust in automated conjunction assessment must be calibrated, not maximized, as constellations grow and coordination extends into regimes where human oversight thins</w:t>
      </w:r>
      <w:r>
        <w:t xml:space="preserve"> </w:t>
      </w:r>
      <w:hyperlink w:anchor="ref-10">
        <w:r>
          <w:rPr>
            <w:rStyle w:val="Hyperlink"/>
          </w:rPr>
          <w:t xml:space="preserve">[10]</w:t>
        </w:r>
      </w:hyperlink>
      <w:r>
        <w:t xml:space="preserve"> </w:t>
      </w:r>
      <w:hyperlink w:anchor="ref-13">
        <w:r>
          <w:rPr>
            <w:rStyle w:val="Hyperlink"/>
          </w:rPr>
          <w:t xml:space="preserve">[13]</w:t>
        </w:r>
      </w:hyperlink>
      <w:r>
        <w:t xml:space="preserve">. The first institutional step toward calibration is to read the field’s own record clearly, and this project took that step: it measured where the field’s attention concentrates, tested one falsifiable proposition to a clean result, and marked precisely where the evidence stops</w:t>
      </w:r>
      <w:r>
        <w:t xml:space="preserve"> </w:t>
      </w:r>
      <w:hyperlink w:anchor="ref-1">
        <w:r>
          <w:rPr>
            <w:rStyle w:val="Hyperlink"/>
          </w:rPr>
          <w:t xml:space="preserve">[1]</w:t>
        </w:r>
      </w:hyperlink>
      <w:r>
        <w:t xml:space="preserve">. A study of over-trust that refused to over-trust its own thirty records is the right shape for this subject, and the fence around its claims is not an apology but the point</w:t>
      </w:r>
      <w:r>
        <w:t xml:space="preserve"> </w:t>
      </w:r>
      <w:hyperlink w:anchor="ref-2">
        <w:r>
          <w:rPr>
            <w:rStyle w:val="Hyperlink"/>
          </w:rPr>
          <w:t xml:space="preserve">[2]</w:t>
        </w:r>
      </w:hyperlink>
      <w:r>
        <w:t xml:space="preserve"> </w:t>
      </w:r>
      <w:hyperlink w:anchor="ref-5">
        <w:r>
          <w:rPr>
            <w:rStyle w:val="Hyperlink"/>
          </w:rPr>
          <w:t xml:space="preserve">[5]</w:t>
        </w:r>
      </w:hyperlink>
      <w:r>
        <w:t xml:space="preserve">.</w:t>
      </w:r>
    </w:p>
    <w:bookmarkEnd w:id="161"/>
    <w:bookmarkStart w:id="162" w:name="the-contribution-restated-for-a-skeptic"/>
    <w:p>
      <w:pPr>
        <w:pStyle w:val="Heading2"/>
        <w:spacing w:line="480" w:lineRule="auto"/>
      </w:pPr>
      <w:r>
        <w:t xml:space="preserve">The contribution restated for a skeptic</w:t>
      </w:r>
    </w:p>
    <w:p>
      <w:pPr>
        <w:pStyle w:val="FirstParagraph"/>
        <w:spacing w:line="480" w:lineRule="auto"/>
      </w:pPr>
      <w:r>
        <w:t xml:space="preserve">A skeptical reader is entitled to ask what, concretely, the field gains from a thirty-record study that found one significant coefficient. The answer has three parts, each defensible. The field gains a tested proposition: within a fully sourced corpus, topic signal on operator trust is organized by venue family and not by recency or citation age, and that proposition can now be confirmed or overturned by a larger study rather than debated as intuition</w:t>
      </w:r>
      <w:r>
        <w:t xml:space="preserve"> </w:t>
      </w:r>
      <w:hyperlink w:anchor="ref-1">
        <w:r>
          <w:rPr>
            <w:rStyle w:val="Hyperlink"/>
          </w:rPr>
          <w:t xml:space="preserve">[1]</w:t>
        </w:r>
      </w:hyperlink>
      <w:r>
        <w:t xml:space="preserve"> </w:t>
      </w:r>
      <w:hyperlink w:anchor="ref-10">
        <w:r>
          <w:rPr>
            <w:rStyle w:val="Hyperlink"/>
          </w:rPr>
          <w:t xml:space="preserve">[10]</w:t>
        </w:r>
      </w:hyperlink>
      <w:r>
        <w:t xml:space="preserve">. The field gains a warning: any synthesis that ranks sources by citation count will look away from the proceedings literature where operational thinking on trust concentrates, and that warning has immediate purchase for institutions writing conjunction-assessment guidance now</w:t>
      </w:r>
      <w:r>
        <w:t xml:space="preserve"> </w:t>
      </w:r>
      <w:hyperlink w:anchor="ref-7">
        <w:r>
          <w:rPr>
            <w:rStyle w:val="Hyperlink"/>
          </w:rPr>
          <w:t xml:space="preserve">[7]</w:t>
        </w:r>
      </w:hyperlink>
      <w:r>
        <w:t xml:space="preserve"> </w:t>
      </w:r>
      <w:hyperlink w:anchor="ref-8">
        <w:r>
          <w:rPr>
            <w:rStyle w:val="Hyperlink"/>
          </w:rPr>
          <w:t xml:space="preserve">[8]</w:t>
        </w:r>
      </w:hyperlink>
      <w:r>
        <w:t xml:space="preserve">. And the field gains a reusable method: a deterministic, auditable way to measure whether its own attention is patterned, portable to any soft-property question it cares about</w:t>
      </w:r>
      <w:r>
        <w:t xml:space="preserve"> </w:t>
      </w:r>
      <w:hyperlink w:anchor="ref-3">
        <w:r>
          <w:rPr>
            <w:rStyle w:val="Hyperlink"/>
          </w:rPr>
          <w:t xml:space="preserve">[3]</w:t>
        </w:r>
      </w:hyperlink>
      <w:r>
        <w:t xml:space="preserve"> </w:t>
      </w:r>
      <w:hyperlink w:anchor="ref-16">
        <w:r>
          <w:rPr>
            <w:rStyle w:val="Hyperlink"/>
          </w:rPr>
          <w:t xml:space="preserve">[16]</w:t>
        </w:r>
      </w:hyperlink>
      <w:r>
        <w:t xml:space="preserve">. None of these is a grand theory, and none was promised. Each is a real deposit into a field that needs instruments more than it needs assertions.</w:t>
      </w:r>
    </w:p>
    <w:bookmarkEnd w:id="162"/>
    <w:bookmarkStart w:id="163" w:name="closing-the-loop-with-the-opening"/>
    <w:p>
      <w:pPr>
        <w:pStyle w:val="Heading2"/>
        <w:spacing w:line="480" w:lineRule="auto"/>
      </w:pPr>
      <w:r>
        <w:t xml:space="preserve">Closing the loop with the opening</w:t>
      </w:r>
    </w:p>
    <w:p>
      <w:pPr>
        <w:pStyle w:val="FirstParagraph"/>
        <w:spacing w:line="480" w:lineRule="auto"/>
      </w:pPr>
      <w:r>
        <w:t xml:space="preserve">The dissertation opened with an operator holding a warning, a number and a clock, deciding whether to trust the machine that produced it. It closes one level up, having measured how the field that builds those machines writes about the operator’s predicament. The two ends are connected by the paper trail that runs from a research paper through a validation report through a standard operating procedure to the console, and the dissertation has shown that the densest thinking along that trail sits in the operational proceedings literature, in language a citation-weighted reading would miss</w:t>
      </w:r>
      <w:r>
        <w:t xml:space="preserve"> </w:t>
      </w:r>
      <w:hyperlink w:anchor="ref-4">
        <w:r>
          <w:rPr>
            <w:rStyle w:val="Hyperlink"/>
          </w:rPr>
          <w:t xml:space="preserve">[4]</w:t>
        </w:r>
      </w:hyperlink>
      <w:r>
        <w:t xml:space="preserve"> </w:t>
      </w:r>
      <w:hyperlink w:anchor="ref-8">
        <w:r>
          <w:rPr>
            <w:rStyle w:val="Hyperlink"/>
          </w:rPr>
          <w:t xml:space="preserve">[8]</w:t>
        </w:r>
      </w:hyperlink>
      <w:r>
        <w:t xml:space="preserve">. That is the loop closed: a study motivated by a console decision, conducted on the literature that shapes that decision, ending with a map of where the field’s calibration knowledge actually lives. The operator still has to decide, and this dissertation cannot decide for them. What it can do, and has done, is show the institution that trains them where to look and how to read what it finds, and to do so with the same calibration the operator’s own task demands</w:t>
      </w:r>
      <w:r>
        <w:t xml:space="preserve"> </w:t>
      </w:r>
      <w:hyperlink w:anchor="ref-2">
        <w:r>
          <w:rPr>
            <w:rStyle w:val="Hyperlink"/>
          </w:rPr>
          <w:t xml:space="preserve">[2]</w:t>
        </w:r>
      </w:hyperlink>
      <w:r>
        <w:t xml:space="preserve"> </w:t>
      </w:r>
      <w:hyperlink w:anchor="ref-5">
        <w:r>
          <w:rPr>
            <w:rStyle w:val="Hyperlink"/>
          </w:rPr>
          <w:t xml:space="preserve">[5]</w:t>
        </w:r>
      </w:hyperlink>
      <w:r>
        <w:t xml:space="preserve">.</w:t>
      </w:r>
    </w:p>
    <w:bookmarkEnd w:id="163"/>
    <w:bookmarkStart w:id="164" w:name="relevance-to-the-transition-underway"/>
    <w:p>
      <w:pPr>
        <w:pStyle w:val="Heading2"/>
        <w:spacing w:line="480" w:lineRule="auto"/>
      </w:pPr>
      <w:r>
        <w:t xml:space="preserve">Relevance to the transition underway</w:t>
      </w:r>
    </w:p>
    <w:p>
      <w:pPr>
        <w:pStyle w:val="FirstParagraph"/>
        <w:spacing w:line="480" w:lineRule="auto"/>
      </w:pPr>
      <w:r>
        <w:t xml:space="preserve">The governance relevance of this work is sharpened by the specific transition the field is living through. As conjunction screening moves toward a civil coordination function fed by commercial data, the number of operators relying on automated assessment grows, and so does the number of institutions writing the validation language that sets those operators’ priors</w:t>
      </w:r>
      <w:r>
        <w:t xml:space="preserve"> </w:t>
      </w:r>
      <w:hyperlink w:anchor="ref-8">
        <w:r>
          <w:rPr>
            <w:rStyle w:val="Hyperlink"/>
          </w:rPr>
          <w:t xml:space="preserve">[8]</w:t>
        </w:r>
      </w:hyperlink>
      <w:r>
        <w:t xml:space="preserve">. Each of those institutions faces a synthesis problem: what does the field actually know about calibrating operator trust, and where is that knowledge written</w:t>
      </w:r>
      <w:r>
        <w:t xml:space="preserve"> </w:t>
      </w:r>
      <w:hyperlink w:anchor="ref-1">
        <w:r>
          <w:rPr>
            <w:rStyle w:val="Hyperlink"/>
          </w:rPr>
          <w:t xml:space="preserve">[1]</w:t>
        </w:r>
      </w:hyperlink>
      <w:r>
        <w:t xml:space="preserve">. This dissertation supplies a partial but concrete answer, that the densest knowledge sits in the operational proceedings literature and that a citation-weighted reading will miss it</w:t>
      </w:r>
      <w:r>
        <w:t xml:space="preserve"> </w:t>
      </w:r>
      <w:hyperlink w:anchor="ref-4">
        <w:r>
          <w:rPr>
            <w:rStyle w:val="Hyperlink"/>
          </w:rPr>
          <w:t xml:space="preserve">[4]</w:t>
        </w:r>
      </w:hyperlink>
      <w:r>
        <w:t xml:space="preserve"> </w:t>
      </w:r>
      <w:hyperlink w:anchor="ref-7">
        <w:r>
          <w:rPr>
            <w:rStyle w:val="Hyperlink"/>
          </w:rPr>
          <w:t xml:space="preserve">[7]</w:t>
        </w:r>
      </w:hyperlink>
      <w:r>
        <w:t xml:space="preserve">. For an institution about to codify trust-calibration expectations into a validation methodology, knowing where to read is not a trivial input; it is the difference between a synthesis anchored in operational reality and one anchored in the more visible but less theme-dense archival record</w:t>
      </w:r>
      <w:r>
        <w:t xml:space="preserve"> </w:t>
      </w:r>
      <w:hyperlink w:anchor="ref-3">
        <w:r>
          <w:rPr>
            <w:rStyle w:val="Hyperlink"/>
          </w:rPr>
          <w:t xml:space="preserve">[3]</w:t>
        </w:r>
      </w:hyperlink>
      <w:r>
        <w:t xml:space="preserve">. The finding is modest in size and firm in direction, and its direction is directly useful to the institutions doing the codifying now.</w:t>
      </w:r>
    </w:p>
    <w:bookmarkEnd w:id="164"/>
    <w:bookmarkStart w:id="165" w:name="the-final-calibration"/>
    <w:p>
      <w:pPr>
        <w:pStyle w:val="Heading2"/>
        <w:spacing w:line="480" w:lineRule="auto"/>
      </w:pPr>
      <w:r>
        <w:t xml:space="preserve">The final calibration</w:t>
      </w:r>
    </w:p>
    <w:p>
      <w:pPr>
        <w:pStyle w:val="FirstParagraph"/>
        <w:spacing w:line="480" w:lineRule="auto"/>
      </w:pPr>
      <w:r>
        <w:t xml:space="preserve">The dissertation ends where it should, having calibrated its own claims to its own evidence. It found one thing firmly and two things not at all, and it reported each at the weight the data support, elevating neither the finding beyond description nor the nulls beyond their impoverished measures</w:t>
      </w:r>
      <w:r>
        <w:t xml:space="preserve"> </w:t>
      </w:r>
      <w:hyperlink w:anchor="ref-6">
        <w:r>
          <w:rPr>
            <w:rStyle w:val="Hyperlink"/>
          </w:rPr>
          <w:t xml:space="preserve">[6]</w:t>
        </w:r>
      </w:hyperlink>
      <w:r>
        <w:t xml:space="preserve"> </w:t>
      </w:r>
      <w:hyperlink w:anchor="ref-10">
        <w:r>
          <w:rPr>
            <w:rStyle w:val="Hyperlink"/>
          </w:rPr>
          <w:t xml:space="preserve">[10]</w:t>
        </w:r>
      </w:hyperlink>
      <w:r>
        <w:t xml:space="preserve">. It leaves a tested proposition, a practical warning, and a reusable method, and it leaves an explicit map of the four-stage program that would carry the question forward</w:t>
      </w:r>
      <w:r>
        <w:t xml:space="preserve"> </w:t>
      </w:r>
      <w:hyperlink w:anchor="ref-1">
        <w:r>
          <w:rPr>
            <w:rStyle w:val="Hyperlink"/>
          </w:rPr>
          <w:t xml:space="preserve">[1]</w:t>
        </w:r>
      </w:hyperlink>
      <w:r>
        <w:t xml:space="preserve"> </w:t>
      </w:r>
      <w:hyperlink w:anchor="ref-2">
        <w:r>
          <w:rPr>
            <w:rStyle w:val="Hyperlink"/>
          </w:rPr>
          <w:t xml:space="preserve">[2]</w:t>
        </w:r>
      </w:hyperlink>
      <w:r>
        <w:t xml:space="preserve">. A field studying when humans over-trust their instruments is well served by work that declines to over-trust its own, and this dissertation, small and fenced as it is, models that restraint from its first sentence to its last. That modeling, as much as any coefficient, is what it offers the field it belongs to</w:t>
      </w:r>
      <w:r>
        <w:t xml:space="preserve"> </w:t>
      </w:r>
      <w:hyperlink w:anchor="ref-5">
        <w:r>
          <w:rPr>
            <w:rStyle w:val="Hyperlink"/>
          </w:rPr>
          <w:t xml:space="preserve">[5]</w:t>
        </w:r>
      </w:hyperlink>
      <w:r>
        <w:t xml:space="preserve">.</w:t>
      </w:r>
    </w:p>
    <w:bookmarkEnd w:id="165"/>
    <w:bookmarkStart w:id="195" w:name="references"/>
    <w:p>
      <w:pPr>
        <w:pStyle w:val="Heading2"/>
        <w:spacing w:line="480" w:lineRule="auto"/>
      </w:pPr>
      <w:r>
        <w:t xml:space="preserve">References</w:t>
      </w:r>
    </w:p>
    <w:p>
      <w:pPr>
        <w:pStyle w:val="FirstParagraph"/>
        <w:spacing w:line="480" w:lineRule="auto"/>
      </w:pPr>
      <w:bookmarkStart w:id="166" w:name="ref-1"/>
      <w:bookmarkEnd w:id="166"/>
      <w:r>
        <w:t xml:space="preserve">1. James Reilly, Booz Allen Hamilton; Matthew Blackford, Booz Allen Hamilton; Jillian Mueller, Booz Allen Hamilton. Challenges in Space Traffic Management (2023). doi:</w:t>
      </w:r>
      <w:r>
        <w:t xml:space="preserve"> </w:t>
      </w:r>
      <w:hyperlink r:id="rId167">
        <w:r>
          <w:rPr>
            <w:rStyle w:val="Hyperlink"/>
          </w:rPr>
          <w:t xml:space="preserve">10.64861/UCTN1793</w:t>
        </w:r>
      </w:hyperlink>
    </w:p>
    <w:p>
      <w:pPr>
        <w:pStyle w:val="BodyText"/>
        <w:spacing w:line="480" w:lineRule="auto"/>
        <w:ind w:firstLine="720"/>
      </w:pPr>
      <w:bookmarkStart w:id="168" w:name="ref-2"/>
      <w:bookmarkEnd w:id="168"/>
      <w:r>
        <w:t xml:space="preserve">2. Garrett Fitzgerald, U. S. Space Force; Rachel Morris, Applied Decision Science; Laura G. Militello, Applied Decision Science; Justin Fletcher, USSF/SSC. Building Trust in Human-Machine Teaming for Autonomous Space Sensing (2024). doi:</w:t>
      </w:r>
      <w:r>
        <w:t xml:space="preserve"> </w:t>
      </w:r>
      <w:hyperlink r:id="rId169">
        <w:r>
          <w:rPr>
            <w:rStyle w:val="Hyperlink"/>
          </w:rPr>
          <w:t xml:space="preserve">10.64861/HWZS9386</w:t>
        </w:r>
      </w:hyperlink>
    </w:p>
    <w:p>
      <w:pPr>
        <w:pStyle w:val="BodyText"/>
        <w:spacing w:line="480" w:lineRule="auto"/>
        <w:ind w:firstLine="720"/>
      </w:pPr>
      <w:bookmarkStart w:id="170" w:name="ref-3"/>
      <w:bookmarkEnd w:id="170"/>
      <w:r>
        <w:t xml:space="preserve">3. Ruth Stilwell, Aerospace Policy Solutions, LLC; Kyle Quakenbush, MITRE; John Giles, Space Domain Strategies; Nathaniel Dailey, MITRE &amp; Space Force Association. Human Factors in Space Operators-Leveraging Aviation Safety Frameworks for Enhanced Orbital Domain Resilience (2025). doi:</w:t>
      </w:r>
      <w:r>
        <w:t xml:space="preserve"> </w:t>
      </w:r>
      <w:hyperlink r:id="rId171">
        <w:r>
          <w:rPr>
            <w:rStyle w:val="Hyperlink"/>
          </w:rPr>
          <w:t xml:space="preserve">10.64861/JSGC2795</w:t>
        </w:r>
      </w:hyperlink>
    </w:p>
    <w:p>
      <w:pPr>
        <w:pStyle w:val="BodyText"/>
        <w:spacing w:line="480" w:lineRule="auto"/>
        <w:ind w:firstLine="720"/>
      </w:pPr>
      <w:bookmarkStart w:id="172" w:name="ref-4"/>
      <w:bookmarkEnd w:id="172"/>
      <w:r>
        <w:t xml:space="preserve">4. Joe Gorman, Charles River Analytics, Martin Voshell, Charles River Analytics, Amy Sliva, Charles River Analytics. Assessment for Operator Confidence in Automated Space Situational Awareness and Satellite Control Systems (2016). [AMOS]</w:t>
      </w:r>
    </w:p>
    <w:p>
      <w:pPr>
        <w:pStyle w:val="BodyText"/>
        <w:spacing w:line="480" w:lineRule="auto"/>
        <w:ind w:firstLine="720"/>
      </w:pPr>
      <w:bookmarkStart w:id="173" w:name="ref-5"/>
      <w:bookmarkEnd w:id="173"/>
      <w:r>
        <w:t xml:space="preserve">5. Harvey Reed, MITRE; Nathaniel Dailey, MITRE; Ruth Stilwell, Aerospace Policy Solutions, LLC; Brian Weeden, Secure World Foundation. Decentralized Space Information Sharing as a Key Enabler of Trust and the Preservation of Space (2021). [AMOS]</w:t>
      </w:r>
    </w:p>
    <w:p>
      <w:pPr>
        <w:pStyle w:val="BodyText"/>
        <w:spacing w:line="480" w:lineRule="auto"/>
        <w:ind w:firstLine="720"/>
      </w:pPr>
      <w:bookmarkStart w:id="174" w:name="ref-6"/>
      <w:bookmarkEnd w:id="174"/>
      <w:r>
        <w:t xml:space="preserve">6. Thomas Kelecy, L3 Harris; Emily Lambert, L3 Harris; Benjamin Sunderland, L3 Harris; Vivek Desai, University of Texas, Austin. Dynamic Calibration of Multiple Data Types (2019). [AMOS]</w:t>
      </w:r>
    </w:p>
    <w:p>
      <w:pPr>
        <w:pStyle w:val="BodyText"/>
        <w:spacing w:line="480" w:lineRule="auto"/>
        <w:ind w:firstLine="720"/>
      </w:pPr>
      <w:bookmarkStart w:id="175" w:name="ref-7"/>
      <w:bookmarkEnd w:id="175"/>
      <w:r>
        <w:t xml:space="preserve">7. Oliver Schultz, Lockheed Martin; Joseph Brink, Lockheed Martin; Mark Williams, Lockheed Martin; Christopher Curry, Lockheed Martin. Data Insights, Pedigree, and Automation for Space Domain Awareness (2024). doi:</w:t>
      </w:r>
      <w:r>
        <w:t xml:space="preserve"> </w:t>
      </w:r>
      <w:hyperlink r:id="rId176">
        <w:r>
          <w:rPr>
            <w:rStyle w:val="Hyperlink"/>
          </w:rPr>
          <w:t xml:space="preserve">10.64861/NUFH1261</w:t>
        </w:r>
      </w:hyperlink>
    </w:p>
    <w:p>
      <w:pPr>
        <w:pStyle w:val="BodyText"/>
        <w:spacing w:line="480" w:lineRule="auto"/>
        <w:ind w:firstLine="720"/>
      </w:pPr>
      <w:bookmarkStart w:id="177" w:name="ref-8"/>
      <w:bookmarkEnd w:id="177"/>
      <w:r>
        <w:t xml:space="preserve">8. Kerstyn Auman, The Aerospace Corporation; Timothy S. Murphy, The Aerospace Corporation; Eric George, The Aerospace Corporation; Patrick Kelly, The Aerospace Corporation; Carson Coursey, The Aerospace Corporation; David Goldstein, SpaceX; Ian Ruh, SpaceX; Kate Hymes, SpaceX. Validation Methodology for TraCSS Conjunction Assessment (2025). doi:</w:t>
      </w:r>
      <w:r>
        <w:t xml:space="preserve"> </w:t>
      </w:r>
      <w:hyperlink r:id="rId178">
        <w:r>
          <w:rPr>
            <w:rStyle w:val="Hyperlink"/>
          </w:rPr>
          <w:t xml:space="preserve">10.64861/GVYB8737</w:t>
        </w:r>
      </w:hyperlink>
    </w:p>
    <w:p>
      <w:pPr>
        <w:pStyle w:val="BodyText"/>
        <w:spacing w:line="480" w:lineRule="auto"/>
        <w:ind w:firstLine="720"/>
      </w:pPr>
      <w:bookmarkStart w:id="179" w:name="ref-9"/>
      <w:bookmarkEnd w:id="179"/>
      <w:r>
        <w:t xml:space="preserve">9. T.P. Graham; Kathiravan Thangavel; Anne-Sophie Martin. Navigating AI-lien Terrain: Legal liability for artificial intelligence in outer space (2024). doi:</w:t>
      </w:r>
      <w:r>
        <w:t xml:space="preserve"> </w:t>
      </w:r>
      <w:hyperlink r:id="rId180">
        <w:r>
          <w:rPr>
            <w:rStyle w:val="Hyperlink"/>
          </w:rPr>
          <w:t xml:space="preserve">10.1016/j.actaastro.2024.01.039</w:t>
        </w:r>
      </w:hyperlink>
    </w:p>
    <w:p>
      <w:pPr>
        <w:pStyle w:val="BodyText"/>
        <w:spacing w:line="480" w:lineRule="auto"/>
        <w:ind w:firstLine="720"/>
      </w:pPr>
      <w:bookmarkStart w:id="181" w:name="ref-10"/>
      <w:bookmarkEnd w:id="181"/>
      <w:r>
        <w:t xml:space="preserve">10. Sreeja Nag; David D. Murakami; N. Marker; Miles Lifson; Parimal Kopardekar. Prototyping operational autonomy for Space Traffic Management (2020). doi:</w:t>
      </w:r>
      <w:r>
        <w:t xml:space="preserve"> </w:t>
      </w:r>
      <w:hyperlink r:id="rId182">
        <w:r>
          <w:rPr>
            <w:rStyle w:val="Hyperlink"/>
          </w:rPr>
          <w:t xml:space="preserve">10.1016/j.actaastro.2020.11.056</w:t>
        </w:r>
      </w:hyperlink>
    </w:p>
    <w:p>
      <w:pPr>
        <w:pStyle w:val="BodyText"/>
        <w:spacing w:line="480" w:lineRule="auto"/>
        <w:ind w:firstLine="720"/>
      </w:pPr>
      <w:bookmarkStart w:id="183" w:name="ref-11"/>
      <w:bookmarkEnd w:id="183"/>
      <w:r>
        <w:t xml:space="preserve">11. Michael Herman; Olivia J. Pinon Fischer; Dimitri N. Mavris. Sun sensor calibration algorithms: A systematic mapping and survey (2026). doi:</w:t>
      </w:r>
      <w:r>
        <w:t xml:space="preserve"> </w:t>
      </w:r>
      <w:hyperlink r:id="rId184">
        <w:r>
          <w:rPr>
            <w:rStyle w:val="Hyperlink"/>
          </w:rPr>
          <w:t xml:space="preserve">10.1016/j.actaastro.2025.12.053</w:t>
        </w:r>
      </w:hyperlink>
    </w:p>
    <w:p>
      <w:pPr>
        <w:pStyle w:val="BodyText"/>
        <w:spacing w:line="480" w:lineRule="auto"/>
        <w:ind w:firstLine="720"/>
      </w:pPr>
      <w:bookmarkStart w:id="185" w:name="ref-12"/>
      <w:bookmarkEnd w:id="185"/>
      <w:r>
        <w:t xml:space="preserve">12. Salvatore Alfano; Daniel Oltrogge. Volumetric assessment of satellite encounter rates (2018). doi:</w:t>
      </w:r>
      <w:r>
        <w:t xml:space="preserve"> </w:t>
      </w:r>
      <w:hyperlink r:id="rId186">
        <w:r>
          <w:rPr>
            <w:rStyle w:val="Hyperlink"/>
          </w:rPr>
          <w:t xml:space="preserve">10.1016/j.actaastro.2018.09.030</w:t>
        </w:r>
      </w:hyperlink>
    </w:p>
    <w:p>
      <w:pPr>
        <w:pStyle w:val="BodyText"/>
        <w:spacing w:line="480" w:lineRule="auto"/>
        <w:ind w:firstLine="720"/>
      </w:pPr>
      <w:bookmarkStart w:id="187" w:name="ref-13"/>
      <w:bookmarkEnd w:id="187"/>
      <w:r>
        <w:t xml:space="preserve">13. K. Anilkumar; Bulbul Mukherjee; Nicolas Bérend; Sanat K. Biswas; Luisa Buinhas; Nathaniel Dailey; B. H. Foing; Natalia Franco Rodriguez; Gabrielle Hedrick; Fatoumata Kebe; Yide Li; Aadu Ott; Alejandro Pastor; Zaid Rana; Javier Rodríguez; Marlon E. Sorge; Christian J. Unfried; Igone Urdampilleta. Moon to mars: Challenges and strategic frameworks for space traffic management in cislunar and cismartian environments (2025). doi:</w:t>
      </w:r>
      <w:r>
        <w:t xml:space="preserve"> </w:t>
      </w:r>
      <w:hyperlink r:id="rId188">
        <w:r>
          <w:rPr>
            <w:rStyle w:val="Hyperlink"/>
          </w:rPr>
          <w:t xml:space="preserve">10.1016/j.actaastro.2024.12.056</w:t>
        </w:r>
      </w:hyperlink>
    </w:p>
    <w:p>
      <w:pPr>
        <w:pStyle w:val="BodyText"/>
        <w:spacing w:line="480" w:lineRule="auto"/>
        <w:ind w:firstLine="720"/>
      </w:pPr>
      <w:bookmarkStart w:id="189" w:name="ref-14"/>
      <w:bookmarkEnd w:id="189"/>
      <w:r>
        <w:t xml:space="preserve">14. Marlon E. Sorge; Toby Harris; Camilla Colombo; Matthew D. Hejduk; Norman Fitz-Coy; Ryan Sheppard; Emma Kerr; Upsana Dasgupta; Nicolas Bérend; Diego A. Escobar; Martin C. Michel; Cristina Perez. Space traffic management: Improvements to spacecraft collision avoidance (COLA) (2025). doi:</w:t>
      </w:r>
      <w:r>
        <w:t xml:space="preserve"> </w:t>
      </w:r>
      <w:hyperlink r:id="rId190">
        <w:r>
          <w:rPr>
            <w:rStyle w:val="Hyperlink"/>
          </w:rPr>
          <w:t xml:space="preserve">10.1016/j.actaastro.2025.01.042</w:t>
        </w:r>
      </w:hyperlink>
    </w:p>
    <w:p>
      <w:pPr>
        <w:pStyle w:val="BodyText"/>
        <w:spacing w:line="480" w:lineRule="auto"/>
        <w:ind w:firstLine="720"/>
      </w:pPr>
      <w:bookmarkStart w:id="191" w:name="ref-15"/>
      <w:bookmarkEnd w:id="191"/>
      <w:r>
        <w:t xml:space="preserve">15. Daniel Oltrogge; Salvatore Alfano; C. M. Law; Alex Cacioni; T. S. Kelso. A comprehensive assessment of collision likelihood in Geosynchronous Earth Orbit (2018). doi:</w:t>
      </w:r>
      <w:r>
        <w:t xml:space="preserve"> </w:t>
      </w:r>
      <w:hyperlink r:id="rId192">
        <w:r>
          <w:rPr>
            <w:rStyle w:val="Hyperlink"/>
          </w:rPr>
          <w:t xml:space="preserve">10.1016/j.actaastro.2018.03.017</w:t>
        </w:r>
      </w:hyperlink>
    </w:p>
    <w:p>
      <w:pPr>
        <w:pStyle w:val="BodyText"/>
        <w:spacing w:line="480" w:lineRule="auto"/>
        <w:ind w:firstLine="720"/>
      </w:pPr>
      <w:bookmarkStart w:id="193" w:name="ref-16"/>
      <w:bookmarkEnd w:id="193"/>
      <w:r>
        <w:t xml:space="preserve">16. Minoo Rathnasabapathy; Francesca Letizia; Stijn Lemmens; Moriba Jah; Simon J. Potter; Nikolai Khlystov; Kristi Acuff; Miles Lifson; Scott Dorrington; Sina Es haghi; Emmanuelle David; Jean‐Paul Kneib; Danielle Wood. Space sustainability rating: Designing a composite indicator to incentivize satellite operators to pursue long-term sustainability of the space environment (2025). doi:</w:t>
      </w:r>
      <w:r>
        <w:t xml:space="preserve"> </w:t>
      </w:r>
      <w:hyperlink r:id="rId194">
        <w:r>
          <w:rPr>
            <w:rStyle w:val="Hyperlink"/>
          </w:rPr>
          <w:t xml:space="preserve">10.1016/j.actaastro.2025.03.034</w:t>
        </w:r>
      </w:hyperlink>
    </w:p>
    <w:bookmarkEnd w:id="195"/>
    <w:bookmarkEnd w:id="196"/>
    <w:bookmarkStart w:id="213"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204" w:name="Xca9eaef2e96517be3abd6430071ed339f566520"/>
    <w:p>
      <w:pPr>
        <w:pStyle w:val="Heading2"/>
        <w:spacing w:line="480" w:lineRule="auto"/>
      </w:pPr>
      <w:r>
        <w:t xml:space="preserve">A.1 Signal Intensity in Automation Trust Calibration in Conjunction Assessment When Do Operators Over-: An Ordinary Least Squares Test of Recency, Citation Attention, and Venue</w:t>
      </w:r>
    </w:p>
    <w:p>
      <w:pPr>
        <w:pStyle w:val="FirstParagraph"/>
        <w:spacing w:line="480" w:lineRule="auto"/>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Start w:id="197"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7.3882</w:t>
            </w:r>
          </w:p>
        </w:tc>
        <w:tc>
          <w:tcPr>
            <w:tcW w:w="0" w:type="auto"/>
          </w:tcPr>
          <w:p>
            <w:pPr>
              <w:spacing w:line="240" w:lineRule="auto" w:before="0" w:after="0"/>
              <w:pStyle w:val="Compact"/>
            </w:pPr>
            <w:r>
              <w:rPr>
                <w:sz w:val="20"/>
                <w:szCs w:val="20"/>
              </w:rPr>
              <w:t xml:space="preserve">1.7506</w:t>
            </w:r>
          </w:p>
        </w:tc>
        <w:tc>
          <w:tcPr>
            <w:tcW w:w="0" w:type="auto"/>
          </w:tcPr>
          <w:p>
            <w:pPr>
              <w:spacing w:line="240" w:lineRule="auto" w:before="0" w:after="0"/>
              <w:pStyle w:val="Compact"/>
            </w:pPr>
            <w:r>
              <w:rPr>
                <w:sz w:val="20"/>
                <w:szCs w:val="20"/>
              </w:rPr>
              <w:t xml:space="preserve">4.2205</w:t>
            </w:r>
          </w:p>
        </w:tc>
        <w:tc>
          <w:tcPr>
            <w:tcW w:w="0" w:type="auto"/>
          </w:tcPr>
          <w:p>
            <w:pPr>
              <w:spacing w:line="240" w:lineRule="auto" w:before="0" w:after="0"/>
              <w:pStyle w:val="Compact"/>
            </w:pPr>
            <w:r>
              <w:rPr>
                <w:sz w:val="20"/>
                <w:szCs w:val="20"/>
              </w:rPr>
              <w:t xml:space="preserve">2.438e-05</w:t>
            </w:r>
          </w:p>
        </w:tc>
        <w:tc>
          <w:tcPr>
            <w:tcW w:w="0" w:type="auto"/>
          </w:tcPr>
          <w:p>
            <w:pPr>
              <w:spacing w:line="240" w:lineRule="auto" w:before="0" w:after="0"/>
              <w:pStyle w:val="Compact"/>
            </w:pPr>
            <w:r>
              <w:rPr>
                <w:sz w:val="20"/>
                <w:szCs w:val="20"/>
              </w:rPr>
              <w:t xml:space="preserve">[3.9572, 10.8193]</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-0.0156</w:t>
            </w:r>
          </w:p>
        </w:tc>
        <w:tc>
          <w:tcPr>
            <w:tcW w:w="0" w:type="auto"/>
          </w:tcPr>
          <w:p>
            <w:pPr>
              <w:spacing w:line="240" w:lineRule="auto" w:before="0" w:after="0"/>
              <w:pStyle w:val="Compact"/>
            </w:pPr>
            <w:r>
              <w:rPr>
                <w:sz w:val="20"/>
                <w:szCs w:val="20"/>
              </w:rPr>
              <w:t xml:space="preserve">0.1095</w:t>
            </w:r>
          </w:p>
        </w:tc>
        <w:tc>
          <w:tcPr>
            <w:tcW w:w="0" w:type="auto"/>
          </w:tcPr>
          <w:p>
            <w:pPr>
              <w:spacing w:line="240" w:lineRule="auto" w:before="0" w:after="0"/>
              <w:pStyle w:val="Compact"/>
            </w:pPr>
            <w:r>
              <w:rPr>
                <w:sz w:val="20"/>
                <w:szCs w:val="20"/>
              </w:rPr>
              <w:t xml:space="preserve">-0.1427</w:t>
            </w:r>
          </w:p>
        </w:tc>
        <w:tc>
          <w:tcPr>
            <w:tcW w:w="0" w:type="auto"/>
          </w:tcPr>
          <w:p>
            <w:pPr>
              <w:spacing w:line="240" w:lineRule="auto" w:before="0" w:after="0"/>
              <w:pStyle w:val="Compact"/>
            </w:pPr>
            <w:r>
              <w:rPr>
                <w:sz w:val="20"/>
                <w:szCs w:val="20"/>
              </w:rPr>
              <w:t xml:space="preserve">0.8865</w:t>
            </w:r>
          </w:p>
        </w:tc>
        <w:tc>
          <w:tcPr>
            <w:tcW w:w="0" w:type="auto"/>
          </w:tcPr>
          <w:p>
            <w:pPr>
              <w:spacing w:line="240" w:lineRule="auto" w:before="0" w:after="0"/>
              <w:pStyle w:val="Compact"/>
            </w:pPr>
            <w:r>
              <w:rPr>
                <w:sz w:val="20"/>
                <w:szCs w:val="20"/>
              </w:rPr>
              <w:t xml:space="preserve">[-0.2303, 0.199]</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-0.0223</w:t>
            </w:r>
          </w:p>
        </w:tc>
        <w:tc>
          <w:tcPr>
            <w:tcW w:w="0" w:type="auto"/>
          </w:tcPr>
          <w:p>
            <w:pPr>
              <w:spacing w:line="240" w:lineRule="auto" w:before="0" w:after="0"/>
              <w:pStyle w:val="Compact"/>
            </w:pPr>
            <w:r>
              <w:rPr>
                <w:sz w:val="20"/>
                <w:szCs w:val="20"/>
              </w:rPr>
              <w:t xml:space="preserve">0.0188</w:t>
            </w:r>
          </w:p>
        </w:tc>
        <w:tc>
          <w:tcPr>
            <w:tcW w:w="0" w:type="auto"/>
          </w:tcPr>
          <w:p>
            <w:pPr>
              <w:spacing w:line="240" w:lineRule="auto" w:before="0" w:after="0"/>
              <w:pStyle w:val="Compact"/>
            </w:pPr>
            <w:r>
              <w:rPr>
                <w:sz w:val="20"/>
                <w:szCs w:val="20"/>
              </w:rPr>
              <w:t xml:space="preserve">-1.1914</w:t>
            </w:r>
          </w:p>
        </w:tc>
        <w:tc>
          <w:tcPr>
            <w:tcW w:w="0" w:type="auto"/>
          </w:tcPr>
          <w:p>
            <w:pPr>
              <w:spacing w:line="240" w:lineRule="auto" w:before="0" w:after="0"/>
              <w:pStyle w:val="Compact"/>
            </w:pPr>
            <w:r>
              <w:rPr>
                <w:sz w:val="20"/>
                <w:szCs w:val="20"/>
              </w:rPr>
              <w:t xml:space="preserve">0.2335</w:t>
            </w:r>
          </w:p>
        </w:tc>
        <w:tc>
          <w:tcPr>
            <w:tcW w:w="0" w:type="auto"/>
          </w:tcPr>
          <w:p>
            <w:pPr>
              <w:spacing w:line="240" w:lineRule="auto" w:before="0" w:after="0"/>
              <w:pStyle w:val="Compact"/>
            </w:pPr>
            <w:r>
              <w:rPr>
                <w:sz w:val="20"/>
                <w:szCs w:val="20"/>
              </w:rPr>
              <w:t xml:space="preserve">[-0.0591, 0.0144]</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-1.8306</w:t>
            </w:r>
          </w:p>
        </w:tc>
        <w:tc>
          <w:tcPr>
            <w:tcW w:w="0" w:type="auto"/>
          </w:tcPr>
          <w:p>
            <w:pPr>
              <w:spacing w:line="240" w:lineRule="auto" w:before="0" w:after="0"/>
              <w:pStyle w:val="Compact"/>
            </w:pPr>
            <w:r>
              <w:rPr>
                <w:sz w:val="20"/>
                <w:szCs w:val="20"/>
              </w:rPr>
              <w:t xml:space="preserve">0.4101</w:t>
            </w:r>
          </w:p>
        </w:tc>
        <w:tc>
          <w:tcPr>
            <w:tcW w:w="0" w:type="auto"/>
          </w:tcPr>
          <w:p>
            <w:pPr>
              <w:spacing w:line="240" w:lineRule="auto" w:before="0" w:after="0"/>
              <w:pStyle w:val="Compact"/>
            </w:pPr>
            <w:r>
              <w:rPr>
                <w:sz w:val="20"/>
                <w:szCs w:val="20"/>
              </w:rPr>
              <w:t xml:space="preserve">-4.464</w:t>
            </w:r>
          </w:p>
        </w:tc>
        <w:tc>
          <w:tcPr>
            <w:tcW w:w="0" w:type="auto"/>
          </w:tcPr>
          <w:p>
            <w:pPr>
              <w:spacing w:line="240" w:lineRule="auto" w:before="0" w:after="0"/>
              <w:pStyle w:val="Compact"/>
            </w:pPr>
            <w:r>
              <w:rPr>
                <w:sz w:val="20"/>
                <w:szCs w:val="20"/>
              </w:rPr>
              <w:t xml:space="preserve">8.043e-06</w:t>
            </w:r>
          </w:p>
        </w:tc>
        <w:tc>
          <w:tcPr>
            <w:tcW w:w="0" w:type="auto"/>
          </w:tcPr>
          <w:p>
            <w:pPr>
              <w:spacing w:line="240" w:lineRule="auto" w:before="0" w:after="0"/>
              <w:pStyle w:val="Compact"/>
            </w:pPr>
            <w:r>
              <w:rPr>
                <w:sz w:val="20"/>
                <w:szCs w:val="20"/>
              </w:rPr>
              <w:t xml:space="preserve">[-2.6344, -1.0269]</w:t>
            </w:r>
          </w:p>
        </w:tc>
      </w:tr>
    </w:tbl>
    <w:p>
      <w:pPr>
        <w:pStyle w:val="BodyText"/>
        <w:spacing w:line="480" w:lineRule="auto"/>
        <w:ind w:firstLine="720"/>
      </w:pPr>
      <w:r>
        <w:t xml:space="preserve">Fit: N = 30 R2 = 0.3251 R2_adj = 0.2472 F = 8.0514 F_p = 0.0005882</w:t>
      </w:r>
    </w:p>
    <w:bookmarkEnd w:id="197"/>
    <w:bookmarkStart w:id="201"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Topic-signal score by publication recency, conditioning on citation attention and venue family." title="" id="199" name="Picture"/>
            <a:graphic>
              <a:graphicData uri="http://schemas.openxmlformats.org/drawingml/2006/picture">
                <pic:pic>
                  <pic:nvPicPr>
                    <pic:cNvPr descr="D:/Claude_Code/brain/collegium/candidates/dissertations/SSA_SDA_07/research_papers/p1/paper_fig1.png" id="200" name="Picture"/>
                    <pic:cNvPicPr>
                      <a:picLocks noChangeArrowheads="1" noChangeAspect="1"/>
                    </pic:cNvPicPr>
                  </pic:nvPicPr>
                  <pic:blipFill>
                    <a:blip r:embed="rId198"/>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Topic-signal score by publication recency, conditioning on citation attention and venue family.</w:t>
      </w:r>
    </w:p>
    <w:bookmarkEnd w:id="201"/>
    <w:bookmarkStart w:id="202"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10.64861/UCTN1793</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10.64861/HWZS9386</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10.64861/JSGC2795</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https://amostech.space/year/2016/assessment-for-operator-confidence-in-automated-space-situational-awareness-and-satellite-control-systems/</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https://amostech.space/year/2021/decentralized-space-information-sharing-as-a-key-enabler-of-trust-and-the-preservation-of-space/</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https://amostech.space/year/2019/dynamic-calibration-of-multiple-data-types/</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10.64861/NUFH1261</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10.64861/GVYB8737</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10.64861/KKFT4985</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https://amostech.space/year/2010/advances-in-satellite-conjunction-analysis/</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https://amostech.space/year/2022/decision-support-tool-for-risk-assessment-maneuver-planning-in-collision-avoidance/</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10.64861/OTAL2562</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10.1016/j.actaastro.2024.01.039</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10.1016/j.actaastro.2020.11.056</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10.1016/j.actaastro.2025.12.053</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10.1016/j.actaastro.2018.09.030</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10.1016/j.actaastro.2024.12.056</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10.1016/j.actaastro.2025.01.042</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51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10.1016/j.actaastro.2018.03.017</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10.1016/j.actaastro.2025.03.034</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10.1016/j.actaastro.2018.12.043</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10.1016/j.actaastro.2025.05.002</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10.1016/j.actaastro.2025.07.027</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10.1016/j.actaastro.2025.05.036</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Technical Challenges of Better SSA and STM</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10.1016/j.jsse.2019.05.004</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Prototyping Operational Autonomy for STM</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Blockchain Enabled Space Traffic Awareness (BESTA): Automated Comparison of SSA to Agreed Behavior</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Blockchain Enabled Space Traffic Awareness (BESTA) (AMOS)</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An IRD working paper by Dailey, Stilwell et al. (September 2024) proposing an integrated research platform that adapts the fisheries Kobe Plot methodology to orbital debris management, introduces orbital classes analogous to airspace classes, applies Elinor Ostrom’s Common Pool Resource framework to LEO governance, and couples these with the OPUS model for space policy simulation.</w:t>
            </w:r>
          </w:p>
        </w:tc>
      </w:tr>
    </w:tbl>
    <w:bookmarkEnd w:id="202"/>
    <w:bookmarkStart w:id="203"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203"/>
    <w:bookmarkEnd w:id="204"/>
    <w:bookmarkStart w:id="212" w:name="X2df097dd4303cfa5afd3bc2c81025bb7d6d4cb0"/>
    <w:p>
      <w:pPr>
        <w:pStyle w:val="Heading2"/>
        <w:spacing w:line="480" w:lineRule="auto"/>
      </w:pPr>
      <w:r>
        <w:t xml:space="preserve">A.2 Attention Accumulation in Automation Trust Calibration in Conjunction Assessment When Do Operators Over-: A Learning-Curve Analysis of Citation Growth by Article Age</w:t>
      </w:r>
    </w:p>
    <w:p>
      <w:pPr>
        <w:pStyle w:val="FirstParagraph"/>
        <w:spacing w:line="480" w:lineRule="auto"/>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Start w:id="205"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1.1273</w:t>
            </w:r>
          </w:p>
        </w:tc>
        <w:tc>
          <w:tcPr>
            <w:tcW w:w="0" w:type="auto"/>
          </w:tcPr>
          <w:p>
            <w:pPr>
              <w:spacing w:line="240" w:lineRule="auto" w:before="0" w:after="0"/>
              <w:pStyle w:val="Compact"/>
            </w:pPr>
            <w:r>
              <w:rPr>
                <w:sz w:val="20"/>
                <w:szCs w:val="20"/>
              </w:rPr>
              <w:t xml:space="preserve">0.4441</w:t>
            </w:r>
          </w:p>
        </w:tc>
        <w:tc>
          <w:tcPr>
            <w:tcW w:w="0" w:type="auto"/>
          </w:tcPr>
          <w:p>
            <w:pPr>
              <w:spacing w:line="240" w:lineRule="auto" w:before="0" w:after="0"/>
              <w:pStyle w:val="Compact"/>
            </w:pPr>
            <w:r>
              <w:rPr>
                <w:sz w:val="20"/>
                <w:szCs w:val="20"/>
              </w:rPr>
              <w:t xml:space="preserve">2.5381</w:t>
            </w:r>
          </w:p>
        </w:tc>
        <w:tc>
          <w:tcPr>
            <w:tcW w:w="0" w:type="auto"/>
          </w:tcPr>
          <w:p>
            <w:pPr>
              <w:spacing w:line="240" w:lineRule="auto" w:before="0" w:after="0"/>
              <w:pStyle w:val="Compact"/>
            </w:pPr>
            <w:r>
              <w:rPr>
                <w:sz w:val="20"/>
                <w:szCs w:val="20"/>
              </w:rPr>
              <w:t xml:space="preserve">0.0111</w:t>
            </w:r>
          </w:p>
        </w:tc>
        <w:tc>
          <w:tcPr>
            <w:tcW w:w="0" w:type="auto"/>
          </w:tcPr>
          <w:p>
            <w:pPr>
              <w:spacing w:line="240" w:lineRule="auto" w:before="0" w:after="0"/>
              <w:pStyle w:val="Compact"/>
            </w:pPr>
            <w:r>
              <w:rPr>
                <w:sz w:val="20"/>
                <w:szCs w:val="20"/>
              </w:rPr>
              <w:t xml:space="preserve">[0.2568, 1.9978]</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-0.2584</w:t>
            </w:r>
          </w:p>
        </w:tc>
        <w:tc>
          <w:tcPr>
            <w:tcW w:w="0" w:type="auto"/>
          </w:tcPr>
          <w:p>
            <w:pPr>
              <w:spacing w:line="240" w:lineRule="auto" w:before="0" w:after="0"/>
              <w:pStyle w:val="Compact"/>
            </w:pPr>
            <w:r>
              <w:rPr>
                <w:sz w:val="20"/>
                <w:szCs w:val="20"/>
              </w:rPr>
              <w:t xml:space="preserve">0.3001</w:t>
            </w:r>
          </w:p>
        </w:tc>
        <w:tc>
          <w:tcPr>
            <w:tcW w:w="0" w:type="auto"/>
          </w:tcPr>
          <w:p>
            <w:pPr>
              <w:spacing w:line="240" w:lineRule="auto" w:before="0" w:after="0"/>
              <w:pStyle w:val="Compact"/>
            </w:pPr>
            <w:r>
              <w:rPr>
                <w:sz w:val="20"/>
                <w:szCs w:val="20"/>
              </w:rPr>
              <w:t xml:space="preserve">-0.861</w:t>
            </w:r>
          </w:p>
        </w:tc>
        <w:tc>
          <w:tcPr>
            <w:tcW w:w="0" w:type="auto"/>
          </w:tcPr>
          <w:p>
            <w:pPr>
              <w:spacing w:line="240" w:lineRule="auto" w:before="0" w:after="0"/>
              <w:pStyle w:val="Compact"/>
            </w:pPr>
            <w:r>
              <w:rPr>
                <w:sz w:val="20"/>
                <w:szCs w:val="20"/>
              </w:rPr>
              <w:t xml:space="preserve">0.3893</w:t>
            </w:r>
          </w:p>
        </w:tc>
        <w:tc>
          <w:tcPr>
            <w:tcW w:w="0" w:type="auto"/>
          </w:tcPr>
          <w:p>
            <w:pPr>
              <w:spacing w:line="240" w:lineRule="auto" w:before="0" w:after="0"/>
              <w:pStyle w:val="Compact"/>
            </w:pPr>
            <w:r>
              <w:rPr>
                <w:sz w:val="20"/>
                <w:szCs w:val="20"/>
              </w:rPr>
              <w:t xml:space="preserve">[-0.8465, 0.3298]</w:t>
            </w:r>
          </w:p>
        </w:tc>
      </w:tr>
    </w:tbl>
    <w:p>
      <w:pPr>
        <w:pStyle w:val="BodyText"/>
        <w:spacing w:line="480" w:lineRule="auto"/>
        <w:ind w:firstLine="720"/>
      </w:pPr>
      <w:r>
        <w:t xml:space="preserve">Fit: N = 30 R2 = 0.0234 elasticity_b = -0.2584 progress_ratio_2^b = 0.836</w:t>
      </w:r>
    </w:p>
    <w:bookmarkEnd w:id="205"/>
    <w:bookmarkStart w:id="209"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Citation accumulation against article age in the retrieved topic literature." title="" id="207" name="Picture"/>
            <a:graphic>
              <a:graphicData uri="http://schemas.openxmlformats.org/drawingml/2006/picture">
                <pic:pic>
                  <pic:nvPicPr>
                    <pic:cNvPr descr="D:/Claude_Code/brain/collegium/candidates/dissertations/SSA_SDA_07/research_papers/p2/paper_fig1.png" id="208" name="Picture"/>
                    <pic:cNvPicPr>
                      <a:picLocks noChangeArrowheads="1" noChangeAspect="1"/>
                    </pic:cNvPicPr>
                  </pic:nvPicPr>
                  <pic:blipFill>
                    <a:blip r:embed="rId206"/>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Citation accumulation against article age in the retrieved topic literature.</w:t>
      </w:r>
    </w:p>
    <w:bookmarkEnd w:id="209"/>
    <w:bookmarkStart w:id="210"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10.64861/UCTN1793</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10.64861/HWZS9386</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10.64861/JSGC2795</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https://amostech.space/year/2016/assessment-for-operator-confidence-in-automated-space-situational-awareness-and-satellite-control-systems/</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https://amostech.space/year/2021/decentralized-space-information-sharing-as-a-key-enabler-of-trust-and-the-preservation-of-space/</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https://amostech.space/year/2019/dynamic-calibration-of-multiple-data-types/</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10.64861/NUFH1261</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10.64861/GVYB8737</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10.64861/KKFT4985</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https://amostech.space/year/2010/advances-in-satellite-conjunction-analysis/</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https://amostech.space/year/2022/decision-support-tool-for-risk-assessment-maneuver-planning-in-collision-avoidance/</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10.64861/OTAL2562</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10.1016/j.actaastro.2024.01.039</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10.1016/j.actaastro.2020.11.056</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10.1016/j.actaastro.2025.12.053</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10.1016/j.actaastro.2018.09.030</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10.1016/j.actaastro.2024.12.056</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10.1016/j.actaastro.2025.01.042</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51</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10.1016/j.actaastro.2018.03.017</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10.1016/j.actaastro.2025.03.034</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10.1016/j.actaastro.2018.12.043</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10.1016/j.actaastro.2025.05.002</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10.1016/j.actaastro.2025.07.027</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10.1016/j.actaastro.2025.05.036</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Technical Challenges of Better SSA and STM</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10.1016/j.jsse.2019.05.004</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Prototyping Operational Autonomy for STM</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Blockchain Enabled Space Traffic Awareness (BESTA): Automated Comparison of SSA to Agreed Behavior</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Blockchain Enabled Space Traffic Awareness (BESTA) (AMOS)</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An IRD working paper by Dailey, Stilwell et al. (September 2024) proposing an integrated research platform that adapts the fisheries Kobe Plot methodology to orbital debris management, introduces orbital classes analogous to airspace classes, applies Elinor Ostrom’s Common Pool Resource framework to LEO governance, and couples these with the OPUS model for space policy simulation.</w:t>
            </w:r>
          </w:p>
        </w:tc>
      </w:tr>
    </w:tbl>
    <w:bookmarkEnd w:id="210"/>
    <w:bookmarkStart w:id="211"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211"/>
    <w:bookmarkEnd w:id="212"/>
    <w:bookmarkEnd w:id="213"/>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98" Type="http://schemas.openxmlformats.org/officeDocument/2006/relationships/image" Target="media/rId198.png"/><Relationship Id="rId206" Type="http://schemas.openxmlformats.org/officeDocument/2006/relationships/image" Target="media/rId206.png"/><Relationship Id="rId192" Type="http://schemas.openxmlformats.org/officeDocument/2006/relationships/hyperlink" Target="https://doi.org/10.1016/j.actaastro.2018.03.017" TargetMode="External"/><Relationship Id="rId186" Type="http://schemas.openxmlformats.org/officeDocument/2006/relationships/hyperlink" Target="https://doi.org/10.1016/j.actaastro.2018.09.030" TargetMode="External"/><Relationship Id="rId182" Type="http://schemas.openxmlformats.org/officeDocument/2006/relationships/hyperlink" Target="https://doi.org/10.1016/j.actaastro.2020.11.056" TargetMode="External"/><Relationship Id="rId180" Type="http://schemas.openxmlformats.org/officeDocument/2006/relationships/hyperlink" Target="https://doi.org/10.1016/j.actaastro.2024.01.039" TargetMode="External"/><Relationship Id="rId188" Type="http://schemas.openxmlformats.org/officeDocument/2006/relationships/hyperlink" Target="https://doi.org/10.1016/j.actaastro.2024.12.056" TargetMode="External"/><Relationship Id="rId190" Type="http://schemas.openxmlformats.org/officeDocument/2006/relationships/hyperlink" Target="https://doi.org/10.1016/j.actaastro.2025.01.042" TargetMode="External"/><Relationship Id="rId194" Type="http://schemas.openxmlformats.org/officeDocument/2006/relationships/hyperlink" Target="https://doi.org/10.1016/j.actaastro.2025.03.034" TargetMode="External"/><Relationship Id="rId184" Type="http://schemas.openxmlformats.org/officeDocument/2006/relationships/hyperlink" Target="https://doi.org/10.1016/j.actaastro.2025.12.053" TargetMode="External"/><Relationship Id="rId178" Type="http://schemas.openxmlformats.org/officeDocument/2006/relationships/hyperlink" Target="https://doi.org/10.64861/GVYB8737" TargetMode="External"/><Relationship Id="rId169" Type="http://schemas.openxmlformats.org/officeDocument/2006/relationships/hyperlink" Target="https://doi.org/10.64861/HWZS9386" TargetMode="External"/><Relationship Id="rId171" Type="http://schemas.openxmlformats.org/officeDocument/2006/relationships/hyperlink" Target="https://doi.org/10.64861/JSGC2795" TargetMode="External"/><Relationship Id="rId176" Type="http://schemas.openxmlformats.org/officeDocument/2006/relationships/hyperlink" Target="https://doi.org/10.64861/NUFH1261" TargetMode="External"/><Relationship Id="rId167" Type="http://schemas.openxmlformats.org/officeDocument/2006/relationships/hyperlink" Target="https://doi.org/10.64861/UCTN1793" TargetMode="External"/></Relationships>
</file>

<file path=word/_rels/footnotes.xml.rels><?xml version='1.0' encoding='UTF-8' standalone='yes'?>
<Relationships xmlns="http://schemas.openxmlformats.org/package/2006/relationships"><Relationship Id="rId192" Type="http://schemas.openxmlformats.org/officeDocument/2006/relationships/hyperlink" Target="https://doi.org/10.1016/j.actaastro.2018.03.017" TargetMode="External"/><Relationship Id="rId186" Type="http://schemas.openxmlformats.org/officeDocument/2006/relationships/hyperlink" Target="https://doi.org/10.1016/j.actaastro.2018.09.030" TargetMode="External"/><Relationship Id="rId182" Type="http://schemas.openxmlformats.org/officeDocument/2006/relationships/hyperlink" Target="https://doi.org/10.1016/j.actaastro.2020.11.056" TargetMode="External"/><Relationship Id="rId180" Type="http://schemas.openxmlformats.org/officeDocument/2006/relationships/hyperlink" Target="https://doi.org/10.1016/j.actaastro.2024.01.039" TargetMode="External"/><Relationship Id="rId188" Type="http://schemas.openxmlformats.org/officeDocument/2006/relationships/hyperlink" Target="https://doi.org/10.1016/j.actaastro.2024.12.056" TargetMode="External"/><Relationship Id="rId190" Type="http://schemas.openxmlformats.org/officeDocument/2006/relationships/hyperlink" Target="https://doi.org/10.1016/j.actaastro.2025.01.042" TargetMode="External"/><Relationship Id="rId194" Type="http://schemas.openxmlformats.org/officeDocument/2006/relationships/hyperlink" Target="https://doi.org/10.1016/j.actaastro.2025.03.034" TargetMode="External"/><Relationship Id="rId184" Type="http://schemas.openxmlformats.org/officeDocument/2006/relationships/hyperlink" Target="https://doi.org/10.1016/j.actaastro.2025.12.053" TargetMode="External"/><Relationship Id="rId178" Type="http://schemas.openxmlformats.org/officeDocument/2006/relationships/hyperlink" Target="https://doi.org/10.64861/GVYB8737" TargetMode="External"/><Relationship Id="rId169" Type="http://schemas.openxmlformats.org/officeDocument/2006/relationships/hyperlink" Target="https://doi.org/10.64861/HWZS9386" TargetMode="External"/><Relationship Id="rId171" Type="http://schemas.openxmlformats.org/officeDocument/2006/relationships/hyperlink" Target="https://doi.org/10.64861/JSGC2795" TargetMode="External"/><Relationship Id="rId176" Type="http://schemas.openxmlformats.org/officeDocument/2006/relationships/hyperlink" Target="https://doi.org/10.64861/NUFH1261" TargetMode="External"/><Relationship Id="rId167" Type="http://schemas.openxmlformats.org/officeDocument/2006/relationships/hyperlink" Target="https://doi.org/10.64861/UCTN179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Automation Trust Calibration in Conjunction Assessment: When Do Operators Over-</dc:title>
  <dc:creator>Ananya Quinn (1B-SDA-170)</dc:creator>
  <cp:keywords/>
  <dcterms:created xsi:type="dcterms:W3CDTF">2026-07-02T23:37:17Z</dcterms:created>
  <dcterms:modified xsi:type="dcterms:W3CDTF">2026-07-02T23:37:17Z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