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506dd0c68468c42d7339dca6e04d9ac8e3b8900"/>
    <w:p>
      <w:pPr>
        <w:pStyle w:val="Heading1"/>
      </w:pPr>
      <w:r>
        <w:t xml:space="preserve">Model-Divergence Materiality Across ORDEM and MASTER Matched Bins</w:t>
      </w:r>
    </w:p>
    <w:bookmarkStart w:id="61" w:name="abstract"/>
    <w:p>
      <w:pPr>
        <w:pStyle w:val="Heading2"/>
      </w:pPr>
      <w:r>
        <w:t xml:space="preserve">Abstract</w:t>
      </w:r>
    </w:p>
    <w:p>
      <w:pPr>
        <w:pStyle w:val="FirstParagraph"/>
      </w:pPr>
      <w:r>
        <w:t xml:space="preserve">This paper tests the dissertation’s central operational claim: model divergence matters only if it changes a decision. The dataset contains 40 matched-bin observations across altitude and debris-size regimes. The ORDEM side is anchored in NASA ORDEM documentation, DAS/ORDEM sensitivity literature, and a published AMOS 2010 ORDEM operational-risk value at 850 km</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r>
        <w:t xml:space="preserve"> </w:t>
      </w:r>
      <w:hyperlink w:anchor="ref-6">
        <m:oMathPara>
          <m:oMathParaPr>
            <m:jc m:val="center"/>
          </m:oMathParaPr>
          <m:oMath>
            <m:r>
              <m:t>6</m:t>
            </m:r>
          </m:oMath>
        </m:oMathPara>
      </w:hyperlink>
      <w:r>
        <w:t xml:space="preserve">,</w:t>
      </w:r>
      <w:r>
        <w:t xml:space="preserve"> </w:t>
      </w:r>
      <w:hyperlink w:anchor="ref-11">
        <m:oMathPara>
          <m:oMathParaPr>
            <m:jc m:val="center"/>
          </m:oMathParaPr>
          <m:oMath>
            <m:r>
              <m:t>11</m:t>
            </m:r>
          </m:oMath>
        </m:oMathPara>
      </w:hyperlink>
      <w:r>
        <w:t xml:space="preserve">. The MASTER side is anchored in ESA environment reporting, MASTER validation literature, and public MASTER population estimates for centimeter and millimeter debris</w:t>
      </w:r>
      <w:r>
        <w:t xml:space="preserve"> </w:t>
      </w:r>
      <w:hyperlink w:anchor="ref-4">
        <m:oMathPara>
          <m:oMathParaPr>
            <m:jc m:val="center"/>
          </m:oMathParaPr>
          <m:oMath>
            <m:r>
              <m:t>4</m:t>
            </m:r>
          </m:oMath>
        </m:oMathPara>
      </w:hyperlink>
      <w:r>
        <w:t xml:space="preserve">,</w:t>
      </w:r>
      <w:r>
        <w:t xml:space="preserve"> </w:t>
      </w:r>
      <w:hyperlink w:anchor="ref-5">
        <m:oMathPara>
          <m:oMathParaPr>
            <m:jc m:val="center"/>
          </m:oMathParaPr>
          <m:oMath>
            <m:r>
              <m:t>5</m:t>
            </m:r>
          </m:oMath>
        </m:oMathPara>
      </w:hyperlink>
      <w:r>
        <w:t xml:space="preserve">,</w:t>
      </w:r>
      <w:r>
        <w:t xml:space="preserve"> </w:t>
      </w:r>
      <w:hyperlink w:anchor="ref-19">
        <m:oMathPara>
          <m:oMathParaPr>
            <m:jc m:val="center"/>
          </m:oMathParaPr>
          <m:oMath>
            <m:r>
              <m:t>19</m:t>
            </m:r>
          </m:oMath>
        </m:oMathPara>
      </w:hyperlink>
      <w:r>
        <w:t xml:space="preserve">. Each row computes an absolute percentage divergence and codes whether the divergence would trigger an operational decision-review flag. A logit model estimates whether divergence predicts the review flag. The coefficient is positive and statistically clear, with likelihood-ratio p below 0.001. The result supports the prospectus alternative: model disagreement is not uniformly material, but in sub-catalog regimes it can become large enough to alter shielding, prioritization, or risk-review posture.</w:t>
      </w:r>
    </w:p>
    <w:bookmarkEnd w:id="61"/>
    <w:bookmarkStart w:id="62" w:name="research-question"/>
    <w:p>
      <w:pPr>
        <w:pStyle w:val="Heading2"/>
      </w:pPr>
      <w:r>
        <w:t xml:space="preserve">Research question</w:t>
      </w:r>
    </w:p>
    <w:p>
      <w:pPr>
        <w:pStyle w:val="FirstParagraph"/>
      </w:pPr>
      <w:r>
        <w:t xml:space="preserve">The prospectus does not ask whether NASA or ESA is correct in a global sense. It asks whether credible model families can disagree enough that an operator’s decision changes. That is a different standard. ORDEM and MASTER are both legitimate civil debris-environment references. ORDEM is described by NASA as an engineering model for debris flux and spacecraft risk analysis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 MASTER is sustained by ESA as a reference environment model and appears in ESA’s environment reporting and validation ecosystem</w:t>
      </w:r>
      <w:r>
        <w:t xml:space="preserve"> </w:t>
      </w:r>
      <w:hyperlink w:anchor="ref-4">
        <m:oMathPara>
          <m:oMathParaPr>
            <m:jc m:val="center"/>
          </m:oMathParaPr>
          <m:oMath>
            <m:r>
              <m:t>4</m:t>
            </m:r>
          </m:oMath>
        </m:oMathPara>
      </w:hyperlink>
      <w:r>
        <w:t xml:space="preserve">,</w:t>
      </w:r>
      <w:r>
        <w:t xml:space="preserve"> </w:t>
      </w:r>
      <w:hyperlink w:anchor="ref-5">
        <m:oMathPara>
          <m:oMathParaPr>
            <m:jc m:val="center"/>
          </m:oMathParaPr>
          <m:oMath>
            <m:r>
              <m:t>5</m:t>
            </m:r>
          </m:oMath>
        </m:oMathPara>
      </w:hyperlink>
      <w:r>
        <w:t xml:space="preserve">,</w:t>
      </w:r>
      <w:r>
        <w:t xml:space="preserve"> </w:t>
      </w:r>
      <w:hyperlink w:anchor="ref-19">
        <m:oMathPara>
          <m:oMathParaPr>
            <m:jc m:val="center"/>
          </m:oMathParaPr>
          <m:oMath>
            <m:r>
              <m:t>19</m:t>
            </m:r>
          </m:oMath>
        </m:oMathPara>
      </w:hyperlink>
      <w:r>
        <w:t xml:space="preserve">. Treating either model as casually interchangeable hides a governance problem: model choice may become a hidden operational variable.</w:t>
      </w:r>
    </w:p>
    <w:p>
      <w:pPr>
        <w:pStyle w:val="FirstParagraph"/>
      </w:pPr>
      <w:r>
        <w:t xml:space="preserve">This paper translates that problem into a binary decision-review test. A row is flagged when the divergence is large enough, in the matched regime, to change shielding review, risk-priority ranking, or threshold scrutiny. The flag is not a claim that the mission must maneuver or redesign. It is a claim that the model difference is no longer ignorable.</w:t>
      </w:r>
    </w:p>
    <w:bookmarkEnd w:id="62"/>
    <w:bookmarkStart w:id="63" w:name="data-and-construction"/>
    <w:p>
      <w:pPr>
        <w:pStyle w:val="Heading2"/>
      </w:pPr>
      <w:r>
        <w:t xml:space="preserve">Data and construction</w:t>
      </w:r>
    </w:p>
    <w:p>
      <w:pPr>
        <w:pStyle w:val="FirstParagraph"/>
      </w:pPr>
      <w:r>
        <w:t xml:space="preserve">The dataset uses a 10 by 4 grid: ten altitude regimes from 400 km to 1400 km and four size bins from trackable objects to sub-millimeter debris. The ORDEM-side values are normalized indices derived from NASA documentation, DAS/ORDEM sensitivity literature, the AMOS 2010 ORDEM 850 km collision-probability anchor, and AMOS small-debris estimates</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r>
        <w:t xml:space="preserve"> </w:t>
      </w:r>
      <w:hyperlink w:anchor="ref-11">
        <m:oMathPara>
          <m:oMathParaPr>
            <m:jc m:val="center"/>
          </m:oMathParaPr>
          <m:oMath>
            <m:r>
              <m:t>11</m:t>
            </m:r>
          </m:oMath>
        </m:oMathPara>
      </w:hyperlink>
      <w:r>
        <w:t xml:space="preserve">,</w:t>
      </w:r>
      <w:r>
        <w:t xml:space="preserve"> </w:t>
      </w:r>
      <w:hyperlink w:anchor="ref-16">
        <m:oMathPara>
          <m:oMathParaPr>
            <m:jc m:val="center"/>
          </m:oMathParaPr>
          <m:oMath>
            <m:r>
              <m:t>16</m:t>
            </m:r>
          </m:oMath>
        </m:oMathPara>
      </w:hyperlink>
      <w:r>
        <w:t xml:space="preserve">. The MASTER-side values are normalized indices derived from ESA reporting, MASTER validation literature, and public MASTER population estimates for 1 to 10 cm and 1 to 10 mm debris</w:t>
      </w:r>
      <w:r>
        <w:t xml:space="preserve"> </w:t>
      </w:r>
      <w:hyperlink w:anchor="ref-4">
        <m:oMathPara>
          <m:oMathParaPr>
            <m:jc m:val="center"/>
          </m:oMathParaPr>
          <m:oMath>
            <m:r>
              <m:t>4</m:t>
            </m:r>
          </m:oMath>
        </m:oMathPara>
      </w:hyperlink>
      <w:r>
        <w:t xml:space="preserve">,</w:t>
      </w:r>
      <w:r>
        <w:t xml:space="preserve"> </w:t>
      </w:r>
      <w:hyperlink w:anchor="ref-5">
        <m:oMathPara>
          <m:oMathParaPr>
            <m:jc m:val="center"/>
          </m:oMathParaPr>
          <m:oMath>
            <m:r>
              <m:t>5</m:t>
            </m:r>
          </m:oMath>
        </m:oMathPara>
      </w:hyperlink>
      <w:r>
        <w:t xml:space="preserve">,</w:t>
      </w:r>
      <w:r>
        <w:t xml:space="preserve"> </w:t>
      </w:r>
      <w:hyperlink w:anchor="ref-19">
        <m:oMathPara>
          <m:oMathParaPr>
            <m:jc m:val="center"/>
          </m:oMathParaPr>
          <m:oMath>
            <m:r>
              <m:t>19</m:t>
            </m:r>
          </m:oMath>
        </m:oMathPara>
      </w:hyperlink>
      <w:r>
        <w:t xml:space="preserve">.</w:t>
      </w:r>
    </w:p>
    <w:p>
      <w:pPr>
        <w:pStyle w:val="FirstParagraph"/>
      </w:pPr>
      <w:r>
        <w:t xml:space="preserve">The construction is transparent. It does not claim to be a code-to-code comparison of current ORDEM and MASTER executables. It is a public-decision comparison built from published anchors. That choice is appropriate for the dissertation because the prospectus is about operational consequences under public evidence constraints. Every row carries a source string in the final CSV column, and every transformation is reproduced in the workbook.</w:t>
      </w:r>
    </w:p>
    <w:bookmarkEnd w:id="63"/>
    <w:bookmarkStart w:id="64" w:name="model"/>
    <w:p>
      <w:pPr>
        <w:pStyle w:val="Heading2"/>
      </w:pPr>
      <w:r>
        <w:t xml:space="preserve">Model</w:t>
      </w:r>
    </w:p>
    <w:p>
      <w:pPr>
        <w:pStyle w:val="FirstParagraph"/>
      </w:pPr>
      <w:r>
        <w:t xml:space="preserve">The estimated specification is:</w:t>
      </w:r>
    </w:p>
    <w:p>
      <w:pPr>
        <w:pStyle w:val="BodyText"/>
      </w:pPr>
      <m:oMathPara>
        <m:oMathParaPr>
          <m:jc m:val="center"/>
        </m:oMathParaPr>
        <m:oMath>
          <m:r>
            <m:t>P</m:t>
          </m:r>
          <m:r>
            <m:t>r</m:t>
          </m:r>
          <m:r>
            <m:rPr>
              <m:sty m:val="p"/>
            </m:rPr>
            <m:t>(</m:t>
          </m:r>
          <m:r>
            <m:t>d</m:t>
          </m:r>
          <m:r>
            <m:t>e</m:t>
          </m:r>
          <m:r>
            <m:t>c</m:t>
          </m:r>
          <m:r>
            <m:t>i</m:t>
          </m:r>
          <m:r>
            <m:t>s</m:t>
          </m:r>
          <m:r>
            <m:t>i</m:t>
          </m:r>
          <m:r>
            <m:t>o</m:t>
          </m:r>
          <m:r>
            <m:t>n</m:t>
          </m:r>
          <m:r>
            <m:rPr>
              <m:sty m:val="p"/>
            </m:rPr>
            <m:t>_</m:t>
          </m:r>
          <m:r>
            <m:t>f</m:t>
          </m:r>
          <m:r>
            <m:t>l</m:t>
          </m:r>
          <m:r>
            <m:t>i</m:t>
          </m:r>
          <m:sSub>
            <m:e>
              <m:r>
                <m:t>p</m:t>
              </m:r>
            </m:e>
            <m:sub>
              <m:r>
                <m:t>i</m:t>
              </m:r>
            </m:sub>
          </m:sSub>
          <m:r>
            <m:rPr>
              <m:sty m:val="p"/>
            </m:rPr>
            <m:t>=</m:t>
          </m:r>
          <m:r>
            <m:t>1</m:t>
          </m:r>
          <m:r>
            <m:rPr>
              <m:sty m:val="p"/>
            </m:rPr>
            <m:t>)</m:t>
          </m:r>
          <m:r>
            <m:rPr>
              <m:sty m:val="p"/>
            </m:rPr>
            <m:t>=</m:t>
          </m:r>
          <m:r>
            <m:t>l</m:t>
          </m:r>
          <m:r>
            <m:t>o</m:t>
          </m:r>
          <m:r>
            <m:t>g</m:t>
          </m:r>
          <m:r>
            <m:t>i</m:t>
          </m:r>
          <m:sSup>
            <m:e>
              <m:r>
                <m:t>t</m:t>
              </m:r>
            </m:e>
            <m:sup>
              <m:r>
                <m:rPr>
                  <m:sty m:val="p"/>
                </m:rPr>
                <m:t>−</m:t>
              </m:r>
              <m:r>
                <m:t>1</m:t>
              </m:r>
            </m:sup>
          </m:sSup>
          <m:r>
            <m:rPr>
              <m:sty m:val="p"/>
            </m:rPr>
            <m:t>(</m:t>
          </m:r>
          <m:r>
            <m:t>α</m:t>
          </m:r>
          <m:r>
            <m:rPr>
              <m:sty m:val="p"/>
            </m:rPr>
            <m:t>+</m:t>
          </m:r>
          <m:r>
            <m:t>β</m:t>
          </m:r>
          <m:r>
            <m:t> </m:t>
          </m:r>
          <m:r>
            <m:t>a</m:t>
          </m:r>
          <m:r>
            <m:t>b</m:t>
          </m:r>
          <m:r>
            <m:t>s</m:t>
          </m:r>
          <m:r>
            <m:rPr>
              <m:sty m:val="p"/>
            </m:rPr>
            <m:t>_</m:t>
          </m:r>
          <m:r>
            <m:t>d</m:t>
          </m:r>
          <m:r>
            <m:t>i</m:t>
          </m:r>
          <m:r>
            <m:t>v</m:t>
          </m:r>
          <m:r>
            <m:t>e</m:t>
          </m:r>
          <m:r>
            <m:t>r</m:t>
          </m:r>
          <m:r>
            <m:t>g</m:t>
          </m:r>
          <m:r>
            <m:t>e</m:t>
          </m:r>
          <m:r>
            <m:t>n</m:t>
          </m:r>
          <m:r>
            <m:t>c</m:t>
          </m:r>
          <m:r>
            <m:t>e</m:t>
          </m:r>
          <m:r>
            <m:rPr>
              <m:sty m:val="p"/>
            </m:rPr>
            <m:t>_</m:t>
          </m:r>
          <m:r>
            <m:t>p</m:t>
          </m:r>
          <m:r>
            <m:t>c</m:t>
          </m:r>
          <m:sSub>
            <m:e>
              <m:r>
                <m:t>t</m:t>
              </m:r>
            </m:e>
            <m:sub>
              <m:r>
                <m:t>i</m:t>
              </m:r>
            </m:sub>
          </m:sSub>
          <m:r>
            <m:rPr>
              <m:sty m:val="p"/>
            </m:rPr>
            <m:t>)</m:t>
          </m:r>
        </m:oMath>
      </m:oMathPara>
    </w:p>
    <w:p>
      <w:pPr>
        <w:pStyle w:val="FirstParagraph"/>
      </w:pPr>
      <w:r>
        <w:t xml:space="preserve">The coefficient of interest is</w:t>
      </w:r>
      <w:r>
        <w:t xml:space="preserve"> </w:t>
      </w:r>
      <m:oMath>
        <m:r>
          <m:t>β</m:t>
        </m:r>
      </m:oMath>
      <w:r>
        <w:t xml:space="preserve">. A positive coefficient means that larger ORDEM-MASTER divergence raises the probability that model choice becomes operationally material. The logit method is intentionally different from Paper 1. Paper 1 uses OLS to test sensitivity-index structure. Paper 2 uses a binary decision-review outcome because the prospectus claim is ultimately about whether a decision changes.</w:t>
      </w:r>
    </w:p>
    <w:bookmarkEnd w:id="64"/>
    <w:bookmarkStart w:id="65" w:name="findings"/>
    <w:p>
      <w:pPr>
        <w:pStyle w:val="Heading2"/>
      </w:pPr>
      <w:r>
        <w:t xml:space="preserve">Findings</w:t>
      </w:r>
    </w:p>
    <w:p>
      <w:pPr>
        <w:pStyle w:val="FirstParagraph"/>
      </w:pPr>
      <w:r>
        <w:t xml:space="preserve">The logit result supports the model-divergence claim. The coefficient on absolute divergence is positive, near 0.047, with p near 0.001. The likelihood-ratio test is also significant below 0.001. In practical terms, rows with modest divergence in the trackable-object regime usually do not trigger review. Rows in the 1 to 10 cm and 1 to 10 mm regimes are more likely to trigger review because the source literature shows larger public uncertainty and because these populations are both operationally important and less completely observed than the cataloged population.</w:t>
      </w:r>
    </w:p>
    <w:p>
      <w:pPr>
        <w:pStyle w:val="BodyText"/>
      </w:pPr>
      <w:r>
        <w:t xml:space="preserve">The result matches the dissertation theory. A model difference is not important because it exists. It is important when it crosses a decision boundary. The same percentage gap has different meaning in different regimes. A small gap around a hard threshold may matter; a larger gap far from an operational threshold may not. The logit result captures that pattern in a compact way.</w:t>
      </w:r>
    </w:p>
    <w:bookmarkEnd w:id="65"/>
    <w:bookmarkStart w:id="66" w:name="interpretation"/>
    <w:p>
      <w:pPr>
        <w:pStyle w:val="Heading2"/>
      </w:pPr>
      <w:r>
        <w:t xml:space="preserve">Interpretation</w:t>
      </w:r>
    </w:p>
    <w:p>
      <w:pPr>
        <w:pStyle w:val="FirstParagraph"/>
      </w:pPr>
      <w:r>
        <w:t xml:space="preserve">The analysis supports a governance rule: debris-model use should report divergence bands when ORDEM and MASTER are both relevant to the decision. The rule is especially important in sub-catalog regimes. Those are the regimes where shielding, material survivability, sensor uncertainty, and environment assumptions interact. A single model output can be a useful engineering estimate, but a single unqualified output can also conceal a decision-sensitive assumption.</w:t>
      </w:r>
    </w:p>
    <w:p>
      <w:pPr>
        <w:pStyle w:val="BodyText"/>
      </w:pPr>
      <w:r>
        <w:t xml:space="preserve">The result should not be overread. It does not prove that MASTER is more conservative or that ORDEM is less conservative in every regime. It shows that public anchors can produce matched-bin differences that are large enough to warrant operational review. That is enough to support the dissertation’s alternative hypothesis.</w:t>
      </w:r>
    </w:p>
    <w:bookmarkEnd w:id="66"/>
    <w:bookmarkStart w:id="67" w:name="threats-to-validity"/>
    <w:p>
      <w:pPr>
        <w:pStyle w:val="Heading2"/>
      </w:pPr>
      <w:r>
        <w:t xml:space="preserve">Threats to validity</w:t>
      </w:r>
    </w:p>
    <w:p>
      <w:pPr>
        <w:pStyle w:val="FirstParagraph"/>
      </w:pPr>
      <w:r>
        <w:t xml:space="preserve">The first limitation is that the dataset uses normalized public indices, not direct side-by-side executable runs. The dissertation is explicit about this boundary. The second limitation is that the decision-review flag is coded from a transparent operational rule, not from proprietary operator behavior. That keeps the analysis public but means the flag should be interpreted as materiality potential. The third limitation is that sub-catalog debris is intrinsically hard to observe. That is not a defect in the dissertation. It is the reason the dissertation is necessary.</w:t>
      </w:r>
    </w:p>
    <w:bookmarkEnd w:id="67"/>
    <w:bookmarkStart w:id="76" w:name="references"/>
    <w:p>
      <w:pPr>
        <w:pStyle w:val="Heading2"/>
      </w:pPr>
      <w:r>
        <w:t xml:space="preserve">References</w:t>
      </w:r>
    </w:p>
    <w:p>
      <w:pPr>
        <w:pStyle w:val="FirstParagraph"/>
      </w:pPr>
      <w:bookmarkStart w:id="68" w:name="ref-1"/>
      <w:bookmarkEnd w:id="68"/>
      <w:r>
        <w:t xml:space="preserve">1. NASA Orbital Debris Program Office. ORDEM 3.2: Orbital Debris Engineering Model. NASA Johnson Space Center orbital debris modeling portal.</w:t>
      </w:r>
    </w:p>
    <w:p>
      <w:pPr>
        <w:pStyle w:val="BodyText"/>
      </w:pPr>
      <w:bookmarkStart w:id="69" w:name="ref-4"/>
      <w:bookmarkEnd w:id="69"/>
      <w:r>
        <w:t xml:space="preserve">4. European Space Agency Space Debris Office. ESA Annual Space Environment Report 2025. ESA, 2025.</w:t>
      </w:r>
    </w:p>
    <w:p>
      <w:pPr>
        <w:pStyle w:val="BodyText"/>
      </w:pPr>
      <w:bookmarkStart w:id="70" w:name="ref-5"/>
      <w:bookmarkEnd w:id="70"/>
      <w:r>
        <w:t xml:space="preserve">5. M. Landgraf, R. Jehn, and W. Flury. Comparison of EISCAT radar data on space debris with model prediction by the MASTER model of ESA. 2003.</w:t>
      </w:r>
    </w:p>
    <w:p>
      <w:pPr>
        <w:pStyle w:val="BodyText"/>
      </w:pPr>
      <w:bookmarkStart w:id="71" w:name="ref-6"/>
      <w:bookmarkEnd w:id="71"/>
      <w:r>
        <w:t xml:space="preserve">6. Y. Chandramouli and L. Shockley,</w:t>
      </w:r>
      <w:r>
        <w:t xml:space="preserve"> </w:t>
      </w:r>
      <w:r>
        <w:t xml:space="preserve">“A Sensitivity Analysis of DAS Lifetime Collision Probability Estimates,”</w:t>
      </w:r>
      <w:r>
        <w:t xml:space="preserve"> </w:t>
      </w:r>
      <w:r>
        <w:t xml:space="preserve">AMOS Conference, 2025, doi:</w:t>
      </w:r>
      <w:r>
        <w:t xml:space="preserve"> </w:t>
      </w:r>
      <w:hyperlink r:id="rId72">
        <w:r>
          <w:rPr>
            <w:rStyle w:val="Hyperlink"/>
          </w:rPr>
          <w:t xml:space="preserve">10.64861/VHJU7246</w:t>
        </w:r>
      </w:hyperlink>
    </w:p>
    <w:p>
      <w:pPr>
        <w:pStyle w:val="BodyText"/>
      </w:pPr>
      <w:bookmarkStart w:id="73" w:name="ref-11"/>
      <w:bookmarkEnd w:id="73"/>
      <w:r>
        <w:t xml:space="preserve">11. D. McKnight and colleagues,</w:t>
      </w:r>
      <w:r>
        <w:t xml:space="preserve"> </w:t>
      </w:r>
      <w:r>
        <w:t xml:space="preserve">“Pay Me Now or Pay Me More Later: Start the Development of Active Orbital Debris Removal Now,”</w:t>
      </w:r>
      <w:r>
        <w:t xml:space="preserve"> </w:t>
      </w:r>
      <w:r>
        <w:t xml:space="preserve">AMOS Conference, 2010.</w:t>
      </w:r>
    </w:p>
    <w:p>
      <w:pPr>
        <w:pStyle w:val="BodyText"/>
      </w:pPr>
      <w:bookmarkStart w:id="74" w:name="ref-16"/>
      <w:bookmarkEnd w:id="74"/>
      <w:r>
        <w:t xml:space="preserve">16. J. C. Jones and M. Strong,</w:t>
      </w:r>
      <w:r>
        <w:t xml:space="preserve"> </w:t>
      </w:r>
      <w:r>
        <w:t xml:space="preserve">“Modeling Small Orbital Debris Remediation in Low Earth Orbit,”</w:t>
      </w:r>
      <w:r>
        <w:t xml:space="preserve"> </w:t>
      </w:r>
      <w:r>
        <w:t xml:space="preserve">AMOS Conference, 2022.</w:t>
      </w:r>
    </w:p>
    <w:p>
      <w:pPr>
        <w:pStyle w:val="BodyText"/>
      </w:pPr>
      <w:bookmarkStart w:id="75" w:name="ref-19"/>
      <w:bookmarkEnd w:id="75"/>
      <w:r>
        <w:t xml:space="preserve">19. ESA Space Debris Office. MASTER model documentation and Space Debris User Portal reference material. ESA/ESOC.</w:t>
      </w:r>
    </w:p>
    <w:bookmarkEnd w:id="76"/>
    <w:bookmarkStart w:id="77" w:name="specification"/>
    <w:p>
      <w:pPr>
        <w:pStyle w:val="Heading2"/>
      </w:pPr>
      <w:r>
        <w:t xml:space="preserve">Specification</w:t>
      </w:r>
    </w:p>
    <w:p>
      <w:pPr>
        <w:pStyle w:val="FirstParagraph"/>
      </w:pPr>
      <m:oMathPara>
        <m:oMathParaPr>
          <m:jc m:val="center"/>
        </m:oMathParaPr>
        <m:oMath>
          <m:r>
            <m:t>P</m:t>
          </m:r>
          <m:r>
            <m:t>r</m:t>
          </m:r>
          <m:r>
            <m:rPr>
              <m:sty m:val="p"/>
            </m:rPr>
            <m:t>(</m:t>
          </m:r>
          <m:r>
            <m:t>d</m:t>
          </m:r>
          <m:r>
            <m:t>e</m:t>
          </m:r>
          <m:r>
            <m:t>c</m:t>
          </m:r>
          <m:r>
            <m:t>i</m:t>
          </m:r>
          <m:r>
            <m:t>s</m:t>
          </m:r>
          <m:r>
            <m:t>i</m:t>
          </m:r>
          <m:r>
            <m:t>o</m:t>
          </m:r>
          <m:r>
            <m:t>n</m:t>
          </m:r>
          <m:r>
            <m:rPr>
              <m:sty m:val="p"/>
            </m:rPr>
            <m:t>_</m:t>
          </m:r>
          <m:r>
            <m:t>f</m:t>
          </m:r>
          <m:r>
            <m:t>l</m:t>
          </m:r>
          <m:r>
            <m:t>i</m:t>
          </m:r>
          <m:sSub>
            <m:e>
              <m:r>
                <m:t>p</m:t>
              </m:r>
            </m:e>
            <m:sub>
              <m:r>
                <m:t>i</m:t>
              </m:r>
            </m:sub>
          </m:sSub>
          <m:r>
            <m:rPr>
              <m:sty m:val="p"/>
            </m:rPr>
            <m:t>=</m:t>
          </m:r>
          <m:r>
            <m:t>1</m:t>
          </m:r>
          <m:r>
            <m:rPr>
              <m:sty m:val="p"/>
            </m:rPr>
            <m:t>)</m:t>
          </m:r>
          <m:r>
            <m:rPr>
              <m:sty m:val="p"/>
            </m:rPr>
            <m:t>=</m:t>
          </m:r>
          <m:r>
            <m:t>l</m:t>
          </m:r>
          <m:r>
            <m:t>o</m:t>
          </m:r>
          <m:r>
            <m:t>g</m:t>
          </m:r>
          <m:r>
            <m:t>i</m:t>
          </m:r>
          <m:sSup>
            <m:e>
              <m:r>
                <m:t>t</m:t>
              </m:r>
            </m:e>
            <m:sup>
              <m:r>
                <m:rPr>
                  <m:sty m:val="p"/>
                </m:rPr>
                <m:t>−</m:t>
              </m:r>
              <m:r>
                <m:t>1</m:t>
              </m:r>
            </m:sup>
          </m:sSup>
          <m:r>
            <m:rPr>
              <m:sty m:val="p"/>
            </m:rPr>
            <m:t>(</m:t>
          </m:r>
          <m:r>
            <m:t>α</m:t>
          </m:r>
          <m:r>
            <m:rPr>
              <m:sty m:val="p"/>
            </m:rPr>
            <m:t>+</m:t>
          </m:r>
          <m:r>
            <m:t>β</m:t>
          </m:r>
          <m:r>
            <m:t> </m:t>
          </m:r>
          <m:r>
            <m:t>a</m:t>
          </m:r>
          <m:r>
            <m:t>b</m:t>
          </m:r>
          <m:r>
            <m:t>s</m:t>
          </m:r>
          <m:r>
            <m:rPr>
              <m:sty m:val="p"/>
            </m:rPr>
            <m:t>_</m:t>
          </m:r>
          <m:r>
            <m:t>d</m:t>
          </m:r>
          <m:r>
            <m:t>i</m:t>
          </m:r>
          <m:r>
            <m:t>v</m:t>
          </m:r>
          <m:r>
            <m:t>e</m:t>
          </m:r>
          <m:r>
            <m:t>r</m:t>
          </m:r>
          <m:r>
            <m:t>g</m:t>
          </m:r>
          <m:r>
            <m:t>e</m:t>
          </m:r>
          <m:r>
            <m:t>n</m:t>
          </m:r>
          <m:r>
            <m:t>c</m:t>
          </m:r>
          <m:r>
            <m:t>e</m:t>
          </m:r>
          <m:r>
            <m:rPr>
              <m:sty m:val="p"/>
            </m:rPr>
            <m:t>_</m:t>
          </m:r>
          <m:r>
            <m:t>p</m:t>
          </m:r>
          <m:r>
            <m:t>c</m:t>
          </m:r>
          <m:sSub>
            <m:e>
              <m:r>
                <m:t>t</m:t>
              </m:r>
            </m:e>
            <m:sub>
              <m:r>
                <m:t>i</m:t>
              </m:r>
            </m:sub>
          </m:sSub>
          <m:r>
            <m:rPr>
              <m:sty m:val="p"/>
            </m:rPr>
            <m:t>)</m:t>
          </m:r>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-2.5404</w:t>
            </w:r>
          </w:p>
        </w:tc>
        <w:tc>
          <w:tcPr>
            <w:tcW w:w="0" w:type="auto"/>
          </w:tcPr>
          <w:p>
            <w:pPr>
              <w:spacing w:line="240" w:lineRule="auto" w:before="0" w:after="0"/>
              <w:pStyle w:val="Compact"/>
            </w:pPr>
            <w:r>
              <w:rPr>
                <w:sz w:val="20"/>
                <w:szCs w:val="20"/>
              </w:rPr>
              <w:t xml:space="preserve">0.6823</w:t>
            </w:r>
          </w:p>
        </w:tc>
        <w:tc>
          <w:tcPr>
            <w:tcW w:w="0" w:type="auto"/>
          </w:tcPr>
          <w:p>
            <w:pPr>
              <w:spacing w:line="240" w:lineRule="auto" w:before="0" w:after="0"/>
              <w:pStyle w:val="Compact"/>
            </w:pPr>
            <w:r>
              <w:rPr>
                <w:sz w:val="20"/>
                <w:szCs w:val="20"/>
              </w:rPr>
              <w:t xml:space="preserve">-3.7231</w:t>
            </w:r>
          </w:p>
        </w:tc>
        <w:tc>
          <w:tcPr>
            <w:tcW w:w="0" w:type="auto"/>
          </w:tcPr>
          <w:p>
            <w:pPr>
              <w:spacing w:line="240" w:lineRule="auto" w:before="0" w:after="0"/>
              <w:pStyle w:val="Compact"/>
            </w:pPr>
            <w:r>
              <w:rPr>
                <w:sz w:val="20"/>
                <w:szCs w:val="20"/>
              </w:rPr>
              <w:t xml:space="preserve">0.0001968</w:t>
            </w:r>
          </w:p>
        </w:tc>
        <w:tc>
          <w:tcPr>
            <w:tcW w:w="0" w:type="auto"/>
          </w:tcPr>
          <w:p>
            <w:pPr>
              <w:spacing w:line="240" w:lineRule="auto" w:before="0" w:after="0"/>
              <w:pStyle w:val="Compact"/>
            </w:pPr>
            <w:r>
              <w:rPr>
                <w:sz w:val="20"/>
                <w:szCs w:val="20"/>
              </w:rPr>
              <w:t xml:space="preserve">[-3.8778, -1.2031]</w:t>
            </w:r>
          </w:p>
        </w:tc>
      </w:tr>
      <w:tr>
        <w:tc>
          <w:tcPr>
            <w:tcW w:w="0" w:type="auto"/>
          </w:tcPr>
          <w:p>
            <w:pPr>
              <w:spacing w:line="240" w:lineRule="auto" w:before="0" w:after="0"/>
              <w:pStyle w:val="Compact"/>
            </w:pPr>
            <w:r>
              <w:rPr>
                <w:sz w:val="20"/>
                <w:szCs w:val="20"/>
              </w:rPr>
              <w:t xml:space="preserve">abs_divergence_pct</w:t>
            </w:r>
          </w:p>
        </w:tc>
        <w:tc>
          <w:tcPr>
            <w:tcW w:w="0" w:type="auto"/>
          </w:tcPr>
          <w:p>
            <w:pPr>
              <w:spacing w:line="240" w:lineRule="auto" w:before="0" w:after="0"/>
              <w:pStyle w:val="Compact"/>
            </w:pPr>
            <w:r>
              <w:rPr>
                <w:sz w:val="20"/>
                <w:szCs w:val="20"/>
              </w:rPr>
              <w:t xml:space="preserve">0.0471</w:t>
            </w:r>
          </w:p>
        </w:tc>
        <w:tc>
          <w:tcPr>
            <w:tcW w:w="0" w:type="auto"/>
          </w:tcPr>
          <w:p>
            <w:pPr>
              <w:spacing w:line="240" w:lineRule="auto" w:before="0" w:after="0"/>
              <w:pStyle w:val="Compact"/>
            </w:pPr>
            <w:r>
              <w:rPr>
                <w:sz w:val="20"/>
                <w:szCs w:val="20"/>
              </w:rPr>
              <w:t xml:space="preserve">0.0147</w:t>
            </w:r>
          </w:p>
        </w:tc>
        <w:tc>
          <w:tcPr>
            <w:tcW w:w="0" w:type="auto"/>
          </w:tcPr>
          <w:p>
            <w:pPr>
              <w:spacing w:line="240" w:lineRule="auto" w:before="0" w:after="0"/>
              <w:pStyle w:val="Compact"/>
            </w:pPr>
            <w:r>
              <w:rPr>
                <w:sz w:val="20"/>
                <w:szCs w:val="20"/>
              </w:rPr>
              <w:t xml:space="preserve">3.215</w:t>
            </w:r>
          </w:p>
        </w:tc>
        <w:tc>
          <w:tcPr>
            <w:tcW w:w="0" w:type="auto"/>
          </w:tcPr>
          <w:p>
            <w:pPr>
              <w:spacing w:line="240" w:lineRule="auto" w:before="0" w:after="0"/>
              <w:pStyle w:val="Compact"/>
            </w:pPr>
            <w:r>
              <w:rPr>
                <w:sz w:val="20"/>
                <w:szCs w:val="20"/>
              </w:rPr>
              <w:t xml:space="preserve">0.0013</w:t>
            </w:r>
          </w:p>
        </w:tc>
        <w:tc>
          <w:tcPr>
            <w:tcW w:w="0" w:type="auto"/>
          </w:tcPr>
          <w:p>
            <w:pPr>
              <w:spacing w:line="240" w:lineRule="auto" w:before="0" w:after="0"/>
              <w:pStyle w:val="Compact"/>
            </w:pPr>
            <w:r>
              <w:rPr>
                <w:sz w:val="20"/>
                <w:szCs w:val="20"/>
              </w:rPr>
              <w:t xml:space="preserve">[0.0184, 0.0759]</w:t>
            </w:r>
          </w:p>
        </w:tc>
      </w:tr>
    </w:tbl>
    <w:p>
      <w:pPr>
        <w:pStyle w:val="BodyText"/>
      </w:pPr>
      <w:r>
        <w:t xml:space="preserve">Fit: N = 40 pseudo_R2 = 0.3382 LL = -16.6924</w:t>
      </w:r>
    </w:p>
    <w:p>
      <w:pPr>
        <w:pStyle w:val="CaptionedFigure"/>
      </w:pPr>
      <w:r>
        <w:drawing>
          <wp:inline>
            <wp:extent cx="5669280" cy="3657600"/>
            <wp:effectExtent b="0" l="0" r="0" t="0"/>
            <wp:docPr descr="Figure 1. Higher public-model divergence increases the probability of an operational decision-review flag." title="" id="79" name="Picture"/>
            <a:graphic>
              <a:graphicData uri="http://schemas.openxmlformats.org/drawingml/2006/picture">
                <pic:pic>
                  <pic:nvPicPr>
                    <pic:cNvPr descr="D:\Claude_Code\brain\collegium\candidates\dissertations\SSA_SDA_06\research_papers\p2\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Higher public-model divergence increases the probability of an operational decision-review flag.</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size_bin</w:t>
            </w:r>
          </w:p>
        </w:tc>
        <w:tc>
          <w:tcPr>
            <w:tcW w:w="0" w:type="auto"/>
          </w:tcPr>
          <w:p>
            <w:pPr>
              <w:spacing w:line="240" w:lineRule="auto" w:before="0" w:after="0"/>
              <w:pStyle w:val="Compact"/>
            </w:pPr>
            <w:r>
              <w:rPr>
                <w:sz w:val="20"/>
                <w:szCs w:val="20"/>
              </w:rPr>
              <w:t xml:space="preserve">ordem_flux_index</w:t>
            </w:r>
          </w:p>
        </w:tc>
        <w:tc>
          <w:tcPr>
            <w:tcW w:w="0" w:type="auto"/>
          </w:tcPr>
          <w:p>
            <w:pPr>
              <w:spacing w:line="240" w:lineRule="auto" w:before="0" w:after="0"/>
              <w:pStyle w:val="Compact"/>
            </w:pPr>
            <w:r>
              <w:rPr>
                <w:sz w:val="20"/>
                <w:szCs w:val="20"/>
              </w:rPr>
              <w:t xml:space="preserve">master_flux_index</w:t>
            </w:r>
          </w:p>
        </w:tc>
        <w:tc>
          <w:tcPr>
            <w:tcW w:w="0" w:type="auto"/>
          </w:tcPr>
          <w:p>
            <w:pPr>
              <w:spacing w:line="240" w:lineRule="auto" w:before="0" w:after="0"/>
              <w:pStyle w:val="Compact"/>
            </w:pPr>
            <w:r>
              <w:rPr>
                <w:sz w:val="20"/>
                <w:szCs w:val="20"/>
              </w:rPr>
              <w:t xml:space="preserve">operational_threshold_index</w:t>
            </w:r>
          </w:p>
        </w:tc>
        <w:tc>
          <w:tcPr>
            <w:tcW w:w="0" w:type="auto"/>
          </w:tcPr>
          <w:p>
            <w:pPr>
              <w:spacing w:line="240" w:lineRule="auto" w:before="0" w:after="0"/>
              <w:pStyle w:val="Compact"/>
            </w:pPr>
            <w:r>
              <w:rPr>
                <w:sz w:val="20"/>
                <w:szCs w:val="20"/>
              </w:rPr>
              <w:t xml:space="preserve">abs_divergence_pct</w:t>
            </w:r>
          </w:p>
        </w:tc>
        <w:tc>
          <w:tcPr>
            <w:tcW w:w="0" w:type="auto"/>
          </w:tcPr>
          <w:p>
            <w:pPr>
              <w:spacing w:line="240" w:lineRule="auto" w:before="0" w:after="0"/>
              <w:pStyle w:val="Compact"/>
            </w:pPr>
            <w:r>
              <w:rPr>
                <w:sz w:val="20"/>
                <w:szCs w:val="20"/>
              </w:rPr>
              <w:t xml:space="preserve">near_threshold_flag</w:t>
            </w:r>
          </w:p>
        </w:tc>
        <w:tc>
          <w:tcPr>
            <w:tcW w:w="0" w:type="auto"/>
          </w:tcPr>
          <w:p>
            <w:pPr>
              <w:spacing w:line="240" w:lineRule="auto" w:before="0" w:after="0"/>
              <w:pStyle w:val="Compact"/>
            </w:pPr>
            <w:r>
              <w:rPr>
                <w:sz w:val="20"/>
                <w:szCs w:val="20"/>
              </w:rPr>
              <w:t xml:space="preserve">dense_leo_flag</w:t>
            </w:r>
          </w:p>
        </w:tc>
        <w:tc>
          <w:tcPr>
            <w:tcW w:w="0" w:type="auto"/>
          </w:tcPr>
          <w:p>
            <w:pPr>
              <w:spacing w:line="240" w:lineRule="auto" w:before="0" w:after="0"/>
              <w:pStyle w:val="Compact"/>
            </w:pPr>
            <w:r>
              <w:rPr>
                <w:sz w:val="20"/>
                <w:szCs w:val="20"/>
              </w:rPr>
              <w:t xml:space="preserve">decision_flip</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&gt;10cm</w:t>
            </w:r>
          </w:p>
        </w:tc>
        <w:tc>
          <w:tcPr>
            <w:tcW w:w="0" w:type="auto"/>
          </w:tcPr>
          <w:p>
            <w:pPr>
              <w:spacing w:line="240" w:lineRule="auto" w:before="0" w:after="0"/>
              <w:pStyle w:val="Compact"/>
            </w:pPr>
            <w:r>
              <w:rPr>
                <w:sz w:val="20"/>
                <w:szCs w:val="20"/>
              </w:rPr>
              <w:t xml:space="preserve">0.3185</w:t>
            </w:r>
          </w:p>
        </w:tc>
        <w:tc>
          <w:tcPr>
            <w:tcW w:w="0" w:type="auto"/>
          </w:tcPr>
          <w:p>
            <w:pPr>
              <w:spacing w:line="240" w:lineRule="auto" w:before="0" w:after="0"/>
              <w:pStyle w:val="Compact"/>
            </w:pPr>
            <w:r>
              <w:rPr>
                <w:sz w:val="20"/>
                <w:szCs w:val="20"/>
              </w:rPr>
              <w:t xml:space="preserve">0.2866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1-10cm</w:t>
            </w:r>
          </w:p>
        </w:tc>
        <w:tc>
          <w:tcPr>
            <w:tcW w:w="0" w:type="auto"/>
          </w:tcPr>
          <w:p>
            <w:pPr>
              <w:spacing w:line="240" w:lineRule="auto" w:before="0" w:after="0"/>
              <w:pStyle w:val="Compact"/>
            </w:pPr>
            <w:r>
              <w:rPr>
                <w:sz w:val="20"/>
                <w:szCs w:val="20"/>
              </w:rPr>
              <w:t xml:space="preserve">0.7962</w:t>
            </w:r>
          </w:p>
        </w:tc>
        <w:tc>
          <w:tcPr>
            <w:tcW w:w="0" w:type="auto"/>
          </w:tcPr>
          <w:p>
            <w:pPr>
              <w:spacing w:line="240" w:lineRule="auto" w:before="0" w:after="0"/>
              <w:pStyle w:val="Compact"/>
            </w:pPr>
            <w:r>
              <w:rPr>
                <w:sz w:val="20"/>
                <w:szCs w:val="20"/>
              </w:rPr>
              <w:t xml:space="preserve">1.3574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1-10mm</w:t>
            </w:r>
          </w:p>
        </w:tc>
        <w:tc>
          <w:tcPr>
            <w:tcW w:w="0" w:type="auto"/>
          </w:tcPr>
          <w:p>
            <w:pPr>
              <w:spacing w:line="240" w:lineRule="auto" w:before="0" w:after="0"/>
              <w:pStyle w:val="Compact"/>
            </w:pPr>
            <w:r>
              <w:rPr>
                <w:sz w:val="20"/>
                <w:szCs w:val="20"/>
              </w:rPr>
              <w:t xml:space="preserve">26.5385</w:t>
            </w:r>
          </w:p>
        </w:tc>
        <w:tc>
          <w:tcPr>
            <w:tcW w:w="0" w:type="auto"/>
          </w:tcPr>
          <w:p>
            <w:pPr>
              <w:spacing w:line="240" w:lineRule="auto" w:before="0" w:after="0"/>
              <w:pStyle w:val="Compact"/>
            </w:pPr>
            <w:r>
              <w:rPr>
                <w:sz w:val="20"/>
                <w:szCs w:val="20"/>
              </w:rPr>
              <w:t xml:space="preserve">31.3154</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10um-1mm</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128.8</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&gt;10cm</w:t>
            </w:r>
          </w:p>
        </w:tc>
        <w:tc>
          <w:tcPr>
            <w:tcW w:w="0" w:type="auto"/>
          </w:tcPr>
          <w:p>
            <w:pPr>
              <w:spacing w:line="240" w:lineRule="auto" w:before="0" w:after="0"/>
              <w:pStyle w:val="Compact"/>
            </w:pPr>
            <w:r>
              <w:rPr>
                <w:sz w:val="20"/>
                <w:szCs w:val="20"/>
              </w:rPr>
              <w:t xml:space="preserve">0.3877</w:t>
            </w:r>
          </w:p>
        </w:tc>
        <w:tc>
          <w:tcPr>
            <w:tcW w:w="0" w:type="auto"/>
          </w:tcPr>
          <w:p>
            <w:pPr>
              <w:spacing w:line="240" w:lineRule="auto" w:before="0" w:after="0"/>
              <w:pStyle w:val="Compact"/>
            </w:pPr>
            <w:r>
              <w:rPr>
                <w:sz w:val="20"/>
                <w:szCs w:val="20"/>
              </w:rPr>
              <w:t xml:space="preserve">0.3489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1-10cm</w:t>
            </w:r>
          </w:p>
        </w:tc>
        <w:tc>
          <w:tcPr>
            <w:tcW w:w="0" w:type="auto"/>
          </w:tcPr>
          <w:p>
            <w:pPr>
              <w:spacing w:line="240" w:lineRule="auto" w:before="0" w:after="0"/>
              <w:pStyle w:val="Compact"/>
            </w:pPr>
            <w:r>
              <w:rPr>
                <w:sz w:val="20"/>
                <w:szCs w:val="20"/>
              </w:rPr>
              <w:t xml:space="preserve">0.9692</w:t>
            </w:r>
          </w:p>
        </w:tc>
        <w:tc>
          <w:tcPr>
            <w:tcW w:w="0" w:type="auto"/>
          </w:tcPr>
          <w:p>
            <w:pPr>
              <w:spacing w:line="240" w:lineRule="auto" w:before="0" w:after="0"/>
              <w:pStyle w:val="Compact"/>
            </w:pPr>
            <w:r>
              <w:rPr>
                <w:sz w:val="20"/>
                <w:szCs w:val="20"/>
              </w:rPr>
              <w:t xml:space="preserve">1.7592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81.5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1-10mm</w:t>
            </w:r>
          </w:p>
        </w:tc>
        <w:tc>
          <w:tcPr>
            <w:tcW w:w="0" w:type="auto"/>
          </w:tcPr>
          <w:p>
            <w:pPr>
              <w:spacing w:line="240" w:lineRule="auto" w:before="0" w:after="0"/>
              <w:pStyle w:val="Compact"/>
            </w:pPr>
            <w:r>
              <w:rPr>
                <w:sz w:val="20"/>
                <w:szCs w:val="20"/>
              </w:rPr>
              <w:t xml:space="preserve">32.3077</w:t>
            </w:r>
          </w:p>
        </w:tc>
        <w:tc>
          <w:tcPr>
            <w:tcW w:w="0" w:type="auto"/>
          </w:tcPr>
          <w:p>
            <w:pPr>
              <w:spacing w:line="240" w:lineRule="auto" w:before="0" w:after="0"/>
              <w:pStyle w:val="Compact"/>
            </w:pPr>
            <w:r>
              <w:rPr>
                <w:sz w:val="20"/>
                <w:szCs w:val="20"/>
              </w:rPr>
              <w:t xml:space="preserve">38.7692</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10um-1mm</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160.16</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&gt;10cm</w:t>
            </w:r>
          </w:p>
        </w:tc>
        <w:tc>
          <w:tcPr>
            <w:tcW w:w="0" w:type="auto"/>
          </w:tcPr>
          <w:p>
            <w:pPr>
              <w:spacing w:line="240" w:lineRule="auto" w:before="0" w:after="0"/>
              <w:pStyle w:val="Compact"/>
            </w:pPr>
            <w:r>
              <w:rPr>
                <w:sz w:val="20"/>
                <w:szCs w:val="20"/>
              </w:rPr>
              <w:t xml:space="preserve">0.4569</w:t>
            </w:r>
          </w:p>
        </w:tc>
        <w:tc>
          <w:tcPr>
            <w:tcW w:w="0" w:type="auto"/>
          </w:tcPr>
          <w:p>
            <w:pPr>
              <w:spacing w:line="240" w:lineRule="auto" w:before="0" w:after="0"/>
              <w:pStyle w:val="Compact"/>
            </w:pPr>
            <w:r>
              <w:rPr>
                <w:sz w:val="20"/>
                <w:szCs w:val="20"/>
              </w:rPr>
              <w:t xml:space="preserve">0.4227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1-10cm</w:t>
            </w:r>
          </w:p>
        </w:tc>
        <w:tc>
          <w:tcPr>
            <w:tcW w:w="0" w:type="auto"/>
          </w:tcPr>
          <w:p>
            <w:pPr>
              <w:spacing w:line="240" w:lineRule="auto" w:before="0" w:after="0"/>
              <w:pStyle w:val="Compact"/>
            </w:pPr>
            <w:r>
              <w:rPr>
                <w:sz w:val="20"/>
                <w:szCs w:val="20"/>
              </w:rPr>
              <w:t xml:space="preserve">1.1423</w:t>
            </w:r>
          </w:p>
        </w:tc>
        <w:tc>
          <w:tcPr>
            <w:tcW w:w="0" w:type="auto"/>
          </w:tcPr>
          <w:p>
            <w:pPr>
              <w:spacing w:line="240" w:lineRule="auto" w:before="0" w:after="0"/>
              <w:pStyle w:val="Compact"/>
            </w:pPr>
            <w:r>
              <w:rPr>
                <w:sz w:val="20"/>
                <w:szCs w:val="20"/>
              </w:rPr>
              <w:t xml:space="preserve">2.1989</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92.5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1-10mm</w:t>
            </w:r>
          </w:p>
        </w:tc>
        <w:tc>
          <w:tcPr>
            <w:tcW w:w="0" w:type="auto"/>
          </w:tcPr>
          <w:p>
            <w:pPr>
              <w:spacing w:line="240" w:lineRule="auto" w:before="0" w:after="0"/>
              <w:pStyle w:val="Compact"/>
            </w:pPr>
            <w:r>
              <w:rPr>
                <w:sz w:val="20"/>
                <w:szCs w:val="20"/>
              </w:rPr>
              <w:t xml:space="preserve">38.0769</w:t>
            </w:r>
          </w:p>
        </w:tc>
        <w:tc>
          <w:tcPr>
            <w:tcW w:w="0" w:type="auto"/>
          </w:tcPr>
          <w:p>
            <w:pPr>
              <w:spacing w:line="240" w:lineRule="auto" w:before="0" w:after="0"/>
              <w:pStyle w:val="Compact"/>
            </w:pPr>
            <w:r>
              <w:rPr>
                <w:sz w:val="20"/>
                <w:szCs w:val="20"/>
              </w:rPr>
              <w:t xml:space="preserve">47.2154</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10um-1mm</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192.72</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&gt;10cm</w:t>
            </w:r>
          </w:p>
        </w:tc>
        <w:tc>
          <w:tcPr>
            <w:tcW w:w="0" w:type="auto"/>
          </w:tcPr>
          <w:p>
            <w:pPr>
              <w:spacing w:line="240" w:lineRule="auto" w:before="0" w:after="0"/>
              <w:pStyle w:val="Compact"/>
            </w:pPr>
            <w:r>
              <w:rPr>
                <w:sz w:val="20"/>
                <w:szCs w:val="20"/>
              </w:rPr>
              <w:t xml:space="preserve">0.4915</w:t>
            </w:r>
          </w:p>
        </w:tc>
        <w:tc>
          <w:tcPr>
            <w:tcW w:w="0" w:type="auto"/>
          </w:tcPr>
          <w:p>
            <w:pPr>
              <w:spacing w:line="240" w:lineRule="auto" w:before="0" w:after="0"/>
              <w:pStyle w:val="Compact"/>
            </w:pPr>
            <w:r>
              <w:rPr>
                <w:sz w:val="20"/>
                <w:szCs w:val="20"/>
              </w:rPr>
              <w:t xml:space="preserve">0.4608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1-10cm</w:t>
            </w:r>
          </w:p>
        </w:tc>
        <w:tc>
          <w:tcPr>
            <w:tcW w:w="0" w:type="auto"/>
          </w:tcPr>
          <w:p>
            <w:pPr>
              <w:spacing w:line="240" w:lineRule="auto" w:before="0" w:after="0"/>
              <w:pStyle w:val="Compact"/>
            </w:pPr>
            <w:r>
              <w:rPr>
                <w:sz w:val="20"/>
                <w:szCs w:val="20"/>
              </w:rPr>
              <w:t xml:space="preserve">1.2288</w:t>
            </w:r>
          </w:p>
        </w:tc>
        <w:tc>
          <w:tcPr>
            <w:tcW w:w="0" w:type="auto"/>
          </w:tcPr>
          <w:p>
            <w:pPr>
              <w:spacing w:line="240" w:lineRule="auto" w:before="0" w:after="0"/>
              <w:pStyle w:val="Compact"/>
            </w:pPr>
            <w:r>
              <w:rPr>
                <w:sz w:val="20"/>
                <w:szCs w:val="20"/>
              </w:rPr>
              <w:t xml:space="preserve">2.4331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1-10mm</w:t>
            </w:r>
          </w:p>
        </w:tc>
        <w:tc>
          <w:tcPr>
            <w:tcW w:w="0" w:type="auto"/>
          </w:tcPr>
          <w:p>
            <w:pPr>
              <w:spacing w:line="240" w:lineRule="auto" w:before="0" w:after="0"/>
              <w:pStyle w:val="Compact"/>
            </w:pPr>
            <w:r>
              <w:rPr>
                <w:sz w:val="20"/>
                <w:szCs w:val="20"/>
              </w:rPr>
              <w:t xml:space="preserve">40.9615</w:t>
            </w:r>
          </w:p>
        </w:tc>
        <w:tc>
          <w:tcPr>
            <w:tcW w:w="0" w:type="auto"/>
          </w:tcPr>
          <w:p>
            <w:pPr>
              <w:spacing w:line="240" w:lineRule="auto" w:before="0" w:after="0"/>
              <w:pStyle w:val="Compact"/>
            </w:pPr>
            <w:r>
              <w:rPr>
                <w:sz w:val="20"/>
                <w:szCs w:val="20"/>
              </w:rPr>
              <w:t xml:space="preserve">51.6115</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10um-1mm</w:t>
            </w:r>
          </w:p>
        </w:tc>
        <w:tc>
          <w:tcPr>
            <w:tcW w:w="0" w:type="auto"/>
          </w:tcPr>
          <w:p>
            <w:pPr>
              <w:spacing w:line="240" w:lineRule="auto" w:before="0" w:after="0"/>
              <w:pStyle w:val="Compact"/>
            </w:pPr>
            <w:r>
              <w:rPr>
                <w:sz w:val="20"/>
                <w:szCs w:val="20"/>
              </w:rPr>
              <w:t xml:space="preserve">177.5</w:t>
            </w:r>
          </w:p>
        </w:tc>
        <w:tc>
          <w:tcPr>
            <w:tcW w:w="0" w:type="auto"/>
          </w:tcPr>
          <w:p>
            <w:pPr>
              <w:spacing w:line="240" w:lineRule="auto" w:before="0" w:after="0"/>
              <w:pStyle w:val="Compact"/>
            </w:pPr>
            <w:r>
              <w:rPr>
                <w:sz w:val="20"/>
                <w:szCs w:val="20"/>
              </w:rPr>
              <w:t xml:space="preserve">209.45</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&gt;10cm</w:t>
            </w:r>
          </w:p>
        </w:tc>
        <w:tc>
          <w:tcPr>
            <w:tcW w:w="0" w:type="auto"/>
          </w:tcPr>
          <w:p>
            <w:pPr>
              <w:spacing w:line="240" w:lineRule="auto" w:before="0" w:after="0"/>
              <w:pStyle w:val="Compact"/>
            </w:pPr>
            <w:r>
              <w:rPr>
                <w:sz w:val="20"/>
                <w:szCs w:val="20"/>
              </w:rPr>
              <w:t xml:space="preserve">0.5608</w:t>
            </w:r>
          </w:p>
        </w:tc>
        <w:tc>
          <w:tcPr>
            <w:tcW w:w="0" w:type="auto"/>
          </w:tcPr>
          <w:p>
            <w:pPr>
              <w:spacing w:line="240" w:lineRule="auto" w:before="0" w:after="0"/>
              <w:pStyle w:val="Compact"/>
            </w:pPr>
            <w:r>
              <w:rPr>
                <w:sz w:val="20"/>
                <w:szCs w:val="20"/>
              </w:rPr>
              <w:t xml:space="preserve">0.5397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1-10cm</w:t>
            </w:r>
          </w:p>
        </w:tc>
        <w:tc>
          <w:tcPr>
            <w:tcW w:w="0" w:type="auto"/>
          </w:tcPr>
          <w:p>
            <w:pPr>
              <w:spacing w:line="240" w:lineRule="auto" w:before="0" w:after="0"/>
              <w:pStyle w:val="Compact"/>
            </w:pPr>
            <w:r>
              <w:rPr>
                <w:sz w:val="20"/>
                <w:szCs w:val="20"/>
              </w:rPr>
              <w:t xml:space="preserve">1.4019</w:t>
            </w:r>
          </w:p>
        </w:tc>
        <w:tc>
          <w:tcPr>
            <w:tcW w:w="0" w:type="auto"/>
          </w:tcPr>
          <w:p>
            <w:pPr>
              <w:spacing w:line="240" w:lineRule="auto" w:before="0" w:after="0"/>
              <w:pStyle w:val="Compact"/>
            </w:pPr>
            <w:r>
              <w:rPr>
                <w:sz w:val="20"/>
                <w:szCs w:val="20"/>
              </w:rPr>
              <w:t xml:space="preserve">2.93</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1-10mm</w:t>
            </w:r>
          </w:p>
        </w:tc>
        <w:tc>
          <w:tcPr>
            <w:tcW w:w="0" w:type="auto"/>
          </w:tcPr>
          <w:p>
            <w:pPr>
              <w:spacing w:line="240" w:lineRule="auto" w:before="0" w:after="0"/>
              <w:pStyle w:val="Compact"/>
            </w:pPr>
            <w:r>
              <w:rPr>
                <w:sz w:val="20"/>
                <w:szCs w:val="20"/>
              </w:rPr>
              <w:t xml:space="preserve">46.7308</w:t>
            </w:r>
          </w:p>
        </w:tc>
        <w:tc>
          <w:tcPr>
            <w:tcW w:w="0" w:type="auto"/>
          </w:tcPr>
          <w:p>
            <w:pPr>
              <w:spacing w:line="240" w:lineRule="auto" w:before="0" w:after="0"/>
              <w:pStyle w:val="Compact"/>
            </w:pPr>
            <w:r>
              <w:rPr>
                <w:sz w:val="20"/>
                <w:szCs w:val="20"/>
              </w:rPr>
              <w:t xml:space="preserve">60.75</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10um-1mm</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243.81</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20.4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&gt;10cm</w:t>
            </w:r>
          </w:p>
        </w:tc>
        <w:tc>
          <w:tcPr>
            <w:tcW w:w="0" w:type="auto"/>
          </w:tcPr>
          <w:p>
            <w:pPr>
              <w:spacing w:line="240" w:lineRule="auto" w:before="0" w:after="0"/>
              <w:pStyle w:val="Compact"/>
            </w:pPr>
            <w:r>
              <w:rPr>
                <w:sz w:val="20"/>
                <w:szCs w:val="20"/>
              </w:rPr>
              <w:t xml:space="preserve">0.63</w:t>
            </w:r>
          </w:p>
        </w:tc>
        <w:tc>
          <w:tcPr>
            <w:tcW w:w="0" w:type="auto"/>
          </w:tcPr>
          <w:p>
            <w:pPr>
              <w:spacing w:line="240" w:lineRule="auto" w:before="0" w:after="0"/>
              <w:pStyle w:val="Compact"/>
            </w:pPr>
            <w:r>
              <w:rPr>
                <w:sz w:val="20"/>
                <w:szCs w:val="20"/>
              </w:rPr>
              <w:t xml:space="preserve">0.6221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1-10cm</w:t>
            </w:r>
          </w:p>
        </w:tc>
        <w:tc>
          <w:tcPr>
            <w:tcW w:w="0" w:type="auto"/>
          </w:tcPr>
          <w:p>
            <w:pPr>
              <w:spacing w:line="240" w:lineRule="auto" w:before="0" w:after="0"/>
              <w:pStyle w:val="Compact"/>
            </w:pPr>
            <w:r>
              <w:rPr>
                <w:sz w:val="20"/>
                <w:szCs w:val="20"/>
              </w:rPr>
              <w:t xml:space="preserve">1.575</w:t>
            </w:r>
          </w:p>
        </w:tc>
        <w:tc>
          <w:tcPr>
            <w:tcW w:w="0" w:type="auto"/>
          </w:tcPr>
          <w:p>
            <w:pPr>
              <w:spacing w:line="240" w:lineRule="auto" w:before="0" w:after="0"/>
              <w:pStyle w:val="Compact"/>
            </w:pPr>
            <w:r>
              <w:rPr>
                <w:sz w:val="20"/>
                <w:szCs w:val="20"/>
              </w:rPr>
              <w:t xml:space="preserve">3.465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1-10mm</w:t>
            </w:r>
          </w:p>
        </w:tc>
        <w:tc>
          <w:tcPr>
            <w:tcW w:w="0" w:type="auto"/>
          </w:tcPr>
          <w:p>
            <w:pPr>
              <w:spacing w:line="240" w:lineRule="auto" w:before="0" w:after="0"/>
              <w:pStyle w:val="Compact"/>
            </w:pPr>
            <w:r>
              <w:rPr>
                <w:sz w:val="20"/>
                <w:szCs w:val="20"/>
              </w:rPr>
              <w:t xml:space="preserve">52.5</w:t>
            </w:r>
          </w:p>
        </w:tc>
        <w:tc>
          <w:tcPr>
            <w:tcW w:w="0" w:type="auto"/>
          </w:tcPr>
          <w:p>
            <w:pPr>
              <w:spacing w:line="240" w:lineRule="auto" w:before="0" w:after="0"/>
              <w:pStyle w:val="Compact"/>
            </w:pPr>
            <w:r>
              <w:rPr>
                <w:sz w:val="20"/>
                <w:szCs w:val="20"/>
              </w:rPr>
              <w:t xml:space="preserve">70.35</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10um-1mm</w:t>
            </w:r>
          </w:p>
        </w:tc>
        <w:tc>
          <w:tcPr>
            <w:tcW w:w="0" w:type="auto"/>
          </w:tcPr>
          <w:p>
            <w:pPr>
              <w:spacing w:line="240" w:lineRule="auto" w:before="0" w:after="0"/>
              <w:pStyle w:val="Compact"/>
            </w:pPr>
            <w:r>
              <w:rPr>
                <w:sz w:val="20"/>
                <w:szCs w:val="20"/>
              </w:rPr>
              <w:t xml:space="preserve">227.5</w:t>
            </w:r>
          </w:p>
        </w:tc>
        <w:tc>
          <w:tcPr>
            <w:tcW w:w="0" w:type="auto"/>
          </w:tcPr>
          <w:p>
            <w:pPr>
              <w:spacing w:line="240" w:lineRule="auto" w:before="0" w:after="0"/>
              <w:pStyle w:val="Compact"/>
            </w:pPr>
            <w:r>
              <w:rPr>
                <w:sz w:val="20"/>
                <w:szCs w:val="20"/>
              </w:rPr>
              <w:t xml:space="preserve">279.37</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&gt;10cm</w:t>
            </w:r>
          </w:p>
        </w:tc>
        <w:tc>
          <w:tcPr>
            <w:tcW w:w="0" w:type="auto"/>
          </w:tcPr>
          <w:p>
            <w:pPr>
              <w:spacing w:line="240" w:lineRule="auto" w:before="0" w:after="0"/>
              <w:pStyle w:val="Compact"/>
            </w:pPr>
            <w:r>
              <w:rPr>
                <w:sz w:val="20"/>
                <w:szCs w:val="20"/>
              </w:rPr>
              <w:t xml:space="preserve">0.5608</w:t>
            </w:r>
          </w:p>
        </w:tc>
        <w:tc>
          <w:tcPr>
            <w:tcW w:w="0" w:type="auto"/>
          </w:tcPr>
          <w:p>
            <w:pPr>
              <w:spacing w:line="240" w:lineRule="auto" w:before="0" w:after="0"/>
              <w:pStyle w:val="Compact"/>
            </w:pPr>
            <w:r>
              <w:rPr>
                <w:sz w:val="20"/>
                <w:szCs w:val="20"/>
              </w:rPr>
              <w:t xml:space="preserve">0.5678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1-10cm</w:t>
            </w:r>
          </w:p>
        </w:tc>
        <w:tc>
          <w:tcPr>
            <w:tcW w:w="0" w:type="auto"/>
          </w:tcPr>
          <w:p>
            <w:pPr>
              <w:spacing w:line="240" w:lineRule="auto" w:before="0" w:after="0"/>
              <w:pStyle w:val="Compact"/>
            </w:pPr>
            <w:r>
              <w:rPr>
                <w:sz w:val="20"/>
                <w:szCs w:val="20"/>
              </w:rPr>
              <w:t xml:space="preserve">1.4019</w:t>
            </w:r>
          </w:p>
        </w:tc>
        <w:tc>
          <w:tcPr>
            <w:tcW w:w="0" w:type="auto"/>
          </w:tcPr>
          <w:p>
            <w:pPr>
              <w:spacing w:line="240" w:lineRule="auto" w:before="0" w:after="0"/>
              <w:pStyle w:val="Compact"/>
            </w:pPr>
            <w:r>
              <w:rPr>
                <w:sz w:val="20"/>
                <w:szCs w:val="20"/>
              </w:rPr>
              <w:t xml:space="preserve">2.93</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1-10mm</w:t>
            </w:r>
          </w:p>
        </w:tc>
        <w:tc>
          <w:tcPr>
            <w:tcW w:w="0" w:type="auto"/>
          </w:tcPr>
          <w:p>
            <w:pPr>
              <w:spacing w:line="240" w:lineRule="auto" w:before="0" w:after="0"/>
              <w:pStyle w:val="Compact"/>
            </w:pPr>
            <w:r>
              <w:rPr>
                <w:sz w:val="20"/>
                <w:szCs w:val="20"/>
              </w:rPr>
              <w:t xml:space="preserve">46.7308</w:t>
            </w:r>
          </w:p>
        </w:tc>
        <w:tc>
          <w:tcPr>
            <w:tcW w:w="0" w:type="auto"/>
          </w:tcPr>
          <w:p>
            <w:pPr>
              <w:spacing w:line="240" w:lineRule="auto" w:before="0" w:after="0"/>
              <w:pStyle w:val="Compact"/>
            </w:pPr>
            <w:r>
              <w:rPr>
                <w:sz w:val="20"/>
                <w:szCs w:val="20"/>
              </w:rPr>
              <w:t xml:space="preserve">62.6192</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10um-1mm</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248.67</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&gt;10cm</w:t>
            </w:r>
          </w:p>
        </w:tc>
        <w:tc>
          <w:tcPr>
            <w:tcW w:w="0" w:type="auto"/>
          </w:tcPr>
          <w:p>
            <w:pPr>
              <w:spacing w:line="240" w:lineRule="auto" w:before="0" w:after="0"/>
              <w:pStyle w:val="Compact"/>
            </w:pPr>
            <w:r>
              <w:rPr>
                <w:sz w:val="20"/>
                <w:szCs w:val="20"/>
              </w:rPr>
              <w:t xml:space="preserve">0.4915</w:t>
            </w:r>
          </w:p>
        </w:tc>
        <w:tc>
          <w:tcPr>
            <w:tcW w:w="0" w:type="auto"/>
          </w:tcPr>
          <w:p>
            <w:pPr>
              <w:spacing w:line="240" w:lineRule="auto" w:before="0" w:after="0"/>
              <w:pStyle w:val="Compact"/>
            </w:pPr>
            <w:r>
              <w:rPr>
                <w:sz w:val="20"/>
                <w:szCs w:val="20"/>
              </w:rPr>
              <w:t xml:space="preserve">0.51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1-10cm</w:t>
            </w:r>
          </w:p>
        </w:tc>
        <w:tc>
          <w:tcPr>
            <w:tcW w:w="0" w:type="auto"/>
          </w:tcPr>
          <w:p>
            <w:pPr>
              <w:spacing w:line="240" w:lineRule="auto" w:before="0" w:after="0"/>
              <w:pStyle w:val="Compact"/>
            </w:pPr>
            <w:r>
              <w:rPr>
                <w:sz w:val="20"/>
                <w:szCs w:val="20"/>
              </w:rPr>
              <w:t xml:space="preserve">1.2288</w:t>
            </w:r>
          </w:p>
        </w:tc>
        <w:tc>
          <w:tcPr>
            <w:tcW w:w="0" w:type="auto"/>
          </w:tcPr>
          <w:p>
            <w:pPr>
              <w:spacing w:line="240" w:lineRule="auto" w:before="0" w:after="0"/>
              <w:pStyle w:val="Compact"/>
            </w:pPr>
            <w:r>
              <w:rPr>
                <w:sz w:val="20"/>
                <w:szCs w:val="20"/>
              </w:rPr>
              <w:t xml:space="preserve">2.4331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1-10mm</w:t>
            </w:r>
          </w:p>
        </w:tc>
        <w:tc>
          <w:tcPr>
            <w:tcW w:w="0" w:type="auto"/>
          </w:tcPr>
          <w:p>
            <w:pPr>
              <w:spacing w:line="240" w:lineRule="auto" w:before="0" w:after="0"/>
              <w:pStyle w:val="Compact"/>
            </w:pPr>
            <w:r>
              <w:rPr>
                <w:sz w:val="20"/>
                <w:szCs w:val="20"/>
              </w:rPr>
              <w:t xml:space="preserve">40.9615</w:t>
            </w:r>
          </w:p>
        </w:tc>
        <w:tc>
          <w:tcPr>
            <w:tcW w:w="0" w:type="auto"/>
          </w:tcPr>
          <w:p>
            <w:pPr>
              <w:spacing w:line="240" w:lineRule="auto" w:before="0" w:after="0"/>
              <w:pStyle w:val="Compact"/>
            </w:pPr>
            <w:r>
              <w:rPr>
                <w:sz w:val="20"/>
                <w:szCs w:val="20"/>
              </w:rPr>
              <w:t xml:space="preserve">53.25</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10um-1mm</w:t>
            </w:r>
          </w:p>
        </w:tc>
        <w:tc>
          <w:tcPr>
            <w:tcW w:w="0" w:type="auto"/>
          </w:tcPr>
          <w:p>
            <w:pPr>
              <w:spacing w:line="240" w:lineRule="auto" w:before="0" w:after="0"/>
              <w:pStyle w:val="Compact"/>
            </w:pPr>
            <w:r>
              <w:rPr>
                <w:sz w:val="20"/>
                <w:szCs w:val="20"/>
              </w:rPr>
              <w:t xml:space="preserve">177.5</w:t>
            </w:r>
          </w:p>
        </w:tc>
        <w:tc>
          <w:tcPr>
            <w:tcW w:w="0" w:type="auto"/>
          </w:tcPr>
          <w:p>
            <w:pPr>
              <w:spacing w:line="240" w:lineRule="auto" w:before="0" w:after="0"/>
              <w:pStyle w:val="Compact"/>
            </w:pPr>
            <w:r>
              <w:rPr>
                <w:sz w:val="20"/>
                <w:szCs w:val="20"/>
              </w:rPr>
              <w:t xml:space="preserve">213.71</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20.4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&gt;10cm</w:t>
            </w:r>
          </w:p>
        </w:tc>
        <w:tc>
          <w:tcPr>
            <w:tcW w:w="0" w:type="auto"/>
          </w:tcPr>
          <w:p>
            <w:pPr>
              <w:spacing w:line="240" w:lineRule="auto" w:before="0" w:after="0"/>
              <w:pStyle w:val="Compact"/>
            </w:pPr>
            <w:r>
              <w:rPr>
                <w:sz w:val="20"/>
                <w:szCs w:val="20"/>
              </w:rPr>
              <w:t xml:space="preserve">0.3877</w:t>
            </w:r>
          </w:p>
        </w:tc>
        <w:tc>
          <w:tcPr>
            <w:tcW w:w="0" w:type="auto"/>
          </w:tcPr>
          <w:p>
            <w:pPr>
              <w:spacing w:line="240" w:lineRule="auto" w:before="0" w:after="0"/>
              <w:pStyle w:val="Compact"/>
            </w:pPr>
            <w:r>
              <w:rPr>
                <w:sz w:val="20"/>
                <w:szCs w:val="20"/>
              </w:rPr>
              <w:t xml:space="preserve">0.4168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1-10cm</w:t>
            </w:r>
          </w:p>
        </w:tc>
        <w:tc>
          <w:tcPr>
            <w:tcW w:w="0" w:type="auto"/>
          </w:tcPr>
          <w:p>
            <w:pPr>
              <w:spacing w:line="240" w:lineRule="auto" w:before="0" w:after="0"/>
              <w:pStyle w:val="Compact"/>
            </w:pPr>
            <w:r>
              <w:rPr>
                <w:sz w:val="20"/>
                <w:szCs w:val="20"/>
              </w:rPr>
              <w:t xml:space="preserve">0.9692</w:t>
            </w:r>
          </w:p>
        </w:tc>
        <w:tc>
          <w:tcPr>
            <w:tcW w:w="0" w:type="auto"/>
          </w:tcPr>
          <w:p>
            <w:pPr>
              <w:spacing w:line="240" w:lineRule="auto" w:before="0" w:after="0"/>
              <w:pStyle w:val="Compact"/>
            </w:pPr>
            <w:r>
              <w:rPr>
                <w:sz w:val="20"/>
                <w:szCs w:val="20"/>
              </w:rPr>
              <w:t xml:space="preserve">1.7592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81.5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1-10mm</w:t>
            </w:r>
          </w:p>
        </w:tc>
        <w:tc>
          <w:tcPr>
            <w:tcW w:w="0" w:type="auto"/>
          </w:tcPr>
          <w:p>
            <w:pPr>
              <w:spacing w:line="240" w:lineRule="auto" w:before="0" w:after="0"/>
              <w:pStyle w:val="Compact"/>
            </w:pPr>
            <w:r>
              <w:rPr>
                <w:sz w:val="20"/>
                <w:szCs w:val="20"/>
              </w:rPr>
              <w:t xml:space="preserve">32.3077</w:t>
            </w:r>
          </w:p>
        </w:tc>
        <w:tc>
          <w:tcPr>
            <w:tcW w:w="0" w:type="auto"/>
          </w:tcPr>
          <w:p>
            <w:pPr>
              <w:spacing w:line="240" w:lineRule="auto" w:before="0" w:after="0"/>
              <w:pStyle w:val="Compact"/>
            </w:pPr>
            <w:r>
              <w:rPr>
                <w:sz w:val="20"/>
                <w:szCs w:val="20"/>
              </w:rPr>
              <w:t xml:space="preserve">40.0615</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10um-1mm</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163.52</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&gt;10cm</w:t>
            </w:r>
          </w:p>
        </w:tc>
        <w:tc>
          <w:tcPr>
            <w:tcW w:w="0" w:type="auto"/>
          </w:tcPr>
          <w:p>
            <w:pPr>
              <w:spacing w:line="240" w:lineRule="auto" w:before="0" w:after="0"/>
              <w:pStyle w:val="Compact"/>
            </w:pPr>
            <w:r>
              <w:rPr>
                <w:sz w:val="20"/>
                <w:szCs w:val="20"/>
              </w:rPr>
              <w:t xml:space="preserve">0.2492</w:t>
            </w:r>
          </w:p>
        </w:tc>
        <w:tc>
          <w:tcPr>
            <w:tcW w:w="0" w:type="auto"/>
          </w:tcPr>
          <w:p>
            <w:pPr>
              <w:spacing w:line="240" w:lineRule="auto" w:before="0" w:after="0"/>
              <w:pStyle w:val="Compact"/>
            </w:pPr>
            <w:r>
              <w:rPr>
                <w:sz w:val="20"/>
                <w:szCs w:val="20"/>
              </w:rPr>
              <w:t xml:space="preserve">0.2804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1-10cm</w:t>
            </w:r>
          </w:p>
        </w:tc>
        <w:tc>
          <w:tcPr>
            <w:tcW w:w="0" w:type="auto"/>
          </w:tcPr>
          <w:p>
            <w:pPr>
              <w:spacing w:line="240" w:lineRule="auto" w:before="0" w:after="0"/>
              <w:pStyle w:val="Compact"/>
            </w:pPr>
            <w:r>
              <w:rPr>
                <w:sz w:val="20"/>
                <w:szCs w:val="20"/>
              </w:rPr>
              <w:t xml:space="preserve">0.6231</w:t>
            </w:r>
          </w:p>
        </w:tc>
        <w:tc>
          <w:tcPr>
            <w:tcW w:w="0" w:type="auto"/>
          </w:tcPr>
          <w:p>
            <w:pPr>
              <w:spacing w:line="240" w:lineRule="auto" w:before="0" w:after="0"/>
              <w:pStyle w:val="Compact"/>
            </w:pPr>
            <w:r>
              <w:rPr>
                <w:sz w:val="20"/>
                <w:szCs w:val="20"/>
              </w:rPr>
              <w:t xml:space="preserve">1.0281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1-10mm</w:t>
            </w:r>
          </w:p>
        </w:tc>
        <w:tc>
          <w:tcPr>
            <w:tcW w:w="0" w:type="auto"/>
          </w:tcPr>
          <w:p>
            <w:pPr>
              <w:spacing w:line="240" w:lineRule="auto" w:before="0" w:after="0"/>
              <w:pStyle w:val="Compact"/>
            </w:pPr>
            <w:r>
              <w:rPr>
                <w:sz w:val="20"/>
                <w:szCs w:val="20"/>
              </w:rPr>
              <w:t xml:space="preserve">20.7692</w:t>
            </w:r>
          </w:p>
        </w:tc>
        <w:tc>
          <w:tcPr>
            <w:tcW w:w="0" w:type="auto"/>
          </w:tcPr>
          <w:p>
            <w:pPr>
              <w:spacing w:line="240" w:lineRule="auto" w:before="0" w:after="0"/>
              <w:pStyle w:val="Compact"/>
            </w:pPr>
            <w:r>
              <w:rPr>
                <w:sz w:val="20"/>
                <w:szCs w:val="20"/>
              </w:rPr>
              <w:t xml:space="preserve">24.5077</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10um-1mm</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100.8</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decision_flip</w:t>
            </w:r>
          </w:p>
        </w:tc>
        <w:tc>
          <w:tcPr>
            <w:tcW w:w="0" w:type="auto"/>
          </w:tcPr>
          <w:p>
            <w:pPr>
              <w:spacing w:line="240" w:lineRule="auto" w:before="0" w:after="0"/>
              <w:pStyle w:val="Compact"/>
            </w:pPr>
            <w:r>
              <w:rPr>
                <w:sz w:val="20"/>
                <w:szCs w:val="20"/>
              </w:rPr>
              <w:t xml:space="preserve">One when the matched-bin model divergence is coded as operationally material</w:t>
            </w:r>
          </w:p>
        </w:tc>
        <w:tc>
          <w:tcPr>
            <w:tcW w:w="0" w:type="auto"/>
          </w:tcPr>
          <w:p>
            <w:pPr>
              <w:spacing w:line="240" w:lineRule="auto" w:before="0" w:after="0"/>
              <w:pStyle w:val="Compact"/>
            </w:pPr>
            <w:r>
              <w:rPr>
                <w:sz w:val="20"/>
                <w:szCs w:val="20"/>
              </w:rPr>
              <w:t xml:space="preserve">Decision-review flag based on whether divergence would change shielding, priority, or risk-review posture in the matched regime.</w:t>
            </w:r>
          </w:p>
        </w:tc>
      </w:tr>
      <w:tr>
        <w:tc>
          <w:tcPr>
            <w:tcW w:w="0" w:type="auto"/>
          </w:tcPr>
          <w:p>
            <w:pPr>
              <w:spacing w:line="240" w:lineRule="auto" w:before="0" w:after="0"/>
              <w:pStyle w:val="Compact"/>
            </w:pPr>
            <w:r>
              <w:rPr>
                <w:sz w:val="20"/>
                <w:szCs w:val="20"/>
              </w:rPr>
              <w:t xml:space="preserve">abs_divergence_pct</w:t>
            </w:r>
          </w:p>
        </w:tc>
        <w:tc>
          <w:tcPr>
            <w:tcW w:w="0" w:type="auto"/>
          </w:tcPr>
          <w:p>
            <w:pPr>
              <w:spacing w:line="240" w:lineRule="auto" w:before="0" w:after="0"/>
              <w:pStyle w:val="Compact"/>
            </w:pPr>
            <w:r>
              <w:rPr>
                <w:sz w:val="20"/>
                <w:szCs w:val="20"/>
              </w:rPr>
              <w:t xml:space="preserve">Absolute percentage gap between MASTER-index and ORDEM-index values</w:t>
            </w:r>
          </w:p>
        </w:tc>
        <w:tc>
          <w:tcPr>
            <w:tcW w:w="0" w:type="auto"/>
          </w:tcPr>
          <w:p>
            <w:pPr>
              <w:spacing w:line="240" w:lineRule="auto" w:before="0" w:after="0"/>
              <w:pStyle w:val="Compact"/>
            </w:pPr>
            <w:r>
              <w:rPr>
                <w:sz w:val="20"/>
                <w:szCs w:val="20"/>
              </w:rPr>
              <w:t xml:space="preserve">Computed as absolute difference divided by ORDEM-index value, using published model anchors and deterministic altitude scaling.</w:t>
            </w:r>
          </w:p>
        </w:tc>
      </w:tr>
      <w:tr>
        <w:tc>
          <w:tcPr>
            <w:tcW w:w="0" w:type="auto"/>
          </w:tcPr>
          <w:p>
            <w:pPr>
              <w:spacing w:line="240" w:lineRule="auto" w:before="0" w:after="0"/>
              <w:pStyle w:val="Compact"/>
            </w:pPr>
            <w:r>
              <w:rPr>
                <w:sz w:val="20"/>
                <w:szCs w:val="20"/>
              </w:rPr>
              <w:t xml:space="preserve">ordem_flux_index</w:t>
            </w:r>
          </w:p>
        </w:tc>
        <w:tc>
          <w:tcPr>
            <w:tcW w:w="0" w:type="auto"/>
          </w:tcPr>
          <w:p>
            <w:pPr>
              <w:spacing w:line="240" w:lineRule="auto" w:before="0" w:after="0"/>
              <w:pStyle w:val="Compact"/>
            </w:pPr>
            <w:r>
              <w:rPr>
                <w:sz w:val="20"/>
                <w:szCs w:val="20"/>
              </w:rPr>
              <w:t xml:space="preserve">Normalized ORDEM-side flux or risk index</w:t>
            </w:r>
          </w:p>
        </w:tc>
        <w:tc>
          <w:tcPr>
            <w:tcW w:w="0" w:type="auto"/>
          </w:tcPr>
          <w:p>
            <w:pPr>
              <w:spacing w:line="240" w:lineRule="auto" w:before="0" w:after="0"/>
              <w:pStyle w:val="Compact"/>
            </w:pPr>
            <w:r>
              <w:rPr>
                <w:sz w:val="20"/>
                <w:szCs w:val="20"/>
              </w:rPr>
              <w:t xml:space="preserve">Derived from NASA ORDEM documentation, AMOS ORDEM risk anchors, and public DAS/ORDEM sensitivity context.</w:t>
            </w:r>
          </w:p>
        </w:tc>
      </w:tr>
      <w:tr>
        <w:tc>
          <w:tcPr>
            <w:tcW w:w="0" w:type="auto"/>
          </w:tcPr>
          <w:p>
            <w:pPr>
              <w:spacing w:line="240" w:lineRule="auto" w:before="0" w:after="0"/>
              <w:pStyle w:val="Compact"/>
            </w:pPr>
            <w:r>
              <w:rPr>
                <w:sz w:val="20"/>
                <w:szCs w:val="20"/>
              </w:rPr>
              <w:t xml:space="preserve">master_flux_index</w:t>
            </w:r>
          </w:p>
        </w:tc>
        <w:tc>
          <w:tcPr>
            <w:tcW w:w="0" w:type="auto"/>
          </w:tcPr>
          <w:p>
            <w:pPr>
              <w:spacing w:line="240" w:lineRule="auto" w:before="0" w:after="0"/>
              <w:pStyle w:val="Compact"/>
            </w:pPr>
            <w:r>
              <w:rPr>
                <w:sz w:val="20"/>
                <w:szCs w:val="20"/>
              </w:rPr>
              <w:t xml:space="preserve">Normalized MASTER-side flux or population index</w:t>
            </w:r>
          </w:p>
        </w:tc>
        <w:tc>
          <w:tcPr>
            <w:tcW w:w="0" w:type="auto"/>
          </w:tcPr>
          <w:p>
            <w:pPr>
              <w:spacing w:line="240" w:lineRule="auto" w:before="0" w:after="0"/>
              <w:pStyle w:val="Compact"/>
            </w:pPr>
            <w:r>
              <w:rPr>
                <w:sz w:val="20"/>
                <w:szCs w:val="20"/>
              </w:rPr>
              <w:t xml:space="preserve">Derived from ESA MASTER and Space Environment Report public population anchors and validation literature.</w:t>
            </w:r>
          </w:p>
        </w:tc>
      </w:tr>
      <w:tr>
        <w:tc>
          <w:tcPr>
            <w:tcW w:w="0" w:type="auto"/>
          </w:tcPr>
          <w:p>
            <w:pPr>
              <w:spacing w:line="240" w:lineRule="auto" w:before="0" w:after="0"/>
              <w:pStyle w:val="Compact"/>
            </w:pPr>
            <w:r>
              <w:rPr>
                <w:sz w:val="20"/>
                <w:szCs w:val="20"/>
              </w:rPr>
              <w:t xml:space="preserve">operational_threshold_index</w:t>
            </w:r>
          </w:p>
        </w:tc>
        <w:tc>
          <w:tcPr>
            <w:tcW w:w="0" w:type="auto"/>
          </w:tcPr>
          <w:p>
            <w:pPr>
              <w:spacing w:line="240" w:lineRule="auto" w:before="0" w:after="0"/>
              <w:pStyle w:val="Compact"/>
            </w:pPr>
            <w:r>
              <w:rPr>
                <w:sz w:val="20"/>
                <w:szCs w:val="20"/>
              </w:rPr>
              <w:t xml:space="preserve">Regime-specific decision threshold index</w:t>
            </w:r>
          </w:p>
        </w:tc>
        <w:tc>
          <w:tcPr>
            <w:tcW w:w="0" w:type="auto"/>
          </w:tcPr>
          <w:p>
            <w:pPr>
              <w:spacing w:line="240" w:lineRule="auto" w:before="0" w:after="0"/>
              <w:pStyle w:val="Compact"/>
            </w:pPr>
            <w:r>
              <w:rPr>
                <w:sz w:val="20"/>
                <w:szCs w:val="20"/>
              </w:rPr>
              <w:t xml:space="preserve">Constructed from the prospectus operational-materiality rule, tied to shielding or risk-priority review.</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Observation provenance</w:t>
            </w:r>
          </w:p>
        </w:tc>
        <w:tc>
          <w:tcPr>
            <w:tcW w:w="0" w:type="auto"/>
          </w:tcPr>
          <w:p>
            <w:pPr>
              <w:spacing w:line="240" w:lineRule="auto" w:before="0" w:after="0"/>
              <w:pStyle w:val="Compact"/>
            </w:pPr>
            <w:r>
              <w:rPr>
                <w:sz w:val="20"/>
                <w:szCs w:val="20"/>
              </w:rPr>
              <w:t xml:space="preserve">Each row states the public anchors and deterministic construction.</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-2.5404</w:t>
            </w:r>
          </w:p>
        </w:tc>
        <w:tc>
          <w:tcPr>
            <w:tcW w:w="0" w:type="auto"/>
          </w:tcPr>
          <w:p>
            <w:pPr>
              <w:spacing w:line="240" w:lineRule="auto" w:before="0" w:after="0"/>
              <w:pStyle w:val="Compact"/>
            </w:pPr>
            <w:r>
              <w:rPr>
                <w:sz w:val="20"/>
                <w:szCs w:val="20"/>
              </w:rPr>
              <w:t xml:space="preserve">0.6823</w:t>
            </w:r>
          </w:p>
        </w:tc>
        <w:tc>
          <w:tcPr>
            <w:tcW w:w="0" w:type="auto"/>
          </w:tcPr>
          <w:p>
            <w:pPr>
              <w:spacing w:line="240" w:lineRule="auto" w:before="0" w:after="0"/>
              <w:pStyle w:val="Compact"/>
            </w:pPr>
            <w:r>
              <w:rPr>
                <w:sz w:val="20"/>
                <w:szCs w:val="20"/>
              </w:rPr>
              <w:t xml:space="preserve">-3.7231</w:t>
            </w:r>
          </w:p>
        </w:tc>
        <w:tc>
          <w:tcPr>
            <w:tcW w:w="0" w:type="auto"/>
          </w:tcPr>
          <w:p>
            <w:pPr>
              <w:spacing w:line="240" w:lineRule="auto" w:before="0" w:after="0"/>
              <w:pStyle w:val="Compact"/>
            </w:pPr>
            <w:r>
              <w:rPr>
                <w:sz w:val="20"/>
                <w:szCs w:val="20"/>
              </w:rPr>
              <w:t xml:space="preserve">0.0001968</w:t>
            </w:r>
          </w:p>
        </w:tc>
        <w:tc>
          <w:tcPr>
            <w:tcW w:w="0" w:type="auto"/>
          </w:tcPr>
          <w:p>
            <w:pPr>
              <w:spacing w:line="240" w:lineRule="auto" w:before="0" w:after="0"/>
              <w:pStyle w:val="Compact"/>
            </w:pPr>
            <w:r>
              <w:rPr>
                <w:sz w:val="20"/>
                <w:szCs w:val="20"/>
              </w:rPr>
              <w:t xml:space="preserve">[-3.8778, -1.2031]</w:t>
            </w:r>
          </w:p>
        </w:tc>
      </w:tr>
      <w:tr>
        <w:tc>
          <w:tcPr>
            <w:tcW w:w="0" w:type="auto"/>
          </w:tcPr>
          <w:p>
            <w:pPr>
              <w:spacing w:line="240" w:lineRule="auto" w:before="0" w:after="0"/>
              <w:pStyle w:val="Compact"/>
            </w:pPr>
            <w:r>
              <w:rPr>
                <w:sz w:val="20"/>
                <w:szCs w:val="20"/>
              </w:rPr>
              <w:t xml:space="preserve">abs_divergence_pct</w:t>
            </w:r>
          </w:p>
        </w:tc>
        <w:tc>
          <w:tcPr>
            <w:tcW w:w="0" w:type="auto"/>
          </w:tcPr>
          <w:p>
            <w:pPr>
              <w:spacing w:line="240" w:lineRule="auto" w:before="0" w:after="0"/>
              <w:pStyle w:val="Compact"/>
            </w:pPr>
            <w:r>
              <w:rPr>
                <w:sz w:val="20"/>
                <w:szCs w:val="20"/>
              </w:rPr>
              <w:t xml:space="preserve">0.0471</w:t>
            </w:r>
          </w:p>
        </w:tc>
        <w:tc>
          <w:tcPr>
            <w:tcW w:w="0" w:type="auto"/>
          </w:tcPr>
          <w:p>
            <w:pPr>
              <w:spacing w:line="240" w:lineRule="auto" w:before="0" w:after="0"/>
              <w:pStyle w:val="Compact"/>
            </w:pPr>
            <w:r>
              <w:rPr>
                <w:sz w:val="20"/>
                <w:szCs w:val="20"/>
              </w:rPr>
              <w:t xml:space="preserve">0.0147</w:t>
            </w:r>
          </w:p>
        </w:tc>
        <w:tc>
          <w:tcPr>
            <w:tcW w:w="0" w:type="auto"/>
          </w:tcPr>
          <w:p>
            <w:pPr>
              <w:spacing w:line="240" w:lineRule="auto" w:before="0" w:after="0"/>
              <w:pStyle w:val="Compact"/>
            </w:pPr>
            <w:r>
              <w:rPr>
                <w:sz w:val="20"/>
                <w:szCs w:val="20"/>
              </w:rPr>
              <w:t xml:space="preserve">3.215</w:t>
            </w:r>
          </w:p>
        </w:tc>
        <w:tc>
          <w:tcPr>
            <w:tcW w:w="0" w:type="auto"/>
          </w:tcPr>
          <w:p>
            <w:pPr>
              <w:spacing w:line="240" w:lineRule="auto" w:before="0" w:after="0"/>
              <w:pStyle w:val="Compact"/>
            </w:pPr>
            <w:r>
              <w:rPr>
                <w:sz w:val="20"/>
                <w:szCs w:val="20"/>
              </w:rPr>
              <w:t xml:space="preserve">0.0013</w:t>
            </w:r>
          </w:p>
        </w:tc>
        <w:tc>
          <w:tcPr>
            <w:tcW w:w="0" w:type="auto"/>
          </w:tcPr>
          <w:p>
            <w:pPr>
              <w:spacing w:line="240" w:lineRule="auto" w:before="0" w:after="0"/>
              <w:pStyle w:val="Compact"/>
            </w:pPr>
            <w:r>
              <w:rPr>
                <w:sz w:val="20"/>
                <w:szCs w:val="20"/>
              </w:rPr>
              <w:t xml:space="preserve">[0.0184, 0.0759]</w:t>
            </w:r>
          </w:p>
        </w:tc>
      </w:tr>
    </w:tbl>
    <w:p>
      <w:pPr>
        <w:pStyle w:val="BodyText"/>
      </w:pPr>
      <w:r>
        <w:t xml:space="preserve">Fit: N = 40 pseudo_R2 = 0.3382 LL = -16.6924</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2" Target="https://doi.org/10.64861/VHJU7246"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64861/VHJU724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2026-06-27T22:04:11Z</dcterms:created>
  <dcterms:modified xsi:type="dcterms:W3CDTF">2026-06-27T22:04:11Z</dcterms:modified>
</cp:coreProperties>
</file>

<file path=docProps/custom.xml><?xml version="1.0" encoding="utf-8"?>
<Properties xmlns="http://schemas.openxmlformats.org/officeDocument/2006/custom-properties" xmlns:vt="http://schemas.openxmlformats.org/officeDocument/2006/docPropsVTypes"/>
</file>