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TRUST BUT VERIFY THE MODEL: DIVERGENCE BETWEEN ESA MASTER AND NASA ORDEM DEBRIS FLUX PREDICTIONS AND ITS OPERATIONAL CONSEQUENCES</w:t>
      </w:r>
    </w:p>
    <w:p>
      <w:pPr>
        <w:jc w:val="center"/>
      </w:pPr>
    </w:p>
    <w:p>
      <w:pPr>
        <w:jc w:val="center"/>
      </w:pPr>
      <w:r>
        <w:rPr>
          <w:rFonts w:ascii="Times New Roman" w:hAnsi="Times New Roman"/>
          <w:sz w:val="24"/>
        </w:rPr>
        <w:t>by</w:t>
      </w:r>
    </w:p>
    <w:p>
      <w:pPr>
        <w:jc w:val="center"/>
      </w:pPr>
      <w:r>
        <w:rPr>
          <w:rFonts w:ascii="Times New Roman" w:hAnsi="Times New Roman"/>
          <w:b/>
          <w:sz w:val="28"/>
        </w:rPr>
        <w:t>Tariq Mwangi</w:t>
      </w:r>
    </w:p>
    <w:p>
      <w:pPr>
        <w:jc w:val="center"/>
      </w:pPr>
      <w:r>
        <w:rPr>
          <w:rFonts w:ascii="Times New Roman" w:hAnsi="Times New Roman"/>
          <w:sz w:val="24"/>
        </w:rPr>
        <w:t>1B-SDA-146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Xb64c8b3847e10ddcc07ac7ab88d816ea45549f1"/>
    <w:p>
      <w:pPr>
        <w:pStyle w:val="Heading1"/>
        <w:spacing w:line="480" w:lineRule="auto"/>
      </w:pPr>
      <w:r>
        <w:t xml:space="preserve">Chapter 1. Introduction: Trust but Verify the Debris Model</w:t>
      </w:r>
    </w:p>
    <w:p>
      <w:pPr>
        <w:pStyle w:val="FirstParagraph"/>
        <w:spacing w:line="480" w:lineRule="auto"/>
      </w:pPr>
      <w:r>
        <w:t xml:space="preserve">The dissertation begins from a practical problem in space safety: debris models have quietly become decision infrastructure. A licensing review, a shielding trade, a disposal analysis, or an SDA prioritization scheme will cite an engineering model as though it were a neutral measuring instrument, and the citation ends the argument. A more disciplined view holds that ORDEM and MASTER are credible, mature, and evidence-informed systems, yet each of them translates incomplete observations into structured predictions through its own source terms, update cycles, binning choices, validation histories, and operational assumptions. Trust, on that reading, has to be paired with verification. The central question of the work is whether divergence between these models belongs inside operational decisions where reviewers can see it, rather than buried in the technical attachments where no one reads it</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Framed this way, model divergence is an operational variable rather than a scholarly curiosity. The point is emphatically not to declare NASA ORDEM right and ESA MASTER wrong, or the reverse. It is to ask a narrower question: when is a credible difference between two accepted debris-environment representations large enough to change what a decision maker actually does? That question bites hardest in regimes where small debris cannot be routinely tracked, where measured flux evidence is sparse, and where model outputs feed compliance thresholds directly. If the choice of model shifts a risk posture, then the choice of model is itself part of the decision record and belongs in writing</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Tariq Mwangi’s dissertation ties debris engineering to SDA governance. It does so through two studies, both deliberately modest and both auditable. The first paper reworks published DAS and ORDEM sensitivity outputs from Chandramouli and Shockley, asking how well first-order sensitivity predicts total-effect sensitivity across the reported collision-probability and deorbit-time metrics. The second assembles a source-backed, matched-bin comparison of public ORDEM-side and MASTER-side evidence and estimates whether wider divergence raises the odds that a decision earns a review flag. Neither study reconstructs a proprietary model; both stay inside what public data can honestly support</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23">
        <w:r>
          <w:rPr>
            <w:rStyle w:val="Hyperlink"/>
          </w:rPr>
          <w:t xml:space="preserve">[23]</w:t>
        </w:r>
      </w:hyperlink>
      <w:r>
        <w:t xml:space="preserve">.</w:t>
      </w:r>
    </w:p>
    <w:bookmarkStart w:id="61" w:name="debris-models-as-decision-infrastructure"/>
    <w:p>
      <w:pPr>
        <w:pStyle w:val="Heading2"/>
        <w:spacing w:line="480" w:lineRule="auto"/>
      </w:pPr>
      <w:r>
        <w:t xml:space="preserve">Debris models as decision infrastructure</w:t>
      </w:r>
    </w:p>
    <w:p>
      <w:pPr>
        <w:pStyle w:val="FirstParagraph"/>
        <w:spacing w:line="480" w:lineRule="auto"/>
      </w:pPr>
      <w:r>
        <w:t xml:space="preserve">An engineering estimate rarely arrives at a licensing desk, a shielding trade, or an SDA queue as a raw fact. It arrives with a history. The binning scheme, the source assumptions, and the original engineering purpose all ride along with the number. The analyst may not notice them. They are there regardless. Acknowledging that history does not weaken the model. It marks where confidence was earned. Assumed confidence is a different thing, and the record should not confuse the two. A useful decision record therefore holds more than the numeric estimate: it names the model family, the orbital regime under evaluation, and the reason that particular number is good enough for the particular call being made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Public documentation is what makes any of this reviewable from the outside. It seldom exposes every internal parameter, but it reveals enough about measurement sources, validation practice, and population assumptions to flag which decisions are fragile. Fragility has a precise meaning here. A licensing, design, or SDA action is fragile when it could reasonably have gone the other way had a second credible model been consulted. In those cases the dissertation treats model dependence as a trigger for review, not as evidence of error, and the aim is to surface that dependence before it hardens into invisible authority somewhere inside an operational process</w:t>
      </w:r>
      <w:r>
        <w:t xml:space="preserve"> </w:t>
      </w:r>
      <w:hyperlink w:anchor="ref-2">
        <w:r>
          <w:rPr>
            <w:rStyle w:val="Hyperlink"/>
          </w:rPr>
          <w:t xml:space="preserve">[2]</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There is a temptation to overclaim, and the work resists it. No outside observer with public data can reproduce every ORDEM or MASTER output. Pretending otherwise would poison the contribution. What public evidence can do is narrower and far more defensible: it can mark the conditions under which the choice of model plausibly changes the answer. That distinction carries the whole argument. It blocks the overreach while still handing decision makers something they can act on. The governance rule that falls out is short enough to state in a sentence. When credible model lineages point toward different decision categories, the record should say so</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Stakes concentrate near thresholds. A spacecraft design choice, a debris-mitigation filing, or an SDA prioritization rule can look perfectly stable through one model and shaky through another, and proximity to a compliance line is what turns that difference from academic into operational. Close to a threshold, a small shift in estimated flux or collision probability changes the next action. The response is not paralysis. It is a structured check: is the decision robust to model choice, is the sensitivity concentrated in a few controllable inputs, and does the case need more evidence before it closes</w:t>
      </w:r>
      <w:r>
        <w:t xml:space="preserve"> </w:t>
      </w:r>
      <w:hyperlink w:anchor="ref-2">
        <w:r>
          <w:rPr>
            <w:rStyle w:val="Hyperlink"/>
          </w:rPr>
          <w:t xml:space="preserve">[2]</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None of this works without a workable record. Agencies and operators need documentation concise enough to actually use and specific enough to survive an audit, which is a genuine tension. A model-dependence note resolves it by naming five things and no more: the model used, the operational bin, the sensitivity drivers, the comparison model where one exists, and the reason for proceeding. A note that short still changes the culture of evidence around debris decisions, because it says out loud that a model earns trust through verification in context, not through the authority of a familiar name</w:t>
      </w:r>
      <w:r>
        <w:t xml:space="preserve"> </w:t>
      </w:r>
      <w:hyperlink w:anchor="ref-1">
        <w:r>
          <w:rPr>
            <w:rStyle w:val="Hyperlink"/>
          </w:rPr>
          <w:t xml:space="preserve">[1]</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 The chapter’s larger claim is cumulative rather than dramatic. Every model, dataset, and estimator offers only a partial view of debris risk, and governance improves when those partial views are compared before a decision locks. That improvement matters most for small debris and dense orbital regimes, where the population is both consequential and incompletely observed. What the practice produces is a decision process that stays humble about prediction and rigorous about evidence, and that pairing is what the dissertation means when it says trust but verify</w:t>
      </w:r>
      <w:r>
        <w:t xml:space="preserve"> </w:t>
      </w:r>
      <w:hyperlink w:anchor="ref-2">
        <w:r>
          <w:rPr>
            <w:rStyle w:val="Hyperlink"/>
          </w:rPr>
          <w:t xml:space="preserve">[2]</w:t>
        </w:r>
      </w:hyperlink>
      <w:r>
        <w:t xml:space="preserve"> </w:t>
      </w:r>
      <w:hyperlink w:anchor="ref-8">
        <w:r>
          <w:rPr>
            <w:rStyle w:val="Hyperlink"/>
          </w:rPr>
          <w:t xml:space="preserve">[8]</w:t>
        </w:r>
      </w:hyperlink>
      <w:r>
        <w:t xml:space="preserve"> </w:t>
      </w:r>
      <w:hyperlink w:anchor="ref-10">
        <w:r>
          <w:rPr>
            <w:rStyle w:val="Hyperlink"/>
          </w:rPr>
          <w:t xml:space="preserve">[10]</w:t>
        </w:r>
      </w:hyperlink>
      <w:r>
        <w:t xml:space="preserve">.</w:t>
      </w:r>
    </w:p>
    <w:bookmarkEnd w:id="61"/>
    <w:bookmarkStart w:id="62" w:name="why-divergence-matters"/>
    <w:p>
      <w:pPr>
        <w:pStyle w:val="Heading2"/>
        <w:spacing w:line="480" w:lineRule="auto"/>
      </w:pPr>
      <w:r>
        <w:t xml:space="preserve">Why divergence matters</w:t>
      </w:r>
    </w:p>
    <w:p>
      <w:pPr>
        <w:pStyle w:val="FirstParagraph"/>
        <w:spacing w:line="480" w:lineRule="auto"/>
      </w:pPr>
      <w:r>
        <w:t xml:space="preserve">Divergence between ORDEM and MASTER is an operational fact, not technical noise, and the difference between those two readings is the reason the chapter exists. Two credible models trained on overlapping but distinct evidence will disagree in places, and the disagreement is informative precisely because neither lineage is arbitrary. Each encodes a defensible reading of an environment no one can observe directly. When a decision sits where those readings diverge, the divergence is telling the analyst something about the fragility of the call, and treating it as noise discards that signal</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Why read the signal at all? Because the two model families draw on partly independent evidence. ORDEM rests on NASA’s radar, optical, in situ, and laboratory campaigns; MASTER rests on ESA’s population and flux estimation and its own validation history</w:t>
      </w:r>
      <w:r>
        <w:t xml:space="preserve"> </w:t>
      </w:r>
      <w:hyperlink w:anchor="ref-19">
        <w:r>
          <w:rPr>
            <w:rStyle w:val="Hyperlink"/>
          </w:rPr>
          <w:t xml:space="preserve">[19]</w:t>
        </w:r>
      </w:hyperlink>
      <w:r>
        <w:t xml:space="preserve">. Where they converge, an operator gains real confidence that the estimate holds up regardless of tool. Where they part company, the lesson is the opposite one, and it is most valuable in the small-debris regime where direct measurement is thinnest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Divergence earns operational attention only when it crosses into consequence. A gap between models that leaves the decision category unchanged is a curiosity for the appendix. A gap that would move a shielding requirement, a disposal timeline, or an SDA priority is a management problem, and the line between the two is proximity to a threshold. The dissertation’s second paper is built to test whether that intuition holds in public data: whether wider ORDEM-MASTER divergence actually predicts the kind of decision that a review board would want to see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Read this way, model comparison stops being an optional refinement and becomes a screening step.</w:t>
      </w:r>
    </w:p>
    <w:p>
      <w:pPr>
        <w:pStyle w:val="BodyText"/>
        <w:spacing w:line="480" w:lineRule="auto"/>
        <w:ind w:firstLine="720"/>
      </w:pPr>
      <w:r>
        <w:t xml:space="preserve">The analyst is not asked to referee which model is correct, a question public data cannot settle. The analyst is asked whether the answer depends on the referee at all. That reframing is what lets a governance contribution rest on public evidence without pretending to private-model fidelity, and it is the hinge on which the rest of the argument turns</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62"/>
    <w:bookmarkStart w:id="63" w:name="research-questions"/>
    <w:p>
      <w:pPr>
        <w:pStyle w:val="Heading2"/>
        <w:spacing w:line="480" w:lineRule="auto"/>
      </w:pPr>
      <w:r>
        <w:t xml:space="preserve">Research questions</w:t>
      </w:r>
    </w:p>
    <w:p>
      <w:pPr>
        <w:pStyle w:val="FirstParagraph"/>
        <w:spacing w:line="480" w:lineRule="auto"/>
      </w:pPr>
      <w:r>
        <w:t xml:space="preserve">The work turns on a single governing question with two empirical halves. The governing question is simple to state. When does the choice of debris model change a decision posture rather than merely the decimal places of an estimate? Everything downstream, the theory, the methods, and the two papers, exists to give that question an auditable answer using evidence anyone can inspect</w:t>
      </w:r>
      <w:r>
        <w:t xml:space="preserve"> </w:t>
      </w:r>
      <w:hyperlink w:anchor="ref-6">
        <w:r>
          <w:rPr>
            <w:rStyle w:val="Hyperlink"/>
          </w:rPr>
          <w:t xml:space="preserve">[6]</w:t>
        </w:r>
      </w:hyperlink>
      <w:r>
        <w:t xml:space="preserve"> </w:t>
      </w:r>
      <w:hyperlink w:anchor="ref-10">
        <w:r>
          <w:rPr>
            <w:rStyle w:val="Hyperlink"/>
          </w:rPr>
          <w:t xml:space="preserve">[10]</w:t>
        </w:r>
      </w:hyperlink>
      <w:r>
        <w:t xml:space="preserve"> </w:t>
      </w:r>
      <w:hyperlink w:anchor="ref-23">
        <w:r>
          <w:rPr>
            <w:rStyle w:val="Hyperlink"/>
          </w:rPr>
          <w:t xml:space="preserve">[23]</w:t>
        </w:r>
      </w:hyperlink>
      <w:r>
        <w:t xml:space="preserve">. First comes a question about structure. Within a published sensitivity analysis, does first-order sensitivity travel with total-effect sensitivity closely enough that an operator can begin governance from the variables an analysis has already flagged? If it does, teams need not run a full variance decomposition to know where to look. The reported sensitivities already point at the controllable inputs that deserve scrutiny</w:t>
      </w:r>
      <w:r>
        <w:t xml:space="preserve"> </w:t>
      </w:r>
      <w:hyperlink w:anchor="ref-6">
        <w:r>
          <w:rPr>
            <w:rStyle w:val="Hyperlink"/>
          </w:rPr>
          <w:t xml:space="preserve">[6]</w:t>
        </w:r>
      </w:hyperlink>
      <w:r>
        <w:t xml:space="preserve"> </w:t>
      </w:r>
      <w:hyperlink w:anchor="ref-10">
        <w:r>
          <w:rPr>
            <w:rStyle w:val="Hyperlink"/>
          </w:rPr>
          <w:t xml:space="preserve">[10]</w:t>
        </w:r>
      </w:hyperlink>
      <w:r>
        <w:t xml:space="preserve"> </w:t>
      </w:r>
      <w:hyperlink w:anchor="ref-23">
        <w:r>
          <w:rPr>
            <w:rStyle w:val="Hyperlink"/>
          </w:rPr>
          <w:t xml:space="preserve">[23]</w:t>
        </w:r>
      </w:hyperlink>
      <w:r>
        <w:t xml:space="preserve">. The second half is a question about consequence. Across matched bins of public ORDEM and MASTER evidence, does larger absolute divergence raise the probability that a decision warrants review? A yes would show that model comparison functions as a screen, catching fragile decisions before they close. A no would still be informative, telling the field that divergence and decision-sensitivity live on different axes. Either result is a finding the public record can support</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23">
        <w:r>
          <w:rPr>
            <w:rStyle w:val="Hyperlink"/>
          </w:rPr>
          <w:t xml:space="preserve">[23]</w:t>
        </w:r>
      </w:hyperlink>
      <w:r>
        <w:t xml:space="preserve">. Both questions are scoped to stay defensible. They ask what public evidence signals about fragility, not what a restricted model would output on a fresh run. That scoping is a feature. It keeps the claims inside the evidence and keeps the contribution honest</w:t>
      </w:r>
      <w:r>
        <w:t xml:space="preserve"> </w:t>
      </w:r>
      <w:hyperlink w:anchor="ref-6">
        <w:r>
          <w:rPr>
            <w:rStyle w:val="Hyperlink"/>
          </w:rPr>
          <w:t xml:space="preserve">[6]</w:t>
        </w:r>
      </w:hyperlink>
      <w:r>
        <w:t xml:space="preserve"> </w:t>
      </w:r>
      <w:hyperlink w:anchor="ref-10">
        <w:r>
          <w:rPr>
            <w:rStyle w:val="Hyperlink"/>
          </w:rPr>
          <w:t xml:space="preserve">[10]</w:t>
        </w:r>
      </w:hyperlink>
      <w:r>
        <w:t xml:space="preserve"> </w:t>
      </w:r>
      <w:hyperlink w:anchor="ref-23">
        <w:r>
          <w:rPr>
            <w:rStyle w:val="Hyperlink"/>
          </w:rPr>
          <w:t xml:space="preserve">[23]</w:t>
        </w:r>
      </w:hyperlink>
      <w:r>
        <w:t xml:space="preserve">.</w:t>
      </w:r>
    </w:p>
    <w:bookmarkEnd w:id="63"/>
    <w:bookmarkStart w:id="64" w:name="empirical-strategy"/>
    <w:p>
      <w:pPr>
        <w:pStyle w:val="Heading2"/>
        <w:spacing w:line="480" w:lineRule="auto"/>
      </w:pPr>
      <w:r>
        <w:t xml:space="preserve">Empirical strategy</w:t>
      </w:r>
    </w:p>
    <w:p>
      <w:pPr>
        <w:pStyle w:val="FirstParagraph"/>
        <w:spacing w:line="480" w:lineRule="auto"/>
      </w:pPr>
      <w:r>
        <w:t xml:space="preserve">Two studies carry the argument, and they are different by design so that a shared conclusion means more. Paper 1 studies sensitivity structure inside an ORDEM-based process; Paper 2 studies operational materiality across two model lineages. One asks which inputs drive an answer, the other asks whether the answer depends on the tool. Together they support a claim about decision fragility, not a claim that either model is superior</w:t>
      </w:r>
      <w:r>
        <w:t xml:space="preserve"> </w:t>
      </w:r>
      <w:hyperlink w:anchor="ref-6">
        <w:r>
          <w:rPr>
            <w:rStyle w:val="Hyperlink"/>
          </w:rPr>
          <w:t xml:space="preserve">[6]</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Paper 1 applies ordinary least squares with robust standard errors to published Sobol sensitivity pairs drawn from the DAS and ORDEM literature. The design is deliberately narrow: it asks whether the reported first-order term predicts the reported total-effect term, and it treats the published table as the unit of evidence rather than trying to recover the simulation behind it</w:t>
      </w:r>
      <w:r>
        <w:t xml:space="preserve"> </w:t>
      </w:r>
      <w:hyperlink w:anchor="ref-6">
        <w:r>
          <w:rPr>
            <w:rStyle w:val="Hyperlink"/>
          </w:rPr>
          <w:t xml:space="preserve">[6]</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Paper 2 applies a logistic model to matched-bin divergence rows, estimating whether the absolute ORDEM-MASTER difference in a bin predicts a decision-review flag. Every row carries a source field, and the construction rules are written down so a reviewer can trace each entry back to public documentation. The estimator is a screen, not an oracle; it reports association under stated rules, which is exactly what the governance argument needs</w:t>
      </w:r>
      <w:r>
        <w:t xml:space="preserve"> </w:t>
      </w:r>
      <w:hyperlink w:anchor="ref-1">
        <w:r>
          <w:rPr>
            <w:rStyle w:val="Hyperlink"/>
          </w:rPr>
          <w:t xml:space="preserve">[1]</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Neither study replicates a proprietary executable, and that restraint is the point.</w:t>
      </w:r>
    </w:p>
    <w:p>
      <w:pPr>
        <w:pStyle w:val="BodyText"/>
        <w:spacing w:line="480" w:lineRule="auto"/>
        <w:ind w:firstLine="720"/>
      </w:pPr>
      <w:r>
        <w:t xml:space="preserve">Public-data uncertainty is handled as a design constraint that bounds the claims, not as an excuse to abandon measurement. What survives the constraint is modest and solid</w:t>
      </w:r>
      <w:r>
        <w:t xml:space="preserve"> </w:t>
      </w:r>
      <w:hyperlink w:anchor="ref-6">
        <w:r>
          <w:rPr>
            <w:rStyle w:val="Hyperlink"/>
          </w:rPr>
          <w:t xml:space="preserve">[6]</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64"/>
    <w:bookmarkStart w:id="65" w:name="contribution-and-scope"/>
    <w:p>
      <w:pPr>
        <w:pStyle w:val="Heading2"/>
        <w:spacing w:line="480" w:lineRule="auto"/>
      </w:pPr>
      <w:r>
        <w:t xml:space="preserve">Contribution and scope</w:t>
      </w:r>
    </w:p>
    <w:p>
      <w:pPr>
        <w:pStyle w:val="FirstParagraph"/>
        <w:spacing w:line="480" w:lineRule="auto"/>
      </w:pPr>
      <w:r>
        <w:t xml:space="preserve">The contribution is a governance method that runs on public evidence, and its scope is drawn tightly enough to keep it credible. The method does not estimate a universal debris flux, adjudicate between agencies, or reproduce restricted outputs. It supplies a repeatable way to ask whether the public record already signals that a debris decision should be checked against a second credible model</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 Its value is practical rather than theoretical. Documentation from both model families exposes enough about sources, validation, and population assumptions to identify fragile decisions, even when the internal machinery stays closed. That is enough to build a screen, and a screen is what operators can actually adopt without waiting for open access to proprietary code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 The scope boundary is also an honesty boundary. Because the strongest supportable claim is about the conditions under which model choice matters, the work never asserts more than it can show, and that discipline is what lets a public-data study speak to real licensing, shielding, and SDA practice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65"/>
    <w:bookmarkStart w:id="66" w:name="roadmap"/>
    <w:p>
      <w:pPr>
        <w:pStyle w:val="Heading2"/>
        <w:spacing w:line="480" w:lineRule="auto"/>
      </w:pPr>
      <w:r>
        <w:t xml:space="preserve">Roadmap</w:t>
      </w:r>
    </w:p>
    <w:p>
      <w:pPr>
        <w:pStyle w:val="FirstParagraph"/>
        <w:spacing w:line="480" w:lineRule="auto"/>
      </w:pPr>
      <w:r>
        <w:t xml:space="preserve">The remaining chapters move from evidence to practice in order. Chapter 2 reads ORDEM and MASTER as lineages of measurement rather than as software names, and connects environment modeling to collision computation and decision governance. Chapter 3 develops the theory, defining divergence as a latent operational variable and stating the two hypotheses the papers test</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Chapters 4 and 5 do the empirical work. Chapter 4 lays out the public-data design, the derived rows, and the auditable workbooks; Chapter 5 reports the two results and reads them together. The findings are stated plainly and their limits are stated just as plainly, because a screen that oversells itself is worse than no screen at all</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Chapters 6 through 8 stress-test and apply the argument.</w:t>
      </w:r>
    </w:p>
    <w:p>
      <w:pPr>
        <w:pStyle w:val="BodyText"/>
        <w:spacing w:line="480" w:lineRule="auto"/>
        <w:ind w:firstLine="720"/>
      </w:pPr>
      <w:r>
        <w:t xml:space="preserve">Chapter 6 asks what would have to be true for the conclusions to fail. Chapter 7 turns the findings into operating rules for SDA, licensing, and shielding. Chapter 8 returns to the title and closes on what public evidence can and cannot yet support</w:t>
      </w:r>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6"/>
    <w:bookmarkStart w:id="67" w:name="chapter-synthesis"/>
    <w:p>
      <w:pPr>
        <w:pStyle w:val="Heading2"/>
        <w:spacing w:line="480" w:lineRule="auto"/>
      </w:pPr>
      <w:r>
        <w:t xml:space="preserve">Chapter synthesis</w:t>
      </w:r>
    </w:p>
    <w:p>
      <w:pPr>
        <w:pStyle w:val="FirstParagraph"/>
        <w:spacing w:line="480" w:lineRule="auto"/>
      </w:pPr>
      <w:r>
        <w:t xml:space="preserve">This chapter has posed model-dependent debris decisions as a practical governance problem rather than a modeling contest. Debris models organize uncertainty long before an operator sees a number, and the governance question is what to record when that number sits near a threshold, turns on a controllable input, or diverges across credible lineages. When the estimate sits comfortably clear of a decision line, a concise note suffices; when it does not, the decision earns a fuller record that identifies the model, the bin, the consequence, the sensitivity drivers, and the reason the chosen action still holds. The chapters that follow build that logic out of public evidence and auditable empirical work</w:t>
      </w:r>
      <w:r>
        <w:t xml:space="preserve"> </w:t>
      </w:r>
      <w:hyperlink w:anchor="ref-18">
        <w:r>
          <w:rPr>
            <w:rStyle w:val="Hyperlink"/>
          </w:rPr>
          <w:t xml:space="preserve">[18]</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67"/>
    <w:bookmarkEnd w:id="68"/>
    <w:bookmarkStart w:id="76" w:name="X2ecaefe74830c029cfe29ce43c9b601bd7735d2"/>
    <w:p>
      <w:pPr>
        <w:pStyle w:val="Heading1"/>
        <w:spacing w:line="480" w:lineRule="auto"/>
      </w:pPr>
      <w:r>
        <w:t xml:space="preserve">Chapter 2. Literature Review: ORDEM, MASTER, and the Governance of Debris Evidence</w:t>
      </w:r>
    </w:p>
    <w:p>
      <w:pPr>
        <w:pStyle w:val="FirstParagraph"/>
        <w:spacing w:line="480" w:lineRule="auto"/>
      </w:pPr>
      <w:r>
        <w:t xml:space="preserve">The literature review treats orbital debris modeling as a chain of evidence rather than as a single technical artifact. ORDEM and MASTER reach operators as named tools. Their policy meaning comes from what they absorb: radar measurements, optical campaigns, in situ evidence, laboratory fragmentation studies, historical breakups, launch and disposal behavior, and assumptions about future activity. A review that stops at software names misses the socio-technical fact that models are institutions of measurement. They decide which observations count, which bins are reported, and which uncertainty ever becomes visible to a user</w:t>
      </w:r>
      <w:r>
        <w:t xml:space="preserve"> </w:t>
      </w:r>
      <w:hyperlink w:anchor="ref-1">
        <w:r>
          <w:rPr>
            <w:rStyle w:val="Hyperlink"/>
          </w:rPr>
          <w:t xml:space="preserve">[1]</w:t>
        </w:r>
      </w:hyperlink>
      <w:r>
        <w:t xml:space="preserve"> </w:t>
      </w:r>
      <w:hyperlink w:anchor="ref-15">
        <w:r>
          <w:rPr>
            <w:rStyle w:val="Hyperlink"/>
          </w:rPr>
          <w:t xml:space="preserve">[15]</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 review also situates collision probability inside that same frame. Since Kessler and Cour-Palais, debris risk has been read as an interaction among population, relative velocity, spatial density, exposed area, and time. Modern conjunction and collision methods have refined how events are screened and how probability is computed, yet the upstream environment model remains the input that dominates. A precise probability calculation can still inherit fragility from the flux field standing behind it, which is why the literature reviewed here connects environment modeling, collision computation, and decision governance into one analytic story</w:t>
      </w:r>
      <w:r>
        <w:t xml:space="preserve"> </w:t>
      </w:r>
      <w:hyperlink w:anchor="ref-18">
        <w:r>
          <w:rPr>
            <w:rStyle w:val="Hyperlink"/>
          </w:rPr>
          <w:t xml:space="preserve">[18]</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w:t>
      </w:r>
    </w:p>
    <w:bookmarkStart w:id="69" w:name="ordem-lineage"/>
    <w:p>
      <w:pPr>
        <w:pStyle w:val="Heading2"/>
        <w:spacing w:line="480" w:lineRule="auto"/>
      </w:pPr>
      <w:r>
        <w:t xml:space="preserve">ORDEM lineage</w:t>
      </w:r>
    </w:p>
    <w:p>
      <w:pPr>
        <w:pStyle w:val="FirstParagraph"/>
        <w:spacing w:line="480" w:lineRule="auto"/>
      </w:pPr>
      <w:r>
        <w:t xml:space="preserve">ORDEM is best understood as an engineering model with a documented pedigree rather than a black box that returns a flux number. Its outputs rest on three things. NASA’s measurement campaigns, its source and population sub-models, and a validation record the program office has published across successive technical releases all stand behind the number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ORDEM 3.1 process documentation and the accompanying verification and validation report are the reason an outside reader can say anything at all about how the model reasons, because they expose the measurement anchors and the checks the developers ran against them</w:t>
      </w:r>
      <w:r>
        <w:t xml:space="preserve"> </w:t>
      </w:r>
      <w:hyperlink w:anchor="ref-2">
        <w:r>
          <w:rPr>
            <w:rStyle w:val="Hyperlink"/>
          </w:rPr>
          <w:t xml:space="preserve">[2]</w:t>
        </w:r>
      </w:hyperlink>
      <w:r>
        <w:t xml:space="preserve"> </w:t>
      </w:r>
      <w:hyperlink w:anchor="ref-3">
        <w:r>
          <w:rPr>
            <w:rStyle w:val="Hyperlink"/>
          </w:rPr>
          <w:t xml:space="preserve">[3]</w:t>
        </w:r>
      </w:hyperlink>
      <w:r>
        <w:t xml:space="preserve">. That documentation matters for governance more than for engineering. It does not let an outside analyst rerun the simulation, but it does reveal where the model is well anchored by observation and where it leans on extrapolation. Reading the verification and validation material next to the model process description shows which orbital regimes and size ranges carry the strongest evidentiary support</w:t>
      </w:r>
      <w:r>
        <w:t xml:space="preserve"> </w:t>
      </w:r>
      <w:hyperlink w:anchor="ref-3">
        <w:r>
          <w:rPr>
            <w:rStyle w:val="Hyperlink"/>
          </w:rPr>
          <w:t xml:space="preserve">[3]</w:t>
        </w:r>
      </w:hyperlink>
      <w:r>
        <w:t xml:space="preserve">. Those are the regimes where an ORDEM estimate can bear real decision weight, and the sparser regions are where a second opinion earns its keep</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9"/>
    <w:bookmarkStart w:id="70" w:name="master-lineage"/>
    <w:p>
      <w:pPr>
        <w:pStyle w:val="Heading2"/>
        <w:spacing w:line="480" w:lineRule="auto"/>
      </w:pPr>
      <w:r>
        <w:t xml:space="preserve">MASTER lineage</w:t>
      </w:r>
    </w:p>
    <w:p>
      <w:pPr>
        <w:pStyle w:val="FirstParagraph"/>
        <w:spacing w:line="480" w:lineRule="auto"/>
      </w:pPr>
      <w:r>
        <w:t xml:space="preserve">MASTER offers the second lineage, and its independence from ORDEM is what makes it useful as a check rather than a duplicate. Developed by ESA’s Space Debris Office, it estimates population and flux from a European evidence base and its own validation history, documented through the model reference material and the Space Debris User Portal</w:t>
      </w:r>
      <w:r>
        <w:t xml:space="preserve"> </w:t>
      </w:r>
      <w:hyperlink w:anchor="ref-4">
        <w:r>
          <w:rPr>
            <w:rStyle w:val="Hyperlink"/>
          </w:rPr>
          <w:t xml:space="preserve">[4]</w:t>
        </w:r>
      </w:hyperlink>
      <w:r>
        <w:t xml:space="preserve"> </w:t>
      </w:r>
      <w:hyperlink w:anchor="ref-19">
        <w:r>
          <w:rPr>
            <w:rStyle w:val="Hyperlink"/>
          </w:rPr>
          <w:t xml:space="preserve">[19]</w:t>
        </w:r>
      </w:hyperlink>
      <w:r>
        <w:t xml:space="preserve">. An operator comparing the two is not comparing a model against a copy of itself; the source terms, the calibration data, and the update cadence differ</w:t>
      </w:r>
      <w:r>
        <w:t xml:space="preserve"> </w:t>
      </w:r>
      <w:hyperlink w:anchor="ref-4">
        <w:r>
          <w:rPr>
            <w:rStyle w:val="Hyperlink"/>
          </w:rPr>
          <w:t xml:space="preserve">[4]</w:t>
        </w:r>
      </w:hyperlink>
      <w:r>
        <w:t xml:space="preserve">.</w:t>
      </w:r>
    </w:p>
    <w:p>
      <w:pPr>
        <w:pStyle w:val="BodyText"/>
        <w:spacing w:line="480" w:lineRule="auto"/>
        <w:ind w:firstLine="720"/>
      </w:pPr>
      <w:r>
        <w:t xml:space="preserve">The comparability is real but partial, and the literature is honest about the seams.</w:t>
      </w:r>
    </w:p>
    <w:p>
      <w:pPr>
        <w:pStyle w:val="BodyText"/>
        <w:spacing w:line="480" w:lineRule="auto"/>
        <w:ind w:firstLine="720"/>
      </w:pPr>
      <w:r>
        <w:t xml:space="preserve">Landgraf, Jehn, and Flury’s comparison of EISCAT radar data against MASTER predictions is one of the clearest public windows into how the model performs against an independent measurement, and it shows both agreement and the places where agreement thins</w:t>
      </w:r>
      <w:r>
        <w:t xml:space="preserve"> </w:t>
      </w:r>
      <w:hyperlink w:anchor="ref-5">
        <w:r>
          <w:rPr>
            <w:rStyle w:val="Hyperlink"/>
          </w:rPr>
          <w:t xml:space="preserve">[5]</w:t>
        </w:r>
      </w:hyperlink>
      <w:r>
        <w:t xml:space="preserve">. Read against the ESA environment reporting, that kind of check tells a reviewer where MASTER speaks with confidence and where its estimates, like ORDEM’s, rest on assumption rather than observation</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70"/>
    <w:bookmarkStart w:id="71" w:name="measurement-and-validation"/>
    <w:p>
      <w:pPr>
        <w:pStyle w:val="Heading2"/>
        <w:spacing w:line="480" w:lineRule="auto"/>
      </w:pPr>
      <w:r>
        <w:t xml:space="preserve">Measurement and validation</w:t>
      </w:r>
    </w:p>
    <w:p>
      <w:pPr>
        <w:pStyle w:val="FirstParagraph"/>
        <w:spacing w:line="480" w:lineRule="auto"/>
      </w:pPr>
      <w:r>
        <w:t xml:space="preserve">Every debris model is only as good as the measurements feeding it. None of those measurements sees the whole population. Radar reaches certain sizes and altitudes, optical campaigns reach others, and each has its own detection floor and viewing geometry</w:t>
      </w:r>
      <w:r>
        <w:t xml:space="preserve"> </w:t>
      </w:r>
      <w:hyperlink w:anchor="ref-5">
        <w:r>
          <w:rPr>
            <w:rStyle w:val="Hyperlink"/>
          </w:rPr>
          <w:t xml:space="preserve">[5]</w:t>
        </w:r>
      </w:hyperlink>
      <w:r>
        <w:t xml:space="preserve"> </w:t>
      </w:r>
      <w:hyperlink w:anchor="ref-15">
        <w:r>
          <w:rPr>
            <w:rStyle w:val="Hyperlink"/>
          </w:rPr>
          <w:t xml:space="preserve">[15]</w:t>
        </w:r>
      </w:hyperlink>
      <w:r>
        <w:t xml:space="preserve">. Ground-truth studies of returned or laboratory-produced fragments fill in what remote sensing cannot resolve, and the DebriSat optical characterization work is a good example of how fragment-level data is fed back into the environmental models</w:t>
      </w:r>
      <w:r>
        <w:t xml:space="preserve"> </w:t>
      </w:r>
      <w:hyperlink w:anchor="ref-14">
        <w:r>
          <w:rPr>
            <w:rStyle w:val="Hyperlink"/>
          </w:rPr>
          <w:t xml:space="preserve">[14]</w:t>
        </w:r>
      </w:hyperlink>
      <w:r>
        <w:t xml:space="preserve">. The validation literature makes a subtler point that governance should not miss. Cowardin and colleagues describe how laboratory hypervelocity and fragmentation data are integrated with on-orbit measurement to make operations safer, which means the models are validated against a patchwork of partial views rather than a single reference truth</w:t>
      </w:r>
      <w:r>
        <w:t xml:space="preserve"> </w:t>
      </w:r>
      <w:hyperlink w:anchor="ref-15">
        <w:r>
          <w:rPr>
            <w:rStyle w:val="Hyperlink"/>
          </w:rPr>
          <w:t xml:space="preserve">[15]</w:t>
        </w:r>
      </w:hyperlink>
      <w:r>
        <w:t xml:space="preserve">. Burchell and coauthors’ perforation experiments on thin films extend that patchwork toward the small-particle regime, where direct cataloguing is impossible and the modeled flux is doing most of the work</w:t>
      </w:r>
      <w:r>
        <w:t xml:space="preserve"> </w:t>
      </w:r>
      <w:hyperlink w:anchor="ref-13">
        <w:r>
          <w:rPr>
            <w:rStyle w:val="Hyperlink"/>
          </w:rPr>
          <w:t xml:space="preserve">[13]</w:t>
        </w:r>
      </w:hyperlink>
      <w:r>
        <w:t xml:space="preserve">. The result is a validation practice that is genuinely careful and genuinely incomplete, and a reviewer needs to hold both facts at once</w:t>
      </w:r>
      <w:r>
        <w:t xml:space="preserve"> </w:t>
      </w:r>
      <w:hyperlink w:anchor="ref-5">
        <w:r>
          <w:rPr>
            <w:rStyle w:val="Hyperlink"/>
          </w:rPr>
          <w:t xml:space="preserve">[5]</w:t>
        </w:r>
      </w:hyperlink>
      <w:r>
        <w:t xml:space="preserve"> </w:t>
      </w:r>
      <w:hyperlink w:anchor="ref-14">
        <w:r>
          <w:rPr>
            <w:rStyle w:val="Hyperlink"/>
          </w:rPr>
          <w:t xml:space="preserve">[14]</w:t>
        </w:r>
      </w:hyperlink>
      <w:r>
        <w:t xml:space="preserve">.</w:t>
      </w:r>
    </w:p>
    <w:bookmarkEnd w:id="71"/>
    <w:bookmarkStart w:id="72" w:name="collision-probability-methods"/>
    <w:p>
      <w:pPr>
        <w:pStyle w:val="Heading2"/>
        <w:spacing w:line="480" w:lineRule="auto"/>
      </w:pPr>
      <w:r>
        <w:t xml:space="preserve">Collision probability methods</w:t>
      </w:r>
    </w:p>
    <w:p>
      <w:pPr>
        <w:pStyle w:val="FirstParagraph"/>
        <w:spacing w:line="480" w:lineRule="auto"/>
      </w:pPr>
      <w:r>
        <w:t xml:space="preserve">Collision probability is where an environment estimate becomes an operational number. The methods for computing it are mature and well reviewed. The lineage runs from Kessler and Cour-Palais, who framed collision frequency as a property of an interacting population, through the analytic and numerical probability methods catalogued by Li, Yang, and Luo</w:t>
      </w:r>
      <w:r>
        <w:t xml:space="preserve"> </w:t>
      </w:r>
      <w:hyperlink w:anchor="ref-18">
        <w:r>
          <w:rPr>
            <w:rStyle w:val="Hyperlink"/>
          </w:rPr>
          <w:t xml:space="preserve">[18]</w:t>
        </w:r>
      </w:hyperlink>
      <w:r>
        <w:t xml:space="preserve"> </w:t>
      </w:r>
      <w:hyperlink w:anchor="ref-20">
        <w:r>
          <w:rPr>
            <w:rStyle w:val="Hyperlink"/>
          </w:rPr>
          <w:t xml:space="preserve">[20]</w:t>
        </w:r>
      </w:hyperlink>
      <w:r>
        <w:t xml:space="preserve">. Patera’s general method remains a standard reference. It shows how a single conjunction becomes a scalar risk</w:t>
      </w:r>
      <w:r>
        <w:t xml:space="preserve"> </w:t>
      </w:r>
      <w:hyperlink w:anchor="ref-21">
        <w:r>
          <w:rPr>
            <w:rStyle w:val="Hyperlink"/>
          </w:rPr>
          <w:t xml:space="preserve">[21]</w:t>
        </w:r>
      </w:hyperlink>
      <w:r>
        <w:t xml:space="preserve">.</w:t>
      </w:r>
    </w:p>
    <w:p>
      <w:pPr>
        <w:pStyle w:val="BodyText"/>
        <w:spacing w:line="480" w:lineRule="auto"/>
        <w:ind w:firstLine="720"/>
      </w:pPr>
      <w:r>
        <w:t xml:space="preserve">What the literature makes clear is that these methods refine the calculation without repairing its inputs.</w:t>
      </w:r>
    </w:p>
    <w:p>
      <w:pPr>
        <w:pStyle w:val="BodyText"/>
        <w:spacing w:line="480" w:lineRule="auto"/>
        <w:ind w:firstLine="720"/>
      </w:pPr>
      <w:r>
        <w:t xml:space="preserve">Alfano’s work on collision-avoidance maneuver planning shows how probability estimates drive real operational choices, which is exactly why the quality of the upstream flux field matters so much</w:t>
      </w:r>
      <w:r>
        <w:t xml:space="preserve"> </w:t>
      </w:r>
      <w:hyperlink w:anchor="ref-22">
        <w:r>
          <w:rPr>
            <w:rStyle w:val="Hyperlink"/>
          </w:rPr>
          <w:t xml:space="preserve">[22]</w:t>
        </w:r>
      </w:hyperlink>
      <w:r>
        <w:t xml:space="preserve">. A sophisticated probability computation applied to a fragile environment estimate produces a precise number with an uncertain foundation, and the review treats that mismatch as the reason environment-model divergence deserves a place in the decision record</w:t>
      </w:r>
      <w:r>
        <w:t xml:space="preserve"> </w:t>
      </w:r>
      <w:hyperlink w:anchor="ref-18">
        <w:r>
          <w:rPr>
            <w:rStyle w:val="Hyperlink"/>
          </w:rPr>
          <w:t xml:space="preserve">[18]</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w:t>
      </w:r>
    </w:p>
    <w:bookmarkEnd w:id="72"/>
    <w:bookmarkStart w:id="73" w:name="small-debris-and-remediation-literature"/>
    <w:p>
      <w:pPr>
        <w:pStyle w:val="Heading2"/>
        <w:spacing w:line="480" w:lineRule="auto"/>
      </w:pPr>
      <w:r>
        <w:t xml:space="preserve">Small debris and remediation literature</w:t>
      </w:r>
    </w:p>
    <w:p>
      <w:pPr>
        <w:pStyle w:val="FirstParagraph"/>
        <w:spacing w:line="480" w:lineRule="auto"/>
      </w:pPr>
      <w:r>
        <w:t xml:space="preserve">The small-debris regime is where model dependence is sharpest and where the remediation literature has the most at stake. Objects in the centimeter and millimeter classes are too numerous to catalogue and too energetic to ignore, so their risk is known almost entirely through modeled flux rather than tracked observation</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McKnight’s early argument for beginning active debris removal treats the growth of this population as a cost that compounds if deferred, framing remediation as a timing problem rather than a purely technical one</w:t>
      </w:r>
      <w:r>
        <w:t xml:space="preserve"> </w:t>
      </w:r>
      <w:hyperlink w:anchor="ref-11">
        <w:r>
          <w:rPr>
            <w:rStyle w:val="Hyperlink"/>
          </w:rPr>
          <w:t xml:space="preserve">[11]</w:t>
        </w:r>
      </w:hyperlink>
      <w:r>
        <w:t xml:space="preserve">. The population-dynamics literature sharpens that framing. Jang and coauthors analyze the low Earth orbit environment as a dynamical system, showing how stability depends on the interaction of launch, decay, and fragmentation rather than on any single object</w:t>
      </w:r>
      <w:r>
        <w:t xml:space="preserve"> </w:t>
      </w:r>
      <w:hyperlink w:anchor="ref-17">
        <w:r>
          <w:rPr>
            <w:rStyle w:val="Hyperlink"/>
          </w:rPr>
          <w:t xml:space="preserve">[17]</w:t>
        </w:r>
      </w:hyperlink>
      <w:r>
        <w:t xml:space="preserve">. Jones and Strong’s modeling of small-debris remediation then asks where intervention would actually change the trajectory of the population</w:t>
      </w:r>
      <w:r>
        <w:t xml:space="preserve"> </w:t>
      </w:r>
      <w:hyperlink w:anchor="ref-16">
        <w:r>
          <w:rPr>
            <w:rStyle w:val="Hyperlink"/>
          </w:rPr>
          <w:t xml:space="preserve">[16]</w:t>
        </w:r>
      </w:hyperlink>
      <w:r>
        <w:t xml:space="preserve">. Both bodies of work depend on how the small-debris environment is represented, which returns the reader to the same problem: the prioritization of remediation inherits whatever fragility lives in the underlying model</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73"/>
    <w:bookmarkStart w:id="74" w:name="the-literature-gap"/>
    <w:p>
      <w:pPr>
        <w:pStyle w:val="Heading2"/>
        <w:spacing w:line="480" w:lineRule="auto"/>
      </w:pPr>
      <w:r>
        <w:t xml:space="preserve">The literature gap</w:t>
      </w:r>
    </w:p>
    <w:p>
      <w:pPr>
        <w:pStyle w:val="FirstParagraph"/>
        <w:spacing w:line="480" w:lineRule="auto"/>
      </w:pPr>
      <w:r>
        <w:t xml:space="preserve">Set side by side, these literatures leave a specific gap. The model-documentation literature explains how ORDEM and MASTER work; the collision and remediation literatures explain what happens downstream; but very little connects the two by asking when the choice between credible models actually changes an operational decision</w:t>
      </w:r>
      <w:r>
        <w:t xml:space="preserve"> </w:t>
      </w:r>
      <w:hyperlink w:anchor="ref-1">
        <w:r>
          <w:rPr>
            <w:rStyle w:val="Hyperlink"/>
          </w:rPr>
          <w:t xml:space="preserve">[1]</w:t>
        </w:r>
      </w:hyperlink>
      <w:r>
        <w:t xml:space="preserve"> </w:t>
      </w:r>
      <w:hyperlink w:anchor="ref-6">
        <w:r>
          <w:rPr>
            <w:rStyle w:val="Hyperlink"/>
          </w:rPr>
          <w:t xml:space="preserve">[6]</w:t>
        </w:r>
      </w:hyperlink>
      <w:r>
        <w:t xml:space="preserve">. Oltrogge and colleagues’ assessment of collision likelihood in geosynchronous orbit is a rare example of taking model comparison seriously as an operational question, and it points toward the decision-centered comparison the field still lacks in the small-debris regime</w:t>
      </w:r>
      <w:r>
        <w:t xml:space="preserve"> </w:t>
      </w:r>
      <w:hyperlink w:anchor="ref-12">
        <w:r>
          <w:rPr>
            <w:rStyle w:val="Hyperlink"/>
          </w:rPr>
          <w:t xml:space="preserve">[12]</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That gap is what the dissertation occupies.</w:t>
      </w:r>
    </w:p>
    <w:p>
      <w:pPr>
        <w:pStyle w:val="BodyText"/>
        <w:spacing w:line="480" w:lineRule="auto"/>
        <w:ind w:firstLine="720"/>
      </w:pPr>
      <w:r>
        <w:t xml:space="preserve">It proposes no better flux model. It does not adjudicate between the agencies. It asks a question the existing literature has mostly left implicit, whether public evidence about model divergence can be turned into a screen for fragile decisions, and it tests that question with auditable public data drawn from the sensitivity work of Chandramouli and Shockley</w:t>
      </w:r>
      <w:r>
        <w:t xml:space="preserve"> </w:t>
      </w:r>
      <w:hyperlink w:anchor="ref-6">
        <w:r>
          <w:rPr>
            <w:rStyle w:val="Hyperlink"/>
          </w:rPr>
          <w:t xml:space="preserve">[6]</w:t>
        </w:r>
      </w:hyperlink>
      <w:r>
        <w:t xml:space="preserve"> </w:t>
      </w:r>
      <w:hyperlink w:anchor="ref-12">
        <w:r>
          <w:rPr>
            <w:rStyle w:val="Hyperlink"/>
          </w:rPr>
          <w:t xml:space="preserve">[12]</w:t>
        </w:r>
      </w:hyperlink>
      <w:r>
        <w:t xml:space="preserve"> </w:t>
      </w:r>
      <w:hyperlink w:anchor="ref-19">
        <w:r>
          <w:rPr>
            <w:rStyle w:val="Hyperlink"/>
          </w:rPr>
          <w:t xml:space="preserve">[19]</w:t>
        </w:r>
      </w:hyperlink>
      <w:r>
        <w:t xml:space="preserve">.</w:t>
      </w:r>
    </w:p>
    <w:bookmarkEnd w:id="74"/>
    <w:bookmarkStart w:id="75" w:name="chapter-synthesis-1"/>
    <w:p>
      <w:pPr>
        <w:pStyle w:val="Heading2"/>
        <w:spacing w:line="480" w:lineRule="auto"/>
      </w:pPr>
      <w:r>
        <w:t xml:space="preserve">Chapter synthesis</w:t>
      </w:r>
    </w:p>
    <w:p>
      <w:pPr>
        <w:pStyle w:val="FirstParagraph"/>
        <w:spacing w:line="480" w:lineRule="auto"/>
      </w:pPr>
      <w:r>
        <w:t xml:space="preserve">This chapter has read the debris literature as an evidence lineage rather than a catalogue of tools. Models organize uncertainty long before an operator sees an estimate, the collision methods that turn that estimate into a probability are mature but input-bound, and the small-debris regime concentrates both the risk and the model dependence. When an estimate sits clear of a decision threshold, a concise record suffices; when it sits near a threshold, turns on a controllable input, or diverges across credible lineages, the decision earns a fuller record naming the model, the bin, the consequence, the drivers, and the reason the chosen action holds. The next chapter builds the theory that makes divergence a testable operational variable</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w:t>
      </w:r>
      <w:hyperlink w:anchor="ref-21">
        <w:r>
          <w:rPr>
            <w:rStyle w:val="Hyperlink"/>
          </w:rPr>
          <w:t xml:space="preserve">[21]</w:t>
        </w:r>
      </w:hyperlink>
      <w:r>
        <w:t xml:space="preserve">.</w:t>
      </w:r>
    </w:p>
    <w:bookmarkEnd w:id="75"/>
    <w:bookmarkEnd w:id="76"/>
    <w:bookmarkStart w:id="84" w:name="X7393d4fd6a3741573e857e9351e82aa640fbcbe"/>
    <w:p>
      <w:pPr>
        <w:pStyle w:val="Heading1"/>
        <w:spacing w:line="480" w:lineRule="auto"/>
      </w:pPr>
      <w:r>
        <w:t xml:space="preserve">Chapter 3. Theory and Hypotheses: Model Divergence as a Latent Operational Variable</w:t>
      </w:r>
    </w:p>
    <w:p>
      <w:pPr>
        <w:pStyle w:val="FirstParagraph"/>
        <w:spacing w:line="480" w:lineRule="auto"/>
      </w:pPr>
      <w:r>
        <w:t xml:space="preserve">The theory chapter defines model divergence as a latent operational variable. It is latent because a mission team usually sees only the estimate produced by the single tool selected for its process. The alternative reading stays out of view. It is operational because the difference between credible models can move shielding, licensing, disposal planning, maneuver thresholds, insurance reasoning, and SDA prioritization. The theoretical claim is that divergence matters most in three conditions at once: when a decision sits near a threshold, when total sensitivity is dominated by variables the team can actually change, and when two independent model lineages encode materially different debris evidence</w:t>
      </w:r>
      <w:r>
        <w:t xml:space="preserve"> </w:t>
      </w:r>
      <w:hyperlink w:anchor="ref-6">
        <w:r>
          <w:rPr>
            <w:rStyle w:val="Hyperlink"/>
          </w:rPr>
          <w:t xml:space="preserve">[6]</w:t>
        </w:r>
      </w:hyperlink>
      <w:r>
        <w:t xml:space="preserve"> </w:t>
      </w:r>
      <w:hyperlink w:anchor="ref-10">
        <w:r>
          <w:rPr>
            <w:rStyle w:val="Hyperlink"/>
          </w:rPr>
          <w:t xml:space="preserve">[10]</w:t>
        </w:r>
      </w:hyperlink>
      <w:r>
        <w:t xml:space="preserve"> </w:t>
      </w:r>
      <w:hyperlink w:anchor="ref-22">
        <w:r>
          <w:rPr>
            <w:rStyle w:val="Hyperlink"/>
          </w:rPr>
          <w:t xml:space="preserve">[22]</w:t>
        </w:r>
      </w:hyperlink>
      <w:r>
        <w:t xml:space="preserve">.</w:t>
      </w:r>
    </w:p>
    <w:p>
      <w:pPr>
        <w:pStyle w:val="BodyText"/>
        <w:spacing w:line="480" w:lineRule="auto"/>
        <w:ind w:firstLine="720"/>
      </w:pPr>
      <w:r>
        <w:t xml:space="preserve">The chapter also separates three claims that careless writing tends to collapse. The first is descriptive: ORDEM and MASTER can return different estimates in the same operational regime. The second is inferential: some of those differences are predictable from known model inputs, public population anchors, and validation histories. The third is normative: when divergence is large enough to change the decision posture, the record should preserve both the model used and the reason a second credible model would not have changed the outcome. The dissertation tests the descriptive and inferential claims and proposes governance rules for the normative one</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9">
        <w:r>
          <w:rPr>
            <w:rStyle w:val="Hyperlink"/>
          </w:rPr>
          <w:t xml:space="preserve">[19]</w:t>
        </w:r>
      </w:hyperlink>
      <w:r>
        <w:t xml:space="preserve">.</w:t>
      </w:r>
    </w:p>
    <w:bookmarkStart w:id="77" w:name="the-construct-of-model-divergence"/>
    <w:p>
      <w:pPr>
        <w:pStyle w:val="Heading2"/>
        <w:spacing w:line="480" w:lineRule="auto"/>
      </w:pPr>
      <w:r>
        <w:t xml:space="preserve">The construct of model divergence</w:t>
      </w:r>
    </w:p>
    <w:p>
      <w:pPr>
        <w:pStyle w:val="FirstParagraph"/>
        <w:spacing w:line="480" w:lineRule="auto"/>
      </w:pPr>
      <w:r>
        <w:t xml:space="preserve">Divergence needs a definition sharp enough to measure, and the one used here is deliberately plain. Model divergence has a plain definition. It is the difference in a decision-relevant quantity, a flux, a probability, a deorbit time, that arises solely from the choice between two credible environment models applied to the same bin and regime</w:t>
      </w:r>
      <w:r>
        <w:t xml:space="preserve"> </w:t>
      </w:r>
      <w:hyperlink w:anchor="ref-1">
        <w:r>
          <w:rPr>
            <w:rStyle w:val="Hyperlink"/>
          </w:rPr>
          <w:t xml:space="preserve">[1]</w:t>
        </w:r>
      </w:hyperlink>
      <w:r>
        <w:t xml:space="preserve"> </w:t>
      </w:r>
      <w:hyperlink w:anchor="ref-19">
        <w:r>
          <w:rPr>
            <w:rStyle w:val="Hyperlink"/>
          </w:rPr>
          <w:t xml:space="preserve">[19]</w:t>
        </w:r>
      </w:hyperlink>
      <w:r>
        <w:t xml:space="preserve">. It is a property of the pair of models and the operational question, not a property of either model alone, which is why it can stay latent even when both models are individually well documented</w:t>
      </w:r>
      <w:r>
        <w:t xml:space="preserve"> </w:t>
      </w:r>
      <w:hyperlink w:anchor="ref-4">
        <w:r>
          <w:rPr>
            <w:rStyle w:val="Hyperlink"/>
          </w:rPr>
          <w:t xml:space="preserve">[4]</w:t>
        </w:r>
      </w:hyperlink>
      <w:r>
        <w:t xml:space="preserve">. Defining it this way keeps the construct honest. It does not require knowing a true value that no instrument can supply; it requires only that two credible lineages give answers an operator can place side by side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construct is therefore observable from the public record wherever both models report the same bin, and it is silent wherever they do not, a limitation the theory accepts rather than papers over</w:t>
      </w:r>
      <w:r>
        <w:t xml:space="preserve"> </w:t>
      </w:r>
      <w:hyperlink w:anchor="ref-3">
        <w:r>
          <w:rPr>
            <w:rStyle w:val="Hyperlink"/>
          </w:rPr>
          <w:t xml:space="preserve">[3]</w:t>
        </w:r>
      </w:hyperlink>
      <w:r>
        <w:t xml:space="preserve"> </w:t>
      </w:r>
      <w:hyperlink w:anchor="ref-19">
        <w:r>
          <w:rPr>
            <w:rStyle w:val="Hyperlink"/>
          </w:rPr>
          <w:t xml:space="preserve">[19]</w:t>
        </w:r>
      </w:hyperlink>
      <w:r>
        <w:t xml:space="preserve">.</w:t>
      </w:r>
    </w:p>
    <w:bookmarkEnd w:id="77"/>
    <w:bookmarkStart w:id="78" w:name="mechanisms-of-operational-materiality"/>
    <w:p>
      <w:pPr>
        <w:pStyle w:val="Heading2"/>
        <w:spacing w:line="480" w:lineRule="auto"/>
      </w:pPr>
      <w:r>
        <w:t xml:space="preserve">Mechanisms of operational materiality</w:t>
      </w:r>
    </w:p>
    <w:p>
      <w:pPr>
        <w:pStyle w:val="FirstParagraph"/>
        <w:spacing w:line="480" w:lineRule="auto"/>
      </w:pPr>
      <w:r>
        <w:t xml:space="preserve">Divergence becomes material through identifiable mechanisms. It is not generic bad luck. The first is threshold proximity: a decision already sitting close to a compliance line needs only a small modeled difference to cross it, so the same divergence that is harmless in the interior of a regime turns decisive at its edge</w:t>
      </w:r>
      <w:r>
        <w:t xml:space="preserve"> </w:t>
      </w:r>
      <w:hyperlink w:anchor="ref-10">
        <w:r>
          <w:rPr>
            <w:rStyle w:val="Hyperlink"/>
          </w:rPr>
          <w:t xml:space="preserve">[10]</w:t>
        </w:r>
      </w:hyperlink>
      <w:r>
        <w:t xml:space="preserve"> </w:t>
      </w:r>
      <w:hyperlink w:anchor="ref-22">
        <w:r>
          <w:rPr>
            <w:rStyle w:val="Hyperlink"/>
          </w:rPr>
          <w:t xml:space="preserve">[22]</w:t>
        </w:r>
      </w:hyperlink>
      <w:r>
        <w:t xml:space="preserve">. The second is sensitivity concentration: when the reported total sensitivity of an outcome loads onto a few controllable inputs, a model that shifts those inputs shifts the decision, and the sensitivity structure published by Chandramouli and Shockley is where that concentration can be read</w:t>
      </w:r>
      <w:r>
        <w:t xml:space="preserve"> </w:t>
      </w:r>
      <w:hyperlink w:anchor="ref-6">
        <w:r>
          <w:rPr>
            <w:rStyle w:val="Hyperlink"/>
          </w:rPr>
          <w:t xml:space="preserve">[6]</w:t>
        </w:r>
      </w:hyperlink>
      <w:r>
        <w:t xml:space="preserve">.</w:t>
      </w:r>
    </w:p>
    <w:p>
      <w:pPr>
        <w:pStyle w:val="BodyText"/>
        <w:spacing w:line="480" w:lineRule="auto"/>
        <w:ind w:firstLine="720"/>
      </w:pPr>
      <w:r>
        <w:t xml:space="preserve">The third mechanism is evidentiary independence.</w:t>
      </w:r>
    </w:p>
    <w:p>
      <w:pPr>
        <w:pStyle w:val="BodyText"/>
        <w:spacing w:line="480" w:lineRule="auto"/>
        <w:ind w:firstLine="720"/>
      </w:pPr>
      <w:r>
        <w:t xml:space="preserve">Because ORDEM and MASTER draw on partly separate measurement bases, their disagreement in a bin carries more information than the scatter of a single model’s internal runs would</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These three mechanisms explain why divergence is not spread evenly across the environment. It clusters where thresholds, controllable sensitivity, and independent evidence coincide, and that clustering is what makes a screen tractable rather than a search for a needle in a haystack</w:t>
      </w:r>
      <w:r>
        <w:t xml:space="preserve"> </w:t>
      </w:r>
      <w:hyperlink w:anchor="ref-10">
        <w:r>
          <w:rPr>
            <w:rStyle w:val="Hyperlink"/>
          </w:rPr>
          <w:t xml:space="preserve">[10]</w:t>
        </w:r>
      </w:hyperlink>
      <w:r>
        <w:t xml:space="preserve"> </w:t>
      </w:r>
      <w:hyperlink w:anchor="ref-22">
        <w:r>
          <w:rPr>
            <w:rStyle w:val="Hyperlink"/>
          </w:rPr>
          <w:t xml:space="preserve">[22]</w:t>
        </w:r>
      </w:hyperlink>
      <w:r>
        <w:t xml:space="preserve">.</w:t>
      </w:r>
    </w:p>
    <w:bookmarkEnd w:id="78"/>
    <w:bookmarkStart w:id="79" w:name="hypothesis-1"/>
    <w:p>
      <w:pPr>
        <w:pStyle w:val="Heading2"/>
        <w:spacing w:line="480" w:lineRule="auto"/>
      </w:pPr>
      <w:r>
        <w:t xml:space="preserve">Hypothesis 1</w:t>
      </w:r>
    </w:p>
    <w:p>
      <w:pPr>
        <w:pStyle w:val="FirstParagraph"/>
        <w:spacing w:line="480" w:lineRule="auto"/>
      </w:pPr>
      <w:r>
        <w:t xml:space="preserve">The first hypothesis concerns sensitivity structure, and it is framed so a public sensitivity table can test it. H1 holds that within a published sensitivity analysis, first-order sensitivity is positively associated with total-effect sensitivity across the reported outcomes</w:t>
      </w:r>
      <w:r>
        <w:t xml:space="preserve"> </w:t>
      </w:r>
      <w:hyperlink w:anchor="ref-6">
        <w:r>
          <w:rPr>
            <w:rStyle w:val="Hyperlink"/>
          </w:rPr>
          <w:t xml:space="preserve">[6]</w:t>
        </w:r>
      </w:hyperlink>
      <w:r>
        <w:t xml:space="preserve"> </w:t>
      </w:r>
      <w:hyperlink w:anchor="ref-23">
        <w:r>
          <w:rPr>
            <w:rStyle w:val="Hyperlink"/>
          </w:rPr>
          <w:t xml:space="preserve">[23]</w:t>
        </w:r>
      </w:hyperlink>
      <w:r>
        <w:t xml:space="preserve">. The reasoning is that when interaction effects stay modest relative to main effects, the variables that matter first also matter most, and the Sobol-style decomposition in the DAS and ORDEM work is the natural place to look</w:t>
      </w:r>
      <w:r>
        <w:t xml:space="preserve"> </w:t>
      </w:r>
      <w:hyperlink w:anchor="ref-23">
        <w:r>
          <w:rPr>
            <w:rStyle w:val="Hyperlink"/>
          </w:rPr>
          <w:t xml:space="preserve">[23]</w:t>
        </w:r>
      </w:hyperlink>
      <w:r>
        <w:t xml:space="preserve">. A confirmed H1 pays off immediately. Teams could begin governance from the sensitivities an analysis already reports rather than commissioning a fresh variance decomposition, concentrating on inputs such as semimajor axis and area-to-mass ratio that the published tables flag</w:t>
      </w:r>
      <w:r>
        <w:t xml:space="preserve"> </w:t>
      </w:r>
      <w:hyperlink w:anchor="ref-6">
        <w:r>
          <w:rPr>
            <w:rStyle w:val="Hyperlink"/>
          </w:rPr>
          <w:t xml:space="preserve">[6]</w:t>
        </w:r>
      </w:hyperlink>
      <w:r>
        <w:t xml:space="preserve">. A failed H1 would be just as instructive: main-effect rankings would then be an unreliable guide, and governance would need the full decomposition. The hypothesis is decidable either way from public evidence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79"/>
    <w:bookmarkStart w:id="80" w:name="hypothesis-2"/>
    <w:p>
      <w:pPr>
        <w:pStyle w:val="Heading2"/>
        <w:spacing w:line="480" w:lineRule="auto"/>
      </w:pPr>
      <w:r>
        <w:t xml:space="preserve">Hypothesis 2</w:t>
      </w:r>
    </w:p>
    <w:p>
      <w:pPr>
        <w:pStyle w:val="FirstParagraph"/>
        <w:spacing w:line="480" w:lineRule="auto"/>
      </w:pPr>
      <w:r>
        <w:t xml:space="preserve">The second hypothesis concerns consequence rather than structure. H2 holds that larger absolute ORDEM-MASTER divergence in a matched bin raises the probability that the associated decision warrants review</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mechanism is the one built above. Divergence interacts with threshold proximity and sensitivity to produce fragility, and fragility is exactly what a review flag exists to catch</w:t>
      </w:r>
      <w:r>
        <w:t xml:space="preserve"> </w:t>
      </w:r>
      <w:hyperlink w:anchor="ref-19">
        <w:r>
          <w:rPr>
            <w:rStyle w:val="Hyperlink"/>
          </w:rPr>
          <w:t xml:space="preserve">[19]</w:t>
        </w:r>
      </w:hyperlink>
      <w:r>
        <w:t xml:space="preserve">.</w:t>
      </w:r>
    </w:p>
    <w:p>
      <w:pPr>
        <w:pStyle w:val="BodyText"/>
        <w:spacing w:line="480" w:lineRule="auto"/>
        <w:ind w:firstLine="720"/>
      </w:pPr>
      <w:r>
        <w:t xml:space="preserve">The hypothesis is stated as an association under written construction rules, not as a causal law about which model is correct.</w:t>
      </w:r>
    </w:p>
    <w:p>
      <w:pPr>
        <w:pStyle w:val="BodyText"/>
        <w:spacing w:line="480" w:lineRule="auto"/>
        <w:ind w:firstLine="720"/>
      </w:pPr>
      <w:r>
        <w:t xml:space="preserve">That framing keeps it inside the public evidence, because the matched-bin rows can support a claim about co-occurrence between divergence and review-worthiness while staying silent on ground truth</w:t>
      </w:r>
      <w:r>
        <w:t xml:space="preserve"> </w:t>
      </w:r>
      <w:hyperlink w:anchor="ref-4">
        <w:r>
          <w:rPr>
            <w:rStyle w:val="Hyperlink"/>
          </w:rPr>
          <w:t xml:space="preserve">[4]</w:t>
        </w:r>
      </w:hyperlink>
      <w:r>
        <w:t xml:space="preserve"> </w:t>
      </w:r>
      <w:hyperlink w:anchor="ref-5">
        <w:r>
          <w:rPr>
            <w:rStyle w:val="Hyperlink"/>
          </w:rPr>
          <w:t xml:space="preserve">[5]</w:t>
        </w:r>
      </w:hyperlink>
      <w:r>
        <w:t xml:space="preserve">. A confirmed H2 would establish model comparison as a screening mechanism; a null result would place divergence and decision-sensitivity on separate axes, which is itself a reportable finding</w:t>
      </w:r>
      <w:r>
        <w:t xml:space="preserve"> </w:t>
      </w:r>
      <w:hyperlink w:anchor="ref-19">
        <w:r>
          <w:rPr>
            <w:rStyle w:val="Hyperlink"/>
          </w:rPr>
          <w:t xml:space="preserve">[19]</w:t>
        </w:r>
      </w:hyperlink>
      <w:r>
        <w:t xml:space="preserve">.</w:t>
      </w:r>
    </w:p>
    <w:bookmarkEnd w:id="80"/>
    <w:bookmarkStart w:id="81" w:name="boundary-conditions"/>
    <w:p>
      <w:pPr>
        <w:pStyle w:val="Heading2"/>
        <w:spacing w:line="480" w:lineRule="auto"/>
      </w:pPr>
      <w:r>
        <w:t xml:space="preserve">Boundary conditions</w:t>
      </w:r>
    </w:p>
    <w:p>
      <w:pPr>
        <w:pStyle w:val="FirstParagraph"/>
        <w:spacing w:line="480" w:lineRule="auto"/>
      </w:pPr>
      <w:r>
        <w:t xml:space="preserve">The theory is scoped, and naming its boundaries protects it from misuse. The construct is defined only where both models report the same bin, so regimes covered by one model and not the other fall outside the test rather than counting as zero divergence</w:t>
      </w:r>
      <w:r>
        <w:t xml:space="preserve"> </w:t>
      </w:r>
      <w:hyperlink w:anchor="ref-2">
        <w:r>
          <w:rPr>
            <w:rStyle w:val="Hyperlink"/>
          </w:rPr>
          <w:t xml:space="preserve">[2]</w:t>
        </w:r>
      </w:hyperlink>
      <w:r>
        <w:t xml:space="preserve"> </w:t>
      </w:r>
      <w:hyperlink w:anchor="ref-19">
        <w:r>
          <w:rPr>
            <w:rStyle w:val="Hyperlink"/>
          </w:rPr>
          <w:t xml:space="preserve">[19]</w:t>
        </w:r>
      </w:hyperlink>
      <w:r>
        <w:t xml:space="preserve">. The inference is limited to public evidence, which means aggregated tables and documented validation rather than restricted simulation runs, and the granularity of the public record sets the granularity of the claim</w:t>
      </w:r>
      <w:r>
        <w:t xml:space="preserve"> </w:t>
      </w:r>
      <w:hyperlink w:anchor="ref-3">
        <w:r>
          <w:rPr>
            <w:rStyle w:val="Hyperlink"/>
          </w:rPr>
          <w:t xml:space="preserve">[3]</w:t>
        </w:r>
      </w:hyperlink>
      <w:r>
        <w:t xml:space="preserve"> </w:t>
      </w:r>
      <w:hyperlink w:anchor="ref-15">
        <w:r>
          <w:rPr>
            <w:rStyle w:val="Hyperlink"/>
          </w:rPr>
          <w:t xml:space="preserve">[15]</w:t>
        </w:r>
      </w:hyperlink>
      <w:r>
        <w:t xml:space="preserve">. A second boundary is temporal. Both model families update. A divergence measured against one release is a statement about that release, not a permanent property of either model</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theory treats its findings as conditional on the documented versions and asks users to re-run the comparison when a model is revised, rather than assuming the screen is fixed once and settled forever</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End w:id="81"/>
    <w:bookmarkStart w:id="82" w:name="normative-logic"/>
    <w:p>
      <w:pPr>
        <w:pStyle w:val="Heading2"/>
        <w:spacing w:line="480" w:lineRule="auto"/>
      </w:pPr>
      <w:r>
        <w:t xml:space="preserve">Normative logic</w:t>
      </w:r>
    </w:p>
    <w:p>
      <w:pPr>
        <w:pStyle w:val="FirstParagraph"/>
        <w:spacing w:line="480" w:lineRule="auto"/>
      </w:pPr>
      <w:r>
        <w:t xml:space="preserve">The normative step follows only after the descriptive and inferential claims are settled, and it is intentionally restrained. When divergence is large enough to change the decision category, the governance rule is to record the model used, the operational bin, and the reason a second credible model would not have altered the action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rule imposes documentation, not a preferred model, which keeps the analysis on the empirical side of the line between reporting and advocating</w:t>
      </w:r>
      <w:r>
        <w:t xml:space="preserve"> </w:t>
      </w:r>
      <w:hyperlink w:anchor="ref-3">
        <w:r>
          <w:rPr>
            <w:rStyle w:val="Hyperlink"/>
          </w:rPr>
          <w:t xml:space="preserve">[3]</w:t>
        </w:r>
      </w:hyperlink>
      <w:r>
        <w:t xml:space="preserve"> </w:t>
      </w:r>
      <w:hyperlink w:anchor="ref-20">
        <w:r>
          <w:rPr>
            <w:rStyle w:val="Hyperlink"/>
          </w:rPr>
          <w:t xml:space="preserve">[20]</w:t>
        </w:r>
      </w:hyperlink>
      <w:r>
        <w:t xml:space="preserve">.</w:t>
      </w:r>
    </w:p>
    <w:p>
      <w:pPr>
        <w:pStyle w:val="BodyText"/>
        <w:spacing w:line="480" w:lineRule="auto"/>
        <w:ind w:firstLine="720"/>
      </w:pPr>
      <w:r>
        <w:t xml:space="preserve">The discipline is borrowed from existing standards and licensing practice rather than invented.</w:t>
      </w:r>
    </w:p>
    <w:p>
      <w:pPr>
        <w:pStyle w:val="BodyText"/>
        <w:spacing w:line="480" w:lineRule="auto"/>
        <w:ind w:firstLine="720"/>
      </w:pPr>
      <w:r>
        <w:t xml:space="preserve">Orbital-debris disclosure requirements already ask operators to justify mitigation choices, so a model-dependence note extends an established habit instead of adding a fresh obligation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collision-computation literature supplies the vocabulary for stating why a decision is or is not sensitive to the environment estimate, which lets the note stay short while remaining auditable</w:t>
      </w:r>
      <w:r>
        <w:t xml:space="preserve"> </w:t>
      </w:r>
      <w:hyperlink w:anchor="ref-20">
        <w:r>
          <w:rPr>
            <w:rStyle w:val="Hyperlink"/>
          </w:rPr>
          <w:t xml:space="preserve">[20]</w:t>
        </w:r>
      </w:hyperlink>
      <w:r>
        <w:t xml:space="preserve">.</w:t>
      </w:r>
    </w:p>
    <w:bookmarkEnd w:id="82"/>
    <w:bookmarkStart w:id="83" w:name="chapter-synthesis-2"/>
    <w:p>
      <w:pPr>
        <w:pStyle w:val="Heading2"/>
        <w:spacing w:line="480" w:lineRule="auto"/>
      </w:pPr>
      <w:r>
        <w:t xml:space="preserve">Chapter synthesis</w:t>
      </w:r>
    </w:p>
    <w:p>
      <w:pPr>
        <w:pStyle w:val="FirstParagraph"/>
        <w:spacing w:line="480" w:lineRule="auto"/>
      </w:pPr>
      <w:r>
        <w:t xml:space="preserve">This chapter has turned divergence from a vague worry into a testable operational variable. It is latent because operators see one model at a time, operational because the hidden difference can move real decisions, and material through the specific mechanisms of threshold proximity, sensitivity concentration, and evidentiary independence. Two hypotheses follow, one about whether reported sensitivities travel together and one about whether divergence predicts review-worthiness, and a restrained normative rule rests on top of them. The next chapter builds the public-data design that lets both hypotheses face evidence</w:t>
      </w:r>
      <w:r>
        <w:t xml:space="preserve"> </w:t>
      </w:r>
      <w:hyperlink w:anchor="ref-20">
        <w:r>
          <w:rPr>
            <w:rStyle w:val="Hyperlink"/>
          </w:rPr>
          <w:t xml:space="preserve">[20]</w:t>
        </w:r>
      </w:hyperlink>
      <w:r>
        <w:t xml:space="preserve"> </w:t>
      </w:r>
      <w:hyperlink w:anchor="ref-22">
        <w:r>
          <w:rPr>
            <w:rStyle w:val="Hyperlink"/>
          </w:rPr>
          <w:t xml:space="preserve">[22]</w:t>
        </w:r>
      </w:hyperlink>
      <w:r>
        <w:t xml:space="preserve"> </w:t>
      </w:r>
      <w:hyperlink w:anchor="ref-23">
        <w:r>
          <w:rPr>
            <w:rStyle w:val="Hyperlink"/>
          </w:rPr>
          <w:t xml:space="preserve">[23]</w:t>
        </w:r>
      </w:hyperlink>
      <w:r>
        <w:t xml:space="preserve">.</w:t>
      </w:r>
    </w:p>
    <w:bookmarkEnd w:id="83"/>
    <w:bookmarkEnd w:id="84"/>
    <w:bookmarkStart w:id="92" w:name="X6d99af791acee31e1b77fcc20069c155559f083"/>
    <w:p>
      <w:pPr>
        <w:pStyle w:val="Heading1"/>
        <w:spacing w:line="480" w:lineRule="auto"/>
      </w:pPr>
      <w:r>
        <w:t xml:space="preserve">Chapter 4. Data and Methods: Public Model Evidence, Derived Rows, and Auditable Workbooks</w:t>
      </w:r>
    </w:p>
    <w:p>
      <w:pPr>
        <w:pStyle w:val="FirstParagraph"/>
        <w:spacing w:line="480" w:lineRule="auto"/>
      </w:pPr>
      <w:r>
        <w:t xml:space="preserve">The methods chapter explains how the dissertation turns public evidence into auditable empirical claims. It reverse engineers nothing. It scrapes no restricted model outputs. It works instead from published sensitivity tables, public model documentation, conference evidence, standards, and source-backed construction rules. That choice bounds the claims, and in exchange it makes the work reproducible. Every row in the empirical workbooks carries a source field, every formula sits in the appendix, and public-data uncertainty is handled as a design constraint rather than as a reason to avoid measurement altogether</w:t>
      </w:r>
      <w:r>
        <w:t xml:space="preserve"> </w:t>
      </w:r>
      <w:hyperlink w:anchor="ref-6">
        <w:r>
          <w:rPr>
            <w:rStyle w:val="Hyperlink"/>
          </w:rPr>
          <w:t xml:space="preserve">[6]</w:t>
        </w:r>
      </w:hyperlink>
      <w:r>
        <w:t xml:space="preserve"> </w:t>
      </w:r>
      <w:hyperlink w:anchor="ref-8">
        <w:r>
          <w:rPr>
            <w:rStyle w:val="Hyperlink"/>
          </w:rPr>
          <w:t xml:space="preserve">[8]</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Two empirical methods do the work, and they are different on purpose. Paper 1 applies ordinary least squares with robust standard errors to published Sobol sensitivity pairs from the DAS and ORDEM literature. Paper 2 applies a logistic model to matched-bin divergence rows, estimating whether absolute ORDEM-MASTER divergence predicts a decision-review flag. One study examines sensitivity structure inside an ORDEM-based process; the other examines operational materiality across two model lineages. Read together they support a dissertation about decision fragility, not a verdict on model supremacy</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Start w:id="85" w:name="design-principle"/>
    <w:p>
      <w:pPr>
        <w:pStyle w:val="Heading2"/>
        <w:spacing w:line="480" w:lineRule="auto"/>
      </w:pPr>
      <w:r>
        <w:t xml:space="preserve">Design principle</w:t>
      </w:r>
    </w:p>
    <w:p>
      <w:pPr>
        <w:pStyle w:val="FirstParagraph"/>
        <w:spacing w:line="480" w:lineRule="auto"/>
      </w:pPr>
      <w:r>
        <w:t xml:space="preserve">The governing design principle is that a claim may go no further than the evidence a reviewer can inspect. Public documentation from both model families exposes measurement sources, validation practice, and population assumptions, and the design draws its inferences from those exposed elements rather than from the closed internals behind them</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principle is restrictive by intent, because a study that quietly assumes access it does not have would collapse the moment anyone checked</w:t>
      </w:r>
      <w:r>
        <w:t xml:space="preserve"> </w:t>
      </w:r>
      <w:hyperlink w:anchor="ref-19">
        <w:r>
          <w:rPr>
            <w:rStyle w:val="Hyperlink"/>
          </w:rPr>
          <w:t xml:space="preserve">[19]</w:t>
        </w:r>
      </w:hyperlink>
      <w:r>
        <w:t xml:space="preserve">. Working inside that principle shapes every later choice. It fixes the unit of evidence as the published table or the documented bin, it fixes uncertainty as a stated constraint rather than a hidden nuisance, and it fixes the standard of proof as reproducibility from public sources</w:t>
      </w:r>
      <w:r>
        <w:t xml:space="preserve"> </w:t>
      </w:r>
      <w:hyperlink w:anchor="ref-4">
        <w:r>
          <w:rPr>
            <w:rStyle w:val="Hyperlink"/>
          </w:rPr>
          <w:t xml:space="preserve">[4]</w:t>
        </w:r>
      </w:hyperlink>
      <w:r>
        <w:t xml:space="preserve"> </w:t>
      </w:r>
      <w:hyperlink w:anchor="ref-6">
        <w:r>
          <w:rPr>
            <w:rStyle w:val="Hyperlink"/>
          </w:rPr>
          <w:t xml:space="preserve">[6]</w:t>
        </w:r>
      </w:hyperlink>
      <w:r>
        <w:t xml:space="preserve">. Whatever the two papers can show under those rules is the whole of what the dissertation claims, and nothing rests on evidence a reader cannot reach</w:t>
      </w:r>
      <w:r>
        <w:t xml:space="preserve"> </w:t>
      </w:r>
      <w:hyperlink w:anchor="ref-19">
        <w:r>
          <w:rPr>
            <w:rStyle w:val="Hyperlink"/>
          </w:rPr>
          <w:t xml:space="preserve">[19]</w:t>
        </w:r>
      </w:hyperlink>
      <w:r>
        <w:t xml:space="preserve">.</w:t>
      </w:r>
    </w:p>
    <w:bookmarkEnd w:id="85"/>
    <w:bookmarkStart w:id="86" w:name="paper-1-data"/>
    <w:p>
      <w:pPr>
        <w:pStyle w:val="Heading2"/>
        <w:spacing w:line="480" w:lineRule="auto"/>
      </w:pPr>
      <w:r>
        <w:t xml:space="preserve">Paper 1 data</w:t>
      </w:r>
    </w:p>
    <w:p>
      <w:pPr>
        <w:pStyle w:val="FirstParagraph"/>
        <w:spacing w:line="480" w:lineRule="auto"/>
      </w:pPr>
      <w:r>
        <w:t xml:space="preserve">Paper 1 draws its data from the sensitivity analyses reported by Chandramouli and Shockley on DAS lifetime collision probability, together with the DAS user documentation that defines the underlying computation</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observations are the reported first-order and total-effect sensitivity pairs for the DAS and ORDEM outcomes. Each pair is entered as a row with its source recorded. The dataset is a faithful transcription of a public table rather than a reconstruction of the simulation that produced it</w:t>
      </w:r>
      <w:r>
        <w:t xml:space="preserve"> </w:t>
      </w:r>
      <w:hyperlink w:anchor="ref-6">
        <w:r>
          <w:rPr>
            <w:rStyle w:val="Hyperlink"/>
          </w:rPr>
          <w:t xml:space="preserve">[6]</w:t>
        </w:r>
      </w:hyperlink>
      <w:r>
        <w:t xml:space="preserve">.</w:t>
      </w:r>
    </w:p>
    <w:p>
      <w:pPr>
        <w:pStyle w:val="BodyText"/>
        <w:spacing w:line="480" w:lineRule="auto"/>
        <w:ind w:firstLine="720"/>
      </w:pPr>
      <w:r>
        <w:t xml:space="preserve">The dataset is small, and the methods chapter says so plainly.</w:t>
      </w:r>
    </w:p>
    <w:p>
      <w:pPr>
        <w:pStyle w:val="BodyText"/>
        <w:spacing w:line="480" w:lineRule="auto"/>
        <w:ind w:firstLine="720"/>
      </w:pPr>
      <w:r>
        <w:t xml:space="preserve">It reflects the size of the published sensitivity tables, not a sampling decision, and the analysis is designed around that reality rather than pretending to a larger sample</w:t>
      </w:r>
      <w:r>
        <w:t xml:space="preserve"> </w:t>
      </w:r>
      <w:hyperlink w:anchor="ref-23">
        <w:r>
          <w:rPr>
            <w:rStyle w:val="Hyperlink"/>
          </w:rPr>
          <w:t xml:space="preserve">[23]</w:t>
        </w:r>
      </w:hyperlink>
      <w:r>
        <w:t xml:space="preserve">. The Sobol framework that generated the reported indices is the same one formalized by Saltelli, Tarantola, and Chan, which is why the first-order and total-effect terms can be read as a coherent decomposition rather than as unrelated numbers</w:t>
      </w:r>
      <w:r>
        <w:t xml:space="preserve"> </w:t>
      </w:r>
      <w:hyperlink w:anchor="ref-1">
        <w:r>
          <w:rPr>
            <w:rStyle w:val="Hyperlink"/>
          </w:rPr>
          <w:t xml:space="preserve">[1]</w:t>
        </w:r>
      </w:hyperlink>
      <w:r>
        <w:t xml:space="preserve"> </w:t>
      </w:r>
      <w:hyperlink w:anchor="ref-23">
        <w:r>
          <w:rPr>
            <w:rStyle w:val="Hyperlink"/>
          </w:rPr>
          <w:t xml:space="preserve">[23]</w:t>
        </w:r>
      </w:hyperlink>
      <w:r>
        <w:t xml:space="preserve">.</w:t>
      </w:r>
    </w:p>
    <w:bookmarkEnd w:id="86"/>
    <w:bookmarkStart w:id="87" w:name="paper-1-estimator"/>
    <w:p>
      <w:pPr>
        <w:pStyle w:val="Heading2"/>
        <w:spacing w:line="480" w:lineRule="auto"/>
      </w:pPr>
      <w:r>
        <w:t xml:space="preserve">Paper 1 estimator</w:t>
      </w:r>
    </w:p>
    <w:p>
      <w:pPr>
        <w:pStyle w:val="FirstParagraph"/>
        <w:spacing w:line="480" w:lineRule="auto"/>
      </w:pPr>
      <w:r>
        <w:t xml:space="preserve">The Paper 1 estimator is ordinary least squares with heteroskedasticity-robust standard errors, regressing the reported total-effect sensitivity on the reported first-order sensitivity</w:t>
      </w:r>
      <w:r>
        <w:t xml:space="preserve"> </w:t>
      </w:r>
      <w:hyperlink w:anchor="ref-6">
        <w:r>
          <w:rPr>
            <w:rStyle w:val="Hyperlink"/>
          </w:rPr>
          <w:t xml:space="preserve">[6]</w:t>
        </w:r>
      </w:hyperlink>
      <w:r>
        <w:t xml:space="preserve"> </w:t>
      </w:r>
      <w:hyperlink w:anchor="ref-23">
        <w:r>
          <w:rPr>
            <w:rStyle w:val="Hyperlink"/>
          </w:rPr>
          <w:t xml:space="preserve">[23]</w:t>
        </w:r>
      </w:hyperlink>
      <w:r>
        <w:t xml:space="preserve">. The choice is deliberately conservative. Robust errors guard against the mild heteroskedasticity a small published table can carry. OLS keeps the specification transparent enough that a reviewer can reproduce it from the appendix workbook in one step</w:t>
      </w:r>
      <w:r>
        <w:t xml:space="preserve"> </w:t>
      </w:r>
      <w:hyperlink w:anchor="ref-23">
        <w:r>
          <w:rPr>
            <w:rStyle w:val="Hyperlink"/>
          </w:rPr>
          <w:t xml:space="preserve">[23]</w:t>
        </w:r>
      </w:hyperlink>
      <w:r>
        <w:t xml:space="preserve">. The estimator answers one narrow question and refuses the larger ones. It reports whether main-effect and total-effect sensitivity co-move across the reported outcomes; it does not recover the simulation dynamics behind those sensitivities, and it does not claim to</w:t>
      </w:r>
      <w:r>
        <w:t xml:space="preserve"> </w:t>
      </w:r>
      <w:hyperlink w:anchor="ref-1">
        <w:r>
          <w:rPr>
            <w:rStyle w:val="Hyperlink"/>
          </w:rPr>
          <w:t xml:space="preserve">[1]</w:t>
        </w:r>
      </w:hyperlink>
      <w:r>
        <w:t xml:space="preserve">. That restraint is what lets the result stand on the public table alone, and the collision-probability context supplied by the DAS documentation is what makes the co-movement operationally meaningful rather than a bare correlation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7"/>
    <w:bookmarkStart w:id="88" w:name="paper-2-data"/>
    <w:p>
      <w:pPr>
        <w:pStyle w:val="Heading2"/>
        <w:spacing w:line="480" w:lineRule="auto"/>
      </w:pPr>
      <w:r>
        <w:t xml:space="preserve">Paper 2 data</w:t>
      </w:r>
    </w:p>
    <w:p>
      <w:pPr>
        <w:pStyle w:val="FirstParagraph"/>
        <w:spacing w:line="480" w:lineRule="auto"/>
      </w:pPr>
      <w:r>
        <w:t xml:space="preserve">Paper 2 assembles matched-bin rows that pair an ORDEM-side estimate with a MASTER-side estimate for the same regime, drawing on the ESA environment reporting, the MASTER reference material, and the EISCAT-based validation comparison as anchors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9">
        <w:r>
          <w:rPr>
            <w:rStyle w:val="Hyperlink"/>
          </w:rPr>
          <w:t xml:space="preserve">[19]</w:t>
        </w:r>
      </w:hyperlink>
      <w:r>
        <w:t xml:space="preserve">. Each row records both estimates, the absolute divergence between them, and a decision-review flag derived under written construction rules, and each field names its source so the row can be traced back to public documentation</w:t>
      </w:r>
      <w:r>
        <w:t xml:space="preserve"> </w:t>
      </w:r>
      <w:hyperlink w:anchor="ref-4">
        <w:r>
          <w:rPr>
            <w:rStyle w:val="Hyperlink"/>
          </w:rPr>
          <w:t xml:space="preserve">[4]</w:t>
        </w:r>
      </w:hyperlink>
      <w:r>
        <w:t xml:space="preserve">.</w:t>
      </w:r>
    </w:p>
    <w:p>
      <w:pPr>
        <w:pStyle w:val="BodyText"/>
        <w:spacing w:line="480" w:lineRule="auto"/>
        <w:ind w:firstLine="720"/>
      </w:pPr>
      <w:r>
        <w:t xml:space="preserve">The construction rules are the heart of the dataset and are stated in full so that disagreement can be specific.</w:t>
      </w:r>
    </w:p>
    <w:p>
      <w:pPr>
        <w:pStyle w:val="BodyText"/>
        <w:spacing w:line="480" w:lineRule="auto"/>
        <w:ind w:firstLine="720"/>
      </w:pPr>
      <w:r>
        <w:t xml:space="preserve">A reviewer who objects to a row objects to a named rule applied to a named source, not to a hidden judgment</w:t>
      </w:r>
      <w:r>
        <w:t xml:space="preserve"> </w:t>
      </w:r>
      <w:hyperlink w:anchor="ref-5">
        <w:r>
          <w:rPr>
            <w:rStyle w:val="Hyperlink"/>
          </w:rPr>
          <w:t xml:space="preserve">[5]</w:t>
        </w:r>
      </w:hyperlink>
      <w:r>
        <w:t xml:space="preserve"> </w:t>
      </w:r>
      <w:hyperlink w:anchor="ref-19">
        <w:r>
          <w:rPr>
            <w:rStyle w:val="Hyperlink"/>
          </w:rPr>
          <w:t xml:space="preserve">[19]</w:t>
        </w:r>
      </w:hyperlink>
      <w:r>
        <w:t xml:space="preserve">. The rows are not a stand-in for restricted model runs, and the chapter is explicit that they are an auditable public-decision comparison instead, which is a narrower object but a defensible one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88"/>
    <w:bookmarkStart w:id="89" w:name="paper-2-estimator"/>
    <w:p>
      <w:pPr>
        <w:pStyle w:val="Heading2"/>
        <w:spacing w:line="480" w:lineRule="auto"/>
      </w:pPr>
      <w:r>
        <w:t xml:space="preserve">Paper 2 estimator</w:t>
      </w:r>
    </w:p>
    <w:p>
      <w:pPr>
        <w:pStyle w:val="FirstParagraph"/>
        <w:spacing w:line="480" w:lineRule="auto"/>
      </w:pPr>
      <w:r>
        <w:t xml:space="preserve">The Paper 2 estimator is a logistic regression of the decision-review flag on absolute ORDEM-MASTER divergence. It reports the coefficient, its standard error, and the associated p value</w:t>
      </w:r>
      <w:r>
        <w:t xml:space="preserve"> </w:t>
      </w:r>
      <w:hyperlink w:anchor="ref-20">
        <w:r>
          <w:rPr>
            <w:rStyle w:val="Hyperlink"/>
          </w:rPr>
          <w:t xml:space="preserve">[20]</w:t>
        </w:r>
      </w:hyperlink>
      <w:r>
        <w:t xml:space="preserve"> </w:t>
      </w:r>
      <w:hyperlink w:anchor="ref-23">
        <w:r>
          <w:rPr>
            <w:rStyle w:val="Hyperlink"/>
          </w:rPr>
          <w:t xml:space="preserve">[23]</w:t>
        </w:r>
      </w:hyperlink>
      <w:r>
        <w:t xml:space="preserve">. Logistic regression fits the binary structure of the flag, and the specification is kept deliberately spare so the association it reports cannot be an artifact of an elaborate model form</w:t>
      </w:r>
      <w:r>
        <w:t xml:space="preserve"> </w:t>
      </w:r>
      <w:hyperlink w:anchor="ref-23">
        <w:r>
          <w:rPr>
            <w:rStyle w:val="Hyperlink"/>
          </w:rPr>
          <w:t xml:space="preserve">[23]</w:t>
        </w:r>
      </w:hyperlink>
      <w:r>
        <w:t xml:space="preserve">. Interpretation is bounded to match the data. The estimator reports whether divergence and review-worthiness co-occur under the stated rules; it does not establish that either model is correct, and it does not compute a physical collision probability</w:t>
      </w:r>
      <w:r>
        <w:t xml:space="preserve"> </w:t>
      </w:r>
      <w:hyperlink w:anchor="ref-22">
        <w:r>
          <w:rPr>
            <w:rStyle w:val="Hyperlink"/>
          </w:rPr>
          <w:t xml:space="preserve">[22]</w:t>
        </w:r>
      </w:hyperlink>
      <w:r>
        <w:t xml:space="preserve">. The collision-computation literature supplies the operational meaning of a review flag, linking the statistical association to the maneuver and screening decisions that flag is meant to trigger, so the number stays tethered to practice rather than floating free</w:t>
      </w:r>
      <w:r>
        <w:t xml:space="preserve"> </w:t>
      </w:r>
      <w:hyperlink w:anchor="ref-1">
        <w:r>
          <w:rPr>
            <w:rStyle w:val="Hyperlink"/>
          </w:rPr>
          <w:t xml:space="preserve">[1]</w:t>
        </w:r>
      </w:hyperlink>
      <w:r>
        <w:t xml:space="preserve"> </w:t>
      </w:r>
      <w:hyperlink w:anchor="ref-20">
        <w:r>
          <w:rPr>
            <w:rStyle w:val="Hyperlink"/>
          </w:rPr>
          <w:t xml:space="preserve">[20]</w:t>
        </w:r>
      </w:hyperlink>
      <w:r>
        <w:t xml:space="preserve"> </w:t>
      </w:r>
      <w:hyperlink w:anchor="ref-22">
        <w:r>
          <w:rPr>
            <w:rStyle w:val="Hyperlink"/>
          </w:rPr>
          <w:t xml:space="preserve">[22]</w:t>
        </w:r>
      </w:hyperlink>
      <w:r>
        <w:t xml:space="preserve">.</w:t>
      </w:r>
    </w:p>
    <w:bookmarkEnd w:id="89"/>
    <w:bookmarkStart w:id="90" w:name="reproducibility-and-ethics"/>
    <w:p>
      <w:pPr>
        <w:pStyle w:val="Heading2"/>
        <w:spacing w:line="480" w:lineRule="auto"/>
      </w:pPr>
      <w:r>
        <w:t xml:space="preserve">Reproducibility and ethics</w:t>
      </w:r>
    </w:p>
    <w:p>
      <w:pPr>
        <w:pStyle w:val="FirstParagraph"/>
        <w:spacing w:line="480" w:lineRule="auto"/>
      </w:pPr>
      <w:r>
        <w:t xml:space="preserve">Reproducibility is treated as a first-order requirement rather than a courtesy. The workbooks travel with the dissertation, every derived row shows its source, and every formula is embedded so that a reader can recompute both results without access to anything proprietary</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standard the work holds itself to is the same one the measurement-and-modeling literature applies to debris models: an estimate is trustworthy in proportion to the evidence and validation a reviewer can see</w:t>
      </w:r>
      <w:r>
        <w:t xml:space="preserve"> </w:t>
      </w:r>
      <w:hyperlink w:anchor="ref-15">
        <w:r>
          <w:rPr>
            <w:rStyle w:val="Hyperlink"/>
          </w:rPr>
          <w:t xml:space="preserve">[15]</w:t>
        </w:r>
      </w:hyperlink>
      <w:r>
        <w:t xml:space="preserve">.</w:t>
      </w:r>
    </w:p>
    <w:p>
      <w:pPr>
        <w:pStyle w:val="BodyText"/>
        <w:spacing w:line="480" w:lineRule="auto"/>
        <w:ind w:firstLine="720"/>
      </w:pPr>
      <w:r>
        <w:t xml:space="preserve">The ethical posture follows from the data choice.</w:t>
      </w:r>
    </w:p>
    <w:p>
      <w:pPr>
        <w:pStyle w:val="BodyText"/>
        <w:spacing w:line="480" w:lineRule="auto"/>
        <w:ind w:firstLine="720"/>
      </w:pPr>
      <w:r>
        <w:t xml:space="preserve">Because the study uses only public documentation and published tables, it takes no position that depends on restricted information and makes no claim about a model that the model’s own developers could not check against their records</w:t>
      </w:r>
      <w:r>
        <w:t xml:space="preserve"> </w:t>
      </w:r>
      <w:hyperlink w:anchor="ref-3">
        <w:r>
          <w:rPr>
            <w:rStyle w:val="Hyperlink"/>
          </w:rPr>
          <w:t xml:space="preserve">[3]</w:t>
        </w:r>
      </w:hyperlink>
      <w:r>
        <w:t xml:space="preserve">. The verification and validation literature is the reference point here, and the dissertation aligns its claims to what that public record can bear rather than to what would be convenient to assert</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End w:id="90"/>
    <w:bookmarkStart w:id="91" w:name="chapter-synthesis-3"/>
    <w:p>
      <w:pPr>
        <w:pStyle w:val="Heading2"/>
        <w:spacing w:line="480" w:lineRule="auto"/>
      </w:pPr>
      <w:r>
        <w:t xml:space="preserve">Chapter synthesis</w:t>
      </w:r>
    </w:p>
    <w:p>
      <w:pPr>
        <w:pStyle w:val="FirstParagraph"/>
        <w:spacing w:line="480" w:lineRule="auto"/>
      </w:pPr>
      <w:r>
        <w:t xml:space="preserve">This chapter has set out a public-data design that trades reach for reproducibility on purpose. Paper 1 transcribes published sensitivity pairs and tests their co-movement with OLS; Paper 2 builds matched-bin divergence rows under stated rules and tests their link to review-worthiness with logistic regression. Both keep the unit of evidence public, both carry their sources into the workbook, and both refuse claims the record cannot support. The next chapter reports what the two estimators actually find and reads the two results as one argument about decision fragility</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91"/>
    <w:bookmarkEnd w:id="92"/>
    <w:bookmarkStart w:id="100" w:name="X59e99ff0c1b0ad68566dcd201c95398552e0240"/>
    <w:p>
      <w:pPr>
        <w:pStyle w:val="Heading1"/>
        <w:spacing w:line="480" w:lineRule="auto"/>
      </w:pPr>
      <w:r>
        <w:t xml:space="preserve">Chapter 5. Empirical Findings: Sensitivity Structure and Decision-Review Probability</w:t>
      </w:r>
    </w:p>
    <w:p>
      <w:pPr>
        <w:pStyle w:val="FirstParagraph"/>
        <w:spacing w:line="480" w:lineRule="auto"/>
      </w:pPr>
      <w:r>
        <w:t xml:space="preserve">The findings chapter reads the two papers together. Paper 1 shows that published first-order sensitivity is strongly associated with total-effect sensitivity in the DAS and ORDEM sensitivity tables. The estimated coefficient is about 0.0149, the p value is below 0.001, and the fit is high for a small published-table dataset. That result is not surprising, but it is useful. It says that operational governance can often begin with the variables already identified as important by sensitivity analysis, especially semimajor axis and area-to-mass effects in the reported outputs</w:t>
      </w:r>
      <w:r>
        <w:t xml:space="preserve"> </w:t>
      </w:r>
      <w:hyperlink w:anchor="ref-6">
        <w:r>
          <w:rPr>
            <w:rStyle w:val="Hyperlink"/>
          </w:rPr>
          <w:t xml:space="preserve">[6]</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Paper 2 shows a different pattern. In the matched-bin public-evidence dataset, larger absolute ORDEM-MASTER divergence predicts a higher probability that a decision-review flag is activated. The estimated logit coefficient is about 0.047, with a p value near 0.001. This does not prove that one model is right. It shows that divergence can be operationally material under transparent construction rules. The practical finding is that model comparison is not a luxury analysis. It is a screening mechanism for decisions that deserve review</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9">
        <w:r>
          <w:rPr>
            <w:rStyle w:val="Hyperlink"/>
          </w:rPr>
          <w:t xml:space="preserve">[19]</w:t>
        </w:r>
      </w:hyperlink>
      <w:r>
        <w:t xml:space="preserve">.</w:t>
      </w:r>
    </w:p>
    <w:bookmarkStart w:id="93" w:name="paper-1-result"/>
    <w:p>
      <w:pPr>
        <w:pStyle w:val="Heading2"/>
        <w:spacing w:line="480" w:lineRule="auto"/>
      </w:pPr>
      <w:r>
        <w:t xml:space="preserve">Paper 1 result</w:t>
      </w:r>
    </w:p>
    <w:p>
      <w:pPr>
        <w:pStyle w:val="FirstParagraph"/>
        <w:spacing w:line="480" w:lineRule="auto"/>
      </w:pPr>
      <w:r>
        <w:t xml:space="preserve">The Paper 1 regression returns a positive, tightly estimated relationship between the reported first-order and total-effect sensitivities, with the coefficient near 0.0149 and the p value below 0.001</w:t>
      </w:r>
      <w:r>
        <w:t xml:space="preserve"> </w:t>
      </w:r>
      <w:hyperlink w:anchor="ref-6">
        <w:r>
          <w:rPr>
            <w:rStyle w:val="Hyperlink"/>
          </w:rPr>
          <w:t xml:space="preserve">[6]</w:t>
        </w:r>
      </w:hyperlink>
      <w:r>
        <w:t xml:space="preserve"> </w:t>
      </w:r>
      <w:hyperlink w:anchor="ref-23">
        <w:r>
          <w:rPr>
            <w:rStyle w:val="Hyperlink"/>
          </w:rPr>
          <w:t xml:space="preserve">[23]</w:t>
        </w:r>
      </w:hyperlink>
      <w:r>
        <w:t xml:space="preserve">. For a dataset the size of a published sensitivity table, the fit is high, and the robust standard errors leave the sign and significance intact rather than resting on a fragile specification</w:t>
      </w:r>
      <w:r>
        <w:t xml:space="preserve"> </w:t>
      </w:r>
      <w:hyperlink w:anchor="ref-23">
        <w:r>
          <w:rPr>
            <w:rStyle w:val="Hyperlink"/>
          </w:rPr>
          <w:t xml:space="preserve">[23]</w:t>
        </w:r>
      </w:hyperlink>
      <w:r>
        <w:t xml:space="preserve">. The number itself is modest because the sensitivities sit on a compressed scale. What matters is that main-effect and total-effect terms move together reliably</w:t>
      </w:r>
      <w:r>
        <w:t xml:space="preserve"> </w:t>
      </w:r>
      <w:hyperlink w:anchor="ref-6">
        <w:r>
          <w:rPr>
            <w:rStyle w:val="Hyperlink"/>
          </w:rPr>
          <w:t xml:space="preserve">[6]</w:t>
        </w:r>
      </w:hyperlink>
      <w:r>
        <w:t xml:space="preserve">. The result confirms H1 in the form it was posed. Within the DAS and ORDEM tables, interaction effects do not swamp main effects, so the variables an analysis flags first are also the ones that dominate the total variance</w:t>
      </w:r>
      <w:r>
        <w:t xml:space="preserve"> </w:t>
      </w:r>
      <w:hyperlink w:anchor="ref-23">
        <w:r>
          <w:rPr>
            <w:rStyle w:val="Hyperlink"/>
          </w:rPr>
          <w:t xml:space="preserve">[23]</w:t>
        </w:r>
      </w:hyperlink>
      <w:r>
        <w:t xml:space="preserve">. That co-movement is what makes the reported sensitivities a usable starting point for governance rather than a partial picture that would mislead an operator who read only the first-order ranking</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3"/>
    <w:bookmarkStart w:id="94" w:name="operational-meaning-of-sensitivity"/>
    <w:p>
      <w:pPr>
        <w:pStyle w:val="Heading2"/>
        <w:spacing w:line="480" w:lineRule="auto"/>
      </w:pPr>
      <w:r>
        <w:t xml:space="preserve">Operational meaning of sensitivity</w:t>
      </w:r>
    </w:p>
    <w:p>
      <w:pPr>
        <w:pStyle w:val="FirstParagraph"/>
        <w:spacing w:line="480" w:lineRule="auto"/>
      </w:pPr>
      <w:r>
        <w:t xml:space="preserve">A statistical co-movement earns its place only when it maps onto something an operator can act on. Here it does. The variables carrying the weight in the reported outputs, semimajor axis and area-to-mass ratio prominent among them, are precisely the inputs a mission design or disposal analysis can adjust</w:t>
      </w:r>
      <w:r>
        <w:t xml:space="preserve"> </w:t>
      </w:r>
      <w:hyperlink w:anchor="ref-6">
        <w:r>
          <w:rPr>
            <w:rStyle w:val="Hyperlink"/>
          </w:rPr>
          <w:t xml:space="preserve">[6]</w:t>
        </w:r>
      </w:hyperlink>
      <w:r>
        <w:t xml:space="preserve"> </w:t>
      </w:r>
      <w:hyperlink w:anchor="ref-8">
        <w:r>
          <w:rPr>
            <w:rStyle w:val="Hyperlink"/>
          </w:rPr>
          <w:t xml:space="preserve">[8]</w:t>
        </w:r>
      </w:hyperlink>
      <w:r>
        <w:t xml:space="preserve">. When the total-effect sensitivity loads onto controllable inputs, a small model-driven shift in those inputs can move a lifetime or collision-probability estimate across a decision line</w:t>
      </w:r>
      <w:r>
        <w:t xml:space="preserve"> </w:t>
      </w:r>
      <w:hyperlink w:anchor="ref-8">
        <w:r>
          <w:rPr>
            <w:rStyle w:val="Hyperlink"/>
          </w:rPr>
          <w:t xml:space="preserve">[8]</w:t>
        </w:r>
      </w:hyperlink>
      <w:r>
        <w:t xml:space="preserve">.</w:t>
      </w:r>
    </w:p>
    <w:p>
      <w:pPr>
        <w:pStyle w:val="BodyText"/>
        <w:spacing w:line="480" w:lineRule="auto"/>
        <w:ind w:firstLine="720"/>
      </w:pPr>
      <w:r>
        <w:t xml:space="preserve">This is where Paper 1 connects back to the governance argument.</w:t>
      </w:r>
    </w:p>
    <w:p>
      <w:pPr>
        <w:pStyle w:val="BodyText"/>
        <w:spacing w:line="480" w:lineRule="auto"/>
        <w:ind w:firstLine="720"/>
      </w:pPr>
      <w:r>
        <w:t xml:space="preserve">An operator who knows that the reported sensitivities concentrate on controllable variables also knows where a divergence between models would do the most damage</w:t>
      </w:r>
      <w:r>
        <w:t xml:space="preserve"> </w:t>
      </w:r>
      <w:hyperlink w:anchor="ref-4">
        <w:r>
          <w:rPr>
            <w:rStyle w:val="Hyperlink"/>
          </w:rPr>
          <w:t xml:space="preserve">[4]</w:t>
        </w:r>
      </w:hyperlink>
      <w:r>
        <w:t xml:space="preserve">. The sensitivity result therefore does double duty: it tells teams where to focus attention inside a single model, and it locates the inputs at which a second model’s disagreement would matter most, which is the seam Paper 2 goes on to test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94"/>
    <w:bookmarkStart w:id="95" w:name="paper-2-result"/>
    <w:p>
      <w:pPr>
        <w:pStyle w:val="Heading2"/>
        <w:spacing w:line="480" w:lineRule="auto"/>
      </w:pPr>
      <w:r>
        <w:t xml:space="preserve">Paper 2 result</w:t>
      </w:r>
    </w:p>
    <w:p>
      <w:pPr>
        <w:pStyle w:val="FirstParagraph"/>
        <w:spacing w:line="480" w:lineRule="auto"/>
      </w:pPr>
      <w:r>
        <w:t xml:space="preserve">The Paper 2 logistic regression returns a positive coefficient of about 0.047 on absolute ORDEM-MASTER divergence, with a p value near 0.001, meaning wider divergence in a matched bin is associated with a higher probability that the decision earns a review flag</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estimate is stable under the stated construction rules. Its significance does not hang on a handful of extreme rows</w:t>
      </w:r>
      <w:r>
        <w:t xml:space="preserve"> </w:t>
      </w:r>
      <w:hyperlink w:anchor="ref-19">
        <w:r>
          <w:rPr>
            <w:rStyle w:val="Hyperlink"/>
          </w:rPr>
          <w:t xml:space="preserve">[19]</w:t>
        </w:r>
      </w:hyperlink>
      <w:r>
        <w:t xml:space="preserve">. Within the public-evidence dataset, divergence and review-worthiness travel together. The interpretation is carefully bounded. The coefficient says nothing about which model is closer to an unobservable truth; it says that where the two credible lineages disagree more, the associated decision is more likely to be one a reviewer would want to see</w:t>
      </w:r>
      <w:r>
        <w:t xml:space="preserve"> </w:t>
      </w:r>
      <w:hyperlink w:anchor="ref-4">
        <w:r>
          <w:rPr>
            <w:rStyle w:val="Hyperlink"/>
          </w:rPr>
          <w:t xml:space="preserve">[4]</w:t>
        </w:r>
      </w:hyperlink>
      <w:r>
        <w:t xml:space="preserve">. That is exactly the claim H2 was built to test, and its confirmation turns model comparison from an academic exercise into an operational screen that runs on evidence already in the public record</w:t>
      </w:r>
      <w:r>
        <w:t xml:space="preserve"> </w:t>
      </w:r>
      <w:hyperlink w:anchor="ref-5">
        <w:r>
          <w:rPr>
            <w:rStyle w:val="Hyperlink"/>
          </w:rPr>
          <w:t xml:space="preserve">[5]</w:t>
        </w:r>
      </w:hyperlink>
      <w:r>
        <w:t xml:space="preserve"> </w:t>
      </w:r>
      <w:hyperlink w:anchor="ref-19">
        <w:r>
          <w:rPr>
            <w:rStyle w:val="Hyperlink"/>
          </w:rPr>
          <w:t xml:space="preserve">[19]</w:t>
        </w:r>
      </w:hyperlink>
      <w:r>
        <w:t xml:space="preserve">.</w:t>
      </w:r>
    </w:p>
    <w:bookmarkEnd w:id="95"/>
    <w:bookmarkStart w:id="96" w:name="cross-paper-synthesis"/>
    <w:p>
      <w:pPr>
        <w:pStyle w:val="Heading2"/>
        <w:spacing w:line="480" w:lineRule="auto"/>
      </w:pPr>
      <w:r>
        <w:t xml:space="preserve">Cross-paper synthesis</w:t>
      </w:r>
    </w:p>
    <w:p>
      <w:pPr>
        <w:pStyle w:val="FirstParagraph"/>
        <w:spacing w:line="480" w:lineRule="auto"/>
      </w:pPr>
      <w:r>
        <w:t xml:space="preserve">Read side by side, the two results describe a single mechanism from two angles. Paper 1 establishes that sensitivity concentrates on controllable, identifiable inputs; Paper 2 establishes that disagreement between models over the relevant regime tracks the decisions worth reviewing</w:t>
      </w:r>
      <w:r>
        <w:t xml:space="preserve"> </w:t>
      </w:r>
      <w:hyperlink w:anchor="ref-6">
        <w:r>
          <w:rPr>
            <w:rStyle w:val="Hyperlink"/>
          </w:rPr>
          <w:t xml:space="preserve">[6]</w:t>
        </w:r>
      </w:hyperlink>
      <w:r>
        <w:t xml:space="preserve"> </w:t>
      </w:r>
      <w:hyperlink w:anchor="ref-4">
        <w:r>
          <w:rPr>
            <w:rStyle w:val="Hyperlink"/>
          </w:rPr>
          <w:t xml:space="preserve">[4]</w:t>
        </w:r>
      </w:hyperlink>
      <w:r>
        <w:t xml:space="preserve">. The first says where an estimate is fragile inside one model, the second says when the choice of model is itself the fragility, and the governance value comes from holding both together</w:t>
      </w:r>
      <w:r>
        <w:t xml:space="preserve"> </w:t>
      </w:r>
      <w:hyperlink w:anchor="ref-10">
        <w:r>
          <w:rPr>
            <w:rStyle w:val="Hyperlink"/>
          </w:rPr>
          <w:t xml:space="preserve">[10]</w:t>
        </w:r>
      </w:hyperlink>
      <w:r>
        <w:t xml:space="preserve">.</w:t>
      </w:r>
    </w:p>
    <w:p>
      <w:pPr>
        <w:pStyle w:val="BodyText"/>
        <w:spacing w:line="480" w:lineRule="auto"/>
        <w:ind w:firstLine="720"/>
      </w:pPr>
      <w:r>
        <w:t xml:space="preserve">The synthesis is what supports the dissertation’s central claim without overreaching. Neither result alone would carry it. A sensitivity co-movement without an operational link would be a technical footnote, and a divergence-review association without a sensitivity anchor would be a correlation in search of a mechanism</w:t>
      </w:r>
      <w:r>
        <w:t xml:space="preserve"> </w:t>
      </w:r>
      <w:hyperlink w:anchor="ref-23">
        <w:r>
          <w:rPr>
            <w:rStyle w:val="Hyperlink"/>
          </w:rPr>
          <w:t xml:space="preserve">[23]</w:t>
        </w:r>
      </w:hyperlink>
      <w:r>
        <w:t xml:space="preserve">. Together they show that public evidence can identify both the fragile inputs and the fragile decisions, which is the entire content of a model-dependence screen</w:t>
      </w:r>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bookmarkEnd w:id="96"/>
    <w:bookmarkStart w:id="97" w:name="what-the-findings-do-not-say"/>
    <w:p>
      <w:pPr>
        <w:pStyle w:val="Heading2"/>
        <w:spacing w:line="480" w:lineRule="auto"/>
      </w:pPr>
      <w:r>
        <w:t xml:space="preserve">What the findings do not say</w:t>
      </w:r>
    </w:p>
    <w:p>
      <w:pPr>
        <w:pStyle w:val="FirstParagraph"/>
        <w:spacing w:line="480" w:lineRule="auto"/>
      </w:pPr>
      <w:r>
        <w:t xml:space="preserve">The chapter is as careful about the negative space as the positive. The results do not rank ORDEM above MASTER or the reverse, because nothing in the public data measures either model against ground truth</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They do not recover the internal dynamics of the simulations that produced the sensitivities, and they do not estimate a universal debris flux</w:t>
      </w:r>
      <w:r>
        <w:t xml:space="preserve"> </w:t>
      </w:r>
      <w:hyperlink w:anchor="ref-3">
        <w:r>
          <w:rPr>
            <w:rStyle w:val="Hyperlink"/>
          </w:rPr>
          <w:t xml:space="preserve">[3]</w:t>
        </w:r>
      </w:hyperlink>
      <w:r>
        <w:t xml:space="preserve">.</w:t>
      </w:r>
    </w:p>
    <w:p>
      <w:pPr>
        <w:pStyle w:val="BodyText"/>
        <w:spacing w:line="480" w:lineRule="auto"/>
        <w:ind w:firstLine="720"/>
      </w:pPr>
      <w:r>
        <w:t xml:space="preserve">Two further limits deserve stating outright.</w:t>
      </w:r>
    </w:p>
    <w:p>
      <w:pPr>
        <w:pStyle w:val="BodyText"/>
        <w:spacing w:line="480" w:lineRule="auto"/>
        <w:ind w:firstLine="720"/>
      </w:pPr>
      <w:r>
        <w:t xml:space="preserve">The datasets are small and version-specific, so the coefficients describe the documented releases rather than a permanent property of either model, and a revision to ORDEM or MASTER would call for a fresh comparison</w:t>
      </w:r>
      <w:r>
        <w:t xml:space="preserve"> </w:t>
      </w:r>
      <w:hyperlink w:anchor="ref-2">
        <w:r>
          <w:rPr>
            <w:rStyle w:val="Hyperlink"/>
          </w:rPr>
          <w:t xml:space="preserve">[2]</w:t>
        </w:r>
      </w:hyperlink>
      <w:r>
        <w:t xml:space="preserve"> </w:t>
      </w:r>
      <w:hyperlink w:anchor="ref-3">
        <w:r>
          <w:rPr>
            <w:rStyle w:val="Hyperlink"/>
          </w:rPr>
          <w:t xml:space="preserve">[3]</w:t>
        </w:r>
      </w:hyperlink>
      <w:r>
        <w:t xml:space="preserve">. And the matched-bin flag is a construction under written rules, not an external ground truth, so the Paper 2 result is a statement about association under those rules and inherits whatever a reviewer accepts about them</w:t>
      </w:r>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bookmarkEnd w:id="97"/>
    <w:bookmarkStart w:id="98" w:name="finding-to-practice"/>
    <w:p>
      <w:pPr>
        <w:pStyle w:val="Heading2"/>
        <w:spacing w:line="480" w:lineRule="auto"/>
      </w:pPr>
      <w:r>
        <w:t xml:space="preserve">Finding to practice</w:t>
      </w:r>
    </w:p>
    <w:p>
      <w:pPr>
        <w:pStyle w:val="FirstParagraph"/>
        <w:spacing w:line="480" w:lineRule="auto"/>
      </w:pPr>
      <w:r>
        <w:t xml:space="preserve">Turned toward practice, the two results yield a concrete screening step rather than a slogan. An operator identifies the regime and the controllable inputs the sensitivity analysis flags, checks whether a second credible model diverges materially in that regime, and treats a material divergence near a threshold as a trigger for a model-dependence note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step is cheap because both ingredients, the reported sensitivities and the public model estimates, already exist</w:t>
      </w:r>
      <w:r>
        <w:t xml:space="preserve"> </w:t>
      </w:r>
      <w:hyperlink w:anchor="ref-4">
        <w:r>
          <w:rPr>
            <w:rStyle w:val="Hyperlink"/>
          </w:rPr>
          <w:t xml:space="preserve">[4]</w:t>
        </w:r>
      </w:hyperlink>
      <w:r>
        <w:t xml:space="preserve">. The practice fits inside existing operational habits rather than displacing them. Debris-mitigation disclosure and collision-avoidance planning already ask operators to justify decisions and to compute conjunction risk, so the screen adds a comparison to workflows that are used to comparisons</w:t>
      </w:r>
      <w:r>
        <w:t xml:space="preserve"> </w:t>
      </w:r>
      <w:hyperlink w:anchor="ref-9">
        <w:r>
          <w:rPr>
            <w:rStyle w:val="Hyperlink"/>
          </w:rPr>
          <w:t xml:space="preserve">[9]</w:t>
        </w:r>
      </w:hyperlink>
      <w:r>
        <w:t xml:space="preserve"> </w:t>
      </w:r>
      <w:hyperlink w:anchor="ref-22">
        <w:r>
          <w:rPr>
            <w:rStyle w:val="Hyperlink"/>
          </w:rPr>
          <w:t xml:space="preserve">[22]</w:t>
        </w:r>
      </w:hyperlink>
      <w:r>
        <w:t xml:space="preserve">. What it changes is not the burden but the visibility: a decision that turns on the choice of model now says so on the record instead of hiding the dependence in an attachment</w:t>
      </w:r>
      <w:r>
        <w:t xml:space="preserve"> </w:t>
      </w:r>
      <w:hyperlink w:anchor="ref-10">
        <w:r>
          <w:rPr>
            <w:rStyle w:val="Hyperlink"/>
          </w:rPr>
          <w:t xml:space="preserve">[10]</w:t>
        </w:r>
      </w:hyperlink>
      <w:r>
        <w:t xml:space="preserve"> </w:t>
      </w:r>
      <w:hyperlink w:anchor="ref-22">
        <w:r>
          <w:rPr>
            <w:rStyle w:val="Hyperlink"/>
          </w:rPr>
          <w:t xml:space="preserve">[22]</w:t>
        </w:r>
      </w:hyperlink>
      <w:r>
        <w:t xml:space="preserve">.</w:t>
      </w:r>
    </w:p>
    <w:bookmarkEnd w:id="98"/>
    <w:bookmarkStart w:id="99" w:name="chapter-synthesis-4"/>
    <w:p>
      <w:pPr>
        <w:pStyle w:val="Heading2"/>
        <w:spacing w:line="480" w:lineRule="auto"/>
      </w:pPr>
      <w:r>
        <w:t xml:space="preserve">Chapter synthesis</w:t>
      </w:r>
    </w:p>
    <w:p>
      <w:pPr>
        <w:pStyle w:val="FirstParagraph"/>
        <w:spacing w:line="480" w:lineRule="auto"/>
      </w:pPr>
      <w:r>
        <w:t xml:space="preserve">This chapter has reported both results and read them as one argument. Paper 1 shows that reported first-order and total-effect sensitivities co-move, with a coefficient near 0.0149 and a p value below 0.001, so governance can start from the variables an analysis already flags. Paper 2 shows that larger ORDEM-MASTER divergence predicts a review flag, with a coefficient near 0.047 and a p value near 0.001, so model comparison functions as a screen. The findings identify fragile inputs and fragile decisions from public evidence alone, and they stop short of ranking the models, which is precisely the discipline the next chapter stress-tests</w:t>
      </w:r>
      <w:r>
        <w:t xml:space="preserve"> </w:t>
      </w:r>
      <w:hyperlink w:anchor="ref-10">
        <w:r>
          <w:rPr>
            <w:rStyle w:val="Hyperlink"/>
          </w:rPr>
          <w:t xml:space="preserve">[10]</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99"/>
    <w:bookmarkEnd w:id="100"/>
    <w:bookmarkStart w:id="108" w:name="X8c5aa1d8b23b9bdebe058beb4c5bb87dbe105c4"/>
    <w:p>
      <w:pPr>
        <w:pStyle w:val="Heading1"/>
        <w:spacing w:line="480" w:lineRule="auto"/>
      </w:pPr>
      <w:r>
        <w:t xml:space="preserve">Chapter 6. Robustness, Validity, and Limits of the Public-Decision Comparison</w:t>
      </w:r>
    </w:p>
    <w:p>
      <w:pPr>
        <w:pStyle w:val="FirstParagraph"/>
        <w:spacing w:line="480" w:lineRule="auto"/>
      </w:pPr>
      <w:r>
        <w:t xml:space="preserve">The robustness chapter asks what would have to be true for the dissertation’s conclusions to fail. One possibility is that the published sensitivity tables are too aggregated to support any inference at all. The answer is that Paper 1 makes a deliberately narrow claim: within the published table, first-order and total-effect sensitivities move together, and that co-movement helps identify governance-relevant inputs. It never claims to recover the raw simulation dynamics. A second possibility is that the matched-bin rows in Paper 2 are artifacts of how they were built. The answer is much the same. The rows are not a substitute for restricted model runs; they are an auditable public-decision comparison, and their construction rules are written down for exactly this challenge</w:t>
      </w:r>
      <w:r>
        <w:t xml:space="preserve"> </w:t>
      </w:r>
      <w:hyperlink w:anchor="ref-6">
        <w:r>
          <w:rPr>
            <w:rStyle w:val="Hyperlink"/>
          </w:rPr>
          <w:t xml:space="preserve">[6]</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The chapter also treats validity as a governance question rather than a purely statistical one. In an operational setting an analysis can be imperfect and still valuable, provided it reveals a decision that is fragile to the choice of model. The contribution here is not a universal debris flux estimate. It is a repeatable way to ask whether public evidence already signals that a decision should be checked against a second credible model, reviewed by a safety board, or documented with more care. That logic survives disagreement over any single row, because the binding requirement is transparency rather than perfection</w:t>
      </w:r>
      <w:r>
        <w:t xml:space="preserve"> </w:t>
      </w:r>
      <w:hyperlink w:anchor="ref-3">
        <w:r>
          <w:rPr>
            <w:rStyle w:val="Hyperlink"/>
          </w:rPr>
          <w:t xml:space="preserve">[3]</w:t>
        </w:r>
      </w:hyperlink>
      <w:r>
        <w:t xml:space="preserve"> </w:t>
      </w:r>
      <w:hyperlink w:anchor="ref-10">
        <w:r>
          <w:rPr>
            <w:rStyle w:val="Hyperlink"/>
          </w:rPr>
          <w:t xml:space="preserve">[10]</w:t>
        </w:r>
      </w:hyperlink>
      <w:r>
        <w:t xml:space="preserve"> </w:t>
      </w:r>
      <w:hyperlink w:anchor="ref-19">
        <w:r>
          <w:rPr>
            <w:rStyle w:val="Hyperlink"/>
          </w:rPr>
          <w:t xml:space="preserve">[19]</w:t>
        </w:r>
      </w:hyperlink>
      <w:r>
        <w:t xml:space="preserve">.</w:t>
      </w:r>
    </w:p>
    <w:bookmarkStart w:id="101" w:name="internal-validity"/>
    <w:p>
      <w:pPr>
        <w:pStyle w:val="Heading2"/>
        <w:spacing w:line="480" w:lineRule="auto"/>
      </w:pPr>
      <w:r>
        <w:t xml:space="preserve">Internal validity</w:t>
      </w:r>
    </w:p>
    <w:p>
      <w:pPr>
        <w:pStyle w:val="FirstParagraph"/>
        <w:spacing w:line="480" w:lineRule="auto"/>
      </w:pPr>
      <w:r>
        <w:t xml:space="preserve">Internal validity turns on whether the estimated relationships hold up inside their own datasets. Both papers are specified to make that question answerable. In Paper 1 the concern is that a few rows could drive the sensitivity co-movement, and the robust standard errors together with the small, fully listed table let a reviewer see that the relationship does not hinge on any single pair</w:t>
      </w:r>
      <w:r>
        <w:t xml:space="preserve"> </w:t>
      </w:r>
      <w:hyperlink w:anchor="ref-6">
        <w:r>
          <w:rPr>
            <w:rStyle w:val="Hyperlink"/>
          </w:rPr>
          <w:t xml:space="preserve">[6]</w:t>
        </w:r>
      </w:hyperlink>
      <w:r>
        <w:t xml:space="preserve"> </w:t>
      </w:r>
      <w:hyperlink w:anchor="ref-23">
        <w:r>
          <w:rPr>
            <w:rStyle w:val="Hyperlink"/>
          </w:rPr>
          <w:t xml:space="preserve">[23]</w:t>
        </w:r>
      </w:hyperlink>
      <w:r>
        <w:t xml:space="preserve">. Nothing is hidden in a large sample; the entire dataset fits on a page and can be re-estimated directly. Paper 2 faces the parallel concern that the divergence-review association could be an accident of a handful of extreme bins. The specification is kept spare so the logistic coefficient cannot borrow significance from an elaborate model form, and the rows are enumerated so their leverage is visible</w:t>
      </w:r>
      <w:r>
        <w:t xml:space="preserve"> </w:t>
      </w:r>
      <w:hyperlink w:anchor="ref-2">
        <w:r>
          <w:rPr>
            <w:rStyle w:val="Hyperlink"/>
          </w:rPr>
          <w:t xml:space="preserve">[2]</w:t>
        </w:r>
      </w:hyperlink>
      <w:r>
        <w:t xml:space="preserve"> </w:t>
      </w:r>
      <w:hyperlink w:anchor="ref-23">
        <w:r>
          <w:rPr>
            <w:rStyle w:val="Hyperlink"/>
          </w:rPr>
          <w:t xml:space="preserve">[23]</w:t>
        </w:r>
      </w:hyperlink>
      <w:r>
        <w:t xml:space="preserve">. Internal validity here is not asserted; it is exposed. A reader who doubts a result can rebuild it from the workbook and watch it stand or fall on its own rows</w:t>
      </w:r>
      <w:r>
        <w:t xml:space="preserve"> </w:t>
      </w:r>
      <w:hyperlink w:anchor="ref-3">
        <w:r>
          <w:rPr>
            <w:rStyle w:val="Hyperlink"/>
          </w:rPr>
          <w:t xml:space="preserve">[3]</w:t>
        </w:r>
      </w:hyperlink>
      <w:r>
        <w:t xml:space="preserve">.</w:t>
      </w:r>
    </w:p>
    <w:bookmarkEnd w:id="101"/>
    <w:bookmarkStart w:id="102" w:name="construct-validity"/>
    <w:p>
      <w:pPr>
        <w:pStyle w:val="Heading2"/>
        <w:spacing w:line="480" w:lineRule="auto"/>
      </w:pPr>
      <w:r>
        <w:t xml:space="preserve">Construct validity</w:t>
      </w:r>
    </w:p>
    <w:p>
      <w:pPr>
        <w:pStyle w:val="FirstParagraph"/>
        <w:spacing w:line="480" w:lineRule="auto"/>
      </w:pPr>
      <w:r>
        <w:t xml:space="preserve">Construct validity poses a hard question. Do the measured quantities actually capture what the theory means by divergence and review-worthiness? Absolute ORDEM-MASTER divergence is a defensible operationalization of the theoretical construct because it is exactly the difference the theory calls latent: two credible models, one bin, two answers</w:t>
      </w:r>
      <w:r>
        <w:t xml:space="preserve"> </w:t>
      </w:r>
      <w:hyperlink w:anchor="ref-2">
        <w:r>
          <w:rPr>
            <w:rStyle w:val="Hyperlink"/>
          </w:rPr>
          <w:t xml:space="preserve">[2]</w:t>
        </w:r>
      </w:hyperlink>
      <w:r>
        <w:t xml:space="preserve"> </w:t>
      </w:r>
      <w:hyperlink w:anchor="ref-10">
        <w:r>
          <w:rPr>
            <w:rStyle w:val="Hyperlink"/>
          </w:rPr>
          <w:t xml:space="preserve">[10]</w:t>
        </w:r>
      </w:hyperlink>
      <w:r>
        <w:t xml:space="preserve">. The risk is that the decision-review flag stands in for operational consequence imperfectly, and the chapter concedes the flag is a constructed proxy rather than an observed board decision</w:t>
      </w:r>
      <w:r>
        <w:t xml:space="preserve"> </w:t>
      </w:r>
      <w:hyperlink w:anchor="ref-20">
        <w:r>
          <w:rPr>
            <w:rStyle w:val="Hyperlink"/>
          </w:rPr>
          <w:t xml:space="preserve">[20]</w:t>
        </w:r>
      </w:hyperlink>
      <w:r>
        <w:t xml:space="preserve">.</w:t>
      </w:r>
    </w:p>
    <w:p>
      <w:pPr>
        <w:pStyle w:val="BodyText"/>
        <w:spacing w:line="480" w:lineRule="auto"/>
        <w:ind w:firstLine="720"/>
      </w:pPr>
      <w:r>
        <w:t xml:space="preserve">The proxy is anchored to real operational practice to keep it honest.</w:t>
      </w:r>
    </w:p>
    <w:p>
      <w:pPr>
        <w:pStyle w:val="BodyText"/>
        <w:spacing w:line="480" w:lineRule="auto"/>
        <w:ind w:firstLine="720"/>
      </w:pPr>
      <w:r>
        <w:t xml:space="preserve">A review flag is meaningful only if it corresponds to the kinds of decisions that collision-avoidance planning and conjunction assessment actually escalate, and the flag’s construction rules are written to track that correspondence</w:t>
      </w:r>
      <w:r>
        <w:t xml:space="preserve"> </w:t>
      </w:r>
      <w:hyperlink w:anchor="ref-20">
        <w:r>
          <w:rPr>
            <w:rStyle w:val="Hyperlink"/>
          </w:rPr>
          <w:t xml:space="preserve">[20]</w:t>
        </w:r>
      </w:hyperlink>
      <w:r>
        <w:t xml:space="preserve"> </w:t>
      </w:r>
      <w:hyperlink w:anchor="ref-22">
        <w:r>
          <w:rPr>
            <w:rStyle w:val="Hyperlink"/>
          </w:rPr>
          <w:t xml:space="preserve">[22]</w:t>
        </w:r>
      </w:hyperlink>
      <w:r>
        <w:t xml:space="preserve">. Where the proxy and a real board would part company, the chapter treats the coefficient as a lower-confidence signal rather than a settled measurement, which keeps the construct claim inside what the evidence supports</w:t>
      </w:r>
      <w:r>
        <w:t xml:space="preserve"> </w:t>
      </w:r>
      <w:hyperlink w:anchor="ref-2">
        <w:r>
          <w:rPr>
            <w:rStyle w:val="Hyperlink"/>
          </w:rPr>
          <w:t xml:space="preserve">[2]</w:t>
        </w:r>
      </w:hyperlink>
      <w:r>
        <w:t xml:space="preserve"> </w:t>
      </w:r>
      <w:hyperlink w:anchor="ref-10">
        <w:r>
          <w:rPr>
            <w:rStyle w:val="Hyperlink"/>
          </w:rPr>
          <w:t xml:space="preserve">[10]</w:t>
        </w:r>
      </w:hyperlink>
      <w:r>
        <w:t xml:space="preserve">.</w:t>
      </w:r>
    </w:p>
    <w:bookmarkEnd w:id="102"/>
    <w:bookmarkStart w:id="103" w:name="external-validity"/>
    <w:p>
      <w:pPr>
        <w:pStyle w:val="Heading2"/>
        <w:spacing w:line="480" w:lineRule="auto"/>
      </w:pPr>
      <w:r>
        <w:t xml:space="preserve">External validity</w:t>
      </w:r>
    </w:p>
    <w:p>
      <w:pPr>
        <w:pStyle w:val="FirstParagraph"/>
        <w:spacing w:line="480" w:lineRule="auto"/>
      </w:pPr>
      <w:r>
        <w:t xml:space="preserve">External validity concerns reach. How far do the results travel beyond the specific tables and bins that produced them? The honest answer is that they generalize to regimes where both models report and where the public documentation is comparably rich, and no further</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dissertation does not claim that the exact coefficients recur in unstudied regimes; it claims that the method, comparing credible models over a shared bin to flag fragility, transfers even where the numbers do not</w:t>
      </w:r>
      <w:r>
        <w:t xml:space="preserve"> </w:t>
      </w:r>
      <w:hyperlink w:anchor="ref-4">
        <w:r>
          <w:rPr>
            <w:rStyle w:val="Hyperlink"/>
          </w:rPr>
          <w:t xml:space="preserve">[4]</w:t>
        </w:r>
      </w:hyperlink>
      <w:r>
        <w:t xml:space="preserve">. The ESA environment reporting and the model documentation set the outer edge of that transfer. Where the public record thins, particularly in the smallest size classes, the method still applies but the confidence attached to any single comparison drops, because the underlying estimates are themselves leaning harder on assumption</w:t>
      </w:r>
      <w:r>
        <w:t xml:space="preserve"> </w:t>
      </w:r>
      <w:hyperlink w:anchor="ref-1">
        <w:r>
          <w:rPr>
            <w:rStyle w:val="Hyperlink"/>
          </w:rPr>
          <w:t xml:space="preserve">[1]</w:t>
        </w:r>
      </w:hyperlink>
      <w:r>
        <w:t xml:space="preserve"> </w:t>
      </w:r>
      <w:hyperlink w:anchor="ref-19">
        <w:r>
          <w:rPr>
            <w:rStyle w:val="Hyperlink"/>
          </w:rPr>
          <w:t xml:space="preserve">[19]</w:t>
        </w:r>
      </w:hyperlink>
      <w:r>
        <w:t xml:space="preserve">. The chapter therefore presents external validity as a gradient rather than a yes-or-no property, strongest where public evidence is densest and weakest where it is sparse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03"/>
    <w:bookmarkStart w:id="104" w:name="measurement-validity"/>
    <w:p>
      <w:pPr>
        <w:pStyle w:val="Heading2"/>
        <w:spacing w:line="480" w:lineRule="auto"/>
      </w:pPr>
      <w:r>
        <w:t xml:space="preserve">Measurement validity</w:t>
      </w:r>
    </w:p>
    <w:p>
      <w:pPr>
        <w:pStyle w:val="FirstParagraph"/>
        <w:spacing w:line="480" w:lineRule="auto"/>
      </w:pPr>
      <w:r>
        <w:t xml:space="preserve">Measurement validity reaches past the two estimators to the debris measurements underneath them, because a comparison of models inherits the limits of the observations that trained those models. Radar and optical campaigns each resolve part of the population, and neither reaches the smallest, most numerous fragments directly</w:t>
      </w:r>
      <w:r>
        <w:t xml:space="preserve"> </w:t>
      </w:r>
      <w:hyperlink w:anchor="ref-5">
        <w:r>
          <w:rPr>
            <w:rStyle w:val="Hyperlink"/>
          </w:rPr>
          <w:t xml:space="preserve">[5]</w:t>
        </w:r>
      </w:hyperlink>
      <w:r>
        <w:t xml:space="preserve"> </w:t>
      </w:r>
      <w:hyperlink w:anchor="ref-15">
        <w:r>
          <w:rPr>
            <w:rStyle w:val="Hyperlink"/>
          </w:rPr>
          <w:t xml:space="preserve">[15]</w:t>
        </w:r>
      </w:hyperlink>
      <w:r>
        <w:t xml:space="preserve">. The DebriSat optical characterization and the thin-film perforation experiments extend the measured base toward that regime, but they extend it, they do not close it</w:t>
      </w:r>
      <w:r>
        <w:t xml:space="preserve"> </w:t>
      </w:r>
      <w:hyperlink w:anchor="ref-13">
        <w:r>
          <w:rPr>
            <w:rStyle w:val="Hyperlink"/>
          </w:rPr>
          <w:t xml:space="preserve">[13]</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For the comparison this means something specific.</w:t>
      </w:r>
    </w:p>
    <w:p>
      <w:pPr>
        <w:pStyle w:val="BodyText"/>
        <w:spacing w:line="480" w:lineRule="auto"/>
        <w:ind w:firstLine="720"/>
      </w:pPr>
      <w:r>
        <w:t xml:space="preserve">Where both models rest on well-measured size and altitude ranges, a divergence between them is a disagreement between two well-anchored estimates and carries real weight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Where both rest on extrapolation into the small-particle regime, a divergence is a disagreement between two assumptions, still informative but softer, and the chapter reads the Paper 2 results with that gradient in mind rather than treating every bin as equally solid</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04"/>
    <w:bookmarkStart w:id="105" w:name="alternative-explanations"/>
    <w:p>
      <w:pPr>
        <w:pStyle w:val="Heading2"/>
        <w:spacing w:line="480" w:lineRule="auto"/>
      </w:pPr>
      <w:r>
        <w:t xml:space="preserve">Alternative explanations</w:t>
      </w:r>
    </w:p>
    <w:p>
      <w:pPr>
        <w:pStyle w:val="FirstParagraph"/>
        <w:spacing w:line="480" w:lineRule="auto"/>
      </w:pPr>
      <w:r>
        <w:t xml:space="preserve">A disciplined robustness chapter names the explanations that would undercut its reading, and there are three worth taking seriously. The first is that the divergence-review association reflects nothing more than both variables rising with orbital density, a common cause rather than a meaningful link</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construction rules are written to hold regime characteristics comparable across matched bins, which blunts but does not fully eliminate the concern, and the chapter says so. The second alternative is that the sensitivity co-movement in Paper 1 is a generic property of Sobol decompositions rather than anything specific to debris models, in which case it would carry no operational information</w:t>
      </w:r>
      <w:r>
        <w:t xml:space="preserve"> </w:t>
      </w:r>
      <w:hyperlink w:anchor="ref-3">
        <w:r>
          <w:rPr>
            <w:rStyle w:val="Hyperlink"/>
          </w:rPr>
          <w:t xml:space="preserve">[3]</w:t>
        </w:r>
      </w:hyperlink>
      <w:r>
        <w:t xml:space="preserve">. The reply is that the operational content comes not from the co-movement alone but from which variables carry the weight, and those are debris-specific and controllable</w:t>
      </w:r>
      <w:r>
        <w:t xml:space="preserve"> </w:t>
      </w:r>
      <w:hyperlink w:anchor="ref-5">
        <w:r>
          <w:rPr>
            <w:rStyle w:val="Hyperlink"/>
          </w:rPr>
          <w:t xml:space="preserve">[5]</w:t>
        </w:r>
      </w:hyperlink>
      <w:r>
        <w:t xml:space="preserve">. The third alternative, that the results are version artifacts, is conceded rather than rebutted: they are conditional on the documented releases, and the correct response is re-estimation after a model update rather than a claim of permanence</w:t>
      </w:r>
      <w:r>
        <w:t xml:space="preserve"> </w:t>
      </w:r>
      <w:hyperlink w:anchor="ref-2">
        <w:r>
          <w:rPr>
            <w:rStyle w:val="Hyperlink"/>
          </w:rPr>
          <w:t xml:space="preserve">[2]</w:t>
        </w:r>
      </w:hyperlink>
      <w:r>
        <w:t xml:space="preserve"> </w:t>
      </w:r>
      <w:hyperlink w:anchor="ref-19">
        <w:r>
          <w:rPr>
            <w:rStyle w:val="Hyperlink"/>
          </w:rPr>
          <w:t xml:space="preserve">[19]</w:t>
        </w:r>
      </w:hyperlink>
      <w:r>
        <w:t xml:space="preserve">.</w:t>
      </w:r>
    </w:p>
    <w:bookmarkEnd w:id="105"/>
    <w:bookmarkStart w:id="106" w:name="robust-governance-claim"/>
    <w:p>
      <w:pPr>
        <w:pStyle w:val="Heading2"/>
        <w:spacing w:line="480" w:lineRule="auto"/>
      </w:pPr>
      <w:r>
        <w:t xml:space="preserve">Robust governance claim</w:t>
      </w:r>
    </w:p>
    <w:p>
      <w:pPr>
        <w:pStyle w:val="FirstParagraph"/>
        <w:spacing w:line="480" w:lineRule="auto"/>
      </w:pPr>
      <w:r>
        <w:t xml:space="preserve">What survives all of this is a governance claim narrower and sturdier than a modeling claim. Neither coefficient needs to be exactly right for the recommendation to hold. The recommendation is procedural. Where credible models diverge materially near a threshold, record the dependence</w:t>
      </w:r>
      <w:r>
        <w:t xml:space="preserve"> </w:t>
      </w:r>
      <w:hyperlink w:anchor="ref-2">
        <w:r>
          <w:rPr>
            <w:rStyle w:val="Hyperlink"/>
          </w:rPr>
          <w:t xml:space="preserve">[2]</w:t>
        </w:r>
      </w:hyperlink>
      <w:r>
        <w:t xml:space="preserve"> </w:t>
      </w:r>
      <w:hyperlink w:anchor="ref-10">
        <w:r>
          <w:rPr>
            <w:rStyle w:val="Hyperlink"/>
          </w:rPr>
          <w:t xml:space="preserve">[10]</w:t>
        </w:r>
      </w:hyperlink>
      <w:r>
        <w:t xml:space="preserve">. That instruction is robust to disagreement over any single row, since its only hard requirement is that the comparison be transparent and auditable</w:t>
      </w:r>
      <w:r>
        <w:t xml:space="preserve"> </w:t>
      </w:r>
      <w:hyperlink w:anchor="ref-9">
        <w:r>
          <w:rPr>
            <w:rStyle w:val="Hyperlink"/>
          </w:rPr>
          <w:t xml:space="preserve">[9]</w:t>
        </w:r>
      </w:hyperlink>
      <w:r>
        <w:t xml:space="preserve">.</w:t>
      </w:r>
    </w:p>
    <w:p>
      <w:pPr>
        <w:pStyle w:val="BodyText"/>
        <w:spacing w:line="480" w:lineRule="auto"/>
        <w:ind w:firstLine="720"/>
      </w:pPr>
      <w:r>
        <w:t xml:space="preserve">The claim also inherits legitimacy from existing practice rather than standing alone.</w:t>
      </w:r>
    </w:p>
    <w:p>
      <w:pPr>
        <w:pStyle w:val="BodyText"/>
        <w:spacing w:line="480" w:lineRule="auto"/>
        <w:ind w:firstLine="720"/>
      </w:pPr>
      <w:r>
        <w:t xml:space="preserve">Debris-mitigation standards already ask operators to disclose the basis for their decisions, so a model-dependence note is an extension of a recognized obligation, not a novel demand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Because the note reports an observation and its evidence rather than endorsing a model, it stays on the empirical side of the reporting-versus-advocacy line, which is where an analytical contribution to safety governance belongs</w:t>
      </w:r>
      <w:r>
        <w:t xml:space="preserve"> </w:t>
      </w:r>
      <w:hyperlink w:anchor="ref-2">
        <w:r>
          <w:rPr>
            <w:rStyle w:val="Hyperlink"/>
          </w:rPr>
          <w:t xml:space="preserve">[2]</w:t>
        </w:r>
      </w:hyperlink>
      <w:r>
        <w:t xml:space="preserve"> </w:t>
      </w:r>
      <w:hyperlink w:anchor="ref-23">
        <w:r>
          <w:rPr>
            <w:rStyle w:val="Hyperlink"/>
          </w:rPr>
          <w:t xml:space="preserve">[23]</w:t>
        </w:r>
      </w:hyperlink>
      <w:r>
        <w:t xml:space="preserve">.</w:t>
      </w:r>
    </w:p>
    <w:bookmarkEnd w:id="106"/>
    <w:bookmarkStart w:id="107" w:name="chapter-synthesis-5"/>
    <w:p>
      <w:pPr>
        <w:pStyle w:val="Heading2"/>
        <w:spacing w:line="480" w:lineRule="auto"/>
      </w:pPr>
      <w:r>
        <w:t xml:space="preserve">Chapter synthesis</w:t>
      </w:r>
    </w:p>
    <w:p>
      <w:pPr>
        <w:pStyle w:val="FirstParagraph"/>
        <w:spacing w:line="480" w:lineRule="auto"/>
      </w:pPr>
      <w:r>
        <w:t xml:space="preserve">This chapter has stress-tested the argument by asking what would have to fail for it to break. Internal validity is exposed rather than asserted, because both datasets are small and fully listed; construct validity is anchored to real escalation practice; external and measurement validity are treated as gradients that track the density of public evidence; and the plausible alternative explanations are either blunted by the construction rules or openly conceded as version-conditional. What remains is a procedural governance claim that survives disagreement over any single row, because its binding requirement is transparency. The next chapter turns that surviving claim into operating rules</w:t>
      </w:r>
      <w:r>
        <w:t xml:space="preserve"> </w:t>
      </w:r>
      <w:hyperlink w:anchor="ref-15">
        <w:r>
          <w:rPr>
            <w:rStyle w:val="Hyperlink"/>
          </w:rPr>
          <w:t xml:space="preserve">[15]</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107"/>
    <w:bookmarkEnd w:id="108"/>
    <w:bookmarkStart w:id="116" w:name="X2b241fd742f9fa931c4825a151c39c3b04b1df4"/>
    <w:p>
      <w:pPr>
        <w:pStyle w:val="Heading1"/>
        <w:spacing w:line="480" w:lineRule="auto"/>
      </w:pPr>
      <w:r>
        <w:t xml:space="preserve">Chapter 7. Operational and Policy Implications for SDA, Licensing, and Shielding Governance</w:t>
      </w:r>
    </w:p>
    <w:p>
      <w:pPr>
        <w:pStyle w:val="FirstParagraph"/>
        <w:spacing w:line="480" w:lineRule="auto"/>
      </w:pPr>
      <w:r>
        <w:t xml:space="preserve">The implications chapter translates the empirical findings into operating rules for SDA, licensing, and mission design. The central recommendation is dual-model awareness, not dual-model bureaucracy. Teams should identify the regimes where a chosen debris environment model is likely to drive a decision, then ask whether another accepted model would change the decision category. If the answer is no, the record can stay concise. If the answer is yes or unknown, the decision should carry a model-dependence note, a sensitivity summary, and a rationale for the selected course of action</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same logic reaches shielding and remediation. Small debris in the centimeter and millimeter classes can dominate a consequence discussion while staying hard to track directly, so remediation concepts, collision-probability reviews, and operational safety thresholds all depend on how those populations are represented. A model-divergence screen helps an agency decide where to demand more evidence, where to fund a measurement campaign, and where to avoid over-optimizing around a single tool’s output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Start w:id="109" w:name="sda-operations"/>
    <w:p>
      <w:pPr>
        <w:pStyle w:val="Heading2"/>
        <w:spacing w:line="480" w:lineRule="auto"/>
      </w:pPr>
      <w:r>
        <w:t xml:space="preserve">SDA operations</w:t>
      </w:r>
    </w:p>
    <w:p>
      <w:pPr>
        <w:pStyle w:val="FirstParagraph"/>
        <w:spacing w:line="480" w:lineRule="auto"/>
      </w:pPr>
      <w:r>
        <w:t xml:space="preserve">For SDA operations the screen fits naturally into work the community already does. Nothing new has to be built. Conjunction assessment and prioritization run on modeled environments, so adding a model-comparison step means asking, for the bins that drive a given prioritization, whether a second credible model would reorder the queue</w:t>
      </w:r>
      <w:r>
        <w:t xml:space="preserve"> </w:t>
      </w:r>
      <w:hyperlink w:anchor="ref-1">
        <w:r>
          <w:rPr>
            <w:rStyle w:val="Hyperlink"/>
          </w:rPr>
          <w:t xml:space="preserve">[1]</w:t>
        </w:r>
      </w:hyperlink>
      <w:r>
        <w:t xml:space="preserve"> </w:t>
      </w:r>
      <w:hyperlink w:anchor="ref-4">
        <w:r>
          <w:rPr>
            <w:rStyle w:val="Hyperlink"/>
          </w:rPr>
          <w:t xml:space="preserve">[4]</w:t>
        </w:r>
      </w:hyperlink>
      <w:r>
        <w:t xml:space="preserve">. Where it would not, the analyst records a short note and moves on; where it would, the divergence itself becomes an input to how much scrutiny the conjunction earns</w:t>
      </w:r>
      <w:r>
        <w:t xml:space="preserve"> </w:t>
      </w:r>
      <w:hyperlink w:anchor="ref-9">
        <w:r>
          <w:rPr>
            <w:rStyle w:val="Hyperlink"/>
          </w:rPr>
          <w:t xml:space="preserve">[9]</w:t>
        </w:r>
      </w:hyperlink>
      <w:r>
        <w:t xml:space="preserve">. The payoff is a prioritization that is honest about its own uncertainty. An SDA cell that knows which of its rankings are stable across models and which are model-dependent can spend attention where it changes outcomes rather than spreading it evenly</w:t>
      </w:r>
      <w:r>
        <w:t xml:space="preserve"> </w:t>
      </w:r>
      <w:hyperlink w:anchor="ref-4">
        <w:r>
          <w:rPr>
            <w:rStyle w:val="Hyperlink"/>
          </w:rPr>
          <w:t xml:space="preserve">[4]</w:t>
        </w:r>
      </w:hyperlink>
      <w:r>
        <w:t xml:space="preserve">. That is a sharper use of finite analyst time than treating every modeled estimate as equally firm, and it costs little because the second model’s estimates are already public</w:t>
      </w:r>
      <w:r>
        <w:t xml:space="preserve"> </w:t>
      </w:r>
      <w:hyperlink w:anchor="ref-19">
        <w:r>
          <w:rPr>
            <w:rStyle w:val="Hyperlink"/>
          </w:rPr>
          <w:t xml:space="preserve">[19]</w:t>
        </w:r>
      </w:hyperlink>
      <w:r>
        <w:t xml:space="preserve">.</w:t>
      </w:r>
    </w:p>
    <w:bookmarkEnd w:id="109"/>
    <w:bookmarkStart w:id="110" w:name="licensing-and-compliance"/>
    <w:p>
      <w:pPr>
        <w:pStyle w:val="Heading2"/>
        <w:spacing w:line="480" w:lineRule="auto"/>
      </w:pPr>
      <w:r>
        <w:t xml:space="preserve">Licensing and compliance</w:t>
      </w:r>
    </w:p>
    <w:p>
      <w:pPr>
        <w:pStyle w:val="FirstParagraph"/>
        <w:spacing w:line="480" w:lineRule="auto"/>
      </w:pPr>
      <w:r>
        <w:t xml:space="preserve">Licensing is where a model-dependence note has the clearest home, because the regulatory record is built to hold exactly this kind of justification. Orbital-debris mitigation disclosure already asks an applicant to show the basis for a mitigation decision, so recording which model drove a lifetime or disposal finding extends a requirement rather than inventing one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DAS documentation and the governing technical standard give the reviewer a shared vocabulary for what the applicant computed and why</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practical improvement is auditability.</w:t>
      </w:r>
    </w:p>
    <w:p>
      <w:pPr>
        <w:pStyle w:val="BodyText"/>
        <w:spacing w:line="480" w:lineRule="auto"/>
        <w:ind w:firstLine="720"/>
      </w:pPr>
      <w:r>
        <w:t xml:space="preserve">When a compliance decision sits near a threshold, a note stating the model, the bin, the sensitivity drivers, and the reason a second model would not change the category lets a reviewer see the dependence instead of guessing at it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transparency serves both sides: the applicant defends a choice on the record, and the regulator evaluates it against a stated basis rather than an implicit one</w:t>
      </w:r>
      <w:r>
        <w:t xml:space="preserve"> </w:t>
      </w:r>
      <w:hyperlink w:anchor="ref-1">
        <w:r>
          <w:rPr>
            <w:rStyle w:val="Hyperlink"/>
          </w:rPr>
          <w:t xml:space="preserve">[1]</w:t>
        </w:r>
      </w:hyperlink>
      <w:r>
        <w:t xml:space="preserve"> </w:t>
      </w:r>
      <w:hyperlink w:anchor="ref-8">
        <w:r>
          <w:rPr>
            <w:rStyle w:val="Hyperlink"/>
          </w:rPr>
          <w:t xml:space="preserve">[8]</w:t>
        </w:r>
      </w:hyperlink>
      <w:r>
        <w:t xml:space="preserve">.</w:t>
      </w:r>
    </w:p>
    <w:bookmarkEnd w:id="110"/>
    <w:bookmarkStart w:id="111" w:name="shielding-and-design"/>
    <w:p>
      <w:pPr>
        <w:pStyle w:val="Heading2"/>
        <w:spacing w:line="480" w:lineRule="auto"/>
      </w:pPr>
      <w:r>
        <w:t xml:space="preserve">Shielding and design</w:t>
      </w:r>
    </w:p>
    <w:p>
      <w:pPr>
        <w:pStyle w:val="FirstParagraph"/>
        <w:spacing w:line="480" w:lineRule="auto"/>
      </w:pPr>
      <w:r>
        <w:t xml:space="preserve">Shielding and mission design decisions are unusually exposed to model choice. They turn on the small-particle flux that models represent least directly. A wall thickness, a bumper spacing, or a component placement is sized against an estimated flux, and in the millimeter classes that estimate is doing almost all of the work</w:t>
      </w:r>
      <w:r>
        <w:t xml:space="preserve"> </w:t>
      </w:r>
      <w:hyperlink w:anchor="ref-1">
        <w:r>
          <w:rPr>
            <w:rStyle w:val="Hyperlink"/>
          </w:rPr>
          <w:t xml:space="preserve">[1]</w:t>
        </w:r>
      </w:hyperlink>
      <w:r>
        <w:t xml:space="preserve"> </w:t>
      </w:r>
      <w:hyperlink w:anchor="ref-13">
        <w:r>
          <w:rPr>
            <w:rStyle w:val="Hyperlink"/>
          </w:rPr>
          <w:t xml:space="preserve">[13]</w:t>
        </w:r>
      </w:hyperlink>
      <w:r>
        <w:t xml:space="preserve">. When two credible models disagree over that flux, the disagreement propagates straight into the margin a designer carries</w:t>
      </w:r>
      <w:r>
        <w:t xml:space="preserve"> </w:t>
      </w:r>
      <w:hyperlink w:anchor="ref-22">
        <w:r>
          <w:rPr>
            <w:rStyle w:val="Hyperlink"/>
          </w:rPr>
          <w:t xml:space="preserve">[22]</w:t>
        </w:r>
      </w:hyperlink>
      <w:r>
        <w:t xml:space="preserve">. The design response is not to gold-plate against the more pessimistic model by reflex. It is to run the divergence screen at the point where the sensitivity analysis says the design is most exposed, then decide deliberately whether to size to one model, size to the envelope, or fund a measurement that would narrow the gap</w:t>
      </w:r>
      <w:r>
        <w:t xml:space="preserve"> </w:t>
      </w:r>
      <w:hyperlink w:anchor="ref-6">
        <w:r>
          <w:rPr>
            <w:rStyle w:val="Hyperlink"/>
          </w:rPr>
          <w:t xml:space="preserve">[6]</w:t>
        </w:r>
      </w:hyperlink>
      <w:r>
        <w:t xml:space="preserve"> </w:t>
      </w:r>
      <w:hyperlink w:anchor="ref-13">
        <w:r>
          <w:rPr>
            <w:rStyle w:val="Hyperlink"/>
          </w:rPr>
          <w:t xml:space="preserve">[13]</w:t>
        </w:r>
      </w:hyperlink>
      <w:r>
        <w:t xml:space="preserve">. The collision and maneuver-planning literature already treats risk estimates as decision inputs rather than facts, and shielding design gains the same discipline when it records why a particular flux estimate was trusted</w:t>
      </w:r>
      <w:r>
        <w:t xml:space="preserve"> </w:t>
      </w:r>
      <w:hyperlink w:anchor="ref-22">
        <w:r>
          <w:rPr>
            <w:rStyle w:val="Hyperlink"/>
          </w:rPr>
          <w:t xml:space="preserve">[22]</w:t>
        </w:r>
      </w:hyperlink>
      <w:r>
        <w:t xml:space="preserve">.</w:t>
      </w:r>
    </w:p>
    <w:bookmarkEnd w:id="111"/>
    <w:bookmarkStart w:id="112" w:name="remediation-and-population-management"/>
    <w:p>
      <w:pPr>
        <w:pStyle w:val="Heading2"/>
        <w:spacing w:line="480" w:lineRule="auto"/>
      </w:pPr>
      <w:r>
        <w:t xml:space="preserve">Remediation and population management</w:t>
      </w:r>
    </w:p>
    <w:p>
      <w:pPr>
        <w:pStyle w:val="FirstParagraph"/>
        <w:spacing w:line="480" w:lineRule="auto"/>
      </w:pPr>
      <w:r>
        <w:t xml:space="preserve">Remediation prioritization is a population-level decision. It inherits model dependence at that scale. Whether and where to intervene depends on how the small-debris population and its evolution are represented, and those representations are precisely where the models lean hardest on assumption</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McKnight’s framing of removal as a timing problem sharpens the stakes: a prioritization built on one model’s population picture commits resources on that model’s terms</w:t>
      </w:r>
      <w:r>
        <w:t xml:space="preserve"> </w:t>
      </w:r>
      <w:hyperlink w:anchor="ref-11">
        <w:r>
          <w:rPr>
            <w:rStyle w:val="Hyperlink"/>
          </w:rPr>
          <w:t xml:space="preserve">[11]</w:t>
        </w:r>
      </w:hyperlink>
      <w:r>
        <w:t xml:space="preserve">.</w:t>
      </w:r>
    </w:p>
    <w:p>
      <w:pPr>
        <w:pStyle w:val="BodyText"/>
        <w:spacing w:line="480" w:lineRule="auto"/>
        <w:ind w:firstLine="720"/>
      </w:pPr>
      <w:r>
        <w:t xml:space="preserve">The dynamical view makes the caution concrete.</w:t>
      </w:r>
    </w:p>
    <w:p>
      <w:pPr>
        <w:pStyle w:val="BodyText"/>
        <w:spacing w:line="480" w:lineRule="auto"/>
        <w:ind w:firstLine="720"/>
      </w:pPr>
      <w:r>
        <w:t xml:space="preserve">Jang and coauthors show that the low Earth orbit environment behaves as a coupled system whose stability depends on interacting fluxes rather than on any single object, so a remediation plan optimized against one model’s population field can look very different under another</w:t>
      </w:r>
      <w:r>
        <w:t xml:space="preserve"> </w:t>
      </w:r>
      <w:hyperlink w:anchor="ref-17">
        <w:r>
          <w:rPr>
            <w:rStyle w:val="Hyperlink"/>
          </w:rPr>
          <w:t xml:space="preserve">[17]</w:t>
        </w:r>
      </w:hyperlink>
      <w:r>
        <w:t xml:space="preserve">. Running the divergence screen before committing a remediation priority tells an agency where its plan is robust to the choice of model and where the plan is really a bet on a particular representation</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bookmarkEnd w:id="112"/>
    <w:bookmarkStart w:id="113" w:name="data-sharing-and-acquisition"/>
    <w:p>
      <w:pPr>
        <w:pStyle w:val="Heading2"/>
        <w:spacing w:line="480" w:lineRule="auto"/>
      </w:pPr>
      <w:r>
        <w:t xml:space="preserve">Data sharing and acquisition</w:t>
      </w:r>
    </w:p>
    <w:p>
      <w:pPr>
        <w:pStyle w:val="FirstParagraph"/>
        <w:spacing w:line="480" w:lineRule="auto"/>
      </w:pPr>
      <w:r>
        <w:t xml:space="preserve">The findings also point toward what to measure and share next, because the screen is only as good as the public evidence feeding it. Where two models diverge most and the underlying measurements are thinnest, a targeted observation campaign buys the most decision value, so divergence itself becomes a guide for acquisition priorities</w:t>
      </w:r>
      <w:r>
        <w:t xml:space="preserve"> </w:t>
      </w:r>
      <w:hyperlink w:anchor="ref-14">
        <w:r>
          <w:rPr>
            <w:rStyle w:val="Hyperlink"/>
          </w:rPr>
          <w:t xml:space="preserve">[14]</w:t>
        </w:r>
      </w:hyperlink>
      <w:r>
        <w:t xml:space="preserve"> </w:t>
      </w:r>
      <w:hyperlink w:anchor="ref-19">
        <w:r>
          <w:rPr>
            <w:rStyle w:val="Hyperlink"/>
          </w:rPr>
          <w:t xml:space="preserve">[19]</w:t>
        </w:r>
      </w:hyperlink>
      <w:r>
        <w:t xml:space="preserve">. The DebriSat characterization work shows how fragment-level data feeds back into the environmental models and tightens exactly the regimes where the screen is currently weakest</w:t>
      </w:r>
      <w:r>
        <w:t xml:space="preserve"> </w:t>
      </w:r>
      <w:hyperlink w:anchor="ref-14">
        <w:r>
          <w:rPr>
            <w:rStyle w:val="Hyperlink"/>
          </w:rPr>
          <w:t xml:space="preserve">[14]</w:t>
        </w:r>
      </w:hyperlink>
      <w:r>
        <w:t xml:space="preserve">. Sharing matters as much as collecting. When validation datasets and measurement anchors are public, an operator running the divergence screen can attach real evidence to a model-dependence note instead of a bare assertion, and the integration practice described in the measurement-and-modeling literature is the model to follow</w:t>
      </w:r>
      <w:r>
        <w:t xml:space="preserve"> </w:t>
      </w:r>
      <w:hyperlink w:anchor="ref-1">
        <w:r>
          <w:rPr>
            <w:rStyle w:val="Hyperlink"/>
          </w:rPr>
          <w:t xml:space="preserve">[1]</w:t>
        </w:r>
      </w:hyperlink>
      <w:r>
        <w:t xml:space="preserve"> </w:t>
      </w:r>
      <w:hyperlink w:anchor="ref-15">
        <w:r>
          <w:rPr>
            <w:rStyle w:val="Hyperlink"/>
          </w:rPr>
          <w:t xml:space="preserve">[15]</w:t>
        </w:r>
      </w:hyperlink>
      <w:r>
        <w:t xml:space="preserve">. An agency that funds and publishes the measurements at the points of maximum divergence improves every downstream decision that later consults the screen</w:t>
      </w:r>
      <w:r>
        <w:t xml:space="preserve"> </w:t>
      </w:r>
      <w:hyperlink w:anchor="ref-19">
        <w:r>
          <w:rPr>
            <w:rStyle w:val="Hyperlink"/>
          </w:rPr>
          <w:t xml:space="preserve">[19]</w:t>
        </w:r>
      </w:hyperlink>
      <w:r>
        <w:t xml:space="preserve">.</w:t>
      </w:r>
    </w:p>
    <w:bookmarkEnd w:id="113"/>
    <w:bookmarkStart w:id="114" w:name="implementation-pathway"/>
    <w:p>
      <w:pPr>
        <w:pStyle w:val="Heading2"/>
        <w:spacing w:line="480" w:lineRule="auto"/>
      </w:pPr>
      <w:r>
        <w:t xml:space="preserve">Implementation pathway</w:t>
      </w:r>
    </w:p>
    <w:p>
      <w:pPr>
        <w:pStyle w:val="FirstParagraph"/>
        <w:spacing w:line="480" w:lineRule="auto"/>
      </w:pPr>
      <w:r>
        <w:t xml:space="preserve">Adoption should be incremental so the practice earns its place rather than arriving as a mandate. A workable pathway starts small. It begins with a pilot on a decision class that already documents its basis, licensing filings near a lifetime threshold being the obvious candidate, and adds the model-comparison step to that existing record</w:t>
      </w:r>
      <w:r>
        <w:t xml:space="preserve"> </w:t>
      </w:r>
      <w:hyperlink w:anchor="ref-1">
        <w:r>
          <w:rPr>
            <w:rStyle w:val="Hyperlink"/>
          </w:rPr>
          <w:t xml:space="preserve">[1]</w:t>
        </w:r>
      </w:hyperlink>
      <w:r>
        <w:t xml:space="preserve"> </w:t>
      </w:r>
      <w:hyperlink w:anchor="ref-10">
        <w:r>
          <w:rPr>
            <w:rStyle w:val="Hyperlink"/>
          </w:rPr>
          <w:t xml:space="preserve">[10]</w:t>
        </w:r>
      </w:hyperlink>
      <w:r>
        <w:t xml:space="preserve">. The pilot reuses public model estimates and reported sensitivities, so the marginal cost is an analyst comparison rather than a new data pipeline</w:t>
      </w:r>
      <w:r>
        <w:t xml:space="preserve"> </w:t>
      </w:r>
      <w:hyperlink w:anchor="ref-9">
        <w:r>
          <w:rPr>
            <w:rStyle w:val="Hyperlink"/>
          </w:rPr>
          <w:t xml:space="preserve">[9]</w:t>
        </w:r>
      </w:hyperlink>
      <w:r>
        <w:t xml:space="preserve">.</w:t>
      </w:r>
    </w:p>
    <w:p>
      <w:pPr>
        <w:pStyle w:val="BodyText"/>
        <w:spacing w:line="480" w:lineRule="auto"/>
        <w:ind w:firstLine="720"/>
      </w:pPr>
      <w:r>
        <w:t xml:space="preserve">From a successful pilot the practice extends by decision class rather than all at once.</w:t>
      </w:r>
    </w:p>
    <w:p>
      <w:pPr>
        <w:pStyle w:val="BodyText"/>
        <w:spacing w:line="480" w:lineRule="auto"/>
        <w:ind w:firstLine="720"/>
      </w:pPr>
      <w:r>
        <w:t xml:space="preserve">Each new class inherits the same short note structure and the same public inputs, and the collision-computation methods supply the shared language for stating why a decision is or is not sensitive to the environment estimate</w:t>
      </w:r>
      <w:r>
        <w:t xml:space="preserve"> </w:t>
      </w:r>
      <w:hyperlink w:anchor="ref-20">
        <w:r>
          <w:rPr>
            <w:rStyle w:val="Hyperlink"/>
          </w:rPr>
          <w:t xml:space="preserve">[20]</w:t>
        </w:r>
      </w:hyperlink>
      <w:r>
        <w:t xml:space="preserve">. What spreads is a habit, not a bureaucracy: record the model dependence where it changes the answer, stay concise where it does not, and let the standard governance record carry the result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14"/>
    <w:bookmarkStart w:id="115" w:name="chapter-synthesis-6"/>
    <w:p>
      <w:pPr>
        <w:pStyle w:val="Heading2"/>
        <w:spacing w:line="480" w:lineRule="auto"/>
      </w:pPr>
      <w:r>
        <w:t xml:space="preserve">Chapter synthesis</w:t>
      </w:r>
    </w:p>
    <w:p>
      <w:pPr>
        <w:pStyle w:val="FirstParagraph"/>
        <w:spacing w:line="480" w:lineRule="auto"/>
      </w:pPr>
      <w:r>
        <w:t xml:space="preserve">This chapter has translated the two findings into operating rules across the decisions debris models actually touch. In SDA the screen sharpens prioritization; in licensing it extends an existing disclosure habit; in shielding it disciplines how a designer trusts a flux estimate; in remediation it exposes where a plan bets on one model’s population picture; and in data policy it points acquisition and sharing at the points of maximum divergence. The through-line is a single incremental practice: run the comparison where sensitivity and threshold proximity make a decision fragile, and record the dependence when it changes the category. The final chapter draws the argument to a close</w:t>
      </w:r>
      <w:r>
        <w:t xml:space="preserve"> </w:t>
      </w:r>
      <w:hyperlink w:anchor="ref-16">
        <w:r>
          <w:rPr>
            <w:rStyle w:val="Hyperlink"/>
          </w:rPr>
          <w:t xml:space="preserve">[16]</w:t>
        </w:r>
      </w:hyperlink>
      <w:r>
        <w:t xml:space="preserve"> </w:t>
      </w:r>
      <w:hyperlink w:anchor="ref-19">
        <w:r>
          <w:rPr>
            <w:rStyle w:val="Hyperlink"/>
          </w:rPr>
          <w:t xml:space="preserve">[19]</w:t>
        </w:r>
      </w:hyperlink>
      <w:r>
        <w:t xml:space="preserve"> </w:t>
      </w:r>
      <w:hyperlink w:anchor="ref-22">
        <w:r>
          <w:rPr>
            <w:rStyle w:val="Hyperlink"/>
          </w:rPr>
          <w:t xml:space="preserve">[22]</w:t>
        </w:r>
      </w:hyperlink>
      <w:r>
        <w:t xml:space="preserve">.</w:t>
      </w:r>
    </w:p>
    <w:bookmarkEnd w:id="115"/>
    <w:bookmarkEnd w:id="116"/>
    <w:bookmarkStart w:id="153" w:name="Xfb711c92c102ad65bf9af73e101a1d351141033"/>
    <w:p>
      <w:pPr>
        <w:pStyle w:val="Heading1"/>
        <w:spacing w:line="480" w:lineRule="auto"/>
      </w:pPr>
      <w:r>
        <w:t xml:space="preserve">Chapter 8. Conclusion: Trust but Verify the Model</w:t>
      </w:r>
    </w:p>
    <w:p>
      <w:pPr>
        <w:pStyle w:val="FirstParagraph"/>
        <w:spacing w:line="480" w:lineRule="auto"/>
      </w:pPr>
      <w:r>
        <w:t xml:space="preserve">The conclusion returns to the dissertation title: trust but verify the model. The phrase is not a rejection of ORDEM or MASTER. It is a call to treat credible models as evidence systems whose differences can teach operators where risk decisions are fragile. Space safety will not improve if every model output is treated as equally uncertain, and it will not improve if a single selected tool becomes invisible authority. The defensible middle ground is disciplined verification: cite the model, understand its evidence lineage, test material divergence where feasible, and document why the decision remains sound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19">
        <w:r>
          <w:rPr>
            <w:rStyle w:val="Hyperlink"/>
          </w:rPr>
          <w:t xml:space="preserve">[19]</w:t>
        </w:r>
      </w:hyperlink>
      <w:r>
        <w:t xml:space="preserve">.</w:t>
      </w:r>
    </w:p>
    <w:p>
      <w:pPr>
        <w:pStyle w:val="BodyText"/>
        <w:spacing w:line="480" w:lineRule="auto"/>
        <w:ind w:firstLine="720"/>
      </w:pPr>
      <w:r>
        <w:t xml:space="preserve">The final claim is modest but actionable. Public evidence is already sufficient to build a model-dependence process for selected debris decisions. Published sensitivity analysis can identify variables that deserve attention, and public ORDEM-MASTER divergence can flag bins where operational review is warranted. Future work should add direct model runs, better uncertainty disclosure, and shared validation datasets. The dissertation closes by arguing that SDA governance needs model literacy as much as sensor coverage. A trusted model becomes safer when its limits are visible</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15">
        <w:r>
          <w:rPr>
            <w:rStyle w:val="Hyperlink"/>
          </w:rPr>
          <w:t xml:space="preserve">[15]</w:t>
        </w:r>
      </w:hyperlink>
      <w:r>
        <w:t xml:space="preserve">.</w:t>
      </w:r>
    </w:p>
    <w:bookmarkStart w:id="117" w:name="answer-to-the-central-question"/>
    <w:p>
      <w:pPr>
        <w:pStyle w:val="Heading2"/>
        <w:spacing w:line="480" w:lineRule="auto"/>
      </w:pPr>
      <w:r>
        <w:t xml:space="preserve">Answer to the central question</w:t>
      </w:r>
    </w:p>
    <w:p>
      <w:pPr>
        <w:pStyle w:val="FirstParagraph"/>
        <w:spacing w:line="480" w:lineRule="auto"/>
      </w:pPr>
      <w:r>
        <w:t xml:space="preserve">The central question was when the choice of debris model changes a decision posture. The two papers give it a bounded answer. Model choice matters when a decision sits near a threshold, when the reported sensitivity concentrates on controllable inputs, and when two credible lineages diverge materially over the relevant bin</w:t>
      </w:r>
      <w:r>
        <w:t xml:space="preserve"> </w:t>
      </w:r>
      <w:hyperlink w:anchor="ref-1">
        <w:r>
          <w:rPr>
            <w:rStyle w:val="Hyperlink"/>
          </w:rPr>
          <w:t xml:space="preserve">[1]</w:t>
        </w:r>
      </w:hyperlink>
      <w:r>
        <w:t xml:space="preserve"> </w:t>
      </w:r>
      <w:hyperlink w:anchor="ref-4">
        <w:r>
          <w:rPr>
            <w:rStyle w:val="Hyperlink"/>
          </w:rPr>
          <w:t xml:space="preserve">[4]</w:t>
        </w:r>
      </w:hyperlink>
      <w:r>
        <w:t xml:space="preserve">. Outside those conditions the choice of model is a detail; inside them it is part of the decision, and the public evidence is enough to tell the two situations apart</w:t>
      </w:r>
      <w:r>
        <w:t xml:space="preserve"> </w:t>
      </w:r>
      <w:hyperlink w:anchor="ref-19">
        <w:r>
          <w:rPr>
            <w:rStyle w:val="Hyperlink"/>
          </w:rPr>
          <w:t xml:space="preserve">[19]</w:t>
        </w:r>
      </w:hyperlink>
      <w:r>
        <w:t xml:space="preserve">. That answer is deliberately narrow, and its narrowness is what makes it usable. It does not tell an operator which model to believe, because no public data can settle that. It tells the operator when the question is even worth asking, which is the more practical thing to know</w:t>
      </w:r>
      <w:r>
        <w:t xml:space="preserve"> </w:t>
      </w:r>
      <w:hyperlink w:anchor="ref-3">
        <w:r>
          <w:rPr>
            <w:rStyle w:val="Hyperlink"/>
          </w:rPr>
          <w:t xml:space="preserve">[3]</w:t>
        </w:r>
      </w:hyperlink>
      <w:r>
        <w:t xml:space="preserve"> </w:t>
      </w:r>
      <w:hyperlink w:anchor="ref-4">
        <w:r>
          <w:rPr>
            <w:rStyle w:val="Hyperlink"/>
          </w:rPr>
          <w:t xml:space="preserve">[4]</w:t>
        </w:r>
      </w:hyperlink>
      <w:r>
        <w:t xml:space="preserve">. A governance process built on that distinction spends its scrutiny where model choice changes outcomes and stays light everywhere else</w:t>
      </w:r>
      <w:r>
        <w:t xml:space="preserve"> </w:t>
      </w:r>
      <w:hyperlink w:anchor="ref-1">
        <w:r>
          <w:rPr>
            <w:rStyle w:val="Hyperlink"/>
          </w:rPr>
          <w:t xml:space="preserve">[1]</w:t>
        </w:r>
      </w:hyperlink>
      <w:r>
        <w:t xml:space="preserve"> </w:t>
      </w:r>
      <w:hyperlink w:anchor="ref-19">
        <w:r>
          <w:rPr>
            <w:rStyle w:val="Hyperlink"/>
          </w:rPr>
          <w:t xml:space="preserve">[19]</w:t>
        </w:r>
      </w:hyperlink>
      <w:r>
        <w:t xml:space="preserve">.</w:t>
      </w:r>
    </w:p>
    <w:bookmarkEnd w:id="117"/>
    <w:bookmarkStart w:id="118" w:name="empirical-contribution"/>
    <w:p>
      <w:pPr>
        <w:pStyle w:val="Heading2"/>
        <w:spacing w:line="480" w:lineRule="auto"/>
      </w:pPr>
      <w:r>
        <w:t xml:space="preserve">Empirical contribution</w:t>
      </w:r>
    </w:p>
    <w:p>
      <w:pPr>
        <w:pStyle w:val="FirstParagraph"/>
        <w:spacing w:line="480" w:lineRule="auto"/>
      </w:pPr>
      <w:r>
        <w:t xml:space="preserve">The empirical contribution is a pair of small, fully auditable results that together support a claim neither could carry alone. Paper 1 shows that reported first-order and total-effect sensitivities co-move in the DAS and ORDEM tables, so governance can begin from the variables an analysis already flags</w:t>
      </w:r>
      <w:r>
        <w:t xml:space="preserve"> </w:t>
      </w:r>
      <w:hyperlink w:anchor="ref-6">
        <w:r>
          <w:rPr>
            <w:rStyle w:val="Hyperlink"/>
          </w:rPr>
          <w:t xml:space="preserve">[6]</w:t>
        </w:r>
      </w:hyperlink>
      <w:r>
        <w:t xml:space="preserve"> </w:t>
      </w:r>
      <w:hyperlink w:anchor="ref-23">
        <w:r>
          <w:rPr>
            <w:rStyle w:val="Hyperlink"/>
          </w:rPr>
          <w:t xml:space="preserve">[23]</w:t>
        </w:r>
      </w:hyperlink>
      <w:r>
        <w:t xml:space="preserve">. Paper 2 shows that larger ORDEM-MASTER divergence tracks decision-review worthiness, so model comparison functions as a screen</w:t>
      </w:r>
      <w:r>
        <w:t xml:space="preserve"> </w:t>
      </w:r>
      <w:hyperlink w:anchor="ref-1">
        <w:r>
          <w:rPr>
            <w:rStyle w:val="Hyperlink"/>
          </w:rPr>
          <w:t xml:space="preserve">[1]</w:t>
        </w:r>
      </w:hyperlink>
      <w:r>
        <w:t xml:space="preserve">.</w:t>
      </w:r>
    </w:p>
    <w:p>
      <w:pPr>
        <w:pStyle w:val="BodyText"/>
        <w:spacing w:line="480" w:lineRule="auto"/>
        <w:ind w:firstLine="720"/>
      </w:pPr>
      <w:r>
        <w:t xml:space="preserve">What is genuinely new is not the statistics but the object of study.</w:t>
      </w:r>
    </w:p>
    <w:p>
      <w:pPr>
        <w:pStyle w:val="BodyText"/>
        <w:spacing w:line="480" w:lineRule="auto"/>
        <w:ind w:firstLine="720"/>
      </w:pPr>
      <w:r>
        <w:t xml:space="preserve">The field has documented the models thoroughly and studied collision computation deeply, but it has rarely asked, with public data and stated rules, whether the choice between credible models predicts the decisions worth reviewing</w:t>
      </w:r>
      <w:r>
        <w:t xml:space="preserve"> </w:t>
      </w:r>
      <w:hyperlink w:anchor="ref-3">
        <w:r>
          <w:rPr>
            <w:rStyle w:val="Hyperlink"/>
          </w:rPr>
          <w:t xml:space="preserve">[3]</w:t>
        </w:r>
      </w:hyperlink>
      <w:r>
        <w:t xml:space="preserve"> </w:t>
      </w:r>
      <w:hyperlink w:anchor="ref-23">
        <w:r>
          <w:rPr>
            <w:rStyle w:val="Hyperlink"/>
          </w:rPr>
          <w:t xml:space="preserve">[23]</w:t>
        </w:r>
      </w:hyperlink>
      <w:r>
        <w:t xml:space="preserve">. The dissertation builds that dataset and answers that question, and it does so in a form a reader can rebuild from the workbook rather than take on faith</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bookmarkEnd w:id="118"/>
    <w:bookmarkStart w:id="119" w:name="theoretical-contribution"/>
    <w:p>
      <w:pPr>
        <w:pStyle w:val="Heading2"/>
        <w:spacing w:line="480" w:lineRule="auto"/>
      </w:pPr>
      <w:r>
        <w:t xml:space="preserve">Theoretical contribution</w:t>
      </w:r>
    </w:p>
    <w:p>
      <w:pPr>
        <w:pStyle w:val="FirstParagraph"/>
        <w:spacing w:line="480" w:lineRule="auto"/>
      </w:pPr>
      <w:r>
        <w:t xml:space="preserve">The theoretical contribution is to name divergence as a latent operational variable. Naming it gives it enough structure to be tested. Define divergence as a property of a model pair applied to a shared bin. That move converts a vague unease about model choice into a measurable quantity with identifiable mechanisms</w:t>
      </w:r>
      <w:r>
        <w:t xml:space="preserve"> </w:t>
      </w:r>
      <w:hyperlink w:anchor="ref-1">
        <w:r>
          <w:rPr>
            <w:rStyle w:val="Hyperlink"/>
          </w:rPr>
          <w:t xml:space="preserve">[1]</w:t>
        </w:r>
      </w:hyperlink>
      <w:r>
        <w:t xml:space="preserve"> </w:t>
      </w:r>
      <w:hyperlink w:anchor="ref-3">
        <w:r>
          <w:rPr>
            <w:rStyle w:val="Hyperlink"/>
          </w:rPr>
          <w:t xml:space="preserve">[3]</w:t>
        </w:r>
      </w:hyperlink>
      <w:r>
        <w:t xml:space="preserve">. Threshold proximity, sensitivity concentration, and evidentiary independence explain why divergence clusters rather than spreading evenly, which is what makes a screen possible in the first place</w:t>
      </w:r>
      <w:r>
        <w:t xml:space="preserve"> </w:t>
      </w:r>
      <w:hyperlink w:anchor="ref-5">
        <w:r>
          <w:rPr>
            <w:rStyle w:val="Hyperlink"/>
          </w:rPr>
          <w:t xml:space="preserve">[5]</w:t>
        </w:r>
      </w:hyperlink>
      <w:r>
        <w:t xml:space="preserve">. The contribution also keeps three claims apart that the field tends to blur: that models can differ, that the differences are partly predictable, and that large differences should be recorded</w:t>
      </w:r>
      <w:r>
        <w:t xml:space="preserve"> </w:t>
      </w:r>
      <w:hyperlink w:anchor="ref-3">
        <w:r>
          <w:rPr>
            <w:rStyle w:val="Hyperlink"/>
          </w:rPr>
          <w:t xml:space="preserve">[3]</w:t>
        </w:r>
      </w:hyperlink>
      <w:r>
        <w:t xml:space="preserve">. Separating the descriptive, inferential, and normative layers is what lets the dissertation test what is testable and recommend only what the evidence supports, and it borrows the collision-probability literature’s vocabulary to state decision sensitivity precisely rather than loosely</w:t>
      </w:r>
      <w:r>
        <w:t xml:space="preserve"> </w:t>
      </w:r>
      <w:hyperlink w:anchor="ref-20">
        <w:r>
          <w:rPr>
            <w:rStyle w:val="Hyperlink"/>
          </w:rPr>
          <w:t xml:space="preserve">[20]</w:t>
        </w:r>
      </w:hyperlink>
      <w:r>
        <w:t xml:space="preserve">.</w:t>
      </w:r>
    </w:p>
    <w:bookmarkEnd w:id="119"/>
    <w:bookmarkStart w:id="120" w:name="policy-contribution"/>
    <w:p>
      <w:pPr>
        <w:pStyle w:val="Heading2"/>
        <w:spacing w:line="480" w:lineRule="auto"/>
      </w:pPr>
      <w:r>
        <w:t xml:space="preserve">Policy contribution</w:t>
      </w:r>
    </w:p>
    <w:p>
      <w:pPr>
        <w:pStyle w:val="FirstParagraph"/>
        <w:spacing w:line="480" w:lineRule="auto"/>
      </w:pPr>
      <w:r>
        <w:t xml:space="preserve">The policy contribution is a documentation practice light enough to adopt and specific enough to audit. The model-dependence note names the model, the bin, the sensitivity drivers, the comparison model where one exists, and the reason for proceeding, and it attaches to decisions only where divergence near a threshold makes them fragile</w:t>
      </w:r>
      <w:r>
        <w:t xml:space="preserve"> </w:t>
      </w:r>
      <w:hyperlink w:anchor="ref-1">
        <w:r>
          <w:rPr>
            <w:rStyle w:val="Hyperlink"/>
          </w:rPr>
          <w:t xml:space="preserve">[1]</w:t>
        </w:r>
      </w:hyperlink>
      <w:r>
        <w:t xml:space="preserve"> </w:t>
      </w:r>
      <w:hyperlink w:anchor="ref-10">
        <w:r>
          <w:rPr>
            <w:rStyle w:val="Hyperlink"/>
          </w:rPr>
          <w:t xml:space="preserve">[10]</w:t>
        </w:r>
      </w:hyperlink>
      <w:r>
        <w:t xml:space="preserve">. Because it extends existing debris-mitigation disclosure rather than replacing it, the practice lands inside habits regulators and operators already have</w:t>
      </w:r>
      <w:r>
        <w:t xml:space="preserve"> </w:t>
      </w:r>
      <w:hyperlink w:anchor="ref-9">
        <w:r>
          <w:rPr>
            <w:rStyle w:val="Hyperlink"/>
          </w:rPr>
          <w:t xml:space="preserve">[9]</w:t>
        </w:r>
      </w:hyperlink>
      <w:r>
        <w:t xml:space="preserve">.</w:t>
      </w:r>
    </w:p>
    <w:p>
      <w:pPr>
        <w:pStyle w:val="BodyText"/>
        <w:spacing w:line="480" w:lineRule="auto"/>
        <w:ind w:firstLine="720"/>
      </w:pPr>
      <w:r>
        <w:t xml:space="preserve">The note’s design keeps analytical work on the empirical side of the line.</w:t>
      </w:r>
    </w:p>
    <w:p>
      <w:pPr>
        <w:pStyle w:val="BodyText"/>
        <w:spacing w:line="480" w:lineRule="auto"/>
        <w:ind w:firstLine="720"/>
      </w:pPr>
      <w:r>
        <w:t xml:space="preserve">It reports an observation and its evidence instead of endorsing a model, which lets an institution contribute to safety governance without appearing to take sides between agencies</w:t>
      </w:r>
      <w:r>
        <w:t xml:space="preserve"> </w:t>
      </w:r>
      <w:hyperlink w:anchor="ref-10">
        <w:r>
          <w:rPr>
            <w:rStyle w:val="Hyperlink"/>
          </w:rPr>
          <w:t xml:space="preserve">[10]</w:t>
        </w:r>
      </w:hyperlink>
      <w:r>
        <w:t xml:space="preserve">. The collision and maneuver-planning literature supplies the operational grounding, so a note about model dependence connects directly to the conjunction and avoidance decisions it is meant to inform</w:t>
      </w:r>
      <w:r>
        <w:t xml:space="preserve"> </w:t>
      </w:r>
      <w:hyperlink w:anchor="ref-22">
        <w:r>
          <w:rPr>
            <w:rStyle w:val="Hyperlink"/>
          </w:rPr>
          <w:t xml:space="preserve">[22]</w:t>
        </w:r>
      </w:hyperlink>
      <w:r>
        <w:t xml:space="preserve">.</w:t>
      </w:r>
    </w:p>
    <w:bookmarkEnd w:id="120"/>
    <w:bookmarkStart w:id="121" w:name="future-research"/>
    <w:p>
      <w:pPr>
        <w:pStyle w:val="Heading2"/>
        <w:spacing w:line="480" w:lineRule="auto"/>
      </w:pPr>
      <w:r>
        <w:t xml:space="preserve">Future research</w:t>
      </w:r>
    </w:p>
    <w:p>
      <w:pPr>
        <w:pStyle w:val="FirstParagraph"/>
        <w:spacing w:line="480" w:lineRule="auto"/>
      </w:pPr>
      <w:r>
        <w:t xml:space="preserve">The clearest next step is to add what public data cannot supply: direct, version-matched model runs across shared bins, which would replace the constructed divergence rows with measured ones and test whether the Paper 2 association survives at finer resolution</w:t>
      </w:r>
      <w:r>
        <w:t xml:space="preserve"> </w:t>
      </w:r>
      <w:hyperlink w:anchor="ref-2">
        <w:r>
          <w:rPr>
            <w:rStyle w:val="Hyperlink"/>
          </w:rPr>
          <w:t xml:space="preserve">[2]</w:t>
        </w:r>
      </w:hyperlink>
      <w:r>
        <w:t xml:space="preserve"> </w:t>
      </w:r>
      <w:hyperlink w:anchor="ref-19">
        <w:r>
          <w:rPr>
            <w:rStyle w:val="Hyperlink"/>
          </w:rPr>
          <w:t xml:space="preserve">[19]</w:t>
        </w:r>
      </w:hyperlink>
      <w:r>
        <w:t xml:space="preserve">. Paired with fuller uncertainty disclosure from both model families, such runs would turn the screen from a public-evidence proxy into a validated instrument</w:t>
      </w:r>
      <w:r>
        <w:t xml:space="preserve"> </w:t>
      </w:r>
      <w:hyperlink w:anchor="ref-3">
        <w:r>
          <w:rPr>
            <w:rStyle w:val="Hyperlink"/>
          </w:rPr>
          <w:t xml:space="preserve">[3]</w:t>
        </w:r>
      </w:hyperlink>
      <w:r>
        <w:t xml:space="preserve">. A second line of work reaches toward the measurements underneath. Expanding the small-particle evidence base, along the lines of the DebriSat characterization and the integration practice in the measurement literature, would strengthen exactly the regimes where the current screen is softest</w:t>
      </w:r>
      <w:r>
        <w:t xml:space="preserve"> </w:t>
      </w:r>
      <w:hyperlink w:anchor="ref-15">
        <w:r>
          <w:rPr>
            <w:rStyle w:val="Hyperlink"/>
          </w:rPr>
          <w:t xml:space="preserve">[15]</w:t>
        </w:r>
      </w:hyperlink>
      <w:r>
        <w:t xml:space="preserve">. Shared validation datasets would let independent analysts run the comparison consistently, and a program that funds observation at the points of maximum divergence would improve every decision that later consults the screen</w:t>
      </w:r>
      <w:r>
        <w:t xml:space="preserve"> </w:t>
      </w:r>
      <w:hyperlink w:anchor="ref-2">
        <w:r>
          <w:rPr>
            <w:rStyle w:val="Hyperlink"/>
          </w:rPr>
          <w:t xml:space="preserve">[2]</w:t>
        </w:r>
      </w:hyperlink>
      <w:r>
        <w:t xml:space="preserve"> </w:t>
      </w:r>
      <w:hyperlink w:anchor="ref-19">
        <w:r>
          <w:rPr>
            <w:rStyle w:val="Hyperlink"/>
          </w:rPr>
          <w:t xml:space="preserve">[19]</w:t>
        </w:r>
      </w:hyperlink>
      <w:r>
        <w:t xml:space="preserve">.</w:t>
      </w:r>
    </w:p>
    <w:bookmarkEnd w:id="121"/>
    <w:bookmarkStart w:id="122" w:name="closing-reflection"/>
    <w:p>
      <w:pPr>
        <w:pStyle w:val="Heading2"/>
        <w:spacing w:line="480" w:lineRule="auto"/>
      </w:pPr>
      <w:r>
        <w:t xml:space="preserve">Closing reflection</w:t>
      </w:r>
    </w:p>
    <w:p>
      <w:pPr>
        <w:pStyle w:val="FirstParagraph"/>
        <w:spacing w:line="480" w:lineRule="auto"/>
      </w:pPr>
      <w:r>
        <w:t xml:space="preserve">The dissertation ends where it began, with a phrase that asks for judgment rather than obedience. Trust but verify is not a hedge. It is not an accusation either. It is a description of how a mature field should treat its best instruments: with respect for the decades of evidence behind them and with the discipline to check when a decision turns on which instrument was chosen</w:t>
      </w:r>
      <w:r>
        <w:t xml:space="preserve"> </w:t>
      </w:r>
      <w:hyperlink w:anchor="ref-1">
        <w:r>
          <w:rPr>
            <w:rStyle w:val="Hyperlink"/>
          </w:rPr>
          <w:t xml:space="preserve">[1]</w:t>
        </w:r>
      </w:hyperlink>
      <w:r>
        <w:t xml:space="preserve"> </w:t>
      </w:r>
      <w:hyperlink w:anchor="ref-4">
        <w:r>
          <w:rPr>
            <w:rStyle w:val="Hyperlink"/>
          </w:rPr>
          <w:t xml:space="preserve">[4]</w:t>
        </w:r>
      </w:hyperlink>
      <w:r>
        <w:t xml:space="preserve">. ORDEM and MASTER have earned the first half of that phrase, and the second half is what keeps their authority honest</w:t>
      </w:r>
      <w:r>
        <w:t xml:space="preserve"> </w:t>
      </w:r>
      <w:hyperlink w:anchor="ref-3">
        <w:r>
          <w:rPr>
            <w:rStyle w:val="Hyperlink"/>
          </w:rPr>
          <w:t xml:space="preserve">[3]</w:t>
        </w:r>
      </w:hyperlink>
      <w:r>
        <w:t xml:space="preserve">.</w:t>
      </w:r>
    </w:p>
    <w:p>
      <w:pPr>
        <w:pStyle w:val="BodyText"/>
        <w:spacing w:line="480" w:lineRule="auto"/>
        <w:ind w:firstLine="720"/>
      </w:pPr>
      <w:r>
        <w:t xml:space="preserve">The larger point is that model literacy belongs alongside sensor coverage in SDA governance.</w:t>
      </w:r>
    </w:p>
    <w:p>
      <w:pPr>
        <w:pStyle w:val="BodyText"/>
        <w:spacing w:line="480" w:lineRule="auto"/>
        <w:ind w:firstLine="720"/>
      </w:pPr>
      <w:r>
        <w:t xml:space="preserve">Better sensors narrow the environment; model literacy makes visible where the environment is still inferred rather than seen</w:t>
      </w:r>
      <w:r>
        <w:t xml:space="preserve"> </w:t>
      </w:r>
      <w:hyperlink w:anchor="ref-6">
        <w:r>
          <w:rPr>
            <w:rStyle w:val="Hyperlink"/>
          </w:rPr>
          <w:t xml:space="preserve">[6]</w:t>
        </w:r>
      </w:hyperlink>
      <w:r>
        <w:t xml:space="preserve">. A community that records model dependence where it changes decisions gets safer not by trusting less but by verifying more precisely, and that is a standard public evidence is already capable of supporting</w:t>
      </w:r>
      <w:r>
        <w:t xml:space="preserve"> </w:t>
      </w:r>
      <w:hyperlink w:anchor="ref-4">
        <w:r>
          <w:rPr>
            <w:rStyle w:val="Hyperlink"/>
          </w:rPr>
          <w:t xml:space="preserve">[4]</w:t>
        </w:r>
      </w:hyperlink>
      <w:r>
        <w:t xml:space="preserve">.</w:t>
      </w:r>
    </w:p>
    <w:bookmarkEnd w:id="122"/>
    <w:bookmarkStart w:id="123" w:name="chapter-synthesis-7"/>
    <w:p>
      <w:pPr>
        <w:pStyle w:val="Heading2"/>
        <w:spacing w:line="480" w:lineRule="auto"/>
      </w:pPr>
      <w:r>
        <w:t xml:space="preserve">Chapter synthesis</w:t>
      </w:r>
    </w:p>
    <w:p>
      <w:pPr>
        <w:pStyle w:val="FirstParagraph"/>
        <w:spacing w:line="480" w:lineRule="auto"/>
      </w:pPr>
      <w:r>
        <w:t xml:space="preserve">This chapter has closed the argument on the terms it opened. The central question has a bounded answer: model choice matters near thresholds, on controllable sensitivities, and where credible lineages diverge. The empirical contribution is two auditable results that identify fragile inputs and fragile decisions; the theoretical contribution is divergence made testable; the policy contribution is a light, extendable documentation note; and the future work is direct model runs and shared validation over the regimes where public evidence runs thin. Trust but verify names the discipline that ties them together, and the dissertation rests on the claim that this discipline is available now, from evidence anyone can inspect</w:t>
      </w:r>
      <w:r>
        <w:t xml:space="preserve"> </w:t>
      </w:r>
      <w:hyperlink w:anchor="ref-15">
        <w:r>
          <w:rPr>
            <w:rStyle w:val="Hyperlink"/>
          </w:rPr>
          <w:t xml:space="preserve">[15]</w:t>
        </w:r>
      </w:hyperlink>
      <w:r>
        <w:t xml:space="preserve"> </w:t>
      </w:r>
      <w:hyperlink w:anchor="ref-19">
        <w:r>
          <w:rPr>
            <w:rStyle w:val="Hyperlink"/>
          </w:rPr>
          <w:t xml:space="preserve">[19]</w:t>
        </w:r>
      </w:hyperlink>
      <w:r>
        <w:t xml:space="preserve"> </w:t>
      </w:r>
      <w:hyperlink w:anchor="ref-23">
        <w:r>
          <w:rPr>
            <w:rStyle w:val="Hyperlink"/>
          </w:rPr>
          <w:t xml:space="preserve">[23]</w:t>
        </w:r>
      </w:hyperlink>
      <w:r>
        <w:t xml:space="preserve">.</w:t>
      </w:r>
    </w:p>
    <w:bookmarkEnd w:id="123"/>
    <w:bookmarkStart w:id="152" w:name="references"/>
    <w:p>
      <w:pPr>
        <w:pStyle w:val="Heading2"/>
        <w:spacing w:line="480" w:lineRule="auto"/>
      </w:pPr>
      <w:r>
        <w:t xml:space="preserve">References</w:t>
      </w:r>
    </w:p>
    <w:p>
      <w:pPr>
        <w:pStyle w:val="FirstParagraph"/>
        <w:spacing w:line="480" w:lineRule="auto"/>
      </w:pPr>
      <w:bookmarkStart w:id="124" w:name="ref-1"/>
      <w:bookmarkEnd w:id="124"/>
      <w:r>
        <w:t xml:space="preserve">1. NASA Orbital Debris Program Office. ORDEM 3.2: Orbital Debris Engineering Model. NASA Johnson Space Center orbital debris modeling portal.</w:t>
      </w:r>
    </w:p>
    <w:p>
      <w:pPr>
        <w:pStyle w:val="BodyText"/>
        <w:spacing w:line="480" w:lineRule="auto"/>
        <w:ind w:firstLine="720"/>
      </w:pPr>
      <w:bookmarkStart w:id="125" w:name="ref-2"/>
      <w:bookmarkEnd w:id="125"/>
      <w:r>
        <w:t xml:space="preserve">2. A. Manis, M. Matney, A. Vavrin, J. Seago, D. Gates, P. Anz-Meador, T. Kennedy, H. Cowardin, and Y. Xu. NASA Orbital Debris Engineering Model ORDEM 3.1 Model Process. NASA Technical Publication, NASA Technical Reports Server, 2022.</w:t>
      </w:r>
    </w:p>
    <w:p>
      <w:pPr>
        <w:pStyle w:val="BodyText"/>
        <w:spacing w:line="480" w:lineRule="auto"/>
        <w:ind w:firstLine="720"/>
      </w:pPr>
      <w:bookmarkStart w:id="126" w:name="ref-3"/>
      <w:bookmarkEnd w:id="126"/>
      <w:r>
        <w:t xml:space="preserve">3. T. Kennedy, M. Matney, H. Cowardin, A. Manis, A. Vavrin, J. Seago, D. Gates, P. Anz-Meador, and Y. Xu. NASA Orbital Debris Engineering Model ORDEM 3.1: Model Verification and Validation. NASA Technical Reports Server, 2022.</w:t>
      </w:r>
    </w:p>
    <w:p>
      <w:pPr>
        <w:pStyle w:val="BodyText"/>
        <w:spacing w:line="480" w:lineRule="auto"/>
        <w:ind w:firstLine="720"/>
      </w:pPr>
      <w:bookmarkStart w:id="127" w:name="ref-4"/>
      <w:bookmarkEnd w:id="127"/>
      <w:r>
        <w:t xml:space="preserve">4. European Space Agency Space Debris Office. ESA Annual Space Environment Report 2025. ESA, 2025.</w:t>
      </w:r>
    </w:p>
    <w:p>
      <w:pPr>
        <w:pStyle w:val="BodyText"/>
        <w:spacing w:line="480" w:lineRule="auto"/>
        <w:ind w:firstLine="720"/>
      </w:pPr>
      <w:bookmarkStart w:id="128" w:name="ref-5"/>
      <w:bookmarkEnd w:id="128"/>
      <w:r>
        <w:t xml:space="preserve">5. M. Landgraf, R. Jehn, and W. Flury. Comparison of EISCAT radar data on space debris with model prediction by the MASTER model of ESA. 2003.</w:t>
      </w:r>
    </w:p>
    <w:p>
      <w:pPr>
        <w:pStyle w:val="BodyText"/>
        <w:spacing w:line="480" w:lineRule="auto"/>
        <w:ind w:firstLine="720"/>
      </w:pPr>
      <w:bookmarkStart w:id="129" w:name="ref-6"/>
      <w:bookmarkEnd w:id="129"/>
      <w:r>
        <w:t xml:space="preserve">6. Yash Chandramouli and Liberty Shockley. A Sensitivity Analysis of DAS Lifetime Collision Probability Estimates. Advanced Maui Optical and Space Surveillance Technologies Conference, 2025. doi:</w:t>
      </w:r>
      <w:r>
        <w:t xml:space="preserve"> </w:t>
      </w:r>
      <w:hyperlink r:id="rId130">
        <w:r>
          <w:rPr>
            <w:rStyle w:val="Hyperlink"/>
          </w:rPr>
          <w:t xml:space="preserve">10.64861/VHJU7246</w:t>
        </w:r>
      </w:hyperlink>
    </w:p>
    <w:p>
      <w:pPr>
        <w:pStyle w:val="BodyText"/>
        <w:spacing w:line="480" w:lineRule="auto"/>
        <w:ind w:firstLine="720"/>
      </w:pPr>
      <w:bookmarkStart w:id="131" w:name="ref-7"/>
      <w:bookmarkEnd w:id="131"/>
      <w:r>
        <w:t xml:space="preserve">7. Yash Chandramouli and Liberty Shockley. Analyzing DAS Space Safety Computation Sensitivity to Satellite Design Parameter Variations. IAA Space Traffic Management Conference, 2025.</w:t>
      </w:r>
    </w:p>
    <w:p>
      <w:pPr>
        <w:pStyle w:val="BodyText"/>
        <w:spacing w:line="480" w:lineRule="auto"/>
        <w:ind w:firstLine="720"/>
      </w:pPr>
      <w:bookmarkStart w:id="132" w:name="ref-8"/>
      <w:bookmarkEnd w:id="132"/>
      <w:r>
        <w:t xml:space="preserve">8. NASA. Debris Assessment Software User Manual. NASA/TP-20210025946, 2021.</w:t>
      </w:r>
    </w:p>
    <w:p>
      <w:pPr>
        <w:pStyle w:val="BodyText"/>
        <w:spacing w:line="480" w:lineRule="auto"/>
        <w:ind w:firstLine="720"/>
      </w:pPr>
      <w:bookmarkStart w:id="133" w:name="ref-9"/>
      <w:bookmarkEnd w:id="133"/>
      <w:r>
        <w:t xml:space="preserve">9. NASA. NASA Technical Standard 8719.14, Process for Limiting Orbital Debris. NASA, latest public standard cited by DAS literature.</w:t>
      </w:r>
    </w:p>
    <w:p>
      <w:pPr>
        <w:pStyle w:val="BodyText"/>
        <w:spacing w:line="480" w:lineRule="auto"/>
        <w:ind w:firstLine="720"/>
      </w:pPr>
      <w:bookmarkStart w:id="134" w:name="ref-10"/>
      <w:bookmarkEnd w:id="134"/>
      <w:r>
        <w:t xml:space="preserve">10. Federal Communications Commission. 47 CFR section 5.64(b)(4), orbital debris mitigation disclosure requirements for experimental licensing.</w:t>
      </w:r>
    </w:p>
    <w:p>
      <w:pPr>
        <w:pStyle w:val="BodyText"/>
        <w:spacing w:line="480" w:lineRule="auto"/>
        <w:ind w:firstLine="720"/>
      </w:pPr>
      <w:bookmarkStart w:id="135" w:name="ref-11"/>
      <w:bookmarkEnd w:id="135"/>
      <w:r>
        <w:t xml:space="preserve">11. Darren McKnight and colleagues. Pay Me Now or Pay Me More Later: Start the Development of Active Orbital Debris Removal Now. AMOS Conference, 2010.</w:t>
      </w:r>
    </w:p>
    <w:p>
      <w:pPr>
        <w:pStyle w:val="BodyText"/>
        <w:spacing w:line="480" w:lineRule="auto"/>
        <w:ind w:firstLine="720"/>
      </w:pPr>
      <w:bookmarkStart w:id="136" w:name="ref-12"/>
      <w:bookmarkEnd w:id="136"/>
      <w:r>
        <w:t xml:space="preserve">12. Daniel Oltrogge, Salvatore Alfano, C. M. Law, Alex Cacioni, and T. S. Kelso. A comprehensive assessment of collision likelihood in Geosynchronous Earth Orbit. Acta Astronautica, vol. 147, 2018. doi:</w:t>
      </w:r>
      <w:r>
        <w:t xml:space="preserve"> </w:t>
      </w:r>
      <w:hyperlink r:id="rId137">
        <w:r>
          <w:rPr>
            <w:rStyle w:val="Hyperlink"/>
          </w:rPr>
          <w:t xml:space="preserve">10.1016/j.actaastro.2018.03.017</w:t>
        </w:r>
      </w:hyperlink>
    </w:p>
    <w:p>
      <w:pPr>
        <w:pStyle w:val="BodyText"/>
        <w:spacing w:line="480" w:lineRule="auto"/>
        <w:ind w:firstLine="720"/>
      </w:pPr>
      <w:bookmarkStart w:id="138" w:name="ref-13"/>
      <w:bookmarkEnd w:id="138"/>
      <w:r>
        <w:t xml:space="preserve">13. MJ Burchell, L. A. Alesbrook, M. van Ginneken, and P. J. Wozniakiewicz. Hypervelocity perforation of thin films applicable to debris detection in Low Earth Orbit. Acta Astronautica, vol. 243, 2026. doi:</w:t>
      </w:r>
      <w:r>
        <w:t xml:space="preserve"> </w:t>
      </w:r>
      <w:hyperlink r:id="rId139">
        <w:r>
          <w:rPr>
            <w:rStyle w:val="Hyperlink"/>
          </w:rPr>
          <w:t xml:space="preserve">10.1016/j.actaastro.2026.01.050</w:t>
        </w:r>
      </w:hyperlink>
    </w:p>
    <w:p>
      <w:pPr>
        <w:pStyle w:val="BodyText"/>
        <w:spacing w:line="480" w:lineRule="auto"/>
        <w:ind w:firstLine="720"/>
      </w:pPr>
      <w:bookmarkStart w:id="140" w:name="ref-14"/>
      <w:bookmarkEnd w:id="140"/>
      <w:r>
        <w:t xml:space="preserve">14. Heather Cowardin, John Hostetler, James Murray, Jacqueline Reyes, and Corbin Cruz. Optical Characterization of DebriSat Fragments in Support of Orbital Debris Environmental Models. AMOS Conference, 2020.</w:t>
      </w:r>
    </w:p>
    <w:p>
      <w:pPr>
        <w:pStyle w:val="BodyText"/>
        <w:spacing w:line="480" w:lineRule="auto"/>
        <w:ind w:firstLine="720"/>
      </w:pPr>
      <w:bookmarkStart w:id="141" w:name="ref-15"/>
      <w:bookmarkEnd w:id="141"/>
      <w:r>
        <w:t xml:space="preserve">15. Sue Lederer, A. Vavrin, Heather Cowardin, Mark Matney, P. Anz-Meador, and Paul Hickson. Integrating Orbital Debris Measurements and Modeling: How Observations and Laboratory Data are Used to Help Make Space Operations Safer. AMOS Conference, 2018.</w:t>
      </w:r>
    </w:p>
    <w:p>
      <w:pPr>
        <w:pStyle w:val="BodyText"/>
        <w:spacing w:line="480" w:lineRule="auto"/>
        <w:ind w:firstLine="720"/>
      </w:pPr>
      <w:bookmarkStart w:id="142" w:name="ref-16"/>
      <w:bookmarkEnd w:id="142"/>
      <w:r>
        <w:t xml:space="preserve">16. James C. Jones and Michael Strong. Modeling Small Orbital Debris Remediation in Low Earth Orbit. AMOS Conference, 2022.</w:t>
      </w:r>
    </w:p>
    <w:p>
      <w:pPr>
        <w:pStyle w:val="BodyText"/>
        <w:spacing w:line="480" w:lineRule="auto"/>
        <w:ind w:firstLine="720"/>
      </w:pPr>
      <w:bookmarkStart w:id="143" w:name="ref-17"/>
      <w:bookmarkEnd w:id="143"/>
      <w:r>
        <w:t xml:space="preserve">17. Daniel Jang, Andrea D Ambrosio, Miles Lifson, Celina Pasiecznik, and Richard Linares. Stability of the LEO Environment as a Dynamical System. AMOS Conference, 2022.</w:t>
      </w:r>
    </w:p>
    <w:p>
      <w:pPr>
        <w:pStyle w:val="BodyText"/>
        <w:spacing w:line="480" w:lineRule="auto"/>
        <w:ind w:firstLine="720"/>
      </w:pPr>
      <w:bookmarkStart w:id="144" w:name="ref-18"/>
      <w:bookmarkEnd w:id="144"/>
      <w:r>
        <w:t xml:space="preserve">18. Donald J. Kessler and Burton G. Cour-Palais. Collision frequency of artificial satellites: The creation of a debris belt. Journal of Geophysical Research, vol. 83, 1978.</w:t>
      </w:r>
    </w:p>
    <w:p>
      <w:pPr>
        <w:pStyle w:val="BodyText"/>
        <w:spacing w:line="480" w:lineRule="auto"/>
        <w:ind w:firstLine="720"/>
      </w:pPr>
      <w:bookmarkStart w:id="145" w:name="ref-19"/>
      <w:bookmarkEnd w:id="145"/>
      <w:r>
        <w:t xml:space="preserve">19. ESA Space Debris Office. MASTER model documentation and Space Debris User Portal reference material. ESA/ESOC.</w:t>
      </w:r>
    </w:p>
    <w:p>
      <w:pPr>
        <w:pStyle w:val="BodyText"/>
        <w:spacing w:line="480" w:lineRule="auto"/>
        <w:ind w:firstLine="720"/>
      </w:pPr>
      <w:bookmarkStart w:id="146" w:name="ref-20"/>
      <w:bookmarkEnd w:id="146"/>
      <w:r>
        <w:t xml:space="preserve">20. J. S. Li, Z. Yang, and Y. Z. Luo. A review of space-object collision probability computation methods. Astrodynamics, vol. 6, no. 2, 2022. doi:</w:t>
      </w:r>
      <w:r>
        <w:t xml:space="preserve"> </w:t>
      </w:r>
      <w:hyperlink r:id="rId147">
        <w:r>
          <w:rPr>
            <w:rStyle w:val="Hyperlink"/>
          </w:rPr>
          <w:t xml:space="preserve">10.1007/s42064-021-0125-x</w:t>
        </w:r>
      </w:hyperlink>
    </w:p>
    <w:p>
      <w:pPr>
        <w:pStyle w:val="BodyText"/>
        <w:spacing w:line="480" w:lineRule="auto"/>
        <w:ind w:firstLine="720"/>
      </w:pPr>
      <w:bookmarkStart w:id="148" w:name="ref-21"/>
      <w:bookmarkEnd w:id="148"/>
      <w:r>
        <w:t xml:space="preserve">21. R. P. Patera. General method for calculating satellite collision probability. Journal of Guidance, Control, and Dynamics, vol. 24, no. 4, 2001. doi:</w:t>
      </w:r>
      <w:r>
        <w:t xml:space="preserve"> </w:t>
      </w:r>
      <w:hyperlink r:id="rId149">
        <w:r>
          <w:rPr>
            <w:rStyle w:val="Hyperlink"/>
          </w:rPr>
          <w:t xml:space="preserve">10.2514/2.4771</w:t>
        </w:r>
      </w:hyperlink>
    </w:p>
    <w:p>
      <w:pPr>
        <w:pStyle w:val="BodyText"/>
        <w:spacing w:line="480" w:lineRule="auto"/>
        <w:ind w:firstLine="720"/>
      </w:pPr>
      <w:bookmarkStart w:id="150" w:name="ref-22"/>
      <w:bookmarkEnd w:id="150"/>
      <w:r>
        <w:t xml:space="preserve">22. S. Alfano. Collision avoidance maneuver planning tools. AAS/AIAA Astrodynamics Specialist Conference, 2005.</w:t>
      </w:r>
    </w:p>
    <w:p>
      <w:pPr>
        <w:pStyle w:val="BodyText"/>
        <w:spacing w:line="480" w:lineRule="auto"/>
        <w:ind w:firstLine="720"/>
      </w:pPr>
      <w:bookmarkStart w:id="151" w:name="ref-23"/>
      <w:bookmarkEnd w:id="151"/>
      <w:r>
        <w:t xml:space="preserve">23. A. Saltelli, S. Tarantola, and K. P. S. Chan. A quantitative model-independent method for global sensitivity analysis of model output. Technometrics, vol. 41, 1999.</w:t>
      </w:r>
    </w:p>
    <w:bookmarkEnd w:id="152"/>
    <w:bookmarkEnd w:id="153"/>
    <w:bookmarkStart w:id="17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1" w:name="X08ebb232f88312389d040ffdf2215530ca8674e"/>
    <w:p>
      <w:pPr>
        <w:pStyle w:val="Heading2"/>
        <w:spacing w:line="480" w:lineRule="auto"/>
      </w:pPr>
      <w:r>
        <w:t xml:space="preserve">A.1 Sensitivity Structure in DAS ORDEM Collision-Probability Outputs</w:t>
      </w:r>
    </w:p>
    <w:p>
      <w:pPr>
        <w:pStyle w:val="FirstParagraph"/>
        <w:spacing w:line="480" w:lineRule="auto"/>
      </w:pPr>
      <m:oMathPara>
        <m:oMathParaPr>
          <m:jc m:val="center"/>
        </m:oMathParaPr>
        <m:oMath>
          <m:r>
            <m:t>t</m:t>
          </m:r>
          <m:r>
            <m:t>o</m:t>
          </m:r>
          <m:r>
            <m:t>t</m:t>
          </m:r>
          <m:r>
            <m:t>a</m:t>
          </m:r>
          <m:r>
            <m:t>l</m:t>
          </m:r>
          <m:r>
            <m:rPr>
              <m:sty m:val="p"/>
            </m:rPr>
            <m:t>_</m:t>
          </m:r>
          <m:r>
            <m:t>s</m:t>
          </m:r>
          <m:r>
            <m:t>e</m:t>
          </m:r>
          <m:r>
            <m:t>n</m:t>
          </m:r>
          <m:r>
            <m:t>s</m:t>
          </m:r>
          <m:r>
            <m:t>i</m:t>
          </m:r>
          <m:r>
            <m:t>t</m:t>
          </m:r>
          <m:r>
            <m:t>i</m:t>
          </m:r>
          <m:r>
            <m:t>v</m:t>
          </m:r>
          <m:r>
            <m:t>i</m:t>
          </m:r>
          <m:r>
            <m:t>t</m:t>
          </m:r>
          <m:sSub>
            <m:e>
              <m:r>
                <m:t>y</m:t>
              </m:r>
            </m:e>
            <m:sub>
              <m:r>
                <m:t>i</m:t>
              </m:r>
            </m:sub>
          </m:sSub>
          <m:r>
            <m:rPr>
              <m:sty m:val="p"/>
            </m:rPr>
            <m:t>=</m:t>
          </m:r>
          <m:sSub>
            <m:e>
              <m:r>
                <m:t>β</m:t>
              </m:r>
            </m:e>
            <m:sub>
              <m:r>
                <m:t>0</m:t>
              </m:r>
            </m:sub>
          </m:sSub>
          <m:r>
            <m:rPr>
              <m:sty m:val="p"/>
            </m:rPr>
            <m:t>+</m:t>
          </m:r>
          <m:sSub>
            <m:e>
              <m:r>
                <m:t>β</m:t>
              </m:r>
            </m:e>
            <m:sub>
              <m:r>
                <m:t>1</m:t>
              </m:r>
            </m:sub>
          </m:sSub>
          <m:r>
            <m:t>f</m:t>
          </m:r>
          <m:r>
            <m:t>i</m:t>
          </m:r>
          <m:r>
            <m:t>r</m:t>
          </m:r>
          <m:r>
            <m:t>s</m:t>
          </m:r>
          <m:r>
            <m:t>t</m:t>
          </m:r>
          <m:r>
            <m:rPr>
              <m:sty m:val="p"/>
            </m:rPr>
            <m:t>_</m:t>
          </m:r>
          <m:r>
            <m:t>o</m:t>
          </m:r>
          <m:r>
            <m:t>r</m:t>
          </m:r>
          <m:r>
            <m:t>d</m:t>
          </m:r>
          <m:r>
            <m:t>e</m:t>
          </m:r>
          <m:r>
            <m:t>r</m:t>
          </m:r>
          <m:r>
            <m:rPr>
              <m:sty m:val="p"/>
            </m:rPr>
            <m:t>_</m:t>
          </m:r>
          <m:r>
            <m:t>p</m:t>
          </m:r>
          <m:r>
            <m:t>c</m:t>
          </m:r>
          <m:sSub>
            <m:e>
              <m:r>
                <m:t>t</m:t>
              </m:r>
            </m:e>
            <m:sub>
              <m:r>
                <m:t>i</m:t>
              </m:r>
            </m:sub>
          </m:sSub>
          <m:r>
            <m:rPr>
              <m:sty m:val="p"/>
            </m:rPr>
            <m:t>+</m:t>
          </m:r>
          <m:sSub>
            <m:e>
              <m:r>
                <m:t>ϵ</m:t>
              </m:r>
            </m:e>
            <m:sub>
              <m:r>
                <m:t>i</m:t>
              </m:r>
            </m:sub>
          </m:sSub>
        </m:oMath>
      </m:oMathPara>
    </w:p>
    <w:bookmarkStart w:id="15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2.2316</w:t>
            </w:r>
          </w:p>
        </w:tc>
        <w:tc>
          <w:tcPr>
            <w:tcW w:w="0" w:type="auto"/>
          </w:tcPr>
          <w:p>
            <w:pPr>
              <w:spacing w:line="240" w:lineRule="auto" w:before="0" w:after="0"/>
              <w:pStyle w:val="Compact"/>
            </w:pPr>
            <w:r>
              <w:rPr>
                <w:sz w:val="20"/>
                <w:szCs w:val="20"/>
              </w:rPr>
              <w:t xml:space="preserve">0.0256</w:t>
            </w:r>
          </w:p>
        </w:tc>
        <w:tc>
          <w:tcPr>
            <w:tcW w:w="0" w:type="auto"/>
          </w:tcPr>
          <w:p>
            <w:pPr>
              <w:spacing w:line="240" w:lineRule="auto" w:before="0" w:after="0"/>
              <w:pStyle w:val="Compact"/>
            </w:pPr>
            <w:r>
              <w:rPr>
                <w:sz w:val="20"/>
                <w:szCs w:val="20"/>
              </w:rPr>
              <w:t xml:space="preserve">[0.0105, 0.1627]</w:t>
            </w:r>
          </w:p>
        </w:tc>
      </w:tr>
      <w:tr>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0.0007321</w:t>
            </w:r>
          </w:p>
        </w:tc>
        <w:tc>
          <w:tcPr>
            <w:tcW w:w="0" w:type="auto"/>
          </w:tcPr>
          <w:p>
            <w:pPr>
              <w:spacing w:line="240" w:lineRule="auto" w:before="0" w:after="0"/>
              <w:pStyle w:val="Compact"/>
            </w:pPr>
            <w:r>
              <w:rPr>
                <w:sz w:val="20"/>
                <w:szCs w:val="20"/>
              </w:rPr>
              <w:t xml:space="preserve">20.3985</w:t>
            </w:r>
          </w:p>
        </w:tc>
        <w:tc>
          <w:tcPr>
            <w:tcW w:w="0" w:type="auto"/>
          </w:tcPr>
          <w:p>
            <w:pPr>
              <w:spacing w:line="240" w:lineRule="auto" w:before="0" w:after="0"/>
              <w:pStyle w:val="Compact"/>
            </w:pPr>
            <w:r>
              <w:rPr>
                <w:sz w:val="20"/>
                <w:szCs w:val="20"/>
              </w:rPr>
              <w:t xml:space="preserve">1.724e-92</w:t>
            </w:r>
          </w:p>
        </w:tc>
        <w:tc>
          <w:tcPr>
            <w:tcW w:w="0" w:type="auto"/>
          </w:tcPr>
          <w:p>
            <w:pPr>
              <w:spacing w:line="240" w:lineRule="auto" w:before="0" w:after="0"/>
              <w:pStyle w:val="Compact"/>
            </w:pPr>
            <w:r>
              <w:rPr>
                <w:sz w:val="20"/>
                <w:szCs w:val="20"/>
              </w:rPr>
              <w:t xml:space="preserve">[0.0135, 0.0164]</w:t>
            </w:r>
          </w:p>
        </w:tc>
      </w:tr>
    </w:tbl>
    <w:p>
      <w:pPr>
        <w:pStyle w:val="BodyText"/>
        <w:spacing w:line="480" w:lineRule="auto"/>
        <w:ind w:firstLine="720"/>
      </w:pPr>
      <w:r>
        <w:t xml:space="preserve">Fit: N = 9 R2 = 0.9352 R2_adj = 0.926 F = 416.0994 F_p = 1.706e-07</w:t>
      </w:r>
    </w:p>
    <w:bookmarkEnd w:id="154"/>
    <w:bookmarkStart w:id="15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Published first-order sensitivity values predict total-effect sensitivity across DAS output metrics." title="" id="156" name="Picture"/>
            <a:graphic>
              <a:graphicData uri="http://schemas.openxmlformats.org/drawingml/2006/picture">
                <pic:pic>
                  <pic:nvPicPr>
                    <pic:cNvPr descr="D:/Claude_Code/brain/collegium/candidates/dissertations/SSA_SDA_06/research_papers/p1/paper_fig1.png" id="157" name="Picture"/>
                    <pic:cNvPicPr>
                      <a:picLocks noChangeArrowheads="1" noChangeAspect="1"/>
                    </pic:cNvPicPr>
                  </pic:nvPicPr>
                  <pic:blipFill>
                    <a:blip r:embed="rId15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Published first-order sensitivity values predict total-effect sensitivity across DAS output metrics.</w:t>
      </w:r>
    </w:p>
    <w:bookmarkEnd w:id="158"/>
    <w:bookmarkStart w:id="15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metric</w:t>
            </w:r>
          </w:p>
        </w:tc>
        <w:tc>
          <w:tcPr>
            <w:tcW w:w="0" w:type="auto"/>
          </w:tcPr>
          <w:p>
            <w:pPr>
              <w:spacing w:line="240" w:lineRule="auto" w:before="0" w:after="0"/>
              <w:pStyle w:val="Compact"/>
            </w:pPr>
            <w:r>
              <w:rPr>
                <w:sz w:val="20"/>
                <w:szCs w:val="20"/>
              </w:rPr>
              <w:t xml:space="preserve">variable_code</w:t>
            </w:r>
          </w:p>
        </w:tc>
        <w:tc>
          <w:tcPr>
            <w:tcW w:w="0" w:type="auto"/>
          </w:tcPr>
          <w:p>
            <w:pPr>
              <w:spacing w:line="240" w:lineRule="auto" w:before="0" w:after="0"/>
              <w:pStyle w:val="Compact"/>
            </w:pPr>
            <w:r>
              <w:rPr>
                <w:sz w:val="20"/>
                <w:szCs w:val="20"/>
              </w:rPr>
              <w:t xml:space="preserve">variable_name</w:t>
            </w:r>
          </w:p>
        </w:tc>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total_sensitivity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xy</w:t>
            </w:r>
          </w:p>
        </w:tc>
        <w:tc>
          <w:tcPr>
            <w:tcW w:w="0" w:type="auto"/>
          </w:tcPr>
          <w:p>
            <w:pPr>
              <w:spacing w:line="240" w:lineRule="auto" w:before="0" w:after="0"/>
              <w:pStyle w:val="Compact"/>
            </w:pPr>
            <w:r>
              <w:rPr>
                <w:sz w:val="20"/>
                <w:szCs w:val="20"/>
              </w:rPr>
              <w:t xml:space="preserve">passive_decay_start_year</w:t>
            </w:r>
          </w:p>
        </w:tc>
        <w:tc>
          <w:tcPr>
            <w:tcW w:w="0" w:type="auto"/>
          </w:tcPr>
          <w:p>
            <w:pPr>
              <w:spacing w:line="240" w:lineRule="auto" w:before="0" w:after="0"/>
              <w:pStyle w:val="Compact"/>
            </w:pPr>
            <w:r>
              <w:rPr>
                <w:sz w:val="20"/>
                <w:szCs w:val="20"/>
              </w:rPr>
              <w:t xml:space="preserve">9.812</w:t>
            </w:r>
          </w:p>
        </w:tc>
        <w:tc>
          <w:tcPr>
            <w:tcW w:w="0" w:type="auto"/>
          </w:tcPr>
          <w:p>
            <w:pPr>
              <w:spacing w:line="240" w:lineRule="auto" w:before="0" w:after="0"/>
              <w:pStyle w:val="Compact"/>
            </w:pPr>
            <w:r>
              <w:rPr>
                <w:sz w:val="20"/>
                <w:szCs w:val="20"/>
              </w:rPr>
              <w:t xml:space="preserve">0.3636</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xa</w:t>
            </w:r>
          </w:p>
        </w:tc>
        <w:tc>
          <w:tcPr>
            <w:tcW w:w="0" w:type="auto"/>
          </w:tcPr>
          <w:p>
            <w:pPr>
              <w:spacing w:line="240" w:lineRule="auto" w:before="0" w:after="0"/>
              <w:pStyle w:val="Compact"/>
            </w:pPr>
            <w:r>
              <w:rPr>
                <w:sz w:val="20"/>
                <w:szCs w:val="20"/>
              </w:rPr>
              <w:t xml:space="preserve">semi_major_axis</w:t>
            </w:r>
          </w:p>
        </w:tc>
        <w:tc>
          <w:tcPr>
            <w:tcW w:w="0" w:type="auto"/>
          </w:tcPr>
          <w:p>
            <w:pPr>
              <w:spacing w:line="240" w:lineRule="auto" w:before="0" w:after="0"/>
              <w:pStyle w:val="Compact"/>
            </w:pPr>
            <w:r>
              <w:rPr>
                <w:sz w:val="20"/>
                <w:szCs w:val="20"/>
              </w:rPr>
              <w:t xml:space="preserve">51.7</w:t>
            </w:r>
          </w:p>
        </w:tc>
        <w:tc>
          <w:tcPr>
            <w:tcW w:w="0" w:type="auto"/>
          </w:tcPr>
          <w:p>
            <w:pPr>
              <w:spacing w:line="240" w:lineRule="auto" w:before="0" w:after="0"/>
              <w:pStyle w:val="Compact"/>
            </w:pPr>
            <w:r>
              <w:rPr>
                <w:sz w:val="20"/>
                <w:szCs w:val="20"/>
              </w:rPr>
              <w:t xml:space="preserve">0.8352</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xi</w:t>
            </w:r>
          </w:p>
        </w:tc>
        <w:tc>
          <w:tcPr>
            <w:tcW w:w="0" w:type="auto"/>
          </w:tcPr>
          <w:p>
            <w:pPr>
              <w:spacing w:line="240" w:lineRule="auto" w:before="0" w:after="0"/>
              <w:pStyle w:val="Compact"/>
            </w:pPr>
            <w:r>
              <w:rPr>
                <w:sz w:val="20"/>
                <w:szCs w:val="20"/>
              </w:rPr>
              <w:t xml:space="preserve">inclination</w:t>
            </w:r>
          </w:p>
        </w:tc>
        <w:tc>
          <w:tcPr>
            <w:tcW w:w="0" w:type="auto"/>
          </w:tcPr>
          <w:p>
            <w:pPr>
              <w:spacing w:line="240" w:lineRule="auto" w:before="0" w:after="0"/>
              <w:pStyle w:val="Compact"/>
            </w:pPr>
            <w:r>
              <w:rPr>
                <w:sz w:val="20"/>
                <w:szCs w:val="20"/>
              </w:rPr>
              <w:t xml:space="preserve">1.652</w:t>
            </w:r>
          </w:p>
        </w:tc>
        <w:tc>
          <w:tcPr>
            <w:tcW w:w="0" w:type="auto"/>
          </w:tcPr>
          <w:p>
            <w:pPr>
              <w:spacing w:line="240" w:lineRule="auto" w:before="0" w:after="0"/>
              <w:pStyle w:val="Compact"/>
            </w:pPr>
            <w:r>
              <w:rPr>
                <w:sz w:val="20"/>
                <w:szCs w:val="20"/>
              </w:rPr>
              <w:t xml:space="preserve">0.0822</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collision_probability</w:t>
            </w:r>
          </w:p>
        </w:tc>
        <w:tc>
          <w:tcPr>
            <w:tcW w:w="0" w:type="auto"/>
          </w:tcPr>
          <w:p>
            <w:pPr>
              <w:spacing w:line="240" w:lineRule="auto" w:before="0" w:after="0"/>
              <w:pStyle w:val="Compact"/>
            </w:pPr>
            <w:r>
              <w:rPr>
                <w:sz w:val="20"/>
                <w:szCs w:val="20"/>
              </w:rPr>
              <w:t xml:space="preserve">xm</w:t>
            </w:r>
          </w:p>
        </w:tc>
        <w:tc>
          <w:tcPr>
            <w:tcW w:w="0" w:type="auto"/>
          </w:tcPr>
          <w:p>
            <w:pPr>
              <w:spacing w:line="240" w:lineRule="auto" w:before="0" w:after="0"/>
              <w:pStyle w:val="Compact"/>
            </w:pPr>
            <w:r>
              <w:rPr>
                <w:sz w:val="20"/>
                <w:szCs w:val="20"/>
              </w:rPr>
              <w:t xml:space="preserve">area_to_mass_ratio</w:t>
            </w:r>
          </w:p>
        </w:tc>
        <w:tc>
          <w:tcPr>
            <w:tcW w:w="0" w:type="auto"/>
          </w:tcPr>
          <w:p>
            <w:pPr>
              <w:spacing w:line="240" w:lineRule="auto" w:before="0" w:after="0"/>
              <w:pStyle w:val="Compact"/>
            </w:pPr>
            <w:r>
              <w:rPr>
                <w:sz w:val="20"/>
                <w:szCs w:val="20"/>
              </w:rPr>
              <w:t xml:space="preserve">1.526</w:t>
            </w:r>
          </w:p>
        </w:tc>
        <w:tc>
          <w:tcPr>
            <w:tcW w:w="0" w:type="auto"/>
          </w:tcPr>
          <w:p>
            <w:pPr>
              <w:spacing w:line="240" w:lineRule="auto" w:before="0" w:after="0"/>
              <w:pStyle w:val="Compact"/>
            </w:pPr>
            <w:r>
              <w:rPr>
                <w:sz w:val="20"/>
                <w:szCs w:val="20"/>
              </w:rPr>
              <w:t xml:space="preserve">0.1175</w:t>
            </w:r>
          </w:p>
        </w:tc>
        <w:tc>
          <w:tcPr>
            <w:tcW w:w="0" w:type="auto"/>
          </w:tcPr>
          <w:p>
            <w:pPr>
              <w:spacing w:line="240" w:lineRule="auto" w:before="0" w:after="0"/>
              <w:pStyle w:val="Compact"/>
            </w:pPr>
            <w:r>
              <w:rPr>
                <w:sz w:val="20"/>
                <w:szCs w:val="20"/>
              </w:rPr>
              <w:t xml:space="preserve">Table 4 global first order and total sensitivities for DAS large object collision probability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xy</w:t>
            </w:r>
          </w:p>
        </w:tc>
        <w:tc>
          <w:tcPr>
            <w:tcW w:w="0" w:type="auto"/>
          </w:tcPr>
          <w:p>
            <w:pPr>
              <w:spacing w:line="240" w:lineRule="auto" w:before="0" w:after="0"/>
              <w:pStyle w:val="Compact"/>
            </w:pPr>
            <w:r>
              <w:rPr>
                <w:sz w:val="20"/>
                <w:szCs w:val="20"/>
              </w:rPr>
              <w:t xml:space="preserve">passive_decay_start_year</w:t>
            </w:r>
          </w:p>
        </w:tc>
        <w:tc>
          <w:tcPr>
            <w:tcW w:w="0" w:type="auto"/>
          </w:tcPr>
          <w:p>
            <w:pPr>
              <w:spacing w:line="240" w:lineRule="auto" w:before="0" w:after="0"/>
              <w:pStyle w:val="Compact"/>
            </w:pPr>
            <w:r>
              <w:rPr>
                <w:sz w:val="20"/>
                <w:szCs w:val="20"/>
              </w:rPr>
              <w:t xml:space="preserve">1.769</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xa</w:t>
            </w:r>
          </w:p>
        </w:tc>
        <w:tc>
          <w:tcPr>
            <w:tcW w:w="0" w:type="auto"/>
          </w:tcPr>
          <w:p>
            <w:pPr>
              <w:spacing w:line="240" w:lineRule="auto" w:before="0" w:after="0"/>
              <w:pStyle w:val="Compact"/>
            </w:pPr>
            <w:r>
              <w:rPr>
                <w:sz w:val="20"/>
                <w:szCs w:val="20"/>
              </w:rPr>
              <w:t xml:space="preserve">semi_major_axis</w:t>
            </w:r>
          </w:p>
        </w:tc>
        <w:tc>
          <w:tcPr>
            <w:tcW w:w="0" w:type="auto"/>
          </w:tcPr>
          <w:p>
            <w:pPr>
              <w:spacing w:line="240" w:lineRule="auto" w:before="0" w:after="0"/>
              <w:pStyle w:val="Compact"/>
            </w:pPr>
            <w:r>
              <w:rPr>
                <w:sz w:val="20"/>
                <w:szCs w:val="20"/>
              </w:rPr>
              <w:t xml:space="preserve">55.021</w:t>
            </w:r>
          </w:p>
        </w:tc>
        <w:tc>
          <w:tcPr>
            <w:tcW w:w="0" w:type="auto"/>
          </w:tcPr>
          <w:p>
            <w:pPr>
              <w:spacing w:line="240" w:lineRule="auto" w:before="0" w:after="0"/>
              <w:pStyle w:val="Compact"/>
            </w:pPr>
            <w:r>
              <w:rPr>
                <w:sz w:val="20"/>
                <w:szCs w:val="20"/>
              </w:rPr>
              <w:t xml:space="preserve">0.8799</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xe</w:t>
            </w:r>
          </w:p>
        </w:tc>
        <w:tc>
          <w:tcPr>
            <w:tcW w:w="0" w:type="auto"/>
          </w:tcPr>
          <w:p>
            <w:pPr>
              <w:spacing w:line="240" w:lineRule="auto" w:before="0" w:after="0"/>
              <w:pStyle w:val="Compact"/>
            </w:pPr>
            <w:r>
              <w:rPr>
                <w:sz w:val="20"/>
                <w:szCs w:val="20"/>
              </w:rPr>
              <w:t xml:space="preserve">eccentricity</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xi</w:t>
            </w:r>
          </w:p>
        </w:tc>
        <w:tc>
          <w:tcPr>
            <w:tcW w:w="0" w:type="auto"/>
          </w:tcPr>
          <w:p>
            <w:pPr>
              <w:spacing w:line="240" w:lineRule="auto" w:before="0" w:after="0"/>
              <w:pStyle w:val="Compact"/>
            </w:pPr>
            <w:r>
              <w:rPr>
                <w:sz w:val="20"/>
                <w:szCs w:val="20"/>
              </w:rPr>
              <w:t xml:space="preserve">inclination</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0.0005</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r>
        <w:tc>
          <w:tcPr>
            <w:tcW w:w="0" w:type="auto"/>
          </w:tcPr>
          <w:p>
            <w:pPr>
              <w:spacing w:line="240" w:lineRule="auto" w:before="0" w:after="0"/>
              <w:pStyle w:val="Compact"/>
            </w:pPr>
            <w:r>
              <w:rPr>
                <w:sz w:val="20"/>
                <w:szCs w:val="20"/>
              </w:rPr>
              <w:t xml:space="preserve">deorbit_time</w:t>
            </w:r>
          </w:p>
        </w:tc>
        <w:tc>
          <w:tcPr>
            <w:tcW w:w="0" w:type="auto"/>
          </w:tcPr>
          <w:p>
            <w:pPr>
              <w:spacing w:line="240" w:lineRule="auto" w:before="0" w:after="0"/>
              <w:pStyle w:val="Compact"/>
            </w:pPr>
            <w:r>
              <w:rPr>
                <w:sz w:val="20"/>
                <w:szCs w:val="20"/>
              </w:rPr>
              <w:t xml:space="preserve">xm</w:t>
            </w:r>
          </w:p>
        </w:tc>
        <w:tc>
          <w:tcPr>
            <w:tcW w:w="0" w:type="auto"/>
          </w:tcPr>
          <w:p>
            <w:pPr>
              <w:spacing w:line="240" w:lineRule="auto" w:before="0" w:after="0"/>
              <w:pStyle w:val="Compact"/>
            </w:pPr>
            <w:r>
              <w:rPr>
                <w:sz w:val="20"/>
                <w:szCs w:val="20"/>
              </w:rPr>
              <w:t xml:space="preserve">area_to_mass_ratio</w:t>
            </w:r>
          </w:p>
        </w:tc>
        <w:tc>
          <w:tcPr>
            <w:tcW w:w="0" w:type="auto"/>
          </w:tcPr>
          <w:p>
            <w:pPr>
              <w:spacing w:line="240" w:lineRule="auto" w:before="0" w:after="0"/>
              <w:pStyle w:val="Compact"/>
            </w:pPr>
            <w:r>
              <w:rPr>
                <w:sz w:val="20"/>
                <w:szCs w:val="20"/>
              </w:rPr>
              <w:t xml:space="preserve">10.126</w:t>
            </w:r>
          </w:p>
        </w:tc>
        <w:tc>
          <w:tcPr>
            <w:tcW w:w="0" w:type="auto"/>
          </w:tcPr>
          <w:p>
            <w:pPr>
              <w:spacing w:line="240" w:lineRule="auto" w:before="0" w:after="0"/>
              <w:pStyle w:val="Compact"/>
            </w:pPr>
            <w:r>
              <w:rPr>
                <w:sz w:val="20"/>
                <w:szCs w:val="20"/>
              </w:rPr>
              <w:t xml:space="preserve">0.3974</w:t>
            </w:r>
          </w:p>
        </w:tc>
        <w:tc>
          <w:tcPr>
            <w:tcW w:w="0" w:type="auto"/>
          </w:tcPr>
          <w:p>
            <w:pPr>
              <w:spacing w:line="240" w:lineRule="auto" w:before="0" w:after="0"/>
              <w:pStyle w:val="Compact"/>
            </w:pPr>
            <w:r>
              <w:rPr>
                <w:sz w:val="20"/>
                <w:szCs w:val="20"/>
              </w:rPr>
              <w:t xml:space="preserve">Table 6 global first order and total sensitivities for deorbit time reproduced in Chandramouli and Shockley 2025 AMOS</w:t>
            </w:r>
          </w:p>
        </w:tc>
      </w:tr>
    </w:tbl>
    <w:bookmarkEnd w:id="159"/>
    <w:bookmarkStart w:id="16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total_sensitivity</w:t>
            </w:r>
          </w:p>
        </w:tc>
        <w:tc>
          <w:tcPr>
            <w:tcW w:w="0" w:type="auto"/>
          </w:tcPr>
          <w:p>
            <w:pPr>
              <w:spacing w:line="240" w:lineRule="auto" w:before="0" w:after="0"/>
              <w:pStyle w:val="Compact"/>
            </w:pPr>
            <w:r>
              <w:rPr>
                <w:sz w:val="20"/>
                <w:szCs w:val="20"/>
              </w:rPr>
              <w:t xml:space="preserve">Sobol total-effect sensitivity index</w:t>
            </w:r>
          </w:p>
        </w:tc>
        <w:tc>
          <w:tcPr>
            <w:tcW w:w="0" w:type="auto"/>
          </w:tcPr>
          <w:p>
            <w:pPr>
              <w:spacing w:line="240" w:lineRule="auto" w:before="0" w:after="0"/>
              <w:pStyle w:val="Compact"/>
            </w:pPr>
            <w:r>
              <w:rPr>
                <w:sz w:val="20"/>
                <w:szCs w:val="20"/>
              </w:rPr>
              <w:t xml:space="preserve">Published Table 4 and Table 6 values in Chandramouli and Shockley 2025 AMOS.</w:t>
            </w:r>
          </w:p>
        </w:tc>
      </w:tr>
      <w:tr>
        <w:tc>
          <w:tcPr>
            <w:tcW w:w="0" w:type="auto"/>
          </w:tcPr>
          <w:p>
            <w:pPr>
              <w:spacing w:line="240" w:lineRule="auto" w:before="0" w:after="0"/>
              <w:pStyle w:val="Compact"/>
            </w:pPr>
            <w:r>
              <w:rPr>
                <w:sz w:val="20"/>
                <w:szCs w:val="20"/>
              </w:rPr>
              <w:t xml:space="preserve">first_order_pct</w:t>
            </w:r>
          </w:p>
        </w:tc>
        <w:tc>
          <w:tcPr>
            <w:tcW w:w="0" w:type="auto"/>
          </w:tcPr>
          <w:p>
            <w:pPr>
              <w:spacing w:line="240" w:lineRule="auto" w:before="0" w:after="0"/>
              <w:pStyle w:val="Compact"/>
            </w:pPr>
            <w:r>
              <w:rPr>
                <w:sz w:val="20"/>
                <w:szCs w:val="20"/>
              </w:rPr>
              <w:t xml:space="preserve">Sobol first-order sensitivity as a percentage</w:t>
            </w:r>
          </w:p>
        </w:tc>
        <w:tc>
          <w:tcPr>
            <w:tcW w:w="0" w:type="auto"/>
          </w:tcPr>
          <w:p>
            <w:pPr>
              <w:spacing w:line="240" w:lineRule="auto" w:before="0" w:after="0"/>
              <w:pStyle w:val="Compact"/>
            </w:pPr>
            <w:r>
              <w:rPr>
                <w:sz w:val="20"/>
                <w:szCs w:val="20"/>
              </w:rPr>
              <w:t xml:space="preserve">Published Table 4 and Table 6 values in Chandramouli and Shockley 2025 AMOS.</w:t>
            </w:r>
          </w:p>
        </w:tc>
      </w:tr>
      <w:tr>
        <w:tc>
          <w:tcPr>
            <w:tcW w:w="0" w:type="auto"/>
          </w:tcPr>
          <w:p>
            <w:pPr>
              <w:spacing w:line="240" w:lineRule="auto" w:before="0" w:after="0"/>
              <w:pStyle w:val="Compact"/>
            </w:pPr>
            <w:r>
              <w:rPr>
                <w:sz w:val="20"/>
                <w:szCs w:val="20"/>
              </w:rPr>
              <w:t xml:space="preserve">metric</w:t>
            </w:r>
          </w:p>
        </w:tc>
        <w:tc>
          <w:tcPr>
            <w:tcW w:w="0" w:type="auto"/>
          </w:tcPr>
          <w:p>
            <w:pPr>
              <w:spacing w:line="240" w:lineRule="auto" w:before="0" w:after="0"/>
              <w:pStyle w:val="Compact"/>
            </w:pPr>
            <w:r>
              <w:rPr>
                <w:sz w:val="20"/>
                <w:szCs w:val="20"/>
              </w:rPr>
              <w:t xml:space="preserve">DAS output being analyzed</w:t>
            </w:r>
          </w:p>
        </w:tc>
        <w:tc>
          <w:tcPr>
            <w:tcW w:w="0" w:type="auto"/>
          </w:tcPr>
          <w:p>
            <w:pPr>
              <w:spacing w:line="240" w:lineRule="auto" w:before="0" w:after="0"/>
              <w:pStyle w:val="Compact"/>
            </w:pPr>
            <w:r>
              <w:rPr>
                <w:sz w:val="20"/>
                <w:szCs w:val="20"/>
              </w:rPr>
              <w:t xml:space="preserve">Collision probability or deorbit time result family from the AMOS paper.</w:t>
            </w:r>
          </w:p>
        </w:tc>
      </w:tr>
      <w:tr>
        <w:tc>
          <w:tcPr>
            <w:tcW w:w="0" w:type="auto"/>
          </w:tcPr>
          <w:p>
            <w:pPr>
              <w:spacing w:line="240" w:lineRule="auto" w:before="0" w:after="0"/>
              <w:pStyle w:val="Compact"/>
            </w:pPr>
            <w:r>
              <w:rPr>
                <w:sz w:val="20"/>
                <w:szCs w:val="20"/>
              </w:rPr>
              <w:t xml:space="preserve">variable_name</w:t>
            </w:r>
          </w:p>
        </w:tc>
        <w:tc>
          <w:tcPr>
            <w:tcW w:w="0" w:type="auto"/>
          </w:tcPr>
          <w:p>
            <w:pPr>
              <w:spacing w:line="240" w:lineRule="auto" w:before="0" w:after="0"/>
              <w:pStyle w:val="Compact"/>
            </w:pPr>
            <w:r>
              <w:rPr>
                <w:sz w:val="20"/>
                <w:szCs w:val="20"/>
              </w:rPr>
              <w:t xml:space="preserve">DAS input variable mapped to the sensitivity index</w:t>
            </w:r>
          </w:p>
        </w:tc>
        <w:tc>
          <w:tcPr>
            <w:tcW w:w="0" w:type="auto"/>
          </w:tcPr>
          <w:p>
            <w:pPr>
              <w:spacing w:line="240" w:lineRule="auto" w:before="0" w:after="0"/>
              <w:pStyle w:val="Compact"/>
            </w:pPr>
            <w:r>
              <w:rPr>
                <w:sz w:val="20"/>
                <w:szCs w:val="20"/>
              </w:rPr>
              <w:t xml:space="preserve">Published variable mapping and sensitivity tables in the AMOS paper.</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cites the published AMOS table from which the numeric values are transcribed.</w:t>
            </w:r>
          </w:p>
        </w:tc>
      </w:tr>
    </w:tbl>
    <w:bookmarkEnd w:id="160"/>
    <w:bookmarkEnd w:id="161"/>
    <w:bookmarkStart w:id="169" w:name="X1b8cf8c5946cc4989f682734ecfd070d44553e3"/>
    <w:p>
      <w:pPr>
        <w:pStyle w:val="Heading2"/>
        <w:spacing w:line="480" w:lineRule="auto"/>
      </w:pPr>
      <w:r>
        <w:t xml:space="preserve">A.2 Model-Divergence Materiality Across ORDEM and MASTER Matched Bins</w:t>
      </w:r>
    </w:p>
    <w:p>
      <w:pPr>
        <w:pStyle w:val="FirstParagraph"/>
        <w:spacing w:line="480" w:lineRule="auto"/>
      </w:pPr>
      <m:oMathPara>
        <m:oMathParaPr>
          <m:jc m:val="center"/>
        </m:oMathParaPr>
        <m:oMath>
          <m:r>
            <m:t>P</m:t>
          </m:r>
          <m:r>
            <m:t>r</m:t>
          </m:r>
          <m:r>
            <m:rPr>
              <m:sty m:val="p"/>
            </m:rPr>
            <m:t>(</m:t>
          </m:r>
          <m:r>
            <m:t>d</m:t>
          </m:r>
          <m:r>
            <m:t>e</m:t>
          </m:r>
          <m:r>
            <m:t>c</m:t>
          </m:r>
          <m:r>
            <m:t>i</m:t>
          </m:r>
          <m:r>
            <m:t>s</m:t>
          </m:r>
          <m:r>
            <m:t>i</m:t>
          </m:r>
          <m:r>
            <m:t>o</m:t>
          </m:r>
          <m:r>
            <m:t>n</m:t>
          </m:r>
          <m:r>
            <m:rPr>
              <m:sty m:val="p"/>
            </m:rPr>
            <m:t>_</m:t>
          </m:r>
          <m:r>
            <m:t>f</m:t>
          </m:r>
          <m:r>
            <m:t>l</m:t>
          </m:r>
          <m:r>
            <m:t>i</m:t>
          </m:r>
          <m:sSub>
            <m:e>
              <m:r>
                <m:t>p</m:t>
              </m:r>
            </m:e>
            <m:sub>
              <m:r>
                <m:t>i</m:t>
              </m:r>
            </m:sub>
          </m:sSub>
          <m:r>
            <m:rPr>
              <m:sty m:val="p"/>
            </m:rPr>
            <m:t>=</m:t>
          </m:r>
          <m:r>
            <m:t>1</m:t>
          </m:r>
          <m:r>
            <m:rPr>
              <m:sty m:val="p"/>
            </m:rPr>
            <m:t>)</m:t>
          </m:r>
          <m:r>
            <m:rPr>
              <m:sty m:val="p"/>
            </m:rPr>
            <m:t>=</m:t>
          </m:r>
          <m:r>
            <m:t>l</m:t>
          </m:r>
          <m:r>
            <m:t>o</m:t>
          </m:r>
          <m:r>
            <m:t>g</m:t>
          </m:r>
          <m:r>
            <m:t>i</m:t>
          </m:r>
          <m:sSup>
            <m:e>
              <m:r>
                <m:t>t</m:t>
              </m:r>
            </m:e>
            <m:sup>
              <m:r>
                <m:rPr>
                  <m:sty m:val="p"/>
                </m:rPr>
                <m:t>−</m:t>
              </m:r>
              <m:r>
                <m:t>1</m:t>
              </m:r>
            </m:sup>
          </m:sSup>
          <m:r>
            <m:rPr>
              <m:sty m:val="p"/>
            </m:rPr>
            <m:t>(</m:t>
          </m:r>
          <m:r>
            <m:t>α</m:t>
          </m:r>
          <m:r>
            <m:rPr>
              <m:sty m:val="p"/>
            </m:rPr>
            <m:t>+</m:t>
          </m:r>
          <m:r>
            <m:t>β</m:t>
          </m:r>
          <m:r>
            <m:t> </m:t>
          </m:r>
          <m:r>
            <m:t>a</m:t>
          </m:r>
          <m:r>
            <m:t>b</m:t>
          </m:r>
          <m:r>
            <m:t>s</m:t>
          </m:r>
          <m:r>
            <m:rPr>
              <m:sty m:val="p"/>
            </m:rPr>
            <m:t>_</m:t>
          </m:r>
          <m:r>
            <m:t>d</m:t>
          </m:r>
          <m:r>
            <m:t>i</m:t>
          </m:r>
          <m:r>
            <m:t>v</m:t>
          </m:r>
          <m:r>
            <m:t>e</m:t>
          </m:r>
          <m:r>
            <m:t>r</m:t>
          </m:r>
          <m:r>
            <m:t>g</m:t>
          </m:r>
          <m:r>
            <m:t>e</m:t>
          </m:r>
          <m:r>
            <m:t>n</m:t>
          </m:r>
          <m:r>
            <m:t>c</m:t>
          </m:r>
          <m:r>
            <m:t>e</m:t>
          </m:r>
          <m:r>
            <m:rPr>
              <m:sty m:val="p"/>
            </m:rPr>
            <m:t>_</m:t>
          </m:r>
          <m:r>
            <m:t>p</m:t>
          </m:r>
          <m:r>
            <m:t>c</m:t>
          </m:r>
          <m:sSub>
            <m:e>
              <m:r>
                <m:t>t</m:t>
              </m:r>
            </m:e>
            <m:sub>
              <m:r>
                <m:t>i</m:t>
              </m:r>
            </m:sub>
          </m:sSub>
          <m:r>
            <m:rPr>
              <m:sty m:val="p"/>
            </m:rPr>
            <m:t>)</m:t>
          </m:r>
        </m:oMath>
      </m:oMathPara>
    </w:p>
    <w:bookmarkStart w:id="16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-2.5404</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-3.7231</w:t>
            </w:r>
          </w:p>
        </w:tc>
        <w:tc>
          <w:tcPr>
            <w:tcW w:w="0" w:type="auto"/>
          </w:tcPr>
          <w:p>
            <w:pPr>
              <w:spacing w:line="240" w:lineRule="auto" w:before="0" w:after="0"/>
              <w:pStyle w:val="Compact"/>
            </w:pPr>
            <w:r>
              <w:rPr>
                <w:sz w:val="20"/>
                <w:szCs w:val="20"/>
              </w:rPr>
              <w:t xml:space="preserve">0.0001968</w:t>
            </w:r>
          </w:p>
        </w:tc>
        <w:tc>
          <w:tcPr>
            <w:tcW w:w="0" w:type="auto"/>
          </w:tcPr>
          <w:p>
            <w:pPr>
              <w:spacing w:line="240" w:lineRule="auto" w:before="0" w:after="0"/>
              <w:pStyle w:val="Compact"/>
            </w:pPr>
            <w:r>
              <w:rPr>
                <w:sz w:val="20"/>
                <w:szCs w:val="20"/>
              </w:rPr>
              <w:t xml:space="preserve">[-3.8778, -1.2031]</w:t>
            </w:r>
          </w:p>
        </w:tc>
      </w:tr>
      <w:tr>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0.0471</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3.215</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[0.0184, 0.0759]</w:t>
            </w:r>
          </w:p>
        </w:tc>
      </w:tr>
    </w:tbl>
    <w:p>
      <w:pPr>
        <w:pStyle w:val="BodyText"/>
        <w:spacing w:line="480" w:lineRule="auto"/>
        <w:ind w:firstLine="720"/>
      </w:pPr>
      <w:r>
        <w:t xml:space="preserve">Fit: N = 40 pseudo_R2 = 0.3382 LL = -16.6924</w:t>
      </w:r>
    </w:p>
    <w:bookmarkEnd w:id="162"/>
    <w:bookmarkStart w:id="16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Higher public-model divergence increases the probability of an operational decision-review flag." title="" id="164" name="Picture"/>
            <a:graphic>
              <a:graphicData uri="http://schemas.openxmlformats.org/drawingml/2006/picture">
                <pic:pic>
                  <pic:nvPicPr>
                    <pic:cNvPr descr="D:/Claude_Code/brain/collegium/candidates/dissertations/SSA_SDA_06/research_papers/p2/paper_fig1.png" id="165" name="Picture"/>
                    <pic:cNvPicPr>
                      <a:picLocks noChangeArrowheads="1" noChangeAspect="1"/>
                    </pic:cNvPicPr>
                  </pic:nvPicPr>
                  <pic:blipFill>
                    <a:blip r:embed="rId16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Higher public-model divergence increases the probability of an operational decision-review flag.</w:t>
      </w:r>
    </w:p>
    <w:bookmarkEnd w:id="166"/>
    <w:bookmarkStart w:id="16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size_bin</w:t>
            </w:r>
          </w:p>
        </w:tc>
        <w:tc>
          <w:tcPr>
            <w:tcW w:w="0" w:type="auto"/>
          </w:tcPr>
          <w:p>
            <w:pPr>
              <w:spacing w:line="240" w:lineRule="auto" w:before="0" w:after="0"/>
              <w:pStyle w:val="Compact"/>
            </w:pPr>
            <w:r>
              <w:rPr>
                <w:sz w:val="20"/>
                <w:szCs w:val="20"/>
              </w:rPr>
              <w:t xml:space="preserve">ordem_flux_index</w:t>
            </w:r>
          </w:p>
        </w:tc>
        <w:tc>
          <w:tcPr>
            <w:tcW w:w="0" w:type="auto"/>
          </w:tcPr>
          <w:p>
            <w:pPr>
              <w:spacing w:line="240" w:lineRule="auto" w:before="0" w:after="0"/>
              <w:pStyle w:val="Compact"/>
            </w:pPr>
            <w:r>
              <w:rPr>
                <w:sz w:val="20"/>
                <w:szCs w:val="20"/>
              </w:rPr>
              <w:t xml:space="preserve">master_flux_index</w:t>
            </w:r>
          </w:p>
        </w:tc>
        <w:tc>
          <w:tcPr>
            <w:tcW w:w="0" w:type="auto"/>
          </w:tcPr>
          <w:p>
            <w:pPr>
              <w:spacing w:line="240" w:lineRule="auto" w:before="0" w:after="0"/>
              <w:pStyle w:val="Compact"/>
            </w:pPr>
            <w:r>
              <w:rPr>
                <w:sz w:val="20"/>
                <w:szCs w:val="20"/>
              </w:rPr>
              <w:t xml:space="preserve">operational_threshold_index</w:t>
            </w:r>
          </w:p>
        </w:tc>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near_threshold_flag</w:t>
            </w:r>
          </w:p>
        </w:tc>
        <w:tc>
          <w:tcPr>
            <w:tcW w:w="0" w:type="auto"/>
          </w:tcPr>
          <w:p>
            <w:pPr>
              <w:spacing w:line="240" w:lineRule="auto" w:before="0" w:after="0"/>
              <w:pStyle w:val="Compact"/>
            </w:pPr>
            <w:r>
              <w:rPr>
                <w:sz w:val="20"/>
                <w:szCs w:val="20"/>
              </w:rPr>
              <w:t xml:space="preserve">dense_leo_flag</w:t>
            </w:r>
          </w:p>
        </w:tc>
        <w:tc>
          <w:tcPr>
            <w:tcW w:w="0" w:type="auto"/>
          </w:tcPr>
          <w:p>
            <w:pPr>
              <w:spacing w:line="240" w:lineRule="auto" w:before="0" w:after="0"/>
              <w:pStyle w:val="Compact"/>
            </w:pPr>
            <w:r>
              <w:rPr>
                <w:sz w:val="20"/>
                <w:szCs w:val="20"/>
              </w:rPr>
              <w:t xml:space="preserve">decision_flip</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0.3185</w:t>
            </w:r>
          </w:p>
        </w:tc>
        <w:tc>
          <w:tcPr>
            <w:tcW w:w="0" w:type="auto"/>
          </w:tcPr>
          <w:p>
            <w:pPr>
              <w:spacing w:line="240" w:lineRule="auto" w:before="0" w:after="0"/>
              <w:pStyle w:val="Compact"/>
            </w:pPr>
            <w:r>
              <w:rPr>
                <w:sz w:val="20"/>
                <w:szCs w:val="20"/>
              </w:rPr>
              <w:t xml:space="preserve">0.2866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0.7962</w:t>
            </w:r>
          </w:p>
        </w:tc>
        <w:tc>
          <w:tcPr>
            <w:tcW w:w="0" w:type="auto"/>
          </w:tcPr>
          <w:p>
            <w:pPr>
              <w:spacing w:line="240" w:lineRule="auto" w:before="0" w:after="0"/>
              <w:pStyle w:val="Compact"/>
            </w:pPr>
            <w:r>
              <w:rPr>
                <w:sz w:val="20"/>
                <w:szCs w:val="20"/>
              </w:rPr>
              <w:t xml:space="preserve">1.3574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26.5385</w:t>
            </w:r>
          </w:p>
        </w:tc>
        <w:tc>
          <w:tcPr>
            <w:tcW w:w="0" w:type="auto"/>
          </w:tcPr>
          <w:p>
            <w:pPr>
              <w:spacing w:line="240" w:lineRule="auto" w:before="0" w:after="0"/>
              <w:pStyle w:val="Compact"/>
            </w:pPr>
            <w:r>
              <w:rPr>
                <w:sz w:val="20"/>
                <w:szCs w:val="20"/>
              </w:rPr>
              <w:t xml:space="preserve">31.3154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128.8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0.3877</w:t>
            </w:r>
          </w:p>
        </w:tc>
        <w:tc>
          <w:tcPr>
            <w:tcW w:w="0" w:type="auto"/>
          </w:tcPr>
          <w:p>
            <w:pPr>
              <w:spacing w:line="240" w:lineRule="auto" w:before="0" w:after="0"/>
              <w:pStyle w:val="Compact"/>
            </w:pPr>
            <w:r>
              <w:rPr>
                <w:sz w:val="20"/>
                <w:szCs w:val="20"/>
              </w:rPr>
              <w:t xml:space="preserve">0.3489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1.7592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32.3077</w:t>
            </w:r>
          </w:p>
        </w:tc>
        <w:tc>
          <w:tcPr>
            <w:tcW w:w="0" w:type="auto"/>
          </w:tcPr>
          <w:p>
            <w:pPr>
              <w:spacing w:line="240" w:lineRule="auto" w:before="0" w:after="0"/>
              <w:pStyle w:val="Compact"/>
            </w:pPr>
            <w:r>
              <w:rPr>
                <w:sz w:val="20"/>
                <w:szCs w:val="20"/>
              </w:rPr>
              <w:t xml:space="preserve">38.7692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160.16</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0.4569</w:t>
            </w:r>
          </w:p>
        </w:tc>
        <w:tc>
          <w:tcPr>
            <w:tcW w:w="0" w:type="auto"/>
          </w:tcPr>
          <w:p>
            <w:pPr>
              <w:spacing w:line="240" w:lineRule="auto" w:before="0" w:after="0"/>
              <w:pStyle w:val="Compact"/>
            </w:pPr>
            <w:r>
              <w:rPr>
                <w:sz w:val="20"/>
                <w:szCs w:val="20"/>
              </w:rPr>
              <w:t xml:space="preserve">0.4227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1.1423</w:t>
            </w:r>
          </w:p>
        </w:tc>
        <w:tc>
          <w:tcPr>
            <w:tcW w:w="0" w:type="auto"/>
          </w:tcPr>
          <w:p>
            <w:pPr>
              <w:spacing w:line="240" w:lineRule="auto" w:before="0" w:after="0"/>
              <w:pStyle w:val="Compact"/>
            </w:pPr>
            <w:r>
              <w:rPr>
                <w:sz w:val="20"/>
                <w:szCs w:val="20"/>
              </w:rPr>
              <w:t xml:space="preserve">2.1989</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38.0769</w:t>
            </w:r>
          </w:p>
        </w:tc>
        <w:tc>
          <w:tcPr>
            <w:tcW w:w="0" w:type="auto"/>
          </w:tcPr>
          <w:p>
            <w:pPr>
              <w:spacing w:line="240" w:lineRule="auto" w:before="0" w:after="0"/>
              <w:pStyle w:val="Compact"/>
            </w:pPr>
            <w:r>
              <w:rPr>
                <w:sz w:val="20"/>
                <w:szCs w:val="20"/>
              </w:rPr>
              <w:t xml:space="preserve">47.2154</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192.72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1.2288</w:t>
            </w:r>
          </w:p>
        </w:tc>
        <w:tc>
          <w:tcPr>
            <w:tcW w:w="0" w:type="auto"/>
          </w:tcPr>
          <w:p>
            <w:pPr>
              <w:spacing w:line="240" w:lineRule="auto" w:before="0" w:after="0"/>
              <w:pStyle w:val="Compact"/>
            </w:pPr>
            <w:r>
              <w:rPr>
                <w:sz w:val="20"/>
                <w:szCs w:val="20"/>
              </w:rPr>
              <w:t xml:space="preserve">2.4331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40.9615</w:t>
            </w:r>
          </w:p>
        </w:tc>
        <w:tc>
          <w:tcPr>
            <w:tcW w:w="0" w:type="auto"/>
          </w:tcPr>
          <w:p>
            <w:pPr>
              <w:spacing w:line="240" w:lineRule="auto" w:before="0" w:after="0"/>
              <w:pStyle w:val="Compact"/>
            </w:pPr>
            <w:r>
              <w:rPr>
                <w:sz w:val="20"/>
                <w:szCs w:val="20"/>
              </w:rPr>
              <w:t xml:space="preserve">51.6115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209.45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0.5608</w:t>
            </w:r>
          </w:p>
        </w:tc>
        <w:tc>
          <w:tcPr>
            <w:tcW w:w="0" w:type="auto"/>
          </w:tcPr>
          <w:p>
            <w:pPr>
              <w:spacing w:line="240" w:lineRule="auto" w:before="0" w:after="0"/>
              <w:pStyle w:val="Compact"/>
            </w:pPr>
            <w:r>
              <w:rPr>
                <w:sz w:val="20"/>
                <w:szCs w:val="20"/>
              </w:rPr>
              <w:t xml:space="preserve">0.5397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46.7308</w:t>
            </w:r>
          </w:p>
        </w:tc>
        <w:tc>
          <w:tcPr>
            <w:tcW w:w="0" w:type="auto"/>
          </w:tcPr>
          <w:p>
            <w:pPr>
              <w:spacing w:line="240" w:lineRule="auto" w:before="0" w:after="0"/>
              <w:pStyle w:val="Compact"/>
            </w:pPr>
            <w:r>
              <w:rPr>
                <w:sz w:val="20"/>
                <w:szCs w:val="20"/>
              </w:rPr>
              <w:t xml:space="preserve">60.75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243.81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0.63</w:t>
            </w:r>
          </w:p>
        </w:tc>
        <w:tc>
          <w:tcPr>
            <w:tcW w:w="0" w:type="auto"/>
          </w:tcPr>
          <w:p>
            <w:pPr>
              <w:spacing w:line="240" w:lineRule="auto" w:before="0" w:after="0"/>
              <w:pStyle w:val="Compact"/>
            </w:pPr>
            <w:r>
              <w:rPr>
                <w:sz w:val="20"/>
                <w:szCs w:val="20"/>
              </w:rPr>
              <w:t xml:space="preserve">0.6221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1.575</w:t>
            </w:r>
          </w:p>
        </w:tc>
        <w:tc>
          <w:tcPr>
            <w:tcW w:w="0" w:type="auto"/>
          </w:tcPr>
          <w:p>
            <w:pPr>
              <w:spacing w:line="240" w:lineRule="auto" w:before="0" w:after="0"/>
              <w:pStyle w:val="Compact"/>
            </w:pPr>
            <w:r>
              <w:rPr>
                <w:sz w:val="20"/>
                <w:szCs w:val="20"/>
              </w:rPr>
              <w:t xml:space="preserve">3.465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70.35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850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227.5</w:t>
            </w:r>
          </w:p>
        </w:tc>
        <w:tc>
          <w:tcPr>
            <w:tcW w:w="0" w:type="auto"/>
          </w:tcPr>
          <w:p>
            <w:pPr>
              <w:spacing w:line="240" w:lineRule="auto" w:before="0" w:after="0"/>
              <w:pStyle w:val="Compact"/>
            </w:pPr>
            <w:r>
              <w:rPr>
                <w:sz w:val="20"/>
                <w:szCs w:val="20"/>
              </w:rPr>
              <w:t xml:space="preserve">279.37</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0.5608</w:t>
            </w:r>
          </w:p>
        </w:tc>
        <w:tc>
          <w:tcPr>
            <w:tcW w:w="0" w:type="auto"/>
          </w:tcPr>
          <w:p>
            <w:pPr>
              <w:spacing w:line="240" w:lineRule="auto" w:before="0" w:after="0"/>
              <w:pStyle w:val="Compact"/>
            </w:pPr>
            <w:r>
              <w:rPr>
                <w:sz w:val="20"/>
                <w:szCs w:val="20"/>
              </w:rPr>
              <w:t xml:space="preserve">0.5678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1.4019</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46.7308</w:t>
            </w:r>
          </w:p>
        </w:tc>
        <w:tc>
          <w:tcPr>
            <w:tcW w:w="0" w:type="auto"/>
          </w:tcPr>
          <w:p>
            <w:pPr>
              <w:spacing w:line="240" w:lineRule="auto" w:before="0" w:after="0"/>
              <w:pStyle w:val="Compact"/>
            </w:pPr>
            <w:r>
              <w:rPr>
                <w:sz w:val="20"/>
                <w:szCs w:val="20"/>
              </w:rPr>
              <w:t xml:space="preserve">62.6192</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950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248.67</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0.4915</w:t>
            </w:r>
          </w:p>
        </w:tc>
        <w:tc>
          <w:tcPr>
            <w:tcW w:w="0" w:type="auto"/>
          </w:tcPr>
          <w:p>
            <w:pPr>
              <w:spacing w:line="240" w:lineRule="auto" w:before="0" w:after="0"/>
              <w:pStyle w:val="Compact"/>
            </w:pPr>
            <w:r>
              <w:rPr>
                <w:sz w:val="20"/>
                <w:szCs w:val="20"/>
              </w:rPr>
              <w:t xml:space="preserve">0.51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1.2288</w:t>
            </w:r>
          </w:p>
        </w:tc>
        <w:tc>
          <w:tcPr>
            <w:tcW w:w="0" w:type="auto"/>
          </w:tcPr>
          <w:p>
            <w:pPr>
              <w:spacing w:line="240" w:lineRule="auto" w:before="0" w:after="0"/>
              <w:pStyle w:val="Compact"/>
            </w:pPr>
            <w:r>
              <w:rPr>
                <w:sz w:val="20"/>
                <w:szCs w:val="20"/>
              </w:rPr>
              <w:t xml:space="preserve">2.4331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40.9615</w:t>
            </w:r>
          </w:p>
        </w:tc>
        <w:tc>
          <w:tcPr>
            <w:tcW w:w="0" w:type="auto"/>
          </w:tcPr>
          <w:p>
            <w:pPr>
              <w:spacing w:line="240" w:lineRule="auto" w:before="0" w:after="0"/>
              <w:pStyle w:val="Compact"/>
            </w:pPr>
            <w:r>
              <w:rPr>
                <w:sz w:val="20"/>
                <w:szCs w:val="20"/>
              </w:rPr>
              <w:t xml:space="preserve">53.25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177.5</w:t>
            </w:r>
          </w:p>
        </w:tc>
        <w:tc>
          <w:tcPr>
            <w:tcW w:w="0" w:type="auto"/>
          </w:tcPr>
          <w:p>
            <w:pPr>
              <w:spacing w:line="240" w:lineRule="auto" w:before="0" w:after="0"/>
              <w:pStyle w:val="Compact"/>
            </w:pPr>
            <w:r>
              <w:rPr>
                <w:sz w:val="20"/>
                <w:szCs w:val="20"/>
              </w:rPr>
              <w:t xml:space="preserve">213.71</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0.3877</w:t>
            </w:r>
          </w:p>
        </w:tc>
        <w:tc>
          <w:tcPr>
            <w:tcW w:w="0" w:type="auto"/>
          </w:tcPr>
          <w:p>
            <w:pPr>
              <w:spacing w:line="240" w:lineRule="auto" w:before="0" w:after="0"/>
              <w:pStyle w:val="Compact"/>
            </w:pPr>
            <w:r>
              <w:rPr>
                <w:sz w:val="20"/>
                <w:szCs w:val="20"/>
              </w:rPr>
              <w:t xml:space="preserve">0.4168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0.9692</w:t>
            </w:r>
          </w:p>
        </w:tc>
        <w:tc>
          <w:tcPr>
            <w:tcW w:w="0" w:type="auto"/>
          </w:tcPr>
          <w:p>
            <w:pPr>
              <w:spacing w:line="240" w:lineRule="auto" w:before="0" w:after="0"/>
              <w:pStyle w:val="Compact"/>
            </w:pPr>
            <w:r>
              <w:rPr>
                <w:sz w:val="20"/>
                <w:szCs w:val="20"/>
              </w:rPr>
              <w:t xml:space="preserve">1.7592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81.5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32.3077</w:t>
            </w:r>
          </w:p>
        </w:tc>
        <w:tc>
          <w:tcPr>
            <w:tcW w:w="0" w:type="auto"/>
          </w:tcPr>
          <w:p>
            <w:pPr>
              <w:spacing w:line="240" w:lineRule="auto" w:before="0" w:after="0"/>
              <w:pStyle w:val="Compact"/>
            </w:pPr>
            <w:r>
              <w:rPr>
                <w:sz w:val="20"/>
                <w:szCs w:val="20"/>
              </w:rPr>
              <w:t xml:space="preserve">40.0615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163.52</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&gt;10cm</w:t>
            </w:r>
          </w:p>
        </w:tc>
        <w:tc>
          <w:tcPr>
            <w:tcW w:w="0" w:type="auto"/>
          </w:tcPr>
          <w:p>
            <w:pPr>
              <w:spacing w:line="240" w:lineRule="auto" w:before="0" w:after="0"/>
              <w:pStyle w:val="Compact"/>
            </w:pPr>
            <w:r>
              <w:rPr>
                <w:sz w:val="20"/>
                <w:szCs w:val="20"/>
              </w:rPr>
              <w:t xml:space="preserve">0.2492</w:t>
            </w:r>
          </w:p>
        </w:tc>
        <w:tc>
          <w:tcPr>
            <w:tcW w:w="0" w:type="auto"/>
          </w:tcPr>
          <w:p>
            <w:pPr>
              <w:spacing w:line="240" w:lineRule="auto" w:before="0" w:after="0"/>
              <w:pStyle w:val="Compact"/>
            </w:pPr>
            <w:r>
              <w:rPr>
                <w:sz w:val="20"/>
                <w:szCs w:val="20"/>
              </w:rPr>
              <w:t xml:space="preserve">0.2804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1-10cm</w:t>
            </w:r>
          </w:p>
        </w:tc>
        <w:tc>
          <w:tcPr>
            <w:tcW w:w="0" w:type="auto"/>
          </w:tcPr>
          <w:p>
            <w:pPr>
              <w:spacing w:line="240" w:lineRule="auto" w:before="0" w:after="0"/>
              <w:pStyle w:val="Compact"/>
            </w:pPr>
            <w:r>
              <w:rPr>
                <w:sz w:val="20"/>
                <w:szCs w:val="20"/>
              </w:rPr>
              <w:t xml:space="preserve">0.6231</w:t>
            </w:r>
          </w:p>
        </w:tc>
        <w:tc>
          <w:tcPr>
            <w:tcW w:w="0" w:type="auto"/>
          </w:tcPr>
          <w:p>
            <w:pPr>
              <w:spacing w:line="240" w:lineRule="auto" w:before="0" w:after="0"/>
              <w:pStyle w:val="Compact"/>
            </w:pPr>
            <w:r>
              <w:rPr>
                <w:sz w:val="20"/>
                <w:szCs w:val="20"/>
              </w:rPr>
              <w:t xml:space="preserve">1.0281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1-10mm</w:t>
            </w:r>
          </w:p>
        </w:tc>
        <w:tc>
          <w:tcPr>
            <w:tcW w:w="0" w:type="auto"/>
          </w:tcPr>
          <w:p>
            <w:pPr>
              <w:spacing w:line="240" w:lineRule="auto" w:before="0" w:after="0"/>
              <w:pStyle w:val="Compact"/>
            </w:pPr>
            <w:r>
              <w:rPr>
                <w:sz w:val="20"/>
                <w:szCs w:val="20"/>
              </w:rPr>
              <w:t xml:space="preserve">20.7692</w:t>
            </w:r>
          </w:p>
        </w:tc>
        <w:tc>
          <w:tcPr>
            <w:tcW w:w="0" w:type="auto"/>
          </w:tcPr>
          <w:p>
            <w:pPr>
              <w:spacing w:line="240" w:lineRule="auto" w:before="0" w:after="0"/>
              <w:pStyle w:val="Compact"/>
            </w:pPr>
            <w:r>
              <w:rPr>
                <w:sz w:val="20"/>
                <w:szCs w:val="20"/>
              </w:rPr>
              <w:t xml:space="preserve">24.5077</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r>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10um-1mm</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Derived matched-bin row from NASA ORDEM documentation, ESA MASTER and Space Environment Report public population anchors, AMOS 2010 ORDEM 850 km risk anchor, AMOS 2022 small debris estimates, and AMOS 2025 DAS/ORDEM sensitivity context</w:t>
            </w:r>
          </w:p>
        </w:tc>
      </w:tr>
    </w:tbl>
    <w:bookmarkEnd w:id="167"/>
    <w:bookmarkStart w:id="16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decision_flip</w:t>
            </w:r>
          </w:p>
        </w:tc>
        <w:tc>
          <w:tcPr>
            <w:tcW w:w="0" w:type="auto"/>
          </w:tcPr>
          <w:p>
            <w:pPr>
              <w:spacing w:line="240" w:lineRule="auto" w:before="0" w:after="0"/>
              <w:pStyle w:val="Compact"/>
            </w:pPr>
            <w:r>
              <w:rPr>
                <w:sz w:val="20"/>
                <w:szCs w:val="20"/>
              </w:rPr>
              <w:t xml:space="preserve">One when the matched-bin model divergence is coded as operationally material</w:t>
            </w:r>
          </w:p>
        </w:tc>
        <w:tc>
          <w:tcPr>
            <w:tcW w:w="0" w:type="auto"/>
          </w:tcPr>
          <w:p>
            <w:pPr>
              <w:spacing w:line="240" w:lineRule="auto" w:before="0" w:after="0"/>
              <w:pStyle w:val="Compact"/>
            </w:pPr>
            <w:r>
              <w:rPr>
                <w:sz w:val="20"/>
                <w:szCs w:val="20"/>
              </w:rPr>
              <w:t xml:space="preserve">Decision-review flag based on whether divergence would change shielding, priority, or risk-review posture in the matched regime.</w:t>
            </w:r>
          </w:p>
        </w:tc>
      </w:tr>
      <w:tr>
        <w:tc>
          <w:tcPr>
            <w:tcW w:w="0" w:type="auto"/>
          </w:tcPr>
          <w:p>
            <w:pPr>
              <w:spacing w:line="240" w:lineRule="auto" w:before="0" w:after="0"/>
              <w:pStyle w:val="Compact"/>
            </w:pPr>
            <w:r>
              <w:rPr>
                <w:sz w:val="20"/>
                <w:szCs w:val="20"/>
              </w:rPr>
              <w:t xml:space="preserve">abs_divergence_pct</w:t>
            </w:r>
          </w:p>
        </w:tc>
        <w:tc>
          <w:tcPr>
            <w:tcW w:w="0" w:type="auto"/>
          </w:tcPr>
          <w:p>
            <w:pPr>
              <w:spacing w:line="240" w:lineRule="auto" w:before="0" w:after="0"/>
              <w:pStyle w:val="Compact"/>
            </w:pPr>
            <w:r>
              <w:rPr>
                <w:sz w:val="20"/>
                <w:szCs w:val="20"/>
              </w:rPr>
              <w:t xml:space="preserve">Absolute percentage gap between MASTER-index and ORDEM-index values</w:t>
            </w:r>
          </w:p>
        </w:tc>
        <w:tc>
          <w:tcPr>
            <w:tcW w:w="0" w:type="auto"/>
          </w:tcPr>
          <w:p>
            <w:pPr>
              <w:spacing w:line="240" w:lineRule="auto" w:before="0" w:after="0"/>
              <w:pStyle w:val="Compact"/>
            </w:pPr>
            <w:r>
              <w:rPr>
                <w:sz w:val="20"/>
                <w:szCs w:val="20"/>
              </w:rPr>
              <w:t xml:space="preserve">Computed as absolute difference divided by ORDEM-index value, using published model anchors and deterministic altitude scaling.</w:t>
            </w:r>
          </w:p>
        </w:tc>
      </w:tr>
      <w:tr>
        <w:tc>
          <w:tcPr>
            <w:tcW w:w="0" w:type="auto"/>
          </w:tcPr>
          <w:p>
            <w:pPr>
              <w:spacing w:line="240" w:lineRule="auto" w:before="0" w:after="0"/>
              <w:pStyle w:val="Compact"/>
            </w:pPr>
            <w:r>
              <w:rPr>
                <w:sz w:val="20"/>
                <w:szCs w:val="20"/>
              </w:rPr>
              <w:t xml:space="preserve">ordem_flux_index</w:t>
            </w:r>
          </w:p>
        </w:tc>
        <w:tc>
          <w:tcPr>
            <w:tcW w:w="0" w:type="auto"/>
          </w:tcPr>
          <w:p>
            <w:pPr>
              <w:spacing w:line="240" w:lineRule="auto" w:before="0" w:after="0"/>
              <w:pStyle w:val="Compact"/>
            </w:pPr>
            <w:r>
              <w:rPr>
                <w:sz w:val="20"/>
                <w:szCs w:val="20"/>
              </w:rPr>
              <w:t xml:space="preserve">Normalized ORDEM-side flux or risk index</w:t>
            </w:r>
          </w:p>
        </w:tc>
        <w:tc>
          <w:tcPr>
            <w:tcW w:w="0" w:type="auto"/>
          </w:tcPr>
          <w:p>
            <w:pPr>
              <w:spacing w:line="240" w:lineRule="auto" w:before="0" w:after="0"/>
              <w:pStyle w:val="Compact"/>
            </w:pPr>
            <w:r>
              <w:rPr>
                <w:sz w:val="20"/>
                <w:szCs w:val="20"/>
              </w:rPr>
              <w:t xml:space="preserve">Derived from NASA ORDEM documentation, AMOS ORDEM risk anchors, and public DAS/ORDEM sensitivity context.</w:t>
            </w:r>
          </w:p>
        </w:tc>
      </w:tr>
      <w:tr>
        <w:tc>
          <w:tcPr>
            <w:tcW w:w="0" w:type="auto"/>
          </w:tcPr>
          <w:p>
            <w:pPr>
              <w:spacing w:line="240" w:lineRule="auto" w:before="0" w:after="0"/>
              <w:pStyle w:val="Compact"/>
            </w:pPr>
            <w:r>
              <w:rPr>
                <w:sz w:val="20"/>
                <w:szCs w:val="20"/>
              </w:rPr>
              <w:t xml:space="preserve">master_flux_index</w:t>
            </w:r>
          </w:p>
        </w:tc>
        <w:tc>
          <w:tcPr>
            <w:tcW w:w="0" w:type="auto"/>
          </w:tcPr>
          <w:p>
            <w:pPr>
              <w:spacing w:line="240" w:lineRule="auto" w:before="0" w:after="0"/>
              <w:pStyle w:val="Compact"/>
            </w:pPr>
            <w:r>
              <w:rPr>
                <w:sz w:val="20"/>
                <w:szCs w:val="20"/>
              </w:rPr>
              <w:t xml:space="preserve">Normalized MASTER-side flux or population index</w:t>
            </w:r>
          </w:p>
        </w:tc>
        <w:tc>
          <w:tcPr>
            <w:tcW w:w="0" w:type="auto"/>
          </w:tcPr>
          <w:p>
            <w:pPr>
              <w:spacing w:line="240" w:lineRule="auto" w:before="0" w:after="0"/>
              <w:pStyle w:val="Compact"/>
            </w:pPr>
            <w:r>
              <w:rPr>
                <w:sz w:val="20"/>
                <w:szCs w:val="20"/>
              </w:rPr>
              <w:t xml:space="preserve">Derived from ESA MASTER and Space Environment Report public population anchors and validation literature.</w:t>
            </w:r>
          </w:p>
        </w:tc>
      </w:tr>
      <w:tr>
        <w:tc>
          <w:tcPr>
            <w:tcW w:w="0" w:type="auto"/>
          </w:tcPr>
          <w:p>
            <w:pPr>
              <w:spacing w:line="240" w:lineRule="auto" w:before="0" w:after="0"/>
              <w:pStyle w:val="Compact"/>
            </w:pPr>
            <w:r>
              <w:rPr>
                <w:sz w:val="20"/>
                <w:szCs w:val="20"/>
              </w:rPr>
              <w:t xml:space="preserve">operational_threshold_index</w:t>
            </w:r>
          </w:p>
        </w:tc>
        <w:tc>
          <w:tcPr>
            <w:tcW w:w="0" w:type="auto"/>
          </w:tcPr>
          <w:p>
            <w:pPr>
              <w:spacing w:line="240" w:lineRule="auto" w:before="0" w:after="0"/>
              <w:pStyle w:val="Compact"/>
            </w:pPr>
            <w:r>
              <w:rPr>
                <w:sz w:val="20"/>
                <w:szCs w:val="20"/>
              </w:rPr>
              <w:t xml:space="preserve">Regime-specific decision threshold index</w:t>
            </w:r>
          </w:p>
        </w:tc>
        <w:tc>
          <w:tcPr>
            <w:tcW w:w="0" w:type="auto"/>
          </w:tcPr>
          <w:p>
            <w:pPr>
              <w:spacing w:line="240" w:lineRule="auto" w:before="0" w:after="0"/>
              <w:pStyle w:val="Compact"/>
            </w:pPr>
            <w:r>
              <w:rPr>
                <w:sz w:val="20"/>
                <w:szCs w:val="20"/>
              </w:rPr>
              <w:t xml:space="preserve">Constructed from the prospectus operational-materiality rule, tied to shielding or risk-priority review.</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provenance</w:t>
            </w:r>
          </w:p>
        </w:tc>
        <w:tc>
          <w:tcPr>
            <w:tcW w:w="0" w:type="auto"/>
          </w:tcPr>
          <w:p>
            <w:pPr>
              <w:spacing w:line="240" w:lineRule="auto" w:before="0" w:after="0"/>
              <w:pStyle w:val="Compact"/>
            </w:pPr>
            <w:r>
              <w:rPr>
                <w:sz w:val="20"/>
                <w:szCs w:val="20"/>
              </w:rPr>
              <w:t xml:space="preserve">Each row states the public anchors and deterministic construction.</w:t>
            </w:r>
          </w:p>
        </w:tc>
      </w:tr>
    </w:tbl>
    <w:bookmarkEnd w:id="168"/>
    <w:bookmarkEnd w:id="169"/>
    <w:bookmarkEnd w:id="17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5" Type="http://schemas.openxmlformats.org/officeDocument/2006/relationships/image" Target="media/rId155.png"/><Relationship Id="rId163" Type="http://schemas.openxmlformats.org/officeDocument/2006/relationships/image" Target="media/rId163.png"/><Relationship Id="rId147" Type="http://schemas.openxmlformats.org/officeDocument/2006/relationships/hyperlink" Target="https://doi.org/10.1007/s42064-021-0125-x" TargetMode="External"/><Relationship Id="rId137" Type="http://schemas.openxmlformats.org/officeDocument/2006/relationships/hyperlink" Target="https://doi.org/10.1016/j.actaastro.2018.03.017" TargetMode="External"/><Relationship Id="rId139" Type="http://schemas.openxmlformats.org/officeDocument/2006/relationships/hyperlink" Target="https://doi.org/10.1016/j.actaastro.2026.01.050" TargetMode="External"/><Relationship Id="rId149" Type="http://schemas.openxmlformats.org/officeDocument/2006/relationships/hyperlink" Target="https://doi.org/10.2514/2.4771" TargetMode="External"/><Relationship Id="rId130" Type="http://schemas.openxmlformats.org/officeDocument/2006/relationships/hyperlink" Target="https://doi.org/10.64861/VHJU7246" TargetMode="External"/></Relationships>
</file>

<file path=word/_rels/footnotes.xml.rels><?xml version='1.0' encoding='UTF-8' standalone='yes'?>
<Relationships xmlns="http://schemas.openxmlformats.org/package/2006/relationships"><Relationship Id="rId147" Type="http://schemas.openxmlformats.org/officeDocument/2006/relationships/hyperlink" Target="https://doi.org/10.1007/s42064-021-0125-x" TargetMode="External"/><Relationship Id="rId137" Type="http://schemas.openxmlformats.org/officeDocument/2006/relationships/hyperlink" Target="https://doi.org/10.1016/j.actaastro.2018.03.017" TargetMode="External"/><Relationship Id="rId139" Type="http://schemas.openxmlformats.org/officeDocument/2006/relationships/hyperlink" Target="https://doi.org/10.1016/j.actaastro.2026.01.050" TargetMode="External"/><Relationship Id="rId149" Type="http://schemas.openxmlformats.org/officeDocument/2006/relationships/hyperlink" Target="https://doi.org/10.2514/2.4771" TargetMode="External"/><Relationship Id="rId130" Type="http://schemas.openxmlformats.org/officeDocument/2006/relationships/hyperlink" Target="https://doi.org/10.64861/VHJU72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 but Verify the Model: Divergence Between ESA MASTER and NASA ORDEM Debris Flux Predictions and Its Operational Consequences</dc:title>
  <dc:creator>Tariq Mwangi (1B-SDA-146)</dc:creator>
  <cp:keywords/>
  <dcterms:created xsi:type="dcterms:W3CDTF">2026-07-03T17:06:16Z</dcterms:created>
  <dcterms:modified xsi:type="dcterms:W3CDTF">2026-07-03T17:06:16Z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