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5.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3" w:name="X9d437a7cdfc817dad559fcc6825efe92fcbaa2c"/>
    <w:p>
      <w:pPr>
        <w:pStyle w:val="Heading1"/>
      </w:pPr>
      <w:r>
        <w:t xml:space="preserve">Time-to-First-Contribution under the TraCSS Regime: A Cox Proportional-Hazards Analysis of Commercial LEO Operator Onboarding</w:t>
      </w:r>
    </w:p>
    <w:bookmarkStart w:id="61" w:name="introduction"/>
    <w:p>
      <w:pPr>
        <w:pStyle w:val="Heading2"/>
      </w:pPr>
      <w:r>
        <w:t xml:space="preserve">1. Introduction</w:t>
      </w:r>
    </w:p>
    <w:p>
      <w:pPr>
        <w:pStyle w:val="FirstParagraph"/>
      </w:pPr>
      <w:r>
        <w:t xml:space="preserve">The post-2024 civil space situational awareness (SSA) regime in the United States is wagering coordination on a behavioral premise: that commercial low Earth orbit (LEO) operators will, of their own accord, contribute high-fidelity ephemerides and maneuver plans to the Department of Commerce Traffic Coordination System for Space (TraCSS) public catalog</w:t>
      </w:r>
      <w:r>
        <w:t xml:space="preserve"> </w:t>
      </w:r>
      <w:hyperlink w:anchor="ref-1">
        <m:oMathPara>
          <m:oMathParaPr>
            <m:jc m:val="center"/>
          </m:oMathParaPr>
          <m:oMath>
            <m:r>
              <m:t>1</m:t>
            </m:r>
          </m:oMath>
        </m:oMathPara>
      </w:hyperlink>
      <w:r>
        <w:t xml:space="preserve">. The Initial Operating Capability (IOC) cutover of September 2024 created, for the first time, a single low-friction channel through which a US licensed operator could file screened-quality state data and have it federated into the civil catalog alongside conjunction data messages (CDMs) issued by the 18th and 19th Space Defense Squadrons.</w:t>
      </w:r>
    </w:p>
    <w:p>
      <w:pPr>
        <w:pStyle w:val="FirstParagraph"/>
      </w:pPr>
      <w:r>
        <w:t xml:space="preserve">The architectural literature has specified how decentralized civil SSA sharing should work</w:t>
      </w:r>
      <w:r>
        <w:t xml:space="preserve"> </w:t>
      </w:r>
      <w:hyperlink w:anchor="ref-2">
        <m:oMathPara>
          <m:oMathParaPr>
            <m:jc m:val="center"/>
          </m:oMathParaPr>
          <m:oMath>
            <m:r>
              <m:t>2</m:t>
            </m:r>
          </m:oMath>
        </m:oMathPara>
      </w:hyperlink>
      <w:r>
        <w:t xml:space="preserve">, how it should be secured</w:t>
      </w:r>
      <w:r>
        <w:t xml:space="preserve"> </w:t>
      </w:r>
      <w:hyperlink w:anchor="ref-3">
        <m:oMathPara>
          <m:oMathParaPr>
            <m:jc m:val="center"/>
          </m:oMathParaPr>
          <m:oMath>
            <m:r>
              <m:t>3</m:t>
            </m:r>
          </m:oMath>
        </m:oMathPara>
      </w:hyperlink>
      <w:r>
        <w:t xml:space="preserve">, how it should be coordinated across distributed nodes</w:t>
      </w:r>
      <w:r>
        <w:t xml:space="preserve"> </w:t>
      </w:r>
      <w:hyperlink w:anchor="ref-4">
        <m:oMathPara>
          <m:oMathParaPr>
            <m:jc m:val="center"/>
          </m:oMathParaPr>
          <m:oMath>
            <m:r>
              <m:t>4</m:t>
            </m:r>
          </m:oMath>
        </m:oMathPara>
      </w:hyperlink>
      <w:r>
        <w:t xml:space="preserve">, and how it should support continuing operator supervision</w:t>
      </w:r>
      <w:r>
        <w:t xml:space="preserve"> </w:t>
      </w:r>
      <w:hyperlink w:anchor="ref-5">
        <m:oMathPara>
          <m:oMathParaPr>
            <m:jc m:val="center"/>
          </m:oMathParaPr>
          <m:oMath>
            <m:r>
              <m:t>5</m:t>
            </m:r>
          </m:oMath>
        </m:oMathPara>
      </w:hyperlink>
      <w:r>
        <w:t xml:space="preserve">. None of that literature has yet asked the prior empirical question: once the channel exists, who actually uses it, and how quickly. This paper supplies the first revealed-preference estimate of the time from TraCSS eligibility to first voluntary contribution for the population of commercial LEO operators tracked between IOC and the close of fiscal year 2025.</w:t>
      </w:r>
    </w:p>
    <w:p>
      <w:pPr>
        <w:pStyle w:val="FirstParagraph"/>
      </w:pPr>
      <w:r>
        <w:t xml:space="preserve">The estimator is a Cox proportional-hazards model on a panel of thirty commercial LEO operators, with the contribution event observed in OSC TraCSS user-roster bulletins and operator characteristics drawn from FCC IBFS filings, NOAA CRSRA registries, ESA DISCOS, operator annual reports, and the public CDM record. The model recovers a positive, statistically significant association between operator-specific conjunction exposure and the hazard of contribution, and a large positive effect of US licensing. The findings are consistent with the revealed-preference interpretation that contribution is, at least in part, individually rational for operators whose fleets actually face conjunction risk under the post-IOC regime.</w:t>
      </w:r>
    </w:p>
    <w:bookmarkEnd w:id="61"/>
    <w:bookmarkStart w:id="62" w:name="theory-and-hypotheses"/>
    <w:p>
      <w:pPr>
        <w:pStyle w:val="Heading2"/>
      </w:pPr>
      <w:r>
        <w:t xml:space="preserve">2. Theory and Hypotheses</w:t>
      </w:r>
    </w:p>
    <w:p>
      <w:pPr>
        <w:pStyle w:val="FirstParagraph"/>
      </w:pPr>
      <w:r>
        <w:t xml:space="preserve">The theoretical motivation is the recasting of voluntary SSA sharing as a partially excludable public good in which operator contribution lowers both the contributor’s own collision hazard and the systemic hazard of the orbital commons [2,8]. The decentralized-architecture literature argues that, given a credible federated clearinghouse, the contribution decision becomes individually rational once the operator’s own ex ante conjunction exposure crosses a threshold at which the marginal expected benefit of sharper screening exceeds the marginal cost of integration and disclosure [2,4]. The supervisory framing of</w:t>
      </w:r>
      <w:r>
        <w:t xml:space="preserve"> </w:t>
      </w:r>
      <w:hyperlink w:anchor="ref-5">
        <m:oMathPara>
          <m:oMathParaPr>
            <m:jc m:val="center"/>
          </m:oMathParaPr>
          <m:oMath>
            <m:r>
              <m:t>5</m:t>
            </m:r>
          </m:oMath>
        </m:oMathPara>
      </w:hyperlink>
      <w:r>
        <w:t xml:space="preserve"> </w:t>
      </w:r>
      <w:r>
        <w:t xml:space="preserve">reinforces this by treating the contribution decision as a regulated, traceable artifact of operator due diligence.</w:t>
      </w:r>
    </w:p>
    <w:p>
      <w:pPr>
        <w:pStyle w:val="FirstParagraph"/>
      </w:pPr>
      <w:r>
        <w:t xml:space="preserve">Empirical work, however, is sparse. The conjunction-risk literature documents that operator workload and collision hazard rise nonlinearly with traffic density and event frequency</w:t>
      </w:r>
      <w:r>
        <w:t xml:space="preserve"> </w:t>
      </w:r>
      <w:hyperlink w:anchor="ref-6">
        <m:oMathPara>
          <m:oMathParaPr>
            <m:jc m:val="center"/>
          </m:oMathParaPr>
          <m:oMath>
            <m:r>
              <m:t>6</m:t>
            </m:r>
          </m:oMath>
        </m:oMathPara>
      </w:hyperlink>
      <w:r>
        <w:t xml:space="preserve">, and the sustainability-indicator literature suggests that operators respond to environmental incentives when those incentives are tied to observable behavior</w:t>
      </w:r>
      <w:r>
        <w:t xml:space="preserve"> </w:t>
      </w:r>
      <w:hyperlink w:anchor="ref-7">
        <m:oMathPara>
          <m:oMathParaPr>
            <m:jc m:val="center"/>
          </m:oMathParaPr>
          <m:oMath>
            <m:r>
              <m:t>7</m:t>
            </m:r>
          </m:oMath>
        </m:oMathPara>
      </w:hyperlink>
      <w:r>
        <w:t xml:space="preserve">. Together, these strands imply that, conditional on standard controls, the hazard of contribution should be increasing in operator-specific conjunction exposure.</w:t>
      </w:r>
    </w:p>
    <w:p>
      <w:pPr>
        <w:pStyle w:val="FirstParagraph"/>
      </w:pPr>
      <w:r>
        <w:t xml:space="preserve">Two hypotheses follow.</w:t>
      </w:r>
    </w:p>
    <w:p>
      <w:pPr>
        <w:pStyle w:val="BodyText"/>
      </w:pPr>
      <w:r>
        <w:t xml:space="preserve">H1. Conditional on fleet size, US licensing status, and prior anomaly history, the instantaneous hazard of a commercial LEO operator’s first voluntary contribution to the TraCSS public catalog is strictly increasing in that operator’s conjunction exposure during calendar year 2024.</w:t>
      </w:r>
    </w:p>
    <w:p>
      <w:pPr>
        <w:pStyle w:val="BodyText"/>
      </w:pPr>
      <w:r>
        <w:t xml:space="preserve">H2. Conditional on the same controls, US licensing status is associated with a strictly higher hazard of contribution, reflecting the proximity of US licensed operators to the OSC integration and outreach channel observed in</w:t>
      </w:r>
      <w:r>
        <w:t xml:space="preserve"> </w:t>
      </w:r>
      <w:hyperlink w:anchor="ref-9">
        <m:oMathPara>
          <m:oMathParaPr>
            <m:jc m:val="center"/>
          </m:oMathParaPr>
          <m:oMath>
            <m:r>
              <m:t>9</m:t>
            </m:r>
          </m:oMath>
        </m:oMathPara>
      </w:hyperlink>
      <w:r>
        <w:t xml:space="preserve">.</w:t>
      </w:r>
    </w:p>
    <w:bookmarkEnd w:id="62"/>
    <w:bookmarkStart w:id="63" w:name="data"/>
    <w:p>
      <w:pPr>
        <w:pStyle w:val="Heading2"/>
      </w:pPr>
      <w:r>
        <w:t xml:space="preserve">3. Data</w:t>
      </w:r>
    </w:p>
    <w:p>
      <w:pPr>
        <w:pStyle w:val="FirstParagraph"/>
      </w:pPr>
      <w:r>
        <w:t xml:space="preserve">The dataset is a single-cohort survival panel of thirty commercial LEO operators with active satellites as of the TraCSS IOC date of 30 September 2024. The cohort comprises the universe of operators that either appear on the OSC TraCSS user-roster bulletins between Q4 2024 and Q4 2025 or hold a primary FCC IBFS or NOAA CRSRA license for an active LEO constellation as of the IOC date.</w:t>
      </w:r>
    </w:p>
    <w:p>
      <w:pPr>
        <w:pStyle w:val="BodyText"/>
      </w:pPr>
      <w:r>
        <w:t xml:space="preserve">The duration variable is the number of days from the IOC cutover to the operator’s first observed contribution event, right-censored at 365 days if no contribution is recorded by Q4 2025. The contribution event is operationalized as the operator’s first appearance on the OSC bulletin as a confirmed contributor of screened-quality predictive ephemerides. Fleet size is taken from FCC IBFS filings, ESA DISCOS catalog entries, and operator FY2024 annual filings on the IOC date and is entered in log form to absorb the four-order-of-magnitude range of fleet sizes from single-satellite operators to constellations above five thousand satellites. Conjunction exposure is the operator-mean of CDMs per active satellite over calendar year 2024, drawn from the 18 SDS and 19 SDS catalog mirrored into TraCSS and triangulated against the LeoLabs commercial catalog where applicable</w:t>
      </w:r>
      <w:r>
        <w:t xml:space="preserve"> </w:t>
      </w:r>
      <w:hyperlink w:anchor="ref-2">
        <m:oMathPara>
          <m:oMathParaPr>
            <m:jc m:val="center"/>
          </m:oMathParaPr>
          <m:oMath>
            <m:r>
              <m:t>2</m:t>
            </m:r>
          </m:oMath>
        </m:oMathPara>
      </w:hyperlink>
      <w:r>
        <w:t xml:space="preserve">. US licensing status is a binary indicator drawn from FCC IBFS and NOAA CRSRA registries. Prior anomaly history is a binary indicator equal to one if the operator had a publicly reported on-orbit collision or near-miss anomaly during 2019 to 2024, drawn from the public conjunction record reviewed in</w:t>
      </w:r>
      <w:r>
        <w:t xml:space="preserve"> </w:t>
      </w:r>
      <w:hyperlink w:anchor="ref-6">
        <m:oMathPara>
          <m:oMathParaPr>
            <m:jc m:val="center"/>
          </m:oMathParaPr>
          <m:oMath>
            <m:r>
              <m:t>6</m:t>
            </m:r>
          </m:oMath>
        </m:oMathPara>
      </w:hyperlink>
      <w:r>
        <w:t xml:space="preserve"> </w:t>
      </w:r>
      <w:r>
        <w:t xml:space="preserve">and from SEC and equivalent disclosures.</w:t>
      </w:r>
    </w:p>
    <w:p>
      <w:pPr>
        <w:pStyle w:val="FirstParagraph"/>
      </w:pPr>
      <w:r>
        <w:t xml:space="preserve">The cohort contains twenty-one observed contribution events and nine right-censored observations at the 365-day horizon. Source citations are recorded at the row level in the data appendix. Where the original record was incomplete and the value was inferred from operator press materials and the public catalog, the observation is marked as illustrative; such observations account for fewer than fifteen percent of the cohort and never carry the contribution event itself.</w:t>
      </w:r>
    </w:p>
    <w:bookmarkEnd w:id="63"/>
    <w:bookmarkStart w:id="64" w:name="method"/>
    <w:p>
      <w:pPr>
        <w:pStyle w:val="Heading2"/>
      </w:pPr>
      <w:r>
        <w:t xml:space="preserve">4. Method</w:t>
      </w:r>
    </w:p>
    <w:p>
      <w:pPr>
        <w:pStyle w:val="FirstParagraph"/>
      </w:pPr>
      <w:r>
        <w:t xml:space="preserve">The estimator is the Cox semiparametric proportional-hazards model, which models the operator-specific instantaneous hazard of a first contribution event as the product of a nonparametric baseline hazard and an exponential function of operator covariates</w:t>
      </w:r>
      <w:r>
        <w:t xml:space="preserve"> </w:t>
      </w:r>
      <w:hyperlink w:anchor="ref-10">
        <m:oMathPara>
          <m:oMathParaPr>
            <m:jc m:val="center"/>
          </m:oMathParaPr>
          <m:oMath>
            <m:r>
              <m:t>10</m:t>
            </m:r>
          </m:oMath>
        </m:oMathPara>
      </w:hyperlink>
      <w:r>
        <w:t xml:space="preserve">. The semiparametric form is appropriate because the baseline hazard of contribution under the TraCSS regime is itself an object of study, not a nuisance, and the model leaves the time profile of OSC onboarding capacity unrestricted.</w:t>
      </w:r>
    </w:p>
    <w:p>
      <w:pPr>
        <w:pStyle w:val="FirstParagraph"/>
      </w:pPr>
      <w:r>
        <w:t xml:space="preserve">The estimating equation specifies the hazard for operator $i$ at time $t$ as a baseline hazard multiplied by an exponential of the linear predictor, with covariates entering as conjunction exposure, the natural logarithm of fleet size, US licensing status, and prior anomaly history. Coefficients are estimated by partial likelihood; standard errors are the model-based standard errors from the inverse information; and hazard ratios are obtained by exponentiation of the coefficients. The proportional-hazards assumption is assessed by inspection of the scaled residuals and by inclusion of a time-interaction term in robustness specifications.</w:t>
      </w:r>
    </w:p>
    <w:p>
      <w:pPr>
        <w:pStyle w:val="BodyText"/>
      </w:pPr>
      <w:r>
        <w:t xml:space="preserve">Identification rests on the staggered, capacity-constrained pace of OSC onboarding between IOC and the FY2025 close, which generates plausibly exogenous variation in the time at which a given operator’s contribution channel becomes effectively low-friction. The single-cohort design rules out compositional drift in the risk set and isolates the within-cohort behavioral response.</w:t>
      </w:r>
    </w:p>
    <w:bookmarkEnd w:id="64"/>
    <w:bookmarkStart w:id="65" w:name="findings"/>
    <w:p>
      <w:pPr>
        <w:pStyle w:val="Heading2"/>
      </w:pPr>
      <w:r>
        <w:t xml:space="preserve">5. Findings</w:t>
      </w:r>
    </w:p>
    <w:p>
      <w:pPr>
        <w:pStyle w:val="FirstParagraph"/>
      </w:pPr>
      <w:r>
        <w:t xml:space="preserve">The Cox model is estimated on thirty operators with twenty-one events. The coefficient on operator conjunction exposure is positive, with a partial-likelihood estimate of 1.97 and a model-based standard error of 0.88, yielding a Wald statistic well above conventional thresholds and a two-sided p-value of 0.024. The implied hazard ratio is 7.2, meaning that, conditional on log fleet size, US licensing, and prior anomaly history, a one-unit increase in operator-specific CDMs per active satellite over calendar year 2024 is associated with a more than sevenfold increase in the instantaneous hazard of first contribution. The sign and significance of this estimate reject the null of independence between conjunction exposure and contribution timing and are consistent with H1.</w:t>
      </w:r>
    </w:p>
    <w:p>
      <w:pPr>
        <w:pStyle w:val="BodyText"/>
      </w:pPr>
      <w:r>
        <w:t xml:space="preserve">The coefficient on US licensing status is the largest in the model, with an estimate of 2.88, a standard error of 0.83, and a two-sided p-value of 0.0005. The implied hazard ratio of 17.76 indicates that US licensed operators face a substantially higher instantaneous hazard of contribution at any given point in the post-IOC window, consistent with H2 and with the proximity of US licensed operators to OSC outreach channels noted in</w:t>
      </w:r>
      <w:r>
        <w:t xml:space="preserve"> </w:t>
      </w:r>
      <w:hyperlink w:anchor="ref-9">
        <m:oMathPara>
          <m:oMathParaPr>
            <m:jc m:val="center"/>
          </m:oMathParaPr>
          <m:oMath>
            <m:r>
              <m:t>9</m:t>
            </m:r>
          </m:oMath>
        </m:oMathPara>
      </w:hyperlink>
      <w:r>
        <w:t xml:space="preserve">.</w:t>
      </w:r>
    </w:p>
    <w:p>
      <w:pPr>
        <w:pStyle w:val="FirstParagraph"/>
      </w:pPr>
      <w:r>
        <w:t xml:space="preserve">The coefficient on the natural logarithm of fleet size is negative, with an estimate of -1.15 and a standard error of 0.85, yielding a hazard ratio of 0.32 but a two-sided p-value of 0.175. The negative sign, conditional on conjunction exposure, is plausible because conjunction exposure already captures the per-satellite hazard burden that drives the contribution decision; once that channel is held fixed, the marginal effect of additional satellites operates through integration cost rather than benefit. The coefficient on prior anomaly history is positive at 1.02 with a standard error of 1.14 and a two-sided p-value of 0.369, statistically indistinguishable from zero in the present cohort. The point estimate is consistent with a deterrence interpretation but is too imprecisely estimated to support inference.</w:t>
      </w:r>
    </w:p>
    <w:p>
      <w:pPr>
        <w:pStyle w:val="BodyText"/>
      </w:pPr>
      <w:r>
        <w:t xml:space="preserve">The fit indicates twenty-one observed events out of thirty operators across the 365-day window, which is adequate for a four-covariate Cox specification but limits power for interactions. The key empirical conclusion is that the two coefficients identified as decisive ex ante, conjunction exposure and US licensing, are both significant at conventional thresholds and operate in the predicted direction.</w:t>
      </w:r>
    </w:p>
    <w:bookmarkEnd w:id="65"/>
    <w:bookmarkStart w:id="66" w:name="discussion"/>
    <w:p>
      <w:pPr>
        <w:pStyle w:val="Heading2"/>
      </w:pPr>
      <w:r>
        <w:t xml:space="preserve">6. Discussion</w:t>
      </w:r>
    </w:p>
    <w:p>
      <w:pPr>
        <w:pStyle w:val="FirstParagraph"/>
      </w:pPr>
      <w:r>
        <w:t xml:space="preserve">Three implications follow. First, the post-IOC contribution behavior of commercial LEO operators is not random with respect to conjunction exposure. Operators whose fleets actually face higher CDM rates contribute earlier, by a margin that is statistically significant in a small but well-sourced cohort. This is the first revealed-preference evidence that the architectural wager underlying TraCSS, that voluntary contribution is individually rational for at-risk operators, is empirically supported within the post-IOC window.</w:t>
      </w:r>
    </w:p>
    <w:p>
      <w:pPr>
        <w:pStyle w:val="BodyText"/>
      </w:pPr>
      <w:r>
        <w:t xml:space="preserve">Second, the US-licensing coefficient is large and precisely estimated, which raises an identification concern about whether the observed behavioral response is driven by exposure itself or by the proximity of US licensed operators to OSC integration capacity. Future work should exploit the staggered onboarding of EU and other non-US operators under EU SST and ESA arrangements to separate these channels [4,7].</w:t>
      </w:r>
    </w:p>
    <w:p>
      <w:pPr>
        <w:pStyle w:val="BodyText"/>
      </w:pPr>
      <w:r>
        <w:t xml:space="preserve">Third, the small but nonzero share of right-censored observations indicates that a meaningful fraction of eligible operators have not yet contributed within the first year of IOC. Whether that fraction declines as OSC capacity scales toward FOC is the central operational question for civil SSA policy in fiscal year 2026 and is the natural extension of this analysis.</w:t>
      </w:r>
    </w:p>
    <w:p>
      <w:pPr>
        <w:pStyle w:val="BodyText"/>
      </w:pPr>
      <w:r>
        <w:t xml:space="preserve">The limitations are familiar to the survival literature. The cohort is small, the proportional-hazards assumption is imposed rather than tested in a frailty extension, and contribution intensity beyond the first event is not modeled. The companion panel-fixed-effects analysis in the dissertation prospectus addresses intensity directly. Together, the two estimators bracket the behavioral response: the Cox model identifies the timing of entry and the panel model identifies the depth of participation conditional on entry.</w:t>
      </w:r>
    </w:p>
    <w:bookmarkEnd w:id="66"/>
    <w:bookmarkStart w:id="83" w:name="references"/>
    <w:p>
      <w:pPr>
        <w:pStyle w:val="Heading2"/>
      </w:pPr>
      <w:r>
        <w:t xml:space="preserve">References</w:t>
      </w:r>
    </w:p>
    <w:p>
      <w:pPr>
        <w:pStyle w:val="FirstParagraph"/>
      </w:pPr>
      <w:bookmarkStart w:id="67" w:name="ref-1"/>
      <w:bookmarkEnd w:id="67"/>
      <w:r>
        <w:t xml:space="preserve">1. Department of Commerce Office of Space Commerce, TraCSS Initial Operating Capability user notices, Q4 2024 to Q4 2025.</w:t>
      </w:r>
    </w:p>
    <w:p>
      <w:pPr>
        <w:pStyle w:val="BodyText"/>
      </w:pPr>
      <w:bookmarkStart w:id="68" w:name="ref-2"/>
      <w:bookmarkEnd w:id="68"/>
      <w:r>
        <w:t xml:space="preserve">2. H. Reed, N. Dailey, R. Stilwell, and B. Weeden,</w:t>
      </w:r>
      <w:r>
        <w:t xml:space="preserve"> </w:t>
      </w:r>
      <w:r>
        <w:t xml:space="preserve">“Decentralized Space Information Sharing as a Key Enabler of Trust and the Preservation of Space,”</w:t>
      </w:r>
      <w:r>
        <w:t xml:space="preserve"> </w:t>
      </w:r>
      <w:r>
        <w:t xml:space="preserve">Proc. Advanced Maui Optical and Space Surveillance Technologies (AMOS) Conference, 2021.</w:t>
      </w:r>
    </w:p>
    <w:p>
      <w:pPr>
        <w:pStyle w:val="BodyText"/>
      </w:pPr>
      <w:bookmarkStart w:id="69" w:name="ref-3"/>
      <w:bookmarkEnd w:id="69"/>
      <w:r>
        <w:t xml:space="preserve">3. W. Allington, A. Peterson, and K. Bowen,</w:t>
      </w:r>
      <w:r>
        <w:t xml:space="preserve"> </w:t>
      </w:r>
      <w:r>
        <w:t xml:space="preserve">“Developing a Secure Framework for Space Domain Awareness (SDA),”</w:t>
      </w:r>
      <w:r>
        <w:t xml:space="preserve"> </w:t>
      </w:r>
      <w:r>
        <w:t xml:space="preserve">Proc. Advanced Maui Optical and Space Surveillance Technologies (AMOS) Conference, 2023. doi:</w:t>
      </w:r>
      <w:r>
        <w:t xml:space="preserve"> </w:t>
      </w:r>
      <w:hyperlink r:id="rId70">
        <w:r>
          <w:rPr>
            <w:rStyle w:val="Hyperlink"/>
          </w:rPr>
          <w:t xml:space="preserve">10.64861/TRSQ4124</w:t>
        </w:r>
      </w:hyperlink>
    </w:p>
    <w:p>
      <w:pPr>
        <w:pStyle w:val="BodyText"/>
      </w:pPr>
      <w:bookmarkStart w:id="71" w:name="ref-4"/>
      <w:bookmarkEnd w:id="71"/>
      <w:r>
        <w:t xml:space="preserve">4. C. Kebschull, A. Stradomski, and D. Lubian-Arenillas,</w:t>
      </w:r>
      <w:r>
        <w:t xml:space="preserve"> </w:t>
      </w:r>
      <w:r>
        <w:t xml:space="preserve">“Architecture of a Distributed Space Traffic Coordination System,”</w:t>
      </w:r>
      <w:r>
        <w:t xml:space="preserve"> </w:t>
      </w:r>
      <w:r>
        <w:t xml:space="preserve">Proc. Advanced Maui Optical and Space Surveillance Technologies (AMOS) Conference, 2024. doi:</w:t>
      </w:r>
      <w:r>
        <w:t xml:space="preserve"> </w:t>
      </w:r>
      <w:hyperlink r:id="rId72">
        <w:r>
          <w:rPr>
            <w:rStyle w:val="Hyperlink"/>
          </w:rPr>
          <w:t xml:space="preserve">10.64861/JKDR9240</w:t>
        </w:r>
      </w:hyperlink>
    </w:p>
    <w:p>
      <w:pPr>
        <w:pStyle w:val="BodyText"/>
      </w:pPr>
      <w:bookmarkStart w:id="73" w:name="ref-5"/>
      <w:bookmarkEnd w:id="73"/>
      <w:r>
        <w:t xml:space="preserve">5. J. H. Smith, M. Jah, and D. Wood,</w:t>
      </w:r>
      <w:r>
        <w:t xml:space="preserve"> </w:t>
      </w:r>
      <w:r>
        <w:t xml:space="preserve">“Architecting a decision support system for continuing supervision of commercial in-space servicing,”</w:t>
      </w:r>
      <w:r>
        <w:t xml:space="preserve"> </w:t>
      </w:r>
      <w:r>
        <w:t xml:space="preserve">Acta Astronautica, vol. 235, 2025. doi:</w:t>
      </w:r>
      <w:r>
        <w:t xml:space="preserve"> </w:t>
      </w:r>
      <w:hyperlink r:id="rId74">
        <w:r>
          <w:rPr>
            <w:rStyle w:val="Hyperlink"/>
          </w:rPr>
          <w:t xml:space="preserve">10.1016/j.actaastro.2025.05.036</w:t>
        </w:r>
      </w:hyperlink>
    </w:p>
    <w:p>
      <w:pPr>
        <w:pStyle w:val="BodyText"/>
      </w:pPr>
      <w:bookmarkStart w:id="75" w:name="ref-6"/>
      <w:bookmarkEnd w:id="75"/>
      <w:r>
        <w:t xml:space="preserve">6. S. Alfano, D. Oltrogge, H. Krag, K. Merz, and R. E. Hall,</w:t>
      </w:r>
      <w:r>
        <w:t xml:space="preserve"> </w:t>
      </w:r>
      <w:r>
        <w:t xml:space="preserve">“Risk assessment of recent high-interest conjunctions,”</w:t>
      </w:r>
      <w:r>
        <w:t xml:space="preserve"> </w:t>
      </w:r>
      <w:r>
        <w:t xml:space="preserve">Acta Astronautica, vol. 184, 2021. doi:</w:t>
      </w:r>
      <w:r>
        <w:t xml:space="preserve"> </w:t>
      </w:r>
      <w:hyperlink r:id="rId76">
        <w:r>
          <w:rPr>
            <w:rStyle w:val="Hyperlink"/>
          </w:rPr>
          <w:t xml:space="preserve">10.1016/j.actaastro.2021.04.009</w:t>
        </w:r>
      </w:hyperlink>
    </w:p>
    <w:p>
      <w:pPr>
        <w:pStyle w:val="BodyText"/>
      </w:pPr>
      <w:bookmarkStart w:id="77" w:name="ref-7"/>
      <w:bookmarkEnd w:id="77"/>
      <w:r>
        <w:t xml:space="preserve">7. M. Rathnasabapathy et al.,</w:t>
      </w:r>
      <w:r>
        <w:t xml:space="preserve"> </w:t>
      </w:r>
      <w:r>
        <w:t xml:space="preserve">“Space sustainability rating: Designing a composite indicator to incentivize satellite operators to pursue long-term sustainability of the space environment,”</w:t>
      </w:r>
      <w:r>
        <w:t xml:space="preserve"> </w:t>
      </w:r>
      <w:r>
        <w:t xml:space="preserve">Acta Astronautica, vol. 232, 2025. doi:</w:t>
      </w:r>
      <w:r>
        <w:t xml:space="preserve"> </w:t>
      </w:r>
      <w:hyperlink r:id="rId78">
        <w:r>
          <w:rPr>
            <w:rStyle w:val="Hyperlink"/>
          </w:rPr>
          <w:t xml:space="preserve">10.1016/j.actaastro.2025.03.034</w:t>
        </w:r>
      </w:hyperlink>
    </w:p>
    <w:p>
      <w:pPr>
        <w:pStyle w:val="BodyText"/>
      </w:pPr>
      <w:bookmarkStart w:id="79" w:name="ref-8"/>
      <w:bookmarkEnd w:id="79"/>
      <w:r>
        <w:t xml:space="preserve">8.</w:t>
      </w:r>
      <w:r>
        <w:t xml:space="preserve"> </w:t>
      </w:r>
      <w:r>
        <w:t xml:space="preserve">“Architectural Socio-Technological Transformative Change of Space-Use Norms,”</w:t>
      </w:r>
      <w:r>
        <w:t xml:space="preserve"> </w:t>
      </w:r>
      <w:r>
        <w:t xml:space="preserve">Space Economy Papers corpus, source key SD03.</w:t>
      </w:r>
    </w:p>
    <w:p>
      <w:pPr>
        <w:pStyle w:val="BodyText"/>
      </w:pPr>
      <w:bookmarkStart w:id="80" w:name="ref-9"/>
      <w:bookmarkEnd w:id="80"/>
      <w:r>
        <w:t xml:space="preserve">9. N. Sanchez-Ortiz et al.,</w:t>
      </w:r>
      <w:r>
        <w:t xml:space="preserve"> </w:t>
      </w:r>
      <w:r>
        <w:t xml:space="preserve">“Outreach on Space Traffic Management,”</w:t>
      </w:r>
      <w:r>
        <w:t xml:space="preserve"> </w:t>
      </w:r>
      <w:r>
        <w:t xml:space="preserve">Acta Astronautica, vol. 229, 2025. doi:</w:t>
      </w:r>
      <w:r>
        <w:t xml:space="preserve"> </w:t>
      </w:r>
      <w:hyperlink r:id="rId81">
        <w:r>
          <w:rPr>
            <w:rStyle w:val="Hyperlink"/>
          </w:rPr>
          <w:t xml:space="preserve">10.1016/j.actaastro.2025.01.031</w:t>
        </w:r>
      </w:hyperlink>
    </w:p>
    <w:p>
      <w:pPr>
        <w:pStyle w:val="BodyText"/>
      </w:pPr>
      <w:bookmarkStart w:id="82" w:name="ref-10"/>
      <w:bookmarkEnd w:id="82"/>
      <w:r>
        <w:t xml:space="preserve">10. D. R. Cox,</w:t>
      </w:r>
      <w:r>
        <w:t xml:space="preserve"> </w:t>
      </w:r>
      <w:r>
        <w:t xml:space="preserve">“Regression Models and Life Tables,”</w:t>
      </w:r>
      <w:r>
        <w:t xml:space="preserve"> </w:t>
      </w:r>
      <w:r>
        <w:t xml:space="preserve">Journal of the Royal Statistical Society Series B, vol. 34, no. 2, pp. 187 to 220, 1972.</w:t>
      </w:r>
    </w:p>
    <w:bookmarkEnd w:id="83"/>
    <w:bookmarkStart w:id="84" w:name="specification"/>
    <w:p>
      <w:pPr>
        <w:pStyle w:val="Heading2"/>
      </w:pPr>
      <w:r>
        <w:t xml:space="preserve">Specification</w:t>
      </w:r>
    </w:p>
    <w:p>
      <w:pPr>
        <w:pStyle w:val="FirstParagraph"/>
      </w:pPr>
      <m:oMathPara>
        <m:oMathParaPr>
          <m:jc m:val="center"/>
        </m:oMathParaPr>
        <m:oMath>
          <m:sSub>
            <m:e>
              <m:r>
                <m:t>h</m:t>
              </m:r>
            </m:e>
            <m:sub>
              <m:r>
                <m:t>i</m:t>
              </m:r>
            </m:sub>
          </m:sSub>
          <m:r>
            <m:rPr>
              <m:sty m:val="p"/>
            </m:rPr>
            <m:t>(</m:t>
          </m:r>
          <m:r>
            <m:t>t</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sSub>
                <m:e>
                  <m:r>
                    <m:rPr>
                      <m:nor/>
                      <m:sty m:val="p"/>
                    </m:rPr>
                    <m:t>ConjExp</m:t>
                  </m:r>
                </m:e>
                <m:sub>
                  <m:r>
                    <m:t>i</m:t>
                  </m:r>
                </m:sub>
              </m:sSub>
              <m:r>
                <m:rPr>
                  <m:sty m:val="p"/>
                </m:rPr>
                <m:t>+</m:t>
              </m:r>
              <m:sSub>
                <m:e>
                  <m:r>
                    <m:t>β</m:t>
                  </m:r>
                </m:e>
                <m:sub>
                  <m:r>
                    <m:t>2</m:t>
                  </m:r>
                </m:sub>
              </m:sSub>
              <m:r>
                <m:t> </m:t>
              </m:r>
              <m:r>
                <m:rPr>
                  <m:sty m:val="p"/>
                </m:rPr>
                <m:t>log</m:t>
              </m:r>
              <m:sSub>
                <m:e>
                  <m:r>
                    <m:rPr>
                      <m:nor/>
                      <m:sty m:val="p"/>
                    </m:rPr>
                    <m:t>Fleet</m:t>
                  </m:r>
                </m:e>
                <m:sub>
                  <m:r>
                    <m:t>i</m:t>
                  </m:r>
                </m:sub>
              </m:sSub>
              <m:r>
                <m:rPr>
                  <m:sty m:val="p"/>
                </m:rPr>
                <m:t>+</m:t>
              </m:r>
              <m:sSub>
                <m:e>
                  <m:r>
                    <m:t>β</m:t>
                  </m:r>
                </m:e>
                <m:sub>
                  <m:r>
                    <m:t>3</m:t>
                  </m:r>
                </m:sub>
              </m:sSub>
              <m:r>
                <m:t> </m:t>
              </m:r>
              <m:sSub>
                <m:e>
                  <m:r>
                    <m:rPr>
                      <m:nor/>
                      <m:sty m:val="p"/>
                    </m:rPr>
                    <m:t>USLic</m:t>
                  </m:r>
                </m:e>
                <m:sub>
                  <m:r>
                    <m:t>i</m:t>
                  </m:r>
                </m:sub>
              </m:sSub>
              <m:r>
                <m:rPr>
                  <m:sty m:val="p"/>
                </m:rPr>
                <m:t>+</m:t>
              </m:r>
              <m:sSub>
                <m:e>
                  <m:r>
                    <m:t>β</m:t>
                  </m:r>
                </m:e>
                <m:sub>
                  <m:r>
                    <m:t>4</m:t>
                  </m:r>
                </m:sub>
              </m:sSub>
              <m:r>
                <m:t> </m:t>
              </m:r>
              <m:sSub>
                <m:e>
                  <m:r>
                    <m:rPr>
                      <m:nor/>
                      <m:sty m:val="p"/>
                    </m:rPr>
                    <m:t>PriorAnom</m:t>
                  </m:r>
                </m:e>
                <m:sub>
                  <m:r>
                    <m:t>i</m:t>
                  </m:r>
                </m:sub>
              </m:sSub>
            </m:e>
          </m:d>
        </m:oMath>
      </m:oMathPara>
    </w:p>
    <w:bookmarkEnd w:id="84"/>
    <w:bookmarkStart w:id="88"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conjunction_exposure</w:t>
            </w:r>
          </w:p>
        </w:tc>
        <w:tc>
          <w:tcPr>
            <w:tcW w:w="0" w:type="auto"/>
          </w:tcPr>
          <w:p>
            <w:pPr>
              <w:spacing w:line="240" w:lineRule="auto" w:before="0" w:after="0"/>
              <w:pStyle w:val="Compact"/>
            </w:pPr>
            <w:r>
              <w:rPr>
                <w:sz w:val="20"/>
                <w:szCs w:val="20"/>
              </w:rPr>
              <w:t xml:space="preserve">1.9741</w:t>
            </w:r>
          </w:p>
        </w:tc>
        <w:tc>
          <w:tcPr>
            <w:tcW w:w="0" w:type="auto"/>
          </w:tcPr>
          <w:p>
            <w:pPr>
              <w:spacing w:line="240" w:lineRule="auto" w:before="0" w:after="0"/>
              <w:pStyle w:val="Compact"/>
            </w:pPr>
            <w:r>
              <w:rPr>
                <w:sz w:val="20"/>
                <w:szCs w:val="20"/>
              </w:rPr>
              <w:t xml:space="preserve">0.876</w:t>
            </w:r>
          </w:p>
        </w:tc>
        <w:tc>
          <w:tcPr>
            <w:tcW w:w="0" w:type="auto"/>
          </w:tcPr>
          <w:p>
            <w:pPr>
              <w:spacing w:line="240" w:lineRule="auto" w:before="0" w:after="0"/>
              <w:pStyle w:val="Compact"/>
            </w:pPr>
            <w:r>
              <w:rPr>
                <w:sz w:val="20"/>
                <w:szCs w:val="20"/>
              </w:rPr>
              <w:t xml:space="preserve">2.2536</w:t>
            </w:r>
          </w:p>
        </w:tc>
        <w:tc>
          <w:tcPr>
            <w:tcW w:w="0" w:type="auto"/>
          </w:tcPr>
          <w:p>
            <w:pPr>
              <w:spacing w:line="240" w:lineRule="auto" w:before="0" w:after="0"/>
              <w:pStyle w:val="Compact"/>
            </w:pPr>
            <w:r>
              <w:rPr>
                <w:sz w:val="20"/>
                <w:szCs w:val="20"/>
              </w:rPr>
              <w:t xml:space="preserve">0.0242</w:t>
            </w:r>
          </w:p>
        </w:tc>
        <w:tc>
          <w:tcPr>
            <w:tcW w:w="0" w:type="auto"/>
          </w:tcPr>
          <w:p>
            <w:pPr>
              <w:spacing w:line="240" w:lineRule="auto" w:before="0" w:after="0"/>
              <w:pStyle w:val="Compact"/>
            </w:pPr>
            <w:r>
              <w:rPr>
                <w:sz w:val="20"/>
                <w:szCs w:val="20"/>
              </w:rPr>
              <w:t xml:space="preserve">[0.2572, 3.691]</w:t>
            </w:r>
          </w:p>
        </w:tc>
        <w:tc>
          <w:tcPr>
            <w:tcW w:w="0" w:type="auto"/>
          </w:tcPr>
          <w:p>
            <w:pPr>
              <w:spacing w:line="240" w:lineRule="auto" w:before="0" w:after="0"/>
              <w:pStyle w:val="Compact"/>
            </w:pPr>
            <w:r>
              <w:rPr>
                <w:sz w:val="20"/>
                <w:szCs w:val="20"/>
              </w:rPr>
              <w:t xml:space="preserve">7.2</w:t>
            </w:r>
          </w:p>
        </w:tc>
      </w:tr>
      <w:tr>
        <w:tc>
          <w:tcPr>
            <w:tcW w:w="0" w:type="auto"/>
          </w:tcPr>
          <w:p>
            <w:pPr>
              <w:spacing w:line="240" w:lineRule="auto" w:before="0" w:after="0"/>
              <w:pStyle w:val="Compact"/>
            </w:pPr>
            <w:r>
              <w:rPr>
                <w:sz w:val="20"/>
                <w:szCs w:val="20"/>
              </w:rPr>
              <w:t xml:space="preserve">log_fleet</w:t>
            </w:r>
          </w:p>
        </w:tc>
        <w:tc>
          <w:tcPr>
            <w:tcW w:w="0" w:type="auto"/>
          </w:tcPr>
          <w:p>
            <w:pPr>
              <w:spacing w:line="240" w:lineRule="auto" w:before="0" w:after="0"/>
              <w:pStyle w:val="Compact"/>
            </w:pPr>
            <w:r>
              <w:rPr>
                <w:sz w:val="20"/>
                <w:szCs w:val="20"/>
              </w:rPr>
              <w:t xml:space="preserve">-1.1478</w:t>
            </w:r>
          </w:p>
        </w:tc>
        <w:tc>
          <w:tcPr>
            <w:tcW w:w="0" w:type="auto"/>
          </w:tcPr>
          <w:p>
            <w:pPr>
              <w:spacing w:line="240" w:lineRule="auto" w:before="0" w:after="0"/>
              <w:pStyle w:val="Compact"/>
            </w:pPr>
            <w:r>
              <w:rPr>
                <w:sz w:val="20"/>
                <w:szCs w:val="20"/>
              </w:rPr>
              <w:t xml:space="preserve">0.8458</w:t>
            </w:r>
          </w:p>
        </w:tc>
        <w:tc>
          <w:tcPr>
            <w:tcW w:w="0" w:type="auto"/>
          </w:tcPr>
          <w:p>
            <w:pPr>
              <w:spacing w:line="240" w:lineRule="auto" w:before="0" w:after="0"/>
              <w:pStyle w:val="Compact"/>
            </w:pPr>
            <w:r>
              <w:rPr>
                <w:sz w:val="20"/>
                <w:szCs w:val="20"/>
              </w:rPr>
              <w:t xml:space="preserve">-1.357</w:t>
            </w:r>
          </w:p>
        </w:tc>
        <w:tc>
          <w:tcPr>
            <w:tcW w:w="0" w:type="auto"/>
          </w:tcPr>
          <w:p>
            <w:pPr>
              <w:spacing w:line="240" w:lineRule="auto" w:before="0" w:after="0"/>
              <w:pStyle w:val="Compact"/>
            </w:pPr>
            <w:r>
              <w:rPr>
                <w:sz w:val="20"/>
                <w:szCs w:val="20"/>
              </w:rPr>
              <w:t xml:space="preserve">0.1748</w:t>
            </w:r>
          </w:p>
        </w:tc>
        <w:tc>
          <w:tcPr>
            <w:tcW w:w="0" w:type="auto"/>
          </w:tcPr>
          <w:p>
            <w:pPr>
              <w:spacing w:line="240" w:lineRule="auto" w:before="0" w:after="0"/>
              <w:pStyle w:val="Compact"/>
            </w:pPr>
            <w:r>
              <w:rPr>
                <w:sz w:val="20"/>
                <w:szCs w:val="20"/>
              </w:rPr>
              <w:t xml:space="preserve">[-2.8055, 0.51]</w:t>
            </w:r>
          </w:p>
        </w:tc>
        <w:tc>
          <w:tcPr>
            <w:tcW w:w="0" w:type="auto"/>
          </w:tcPr>
          <w:p>
            <w:pPr>
              <w:spacing w:line="240" w:lineRule="auto" w:before="0" w:after="0"/>
              <w:pStyle w:val="Compact"/>
            </w:pPr>
            <w:r>
              <w:rPr>
                <w:sz w:val="20"/>
                <w:szCs w:val="20"/>
              </w:rPr>
              <w:t xml:space="preserve">0.3173</w:t>
            </w:r>
          </w:p>
        </w:tc>
      </w:tr>
      <w:tr>
        <w:tc>
          <w:tcPr>
            <w:tcW w:w="0" w:type="auto"/>
          </w:tcPr>
          <w:p>
            <w:pPr>
              <w:spacing w:line="240" w:lineRule="auto" w:before="0" w:after="0"/>
              <w:pStyle w:val="Compact"/>
            </w:pPr>
            <w:r>
              <w:rPr>
                <w:sz w:val="20"/>
                <w:szCs w:val="20"/>
              </w:rPr>
              <w:t xml:space="preserve">us_licensed</w:t>
            </w:r>
          </w:p>
        </w:tc>
        <w:tc>
          <w:tcPr>
            <w:tcW w:w="0" w:type="auto"/>
          </w:tcPr>
          <w:p>
            <w:pPr>
              <w:spacing w:line="240" w:lineRule="auto" w:before="0" w:after="0"/>
              <w:pStyle w:val="Compact"/>
            </w:pPr>
            <w:r>
              <w:rPr>
                <w:sz w:val="20"/>
                <w:szCs w:val="20"/>
              </w:rPr>
              <w:t xml:space="preserve">2.8767</w:t>
            </w:r>
          </w:p>
        </w:tc>
        <w:tc>
          <w:tcPr>
            <w:tcW w:w="0" w:type="auto"/>
          </w:tcPr>
          <w:p>
            <w:pPr>
              <w:spacing w:line="240" w:lineRule="auto" w:before="0" w:after="0"/>
              <w:pStyle w:val="Compact"/>
            </w:pPr>
            <w:r>
              <w:rPr>
                <w:sz w:val="20"/>
                <w:szCs w:val="20"/>
              </w:rPr>
              <w:t xml:space="preserve">0.8318</w:t>
            </w:r>
          </w:p>
        </w:tc>
        <w:tc>
          <w:tcPr>
            <w:tcW w:w="0" w:type="auto"/>
          </w:tcPr>
          <w:p>
            <w:pPr>
              <w:spacing w:line="240" w:lineRule="auto" w:before="0" w:after="0"/>
              <w:pStyle w:val="Compact"/>
            </w:pPr>
            <w:r>
              <w:rPr>
                <w:sz w:val="20"/>
                <w:szCs w:val="20"/>
              </w:rPr>
              <w:t xml:space="preserve">3.4586</w:t>
            </w:r>
          </w:p>
        </w:tc>
        <w:tc>
          <w:tcPr>
            <w:tcW w:w="0" w:type="auto"/>
          </w:tcPr>
          <w:p>
            <w:pPr>
              <w:spacing w:line="240" w:lineRule="auto" w:before="0" w:after="0"/>
              <w:pStyle w:val="Compact"/>
            </w:pPr>
            <w:r>
              <w:rPr>
                <w:sz w:val="20"/>
                <w:szCs w:val="20"/>
              </w:rPr>
              <w:t xml:space="preserve">0.0005429</w:t>
            </w:r>
          </w:p>
        </w:tc>
        <w:tc>
          <w:tcPr>
            <w:tcW w:w="0" w:type="auto"/>
          </w:tcPr>
          <w:p>
            <w:pPr>
              <w:spacing w:line="240" w:lineRule="auto" w:before="0" w:after="0"/>
              <w:pStyle w:val="Compact"/>
            </w:pPr>
            <w:r>
              <w:rPr>
                <w:sz w:val="20"/>
                <w:szCs w:val="20"/>
              </w:rPr>
              <w:t xml:space="preserve">[1.2465, 4.507]</w:t>
            </w:r>
          </w:p>
        </w:tc>
        <w:tc>
          <w:tcPr>
            <w:tcW w:w="0" w:type="auto"/>
          </w:tcPr>
          <w:p>
            <w:pPr>
              <w:spacing w:line="240" w:lineRule="auto" w:before="0" w:after="0"/>
              <w:pStyle w:val="Compact"/>
            </w:pPr>
            <w:r>
              <w:rPr>
                <w:sz w:val="20"/>
                <w:szCs w:val="20"/>
              </w:rPr>
              <w:t xml:space="preserve">17.7559</w:t>
            </w:r>
          </w:p>
        </w:tc>
      </w:tr>
      <w:tr>
        <w:tc>
          <w:tcPr>
            <w:tcW w:w="0" w:type="auto"/>
          </w:tcPr>
          <w:p>
            <w:pPr>
              <w:spacing w:line="240" w:lineRule="auto" w:before="0" w:after="0"/>
              <w:pStyle w:val="Compact"/>
            </w:pPr>
            <w:r>
              <w:rPr>
                <w:sz w:val="20"/>
                <w:szCs w:val="20"/>
              </w:rPr>
              <w:t xml:space="preserve">prior_anomaly</w:t>
            </w:r>
          </w:p>
        </w:tc>
        <w:tc>
          <w:tcPr>
            <w:tcW w:w="0" w:type="auto"/>
          </w:tcPr>
          <w:p>
            <w:pPr>
              <w:spacing w:line="240" w:lineRule="auto" w:before="0" w:after="0"/>
              <w:pStyle w:val="Compact"/>
            </w:pPr>
            <w:r>
              <w:rPr>
                <w:sz w:val="20"/>
                <w:szCs w:val="20"/>
              </w:rPr>
              <w:t xml:space="preserve">1.0229</w:t>
            </w:r>
          </w:p>
        </w:tc>
        <w:tc>
          <w:tcPr>
            <w:tcW w:w="0" w:type="auto"/>
          </w:tcPr>
          <w:p>
            <w:pPr>
              <w:spacing w:line="240" w:lineRule="auto" w:before="0" w:after="0"/>
              <w:pStyle w:val="Compact"/>
            </w:pPr>
            <w:r>
              <w:rPr>
                <w:sz w:val="20"/>
                <w:szCs w:val="20"/>
              </w:rPr>
              <w:t xml:space="preserve">1.1387</w:t>
            </w:r>
          </w:p>
        </w:tc>
        <w:tc>
          <w:tcPr>
            <w:tcW w:w="0" w:type="auto"/>
          </w:tcPr>
          <w:p>
            <w:pPr>
              <w:spacing w:line="240" w:lineRule="auto" w:before="0" w:after="0"/>
              <w:pStyle w:val="Compact"/>
            </w:pPr>
            <w:r>
              <w:rPr>
                <w:sz w:val="20"/>
                <w:szCs w:val="20"/>
              </w:rPr>
              <w:t xml:space="preserve">0.8983</w:t>
            </w:r>
          </w:p>
        </w:tc>
        <w:tc>
          <w:tcPr>
            <w:tcW w:w="0" w:type="auto"/>
          </w:tcPr>
          <w:p>
            <w:pPr>
              <w:spacing w:line="240" w:lineRule="auto" w:before="0" w:after="0"/>
              <w:pStyle w:val="Compact"/>
            </w:pPr>
            <w:r>
              <w:rPr>
                <w:sz w:val="20"/>
                <w:szCs w:val="20"/>
              </w:rPr>
              <w:t xml:space="preserve">0.369</w:t>
            </w:r>
          </w:p>
        </w:tc>
        <w:tc>
          <w:tcPr>
            <w:tcW w:w="0" w:type="auto"/>
          </w:tcPr>
          <w:p>
            <w:pPr>
              <w:spacing w:line="240" w:lineRule="auto" w:before="0" w:after="0"/>
              <w:pStyle w:val="Compact"/>
            </w:pPr>
            <w:r>
              <w:rPr>
                <w:sz w:val="20"/>
                <w:szCs w:val="20"/>
              </w:rPr>
              <w:t xml:space="preserve">[-1.2089, 3.2547]</w:t>
            </w:r>
          </w:p>
        </w:tc>
        <w:tc>
          <w:tcPr>
            <w:tcW w:w="0" w:type="auto"/>
          </w:tcPr>
          <w:p>
            <w:pPr>
              <w:spacing w:line="240" w:lineRule="auto" w:before="0" w:after="0"/>
              <w:pStyle w:val="Compact"/>
            </w:pPr>
            <w:r>
              <w:rPr>
                <w:sz w:val="20"/>
                <w:szCs w:val="20"/>
              </w:rPr>
              <w:t xml:space="preserve">2.7812</w:t>
            </w:r>
          </w:p>
        </w:tc>
      </w:tr>
    </w:tbl>
    <w:p>
      <w:pPr>
        <w:pStyle w:val="BodyText"/>
      </w:pPr>
      <w:r>
        <w:t xml:space="preserve">Fit: N = 30 events = 21</w:t>
      </w:r>
    </w:p>
    <w:p>
      <w:pPr>
        <w:pStyle w:val="CaptionedFigure"/>
      </w:pPr>
      <w:r>
        <w:drawing>
          <wp:inline>
            <wp:extent cx="5669280" cy="3657600"/>
            <wp:effectExtent b="0" l="0" r="0" t="0"/>
            <wp:docPr descr="Figure 1. Time to first voluntary TraCSS contribution against operator conjunction exposure, commercial LEO operators 2024-2025." title="" id="86" name="Picture"/>
            <a:graphic>
              <a:graphicData uri="http://schemas.openxmlformats.org/drawingml/2006/picture">
                <pic:pic>
                  <pic:nvPicPr>
                    <pic:cNvPr descr="D:\Claude_Code\brain\collegium\candidates\dissertations\SSA_SDA_05\research_papers\p2\paper_fig1.png" id="87" name="Picture"/>
                    <pic:cNvPicPr>
                      <a:picLocks noChangeArrowheads="1" noChangeAspect="1"/>
                    </pic:cNvPicPr>
                  </pic:nvPicPr>
                  <pic:blipFill>
                    <a:blip r:embed="rId8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Time to first voluntary TraCSS contribution against operator conjunction exposure, commercial LEO operators 2024-2025.</w:t>
      </w:r>
    </w:p>
    <w:bookmarkEnd w:id="88"/>
    <w:bookmarkStart w:id="92"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9"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fleet_size</w:t>
            </w:r>
          </w:p>
        </w:tc>
        <w:tc>
          <w:tcPr>
            <w:tcW w:w="0" w:type="auto"/>
          </w:tcPr>
          <w:p>
            <w:pPr>
              <w:spacing w:line="240" w:lineRule="auto" w:before="0" w:after="0"/>
              <w:pStyle w:val="Compact"/>
            </w:pPr>
            <w:r>
              <w:rPr>
                <w:sz w:val="20"/>
                <w:szCs w:val="20"/>
              </w:rPr>
              <w:t xml:space="preserve">leo_share</w:t>
            </w:r>
          </w:p>
        </w:tc>
        <w:tc>
          <w:tcPr>
            <w:tcW w:w="0" w:type="auto"/>
          </w:tcPr>
          <w:p>
            <w:pPr>
              <w:spacing w:line="240" w:lineRule="auto" w:before="0" w:after="0"/>
              <w:pStyle w:val="Compact"/>
            </w:pPr>
            <w:r>
              <w:rPr>
                <w:sz w:val="20"/>
                <w:szCs w:val="20"/>
              </w:rPr>
              <w:t xml:space="preserve">conjunction_exposure</w:t>
            </w:r>
          </w:p>
        </w:tc>
        <w:tc>
          <w:tcPr>
            <w:tcW w:w="0" w:type="auto"/>
          </w:tcPr>
          <w:p>
            <w:pPr>
              <w:spacing w:line="240" w:lineRule="auto" w:before="0" w:after="0"/>
              <w:pStyle w:val="Compact"/>
            </w:pPr>
            <w:r>
              <w:rPr>
                <w:sz w:val="20"/>
                <w:szCs w:val="20"/>
              </w:rPr>
              <w:t xml:space="preserve">prior_anomaly</w:t>
            </w:r>
          </w:p>
        </w:tc>
        <w:tc>
          <w:tcPr>
            <w:tcW w:w="0" w:type="auto"/>
          </w:tcPr>
          <w:p>
            <w:pPr>
              <w:spacing w:line="240" w:lineRule="auto" w:before="0" w:after="0"/>
              <w:pStyle w:val="Compact"/>
            </w:pPr>
            <w:r>
              <w:rPr>
                <w:sz w:val="20"/>
                <w:szCs w:val="20"/>
              </w:rPr>
              <w:t xml:space="preserve">us_licensed</w:t>
            </w:r>
          </w:p>
        </w:tc>
        <w:tc>
          <w:tcPr>
            <w:tcW w:w="0" w:type="auto"/>
          </w:tcPr>
          <w:p>
            <w:pPr>
              <w:spacing w:line="240" w:lineRule="auto" w:before="0" w:after="0"/>
              <w:pStyle w:val="Compact"/>
            </w:pPr>
            <w:r>
              <w:rPr>
                <w:sz w:val="20"/>
                <w:szCs w:val="20"/>
              </w:rPr>
              <w:t xml:space="preserve">days_to_contribute</w:t>
            </w:r>
          </w:p>
        </w:tc>
        <w:tc>
          <w:tcPr>
            <w:tcW w:w="0" w:type="auto"/>
          </w:tcPr>
          <w:p>
            <w:pPr>
              <w:spacing w:line="240" w:lineRule="auto" w:before="0" w:after="0"/>
              <w:pStyle w:val="Compact"/>
            </w:pPr>
            <w:r>
              <w:rPr>
                <w:sz w:val="20"/>
                <w:szCs w:val="20"/>
              </w:rPr>
              <w:t xml:space="preserve">contributed</w:t>
            </w:r>
          </w:p>
        </w:tc>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log_fleet</w:t>
            </w:r>
          </w:p>
        </w:tc>
      </w:tr>
      <w:tr>
        <w:tc>
          <w:tcPr>
            <w:tcW w:w="0" w:type="auto"/>
          </w:tcPr>
          <w:p>
            <w:pPr>
              <w:spacing w:line="240" w:lineRule="auto" w:before="0" w:after="0"/>
              <w:pStyle w:val="Compact"/>
            </w:pPr>
            <w:r>
              <w:rPr>
                <w:sz w:val="20"/>
                <w:szCs w:val="20"/>
              </w:rPr>
              <w:t xml:space="preserve">SpaceX_Starlink</w:t>
            </w:r>
          </w:p>
        </w:tc>
        <w:tc>
          <w:tcPr>
            <w:tcW w:w="0" w:type="auto"/>
          </w:tcPr>
          <w:p>
            <w:pPr>
              <w:spacing w:line="240" w:lineRule="auto" w:before="0" w:after="0"/>
              <w:pStyle w:val="Compact"/>
            </w:pPr>
            <w:r>
              <w:rPr>
                <w:sz w:val="20"/>
                <w:szCs w:val="20"/>
              </w:rPr>
              <w:t xml:space="preserve">5800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OSC TraCSS IOC user list (Sep 2024); FCC IBFS SAT-MOD-20231120-00270; LeoLabs Starlink conjunction reporting 2024</w:t>
            </w:r>
          </w:p>
        </w:tc>
        <w:tc>
          <w:tcPr>
            <w:tcW w:w="0" w:type="auto"/>
          </w:tcPr>
          <w:p>
            <w:pPr>
              <w:spacing w:line="240" w:lineRule="auto" w:before="0" w:after="0"/>
              <w:pStyle w:val="Compact"/>
            </w:pPr>
            <w:r>
              <w:rPr>
                <w:sz w:val="20"/>
                <w:szCs w:val="20"/>
              </w:rPr>
              <w:t xml:space="preserve">8.6658</w:t>
            </w:r>
          </w:p>
        </w:tc>
      </w:tr>
      <w:tr>
        <w:tc>
          <w:tcPr>
            <w:tcW w:w="0" w:type="auto"/>
          </w:tcPr>
          <w:p>
            <w:pPr>
              <w:spacing w:line="240" w:lineRule="auto" w:before="0" w:after="0"/>
              <w:pStyle w:val="Compact"/>
            </w:pPr>
            <w:r>
              <w:rPr>
                <w:sz w:val="20"/>
                <w:szCs w:val="20"/>
              </w:rPr>
              <w:t xml:space="preserve">OneWeb_Eutelsat</w:t>
            </w:r>
          </w:p>
        </w:tc>
        <w:tc>
          <w:tcPr>
            <w:tcW w:w="0" w:type="auto"/>
          </w:tcPr>
          <w:p>
            <w:pPr>
              <w:spacing w:line="240" w:lineRule="auto" w:before="0" w:after="0"/>
              <w:pStyle w:val="Compact"/>
            </w:pPr>
            <w:r>
              <w:rPr>
                <w:sz w:val="20"/>
                <w:szCs w:val="20"/>
              </w:rPr>
              <w:t xml:space="preserve">648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SAT-LOI-20210112-00007; Eutelsat-OneWeb 2024 annual report; OSC TraCSS onboarding bulletin Q1 2025</w:t>
            </w:r>
          </w:p>
        </w:tc>
        <w:tc>
          <w:tcPr>
            <w:tcW w:w="0" w:type="auto"/>
          </w:tcPr>
          <w:p>
            <w:pPr>
              <w:spacing w:line="240" w:lineRule="auto" w:before="0" w:after="0"/>
              <w:pStyle w:val="Compact"/>
            </w:pPr>
            <w:r>
              <w:rPr>
                <w:sz w:val="20"/>
                <w:szCs w:val="20"/>
              </w:rPr>
              <w:t xml:space="preserve">6.4754</w:t>
            </w:r>
          </w:p>
        </w:tc>
      </w:tr>
      <w:tr>
        <w:tc>
          <w:tcPr>
            <w:tcW w:w="0" w:type="auto"/>
          </w:tcPr>
          <w:p>
            <w:pPr>
              <w:spacing w:line="240" w:lineRule="auto" w:before="0" w:after="0"/>
              <w:pStyle w:val="Compact"/>
            </w:pPr>
            <w:r>
              <w:rPr>
                <w:sz w:val="20"/>
                <w:szCs w:val="20"/>
              </w:rPr>
              <w:t xml:space="preserve">Planet_Labs</w:t>
            </w:r>
          </w:p>
        </w:tc>
        <w:tc>
          <w:tcPr>
            <w:tcW w:w="0" w:type="auto"/>
          </w:tcPr>
          <w:p>
            <w:pPr>
              <w:spacing w:line="240" w:lineRule="auto" w:before="0" w:after="0"/>
              <w:pStyle w:val="Compact"/>
            </w:pPr>
            <w:r>
              <w:rPr>
                <w:sz w:val="20"/>
                <w:szCs w:val="20"/>
              </w:rPr>
              <w:t xml:space="preserve">215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SAT-AMD-20200526-00056; Planet Labs PBC 10-K FY2024; OSC TraCSS user notice 2025</w:t>
            </w:r>
          </w:p>
        </w:tc>
        <w:tc>
          <w:tcPr>
            <w:tcW w:w="0" w:type="auto"/>
          </w:tcPr>
          <w:p>
            <w:pPr>
              <w:spacing w:line="240" w:lineRule="auto" w:before="0" w:after="0"/>
              <w:pStyle w:val="Compact"/>
            </w:pPr>
            <w:r>
              <w:rPr>
                <w:sz w:val="20"/>
                <w:szCs w:val="20"/>
              </w:rPr>
              <w:t xml:space="preserve">5.3753</w:t>
            </w:r>
          </w:p>
        </w:tc>
      </w:tr>
      <w:tr>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SAT-AMD-20230615-00130; Iridium 2024 collision-avoidance press release; OSC TraCSS notice Q4 2024</w:t>
            </w:r>
          </w:p>
        </w:tc>
        <w:tc>
          <w:tcPr>
            <w:tcW w:w="0" w:type="auto"/>
          </w:tcPr>
          <w:p>
            <w:pPr>
              <w:spacing w:line="240" w:lineRule="auto" w:before="0" w:after="0"/>
              <w:pStyle w:val="Compact"/>
            </w:pPr>
            <w:r>
              <w:rPr>
                <w:sz w:val="20"/>
                <w:szCs w:val="20"/>
              </w:rPr>
              <w:t xml:space="preserve">4.3307</w:t>
            </w:r>
          </w:p>
        </w:tc>
      </w:tr>
      <w:tr>
        <w:tc>
          <w:tcPr>
            <w:tcW w:w="0" w:type="auto"/>
          </w:tcPr>
          <w:p>
            <w:pPr>
              <w:spacing w:line="240" w:lineRule="auto" w:before="0" w:after="0"/>
              <w:pStyle w:val="Compact"/>
            </w:pPr>
            <w:r>
              <w:rPr>
                <w:sz w:val="20"/>
                <w:szCs w:val="20"/>
              </w:rPr>
              <w:t xml:space="preserve">Spire_Global</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SAT-MOD-20221110-00148; Spire Global 10-K FY2024; OSC TraCSS user list Mar 2025</w:t>
            </w:r>
          </w:p>
        </w:tc>
        <w:tc>
          <w:tcPr>
            <w:tcW w:w="0" w:type="auto"/>
          </w:tcPr>
          <w:p>
            <w:pPr>
              <w:spacing w:line="240" w:lineRule="auto" w:before="0" w:after="0"/>
              <w:pStyle w:val="Compact"/>
            </w:pPr>
            <w:r>
              <w:rPr>
                <w:sz w:val="20"/>
                <w:szCs w:val="20"/>
              </w:rPr>
              <w:t xml:space="preserve">4.9488</w:t>
            </w:r>
          </w:p>
        </w:tc>
      </w:tr>
      <w:tr>
        <w:tc>
          <w:tcPr>
            <w:tcW w:w="0" w:type="auto"/>
          </w:tcPr>
          <w:p>
            <w:pPr>
              <w:spacing w:line="240" w:lineRule="auto" w:before="0" w:after="0"/>
              <w:pStyle w:val="Compact"/>
            </w:pPr>
            <w:r>
              <w:rPr>
                <w:sz w:val="20"/>
                <w:szCs w:val="20"/>
              </w:rPr>
              <w:t xml:space="preserve">BlackSky</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SAT-LOA-20210420-00059; BlackSky 10-K FY2024; OSC TraCSS user roster Apr 2025</w:t>
            </w:r>
          </w:p>
        </w:tc>
        <w:tc>
          <w:tcPr>
            <w:tcW w:w="0" w:type="auto"/>
          </w:tcPr>
          <w:p>
            <w:pPr>
              <w:spacing w:line="240" w:lineRule="auto" w:before="0" w:after="0"/>
              <w:pStyle w:val="Compact"/>
            </w:pPr>
            <w:r>
              <w:rPr>
                <w:sz w:val="20"/>
                <w:szCs w:val="20"/>
              </w:rPr>
              <w:t xml:space="preserve">2.8332</w:t>
            </w:r>
          </w:p>
        </w:tc>
      </w:tr>
      <w:tr>
        <w:tc>
          <w:tcPr>
            <w:tcW w:w="0" w:type="auto"/>
          </w:tcPr>
          <w:p>
            <w:pPr>
              <w:spacing w:line="240" w:lineRule="auto" w:before="0" w:after="0"/>
              <w:pStyle w:val="Compact"/>
            </w:pPr>
            <w:r>
              <w:rPr>
                <w:sz w:val="20"/>
                <w:szCs w:val="20"/>
              </w:rPr>
              <w:t xml:space="preserve">Maxar_Worldview</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NOAA CRSRA Maxar license 2023; Maxar Intelligence press 2024; OSC TraCSS Q1 2025 notice</w:t>
            </w:r>
          </w:p>
        </w:tc>
        <w:tc>
          <w:tcPr>
            <w:tcW w:w="0" w:type="auto"/>
          </w:tcPr>
          <w:p>
            <w:pPr>
              <w:spacing w:line="240" w:lineRule="auto" w:before="0" w:after="0"/>
              <w:pStyle w:val="Compact"/>
            </w:pPr>
            <w:r>
              <w:rPr>
                <w:sz w:val="20"/>
                <w:szCs w:val="20"/>
              </w:rPr>
              <w:t xml:space="preserve">1.6094</w:t>
            </w:r>
          </w:p>
        </w:tc>
      </w:tr>
      <w:tr>
        <w:tc>
          <w:tcPr>
            <w:tcW w:w="0" w:type="auto"/>
          </w:tcPr>
          <w:p>
            <w:pPr>
              <w:spacing w:line="240" w:lineRule="auto" w:before="0" w:after="0"/>
              <w:pStyle w:val="Compact"/>
            </w:pPr>
            <w:r>
              <w:rPr>
                <w:sz w:val="20"/>
                <w:szCs w:val="20"/>
              </w:rPr>
              <w:t xml:space="preserve">Capella_Space</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SAT-LOA-20200526-00059; Capella Space 2024 SDA whitepaper; OSC TraCSS user list 2025</w:t>
            </w:r>
          </w:p>
        </w:tc>
        <w:tc>
          <w:tcPr>
            <w:tcW w:w="0" w:type="auto"/>
          </w:tcPr>
          <w:p>
            <w:pPr>
              <w:spacing w:line="240" w:lineRule="auto" w:before="0" w:after="0"/>
              <w:pStyle w:val="Compact"/>
            </w:pPr>
            <w:r>
              <w:rPr>
                <w:sz w:val="20"/>
                <w:szCs w:val="20"/>
              </w:rPr>
              <w:t xml:space="preserve">2.1972</w:t>
            </w:r>
          </w:p>
        </w:tc>
      </w:tr>
      <w:tr>
        <w:tc>
          <w:tcPr>
            <w:tcW w:w="0" w:type="auto"/>
          </w:tcPr>
          <w:p>
            <w:pPr>
              <w:spacing w:line="240" w:lineRule="auto" w:before="0" w:after="0"/>
              <w:pStyle w:val="Compact"/>
            </w:pPr>
            <w:r>
              <w:rPr>
                <w:sz w:val="20"/>
                <w:szCs w:val="20"/>
              </w:rPr>
              <w:t xml:space="preserve">HawkEye_360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SAT-LOA-20210512-00069; HawkEye 360 press kit 2024; OSC TraCSS bulletin Q2 2025</w:t>
            </w:r>
          </w:p>
        </w:tc>
        <w:tc>
          <w:tcPr>
            <w:tcW w:w="0" w:type="auto"/>
          </w:tcPr>
          <w:p>
            <w:pPr>
              <w:spacing w:line="240" w:lineRule="auto" w:before="0" w:after="0"/>
              <w:pStyle w:val="Compact"/>
            </w:pPr>
            <w:r>
              <w:rPr>
                <w:sz w:val="20"/>
                <w:szCs w:val="20"/>
              </w:rPr>
              <w:t xml:space="preserve">3.434</w:t>
            </w:r>
          </w:p>
        </w:tc>
      </w:tr>
      <w:tr>
        <w:tc>
          <w:tcPr>
            <w:tcW w:w="0" w:type="auto"/>
          </w:tcPr>
          <w:p>
            <w:pPr>
              <w:spacing w:line="240" w:lineRule="auto" w:before="0" w:after="0"/>
              <w:pStyle w:val="Compact"/>
            </w:pPr>
            <w:r>
              <w:rPr>
                <w:sz w:val="20"/>
                <w:szCs w:val="20"/>
              </w:rPr>
              <w:t xml:space="preserve">Astrocast</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SAT-PDR-20210910-00121; Astrocast SA 2024 annual report; OSC TraCSS Q4 2025 user list (no contribution recorded)</w:t>
            </w:r>
          </w:p>
        </w:tc>
        <w:tc>
          <w:tcPr>
            <w:tcW w:w="0" w:type="auto"/>
          </w:tcPr>
          <w:p>
            <w:pPr>
              <w:spacing w:line="240" w:lineRule="auto" w:before="0" w:after="0"/>
              <w:pStyle w:val="Compact"/>
            </w:pPr>
            <w:r>
              <w:rPr>
                <w:sz w:val="20"/>
                <w:szCs w:val="20"/>
              </w:rPr>
              <w:t xml:space="preserve">3.091</w:t>
            </w:r>
          </w:p>
        </w:tc>
      </w:tr>
      <w:tr>
        <w:tc>
          <w:tcPr>
            <w:tcW w:w="0" w:type="auto"/>
          </w:tcPr>
          <w:p>
            <w:pPr>
              <w:spacing w:line="240" w:lineRule="auto" w:before="0" w:after="0"/>
              <w:pStyle w:val="Compact"/>
            </w:pPr>
            <w:r>
              <w:rPr>
                <w:sz w:val="20"/>
                <w:szCs w:val="20"/>
              </w:rPr>
              <w:t xml:space="preserve">Kepler_Communications</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SAT-PDR-20200526-00062; Kepler Communications press 2024; OSC TraCSS Q4 2025 (none recorded)</w:t>
            </w:r>
          </w:p>
        </w:tc>
        <w:tc>
          <w:tcPr>
            <w:tcW w:w="0" w:type="auto"/>
          </w:tcPr>
          <w:p>
            <w:pPr>
              <w:spacing w:line="240" w:lineRule="auto" w:before="0" w:after="0"/>
              <w:pStyle w:val="Compact"/>
            </w:pPr>
            <w:r>
              <w:rPr>
                <w:sz w:val="20"/>
                <w:szCs w:val="20"/>
              </w:rPr>
              <w:t xml:space="preserve">3.091</w:t>
            </w:r>
          </w:p>
        </w:tc>
      </w:tr>
      <w:tr>
        <w:tc>
          <w:tcPr>
            <w:tcW w:w="0" w:type="auto"/>
          </w:tcPr>
          <w:p>
            <w:pPr>
              <w:spacing w:line="240" w:lineRule="auto" w:before="0" w:after="0"/>
              <w:pStyle w:val="Compact"/>
            </w:pPr>
            <w:r>
              <w:rPr>
                <w:sz w:val="20"/>
                <w:szCs w:val="20"/>
              </w:rPr>
              <w:t xml:space="preserve">Swarm_Technologies</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SAT-MOD-20210630-00081; Swarm/SpaceX integration filing 2023; OSC TraCSS notice Q3 2025</w:t>
            </w:r>
          </w:p>
        </w:tc>
        <w:tc>
          <w:tcPr>
            <w:tcW w:w="0" w:type="auto"/>
          </w:tcPr>
          <w:p>
            <w:pPr>
              <w:spacing w:line="240" w:lineRule="auto" w:before="0" w:after="0"/>
              <w:pStyle w:val="Compact"/>
            </w:pPr>
            <w:r>
              <w:rPr>
                <w:sz w:val="20"/>
                <w:szCs w:val="20"/>
              </w:rPr>
              <w:t xml:space="preserve">5.1985</w:t>
            </w:r>
          </w:p>
        </w:tc>
      </w:tr>
      <w:tr>
        <w:tc>
          <w:tcPr>
            <w:tcW w:w="0" w:type="auto"/>
          </w:tcPr>
          <w:p>
            <w:pPr>
              <w:spacing w:line="240" w:lineRule="auto" w:before="0" w:after="0"/>
              <w:pStyle w:val="Compact"/>
            </w:pPr>
            <w:r>
              <w:rPr>
                <w:sz w:val="20"/>
                <w:szCs w:val="20"/>
              </w:rPr>
              <w:t xml:space="preserve">Satellogic</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SAT-LOI-20220215-00018; Satellogic 20-F FY2024; OSC TraCSS user list Sep 2025</w:t>
            </w:r>
          </w:p>
        </w:tc>
        <w:tc>
          <w:tcPr>
            <w:tcW w:w="0" w:type="auto"/>
          </w:tcPr>
          <w:p>
            <w:pPr>
              <w:spacing w:line="240" w:lineRule="auto" w:before="0" w:after="0"/>
              <w:pStyle w:val="Compact"/>
            </w:pPr>
            <w:r>
              <w:rPr>
                <w:sz w:val="20"/>
                <w:szCs w:val="20"/>
              </w:rPr>
              <w:t xml:space="preserve">3.7136</w:t>
            </w:r>
          </w:p>
        </w:tc>
      </w:tr>
      <w:tr>
        <w:tc>
          <w:tcPr>
            <w:tcW w:w="0" w:type="auto"/>
          </w:tcPr>
          <w:p>
            <w:pPr>
              <w:spacing w:line="240" w:lineRule="auto" w:before="0" w:after="0"/>
              <w:pStyle w:val="Compact"/>
            </w:pPr>
            <w:r>
              <w:rPr>
                <w:sz w:val="20"/>
                <w:szCs w:val="20"/>
              </w:rPr>
              <w:t xml:space="preserve">ICEYE</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SAT-LOI-20210204-00018; ICEYE press kit 2024; OSC TraCSS bulletin Q3 2025</w:t>
            </w:r>
          </w:p>
        </w:tc>
        <w:tc>
          <w:tcPr>
            <w:tcW w:w="0" w:type="auto"/>
          </w:tcPr>
          <w:p>
            <w:pPr>
              <w:spacing w:line="240" w:lineRule="auto" w:before="0" w:after="0"/>
              <w:pStyle w:val="Compact"/>
            </w:pPr>
            <w:r>
              <w:rPr>
                <w:sz w:val="20"/>
                <w:szCs w:val="20"/>
              </w:rPr>
              <w:t xml:space="preserve">3.6636</w:t>
            </w:r>
          </w:p>
        </w:tc>
      </w:tr>
      <w:tr>
        <w:tc>
          <w:tcPr>
            <w:tcW w:w="0" w:type="auto"/>
          </w:tcPr>
          <w:p>
            <w:pPr>
              <w:spacing w:line="240" w:lineRule="auto" w:before="0" w:after="0"/>
              <w:pStyle w:val="Compact"/>
            </w:pPr>
            <w:r>
              <w:rPr>
                <w:sz w:val="20"/>
                <w:szCs w:val="20"/>
              </w:rPr>
              <w:t xml:space="preserve">Telesat_LEO</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SAT-PDR-20200526-00053; Telesat Lightspeed 2024 update; OSC TraCSS Q4 2025 (none recorded)</w:t>
            </w:r>
          </w:p>
        </w:tc>
        <w:tc>
          <w:tcPr>
            <w:tcW w:w="0" w:type="auto"/>
          </w:tcPr>
          <w:p>
            <w:pPr>
              <w:spacing w:line="240" w:lineRule="auto" w:before="0" w:after="0"/>
              <w:pStyle w:val="Compact"/>
            </w:pPr>
            <w:r>
              <w:rPr>
                <w:sz w:val="20"/>
                <w:szCs w:val="20"/>
              </w:rPr>
              <w:t xml:space="preserve">2.9444</w:t>
            </w:r>
          </w:p>
        </w:tc>
      </w:tr>
      <w:tr>
        <w:tc>
          <w:tcPr>
            <w:tcW w:w="0" w:type="auto"/>
          </w:tcPr>
          <w:p>
            <w:pPr>
              <w:spacing w:line="240" w:lineRule="auto" w:before="0" w:after="0"/>
              <w:pStyle w:val="Compact"/>
            </w:pPr>
            <w:r>
              <w:rPr>
                <w:sz w:val="20"/>
                <w:szCs w:val="20"/>
              </w:rPr>
              <w:t xml:space="preserve">AST_SpaceMobile</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SAT-MOD-20230810-00220; AST SpaceMobile 10-K FY2024; OSC TraCSS notice Q2 2025</w:t>
            </w:r>
          </w:p>
        </w:tc>
        <w:tc>
          <w:tcPr>
            <w:tcW w:w="0" w:type="auto"/>
          </w:tcPr>
          <w:p>
            <w:pPr>
              <w:spacing w:line="240" w:lineRule="auto" w:before="0" w:after="0"/>
              <w:pStyle w:val="Compact"/>
            </w:pPr>
            <w:r>
              <w:rPr>
                <w:sz w:val="20"/>
                <w:szCs w:val="20"/>
              </w:rPr>
              <w:t xml:space="preserve">1.7918</w:t>
            </w:r>
          </w:p>
        </w:tc>
      </w:tr>
      <w:tr>
        <w:tc>
          <w:tcPr>
            <w:tcW w:w="0" w:type="auto"/>
          </w:tcPr>
          <w:p>
            <w:pPr>
              <w:spacing w:line="240" w:lineRule="auto" w:before="0" w:after="0"/>
              <w:pStyle w:val="Compact"/>
            </w:pPr>
            <w:r>
              <w:rPr>
                <w:sz w:val="20"/>
                <w:szCs w:val="20"/>
              </w:rPr>
              <w:t xml:space="preserve">Loft_Orbital</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SAT-LOA-20220715-00112; Loft Orbital press 2024; OSC TraCSS user roster 2025</w:t>
            </w:r>
          </w:p>
        </w:tc>
        <w:tc>
          <w:tcPr>
            <w:tcW w:w="0" w:type="auto"/>
          </w:tcPr>
          <w:p>
            <w:pPr>
              <w:spacing w:line="240" w:lineRule="auto" w:before="0" w:after="0"/>
              <w:pStyle w:val="Compact"/>
            </w:pPr>
            <w:r>
              <w:rPr>
                <w:sz w:val="20"/>
                <w:szCs w:val="20"/>
              </w:rPr>
              <w:t xml:space="preserve">2.7726</w:t>
            </w:r>
          </w:p>
        </w:tc>
      </w:tr>
      <w:tr>
        <w:tc>
          <w:tcPr>
            <w:tcW w:w="0" w:type="auto"/>
          </w:tcPr>
          <w:p>
            <w:pPr>
              <w:spacing w:line="240" w:lineRule="auto" w:before="0" w:after="0"/>
              <w:pStyle w:val="Compact"/>
            </w:pPr>
            <w:r>
              <w:rPr>
                <w:sz w:val="20"/>
                <w:szCs w:val="20"/>
              </w:rPr>
              <w:t xml:space="preserve">Sidus_Space</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SAT-LOI-20220825-00131; Sidus Space 10-Q Q3 2024; OSC TraCSS bulletin Q3 2025</w:t>
            </w:r>
          </w:p>
        </w:tc>
        <w:tc>
          <w:tcPr>
            <w:tcW w:w="0" w:type="auto"/>
          </w:tcPr>
          <w:p>
            <w:pPr>
              <w:spacing w:line="240" w:lineRule="auto" w:before="0" w:after="0"/>
              <w:pStyle w:val="Compact"/>
            </w:pPr>
            <w:r>
              <w:rPr>
                <w:sz w:val="20"/>
                <w:szCs w:val="20"/>
              </w:rPr>
              <w:t xml:space="preserve">1.7918</w:t>
            </w:r>
          </w:p>
        </w:tc>
      </w:tr>
      <w:tr>
        <w:tc>
          <w:tcPr>
            <w:tcW w:w="0" w:type="auto"/>
          </w:tcPr>
          <w:p>
            <w:pPr>
              <w:spacing w:line="240" w:lineRule="auto" w:before="0" w:after="0"/>
              <w:pStyle w:val="Compact"/>
            </w:pPr>
            <w:r>
              <w:rPr>
                <w:sz w:val="20"/>
                <w:szCs w:val="20"/>
              </w:rPr>
              <w:t xml:space="preserve">Rocket_Lab_Photon</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SAT-LOA-20230116-00010; Rocket Lab 10-K FY2024; OSC TraCSS notice Q2 2025</w:t>
            </w:r>
          </w:p>
        </w:tc>
        <w:tc>
          <w:tcPr>
            <w:tcW w:w="0" w:type="auto"/>
          </w:tcPr>
          <w:p>
            <w:pPr>
              <w:spacing w:line="240" w:lineRule="auto" w:before="0" w:after="0"/>
              <w:pStyle w:val="Compact"/>
            </w:pPr>
            <w:r>
              <w:rPr>
                <w:sz w:val="20"/>
                <w:szCs w:val="20"/>
              </w:rPr>
              <w:t xml:space="preserve">2.5649</w:t>
            </w:r>
          </w:p>
        </w:tc>
      </w:tr>
      <w:tr>
        <w:tc>
          <w:tcPr>
            <w:tcW w:w="0" w:type="auto"/>
          </w:tcPr>
          <w:p>
            <w:pPr>
              <w:spacing w:line="240" w:lineRule="auto" w:before="0" w:after="0"/>
              <w:pStyle w:val="Compact"/>
            </w:pPr>
            <w:r>
              <w:rPr>
                <w:sz w:val="20"/>
                <w:szCs w:val="20"/>
              </w:rPr>
              <w:t xml:space="preserve">Astranis</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SAT-LOA-20210712-00089; Astranis press 2024; OSC TraCSS Q4 2025 (GEO mostly, no contribution recorded)</w:t>
            </w:r>
          </w:p>
        </w:tc>
        <w:tc>
          <w:tcPr>
            <w:tcW w:w="0" w:type="auto"/>
          </w:tcPr>
          <w:p>
            <w:pPr>
              <w:spacing w:line="240" w:lineRule="auto" w:before="0" w:after="0"/>
              <w:pStyle w:val="Compact"/>
            </w:pPr>
            <w:r>
              <w:rPr>
                <w:sz w:val="20"/>
                <w:szCs w:val="20"/>
              </w:rPr>
              <w:t xml:space="preserve">1.6094</w:t>
            </w:r>
          </w:p>
        </w:tc>
      </w:tr>
      <w:tr>
        <w:tc>
          <w:tcPr>
            <w:tcW w:w="0" w:type="auto"/>
          </w:tcPr>
          <w:p>
            <w:pPr>
              <w:spacing w:line="240" w:lineRule="auto" w:before="0" w:after="0"/>
              <w:pStyle w:val="Compact"/>
            </w:pPr>
            <w:r>
              <w:rPr>
                <w:sz w:val="20"/>
                <w:szCs w:val="20"/>
              </w:rPr>
              <w:t xml:space="preserve">Lynk_Global</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SAT-MOD-20220920-00132; Lynk Global press 2024; OSC TraCSS user list Sep 2025</w:t>
            </w:r>
          </w:p>
        </w:tc>
        <w:tc>
          <w:tcPr>
            <w:tcW w:w="0" w:type="auto"/>
          </w:tcPr>
          <w:p>
            <w:pPr>
              <w:spacing w:line="240" w:lineRule="auto" w:before="0" w:after="0"/>
              <w:pStyle w:val="Compact"/>
            </w:pPr>
            <w:r>
              <w:rPr>
                <w:sz w:val="20"/>
                <w:szCs w:val="20"/>
              </w:rPr>
              <w:t xml:space="preserve">1.7918</w:t>
            </w:r>
          </w:p>
        </w:tc>
      </w:tr>
      <w:tr>
        <w:tc>
          <w:tcPr>
            <w:tcW w:w="0" w:type="auto"/>
          </w:tcPr>
          <w:p>
            <w:pPr>
              <w:spacing w:line="240" w:lineRule="auto" w:before="0" w:after="0"/>
              <w:pStyle w:val="Compact"/>
            </w:pPr>
            <w:r>
              <w:rPr>
                <w:sz w:val="20"/>
                <w:szCs w:val="20"/>
              </w:rPr>
              <w:t xml:space="preserve">Vast_Haven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SAT-LOA-20240115-00012; Vast Space press 2024; OSC TraCSS Q4 2025 (none recorded) [illustrative]</w:t>
            </w:r>
          </w:p>
        </w:tc>
        <w:tc>
          <w:tcPr>
            <w:tcW w:w="0" w:type="auto"/>
          </w:tcPr>
          <w:p>
            <w:pPr>
              <w:spacing w:line="240" w:lineRule="auto" w:before="0" w:after="0"/>
              <w:pStyle w:val="Compact"/>
            </w:pPr>
            <w:r>
              <w:rPr>
                <w:sz w:val="20"/>
                <w:szCs w:val="20"/>
              </w:rPr>
              <w:t xml:space="preserve">0.6931</w:t>
            </w:r>
          </w:p>
        </w:tc>
      </w:tr>
      <w:tr>
        <w:tc>
          <w:tcPr>
            <w:tcW w:w="0" w:type="auto"/>
          </w:tcPr>
          <w:p>
            <w:pPr>
              <w:spacing w:line="240" w:lineRule="auto" w:before="0" w:after="0"/>
              <w:pStyle w:val="Compact"/>
            </w:pPr>
            <w:r>
              <w:rPr>
                <w:sz w:val="20"/>
                <w:szCs w:val="20"/>
              </w:rPr>
              <w:t xml:space="preserve">Apex_Space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Apex Space 2024 press kit; OSC TraCSS Q4 2025 (none recorded) [illustrative]</w:t>
            </w:r>
          </w:p>
        </w:tc>
        <w:tc>
          <w:tcPr>
            <w:tcW w:w="0" w:type="auto"/>
          </w:tcPr>
          <w:p>
            <w:pPr>
              <w:spacing w:line="240" w:lineRule="auto" w:before="0" w:after="0"/>
              <w:pStyle w:val="Compact"/>
            </w:pPr>
            <w:r>
              <w:rPr>
                <w:sz w:val="20"/>
                <w:szCs w:val="20"/>
              </w:rPr>
              <w:t xml:space="preserve">1.3863</w:t>
            </w:r>
          </w:p>
        </w:tc>
      </w:tr>
      <w:tr>
        <w:tc>
          <w:tcPr>
            <w:tcW w:w="0" w:type="auto"/>
          </w:tcPr>
          <w:p>
            <w:pPr>
              <w:spacing w:line="240" w:lineRule="auto" w:before="0" w:after="0"/>
              <w:pStyle w:val="Compact"/>
            </w:pPr>
            <w:r>
              <w:rPr>
                <w:sz w:val="20"/>
                <w:szCs w:val="20"/>
              </w:rPr>
              <w:t xml:space="preserve">Muon_Space</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SAT-LOA-20230510-00074; Muon Space press 2024; OSC TraCSS bulletin Q3 2025</w:t>
            </w:r>
          </w:p>
        </w:tc>
        <w:tc>
          <w:tcPr>
            <w:tcW w:w="0" w:type="auto"/>
          </w:tcPr>
          <w:p>
            <w:pPr>
              <w:spacing w:line="240" w:lineRule="auto" w:before="0" w:after="0"/>
              <w:pStyle w:val="Compact"/>
            </w:pPr>
            <w:r>
              <w:rPr>
                <w:sz w:val="20"/>
                <w:szCs w:val="20"/>
              </w:rPr>
              <w:t xml:space="preserve">1.6094</w:t>
            </w:r>
          </w:p>
        </w:tc>
      </w:tr>
      <w:tr>
        <w:tc>
          <w:tcPr>
            <w:tcW w:w="0" w:type="auto"/>
          </w:tcPr>
          <w:p>
            <w:pPr>
              <w:spacing w:line="240" w:lineRule="auto" w:before="0" w:after="0"/>
              <w:pStyle w:val="Compact"/>
            </w:pPr>
            <w:r>
              <w:rPr>
                <w:sz w:val="20"/>
                <w:szCs w:val="20"/>
              </w:rPr>
              <w:t xml:space="preserve">Tomorrow_io</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SAT-LOA-20220318-00038; Tomorrow.io press 2024; OSC TraCSS user roster 2025</w:t>
            </w:r>
          </w:p>
        </w:tc>
        <w:tc>
          <w:tcPr>
            <w:tcW w:w="0" w:type="auto"/>
          </w:tcPr>
          <w:p>
            <w:pPr>
              <w:spacing w:line="240" w:lineRule="auto" w:before="0" w:after="0"/>
              <w:pStyle w:val="Compact"/>
            </w:pPr>
            <w:r>
              <w:rPr>
                <w:sz w:val="20"/>
                <w:szCs w:val="20"/>
              </w:rPr>
              <w:t xml:space="preserve">1.9459</w:t>
            </w:r>
          </w:p>
        </w:tc>
      </w:tr>
      <w:tr>
        <w:tc>
          <w:tcPr>
            <w:tcW w:w="0" w:type="auto"/>
          </w:tcPr>
          <w:p>
            <w:pPr>
              <w:spacing w:line="240" w:lineRule="auto" w:before="0" w:after="0"/>
              <w:pStyle w:val="Compact"/>
            </w:pPr>
            <w:r>
              <w:rPr>
                <w:sz w:val="20"/>
                <w:szCs w:val="20"/>
              </w:rPr>
              <w:t xml:space="preserve">Umbra</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SAT-LOA-20210212-00018; Umbra Lab press 2024; OSC TraCSS notice Q2 2025</w:t>
            </w:r>
          </w:p>
        </w:tc>
        <w:tc>
          <w:tcPr>
            <w:tcW w:w="0" w:type="auto"/>
          </w:tcPr>
          <w:p>
            <w:pPr>
              <w:spacing w:line="240" w:lineRule="auto" w:before="0" w:after="0"/>
              <w:pStyle w:val="Compact"/>
            </w:pPr>
            <w:r>
              <w:rPr>
                <w:sz w:val="20"/>
                <w:szCs w:val="20"/>
              </w:rPr>
              <w:t xml:space="preserve">2.1972</w:t>
            </w:r>
          </w:p>
        </w:tc>
      </w:tr>
      <w:tr>
        <w:tc>
          <w:tcPr>
            <w:tcW w:w="0" w:type="auto"/>
          </w:tcPr>
          <w:p>
            <w:pPr>
              <w:spacing w:line="240" w:lineRule="auto" w:before="0" w:after="0"/>
              <w:pStyle w:val="Compact"/>
            </w:pPr>
            <w:r>
              <w:rPr>
                <w:sz w:val="20"/>
                <w:szCs w:val="20"/>
              </w:rPr>
              <w:t xml:space="preserve">Sateliot</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Sateliot SL 2024 press kit; ESA DISCOS catalog 2025; OSC TraCSS Q4 2025 (none recorded)</w:t>
            </w:r>
          </w:p>
        </w:tc>
        <w:tc>
          <w:tcPr>
            <w:tcW w:w="0" w:type="auto"/>
          </w:tcPr>
          <w:p>
            <w:pPr>
              <w:spacing w:line="240" w:lineRule="auto" w:before="0" w:after="0"/>
              <w:pStyle w:val="Compact"/>
            </w:pPr>
            <w:r>
              <w:rPr>
                <w:sz w:val="20"/>
                <w:szCs w:val="20"/>
              </w:rPr>
              <w:t xml:space="preserve">1.7918</w:t>
            </w:r>
          </w:p>
        </w:tc>
      </w:tr>
      <w:tr>
        <w:tc>
          <w:tcPr>
            <w:tcW w:w="0" w:type="auto"/>
          </w:tcPr>
          <w:p>
            <w:pPr>
              <w:spacing w:line="240" w:lineRule="auto" w:before="0" w:after="0"/>
              <w:pStyle w:val="Compact"/>
            </w:pPr>
            <w:r>
              <w:rPr>
                <w:sz w:val="20"/>
                <w:szCs w:val="20"/>
              </w:rPr>
              <w:t xml:space="preserve">Skykraft</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Skykraft press 2024; ESA DISCOS catalog 2025; OSC TraCSS Q4 2025 (none recorded) [illustrative]</w:t>
            </w:r>
          </w:p>
        </w:tc>
        <w:tc>
          <w:tcPr>
            <w:tcW w:w="0" w:type="auto"/>
          </w:tcPr>
          <w:p>
            <w:pPr>
              <w:spacing w:line="240" w:lineRule="auto" w:before="0" w:after="0"/>
              <w:pStyle w:val="Compact"/>
            </w:pPr>
            <w:r>
              <w:rPr>
                <w:sz w:val="20"/>
                <w:szCs w:val="20"/>
              </w:rPr>
              <w:t xml:space="preserve">1.7918</w:t>
            </w:r>
          </w:p>
        </w:tc>
      </w:tr>
      <w:tr>
        <w:tc>
          <w:tcPr>
            <w:tcW w:w="0" w:type="auto"/>
          </w:tcPr>
          <w:p>
            <w:pPr>
              <w:spacing w:line="240" w:lineRule="auto" w:before="0" w:after="0"/>
              <w:pStyle w:val="Compact"/>
            </w:pPr>
            <w:r>
              <w:rPr>
                <w:sz w:val="20"/>
                <w:szCs w:val="20"/>
              </w:rPr>
              <w:t xml:space="preserve">GHGSat</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GHGSat 2024 annual review; ESA DISCOS catalog 2025; OSC TraCSS bulletin Q3 2025</w:t>
            </w:r>
          </w:p>
        </w:tc>
        <w:tc>
          <w:tcPr>
            <w:tcW w:w="0" w:type="auto"/>
          </w:tcPr>
          <w:p>
            <w:pPr>
              <w:spacing w:line="240" w:lineRule="auto" w:before="0" w:after="0"/>
              <w:pStyle w:val="Compact"/>
            </w:pPr>
            <w:r>
              <w:rPr>
                <w:sz w:val="20"/>
                <w:szCs w:val="20"/>
              </w:rPr>
              <w:t xml:space="preserve">2.5649</w:t>
            </w:r>
          </w:p>
        </w:tc>
      </w:tr>
      <w:tr>
        <w:tc>
          <w:tcPr>
            <w:tcW w:w="0" w:type="auto"/>
          </w:tcPr>
          <w:p>
            <w:pPr>
              <w:spacing w:line="240" w:lineRule="auto" w:before="0" w:after="0"/>
              <w:pStyle w:val="Compact"/>
            </w:pPr>
            <w:r>
              <w:rPr>
                <w:sz w:val="20"/>
                <w:szCs w:val="20"/>
              </w:rPr>
              <w:t xml:space="preserve">EOS_Data_Analytics</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EOS Data Analytics press 2024; ESA DISCOS catalog 2025; OSC TraCSS Q4 2025 (none recorded) [illustrative]</w:t>
            </w:r>
          </w:p>
        </w:tc>
        <w:tc>
          <w:tcPr>
            <w:tcW w:w="0" w:type="auto"/>
          </w:tcPr>
          <w:p>
            <w:pPr>
              <w:spacing w:line="240" w:lineRule="auto" w:before="0" w:after="0"/>
              <w:pStyle w:val="Compact"/>
            </w:pPr>
            <w:r>
              <w:rPr>
                <w:sz w:val="20"/>
                <w:szCs w:val="20"/>
              </w:rPr>
              <w:t xml:space="preserve">2.0794</w:t>
            </w:r>
          </w:p>
        </w:tc>
      </w:tr>
    </w:tbl>
    <w:bookmarkEnd w:id="89"/>
    <w:bookmarkStart w:id="90"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days_to_contribute</w:t>
            </w:r>
          </w:p>
        </w:tc>
        <w:tc>
          <w:tcPr>
            <w:tcW w:w="0" w:type="auto"/>
          </w:tcPr>
          <w:p>
            <w:pPr>
              <w:spacing w:line="240" w:lineRule="auto" w:before="0" w:after="0"/>
              <w:pStyle w:val="Compact"/>
            </w:pPr>
            <w:r>
              <w:rPr>
                <w:sz w:val="20"/>
                <w:szCs w:val="20"/>
              </w:rPr>
              <w:t xml:space="preserve">Days from TraCSS IOC eligibility (2024-09-30) to first observed voluntary high-fidelity ephemeris contribution; right-censored at 365 days if no contribution recorded</w:t>
            </w:r>
          </w:p>
        </w:tc>
        <w:tc>
          <w:tcPr>
            <w:tcW w:w="0" w:type="auto"/>
          </w:tcPr>
          <w:p>
            <w:pPr>
              <w:spacing w:line="240" w:lineRule="auto" w:before="0" w:after="0"/>
              <w:pStyle w:val="Compact"/>
            </w:pPr>
            <w:r>
              <w:rPr>
                <w:sz w:val="20"/>
                <w:szCs w:val="20"/>
              </w:rPr>
              <w:t xml:space="preserve">OSC TraCSS user roster bulletins Q4 2024 to Q4 2025</w:t>
            </w:r>
          </w:p>
        </w:tc>
      </w:tr>
      <w:tr>
        <w:tc>
          <w:tcPr>
            <w:tcW w:w="0" w:type="auto"/>
          </w:tcPr>
          <w:p>
            <w:pPr>
              <w:spacing w:line="240" w:lineRule="auto" w:before="0" w:after="0"/>
              <w:pStyle w:val="Compact"/>
            </w:pPr>
            <w:r>
              <w:rPr>
                <w:sz w:val="20"/>
                <w:szCs w:val="20"/>
              </w:rPr>
              <w:t xml:space="preserve">contributed</w:t>
            </w:r>
          </w:p>
        </w:tc>
        <w:tc>
          <w:tcPr>
            <w:tcW w:w="0" w:type="auto"/>
          </w:tcPr>
          <w:p>
            <w:pPr>
              <w:spacing w:line="240" w:lineRule="auto" w:before="0" w:after="0"/>
              <w:pStyle w:val="Compact"/>
            </w:pPr>
            <w:r>
              <w:rPr>
                <w:sz w:val="20"/>
                <w:szCs w:val="20"/>
              </w:rPr>
              <w:t xml:space="preserve">Indicator equal to 1 if operator contributed within the 365-day window, 0 if right-censored</w:t>
            </w:r>
          </w:p>
        </w:tc>
        <w:tc>
          <w:tcPr>
            <w:tcW w:w="0" w:type="auto"/>
          </w:tcPr>
          <w:p>
            <w:pPr>
              <w:spacing w:line="240" w:lineRule="auto" w:before="0" w:after="0"/>
              <w:pStyle w:val="Compact"/>
            </w:pPr>
            <w:r>
              <w:rPr>
                <w:sz w:val="20"/>
                <w:szCs w:val="20"/>
              </w:rPr>
              <w:t xml:space="preserve">OSC TraCSS user roster bulletins</w:t>
            </w:r>
          </w:p>
        </w:tc>
      </w:tr>
      <w:tr>
        <w:tc>
          <w:tcPr>
            <w:tcW w:w="0" w:type="auto"/>
          </w:tcPr>
          <w:p>
            <w:pPr>
              <w:spacing w:line="240" w:lineRule="auto" w:before="0" w:after="0"/>
              <w:pStyle w:val="Compact"/>
            </w:pPr>
            <w:r>
              <w:rPr>
                <w:sz w:val="20"/>
                <w:szCs w:val="20"/>
              </w:rPr>
              <w:t xml:space="preserve">conjunction_exposure</w:t>
            </w:r>
          </w:p>
        </w:tc>
        <w:tc>
          <w:tcPr>
            <w:tcW w:w="0" w:type="auto"/>
          </w:tcPr>
          <w:p>
            <w:pPr>
              <w:spacing w:line="240" w:lineRule="auto" w:before="0" w:after="0"/>
              <w:pStyle w:val="Compact"/>
            </w:pPr>
            <w:r>
              <w:rPr>
                <w:sz w:val="20"/>
                <w:szCs w:val="20"/>
              </w:rPr>
              <w:t xml:space="preserve">Operator-month mean of conjunction data messages issued against operator’s fleet in calendar year 2024, in CDMs per operational satellite</w:t>
            </w:r>
          </w:p>
        </w:tc>
        <w:tc>
          <w:tcPr>
            <w:tcW w:w="0" w:type="auto"/>
          </w:tcPr>
          <w:p>
            <w:pPr>
              <w:spacing w:line="240" w:lineRule="auto" w:before="0" w:after="0"/>
              <w:pStyle w:val="Compact"/>
            </w:pPr>
            <w:r>
              <w:rPr>
                <w:sz w:val="20"/>
                <w:szCs w:val="20"/>
              </w:rPr>
              <w:t xml:space="preserve">18 SDS / 19 SDS CDM logs mirrored into TraCSS; LeoLabs commercial catalog 2024</w:t>
            </w:r>
          </w:p>
        </w:tc>
      </w:tr>
      <w:tr>
        <w:tc>
          <w:tcPr>
            <w:tcW w:w="0" w:type="auto"/>
          </w:tcPr>
          <w:p>
            <w:pPr>
              <w:spacing w:line="240" w:lineRule="auto" w:before="0" w:after="0"/>
              <w:pStyle w:val="Compact"/>
            </w:pPr>
            <w:r>
              <w:rPr>
                <w:sz w:val="20"/>
                <w:szCs w:val="20"/>
              </w:rPr>
              <w:t xml:space="preserve">fleet_size</w:t>
            </w:r>
          </w:p>
        </w:tc>
        <w:tc>
          <w:tcPr>
            <w:tcW w:w="0" w:type="auto"/>
          </w:tcPr>
          <w:p>
            <w:pPr>
              <w:spacing w:line="240" w:lineRule="auto" w:before="0" w:after="0"/>
              <w:pStyle w:val="Compact"/>
            </w:pPr>
            <w:r>
              <w:rPr>
                <w:sz w:val="20"/>
                <w:szCs w:val="20"/>
              </w:rPr>
              <w:t xml:space="preserve">Count of active operational satellites in LEO as of 2024-09-30</w:t>
            </w:r>
          </w:p>
        </w:tc>
        <w:tc>
          <w:tcPr>
            <w:tcW w:w="0" w:type="auto"/>
          </w:tcPr>
          <w:p>
            <w:pPr>
              <w:spacing w:line="240" w:lineRule="auto" w:before="0" w:after="0"/>
              <w:pStyle w:val="Compact"/>
            </w:pPr>
            <w:r>
              <w:rPr>
                <w:sz w:val="20"/>
                <w:szCs w:val="20"/>
              </w:rPr>
              <w:t xml:space="preserve">FCC IBFS license records; ESA DISCOS catalog; operator 10-K and 20-F filings FY2024</w:t>
            </w:r>
          </w:p>
        </w:tc>
      </w:tr>
      <w:tr>
        <w:tc>
          <w:tcPr>
            <w:tcW w:w="0" w:type="auto"/>
          </w:tcPr>
          <w:p>
            <w:pPr>
              <w:spacing w:line="240" w:lineRule="auto" w:before="0" w:after="0"/>
              <w:pStyle w:val="Compact"/>
            </w:pPr>
            <w:r>
              <w:rPr>
                <w:sz w:val="20"/>
                <w:szCs w:val="20"/>
              </w:rPr>
              <w:t xml:space="preserve">us_licensed</w:t>
            </w:r>
          </w:p>
        </w:tc>
        <w:tc>
          <w:tcPr>
            <w:tcW w:w="0" w:type="auto"/>
          </w:tcPr>
          <w:p>
            <w:pPr>
              <w:spacing w:line="240" w:lineRule="auto" w:before="0" w:after="0"/>
              <w:pStyle w:val="Compact"/>
            </w:pPr>
            <w:r>
              <w:rPr>
                <w:sz w:val="20"/>
                <w:szCs w:val="20"/>
              </w:rPr>
              <w:t xml:space="preserve">Indicator equal to 1 if operator holds a primary US FCC or NOAA CRSRA license, 0 otherwise</w:t>
            </w:r>
          </w:p>
        </w:tc>
        <w:tc>
          <w:tcPr>
            <w:tcW w:w="0" w:type="auto"/>
          </w:tcPr>
          <w:p>
            <w:pPr>
              <w:spacing w:line="240" w:lineRule="auto" w:before="0" w:after="0"/>
              <w:pStyle w:val="Compact"/>
            </w:pPr>
            <w:r>
              <w:rPr>
                <w:sz w:val="20"/>
                <w:szCs w:val="20"/>
              </w:rPr>
              <w:t xml:space="preserve">FCC IBFS; NOAA CRSRA registries</w:t>
            </w:r>
          </w:p>
        </w:tc>
      </w:tr>
      <w:tr>
        <w:tc>
          <w:tcPr>
            <w:tcW w:w="0" w:type="auto"/>
          </w:tcPr>
          <w:p>
            <w:pPr>
              <w:spacing w:line="240" w:lineRule="auto" w:before="0" w:after="0"/>
              <w:pStyle w:val="Compact"/>
            </w:pPr>
            <w:r>
              <w:rPr>
                <w:sz w:val="20"/>
                <w:szCs w:val="20"/>
              </w:rPr>
              <w:t xml:space="preserve">prior_anomaly</w:t>
            </w:r>
          </w:p>
        </w:tc>
        <w:tc>
          <w:tcPr>
            <w:tcW w:w="0" w:type="auto"/>
          </w:tcPr>
          <w:p>
            <w:pPr>
              <w:spacing w:line="240" w:lineRule="auto" w:before="0" w:after="0"/>
              <w:pStyle w:val="Compact"/>
            </w:pPr>
            <w:r>
              <w:rPr>
                <w:sz w:val="20"/>
                <w:szCs w:val="20"/>
              </w:rPr>
              <w:t xml:space="preserve">Indicator equal to 1 if operator had a publicly reported on-orbit collision or near-miss anomaly between 2019 and 2024, 0 otherwise</w:t>
            </w:r>
          </w:p>
        </w:tc>
        <w:tc>
          <w:tcPr>
            <w:tcW w:w="0" w:type="auto"/>
          </w:tcPr>
          <w:p>
            <w:pPr>
              <w:spacing w:line="240" w:lineRule="auto" w:before="0" w:after="0"/>
              <w:pStyle w:val="Compact"/>
            </w:pPr>
            <w:r>
              <w:rPr>
                <w:sz w:val="20"/>
                <w:szCs w:val="20"/>
              </w:rPr>
              <w:t xml:space="preserve">Public press; Alfano et al. (2021); operator anomaly disclosures in SEC filings</w:t>
            </w:r>
          </w:p>
        </w:tc>
      </w:tr>
    </w:tbl>
    <w:bookmarkEnd w:id="90"/>
    <w:bookmarkStart w:id="91"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conjunction_exposure</w:t>
            </w:r>
          </w:p>
        </w:tc>
        <w:tc>
          <w:tcPr>
            <w:tcW w:w="0" w:type="auto"/>
          </w:tcPr>
          <w:p>
            <w:pPr>
              <w:spacing w:line="240" w:lineRule="auto" w:before="0" w:after="0"/>
              <w:pStyle w:val="Compact"/>
            </w:pPr>
            <w:r>
              <w:rPr>
                <w:sz w:val="20"/>
                <w:szCs w:val="20"/>
              </w:rPr>
              <w:t xml:space="preserve">1.9741</w:t>
            </w:r>
          </w:p>
        </w:tc>
        <w:tc>
          <w:tcPr>
            <w:tcW w:w="0" w:type="auto"/>
          </w:tcPr>
          <w:p>
            <w:pPr>
              <w:spacing w:line="240" w:lineRule="auto" w:before="0" w:after="0"/>
              <w:pStyle w:val="Compact"/>
            </w:pPr>
            <w:r>
              <w:rPr>
                <w:sz w:val="20"/>
                <w:szCs w:val="20"/>
              </w:rPr>
              <w:t xml:space="preserve">0.876</w:t>
            </w:r>
          </w:p>
        </w:tc>
        <w:tc>
          <w:tcPr>
            <w:tcW w:w="0" w:type="auto"/>
          </w:tcPr>
          <w:p>
            <w:pPr>
              <w:spacing w:line="240" w:lineRule="auto" w:before="0" w:after="0"/>
              <w:pStyle w:val="Compact"/>
            </w:pPr>
            <w:r>
              <w:rPr>
                <w:sz w:val="20"/>
                <w:szCs w:val="20"/>
              </w:rPr>
              <w:t xml:space="preserve">2.2536</w:t>
            </w:r>
          </w:p>
        </w:tc>
        <w:tc>
          <w:tcPr>
            <w:tcW w:w="0" w:type="auto"/>
          </w:tcPr>
          <w:p>
            <w:pPr>
              <w:spacing w:line="240" w:lineRule="auto" w:before="0" w:after="0"/>
              <w:pStyle w:val="Compact"/>
            </w:pPr>
            <w:r>
              <w:rPr>
                <w:sz w:val="20"/>
                <w:szCs w:val="20"/>
              </w:rPr>
              <w:t xml:space="preserve">0.0242</w:t>
            </w:r>
          </w:p>
        </w:tc>
        <w:tc>
          <w:tcPr>
            <w:tcW w:w="0" w:type="auto"/>
          </w:tcPr>
          <w:p>
            <w:pPr>
              <w:spacing w:line="240" w:lineRule="auto" w:before="0" w:after="0"/>
              <w:pStyle w:val="Compact"/>
            </w:pPr>
            <w:r>
              <w:rPr>
                <w:sz w:val="20"/>
                <w:szCs w:val="20"/>
              </w:rPr>
              <w:t xml:space="preserve">[0.2572, 3.691]</w:t>
            </w:r>
          </w:p>
        </w:tc>
        <w:tc>
          <w:tcPr>
            <w:tcW w:w="0" w:type="auto"/>
          </w:tcPr>
          <w:p>
            <w:pPr>
              <w:spacing w:line="240" w:lineRule="auto" w:before="0" w:after="0"/>
              <w:pStyle w:val="Compact"/>
            </w:pPr>
            <w:r>
              <w:rPr>
                <w:sz w:val="20"/>
                <w:szCs w:val="20"/>
              </w:rPr>
              <w:t xml:space="preserve">7.2</w:t>
            </w:r>
          </w:p>
        </w:tc>
      </w:tr>
      <w:tr>
        <w:tc>
          <w:tcPr>
            <w:tcW w:w="0" w:type="auto"/>
          </w:tcPr>
          <w:p>
            <w:pPr>
              <w:spacing w:line="240" w:lineRule="auto" w:before="0" w:after="0"/>
              <w:pStyle w:val="Compact"/>
            </w:pPr>
            <w:r>
              <w:rPr>
                <w:sz w:val="20"/>
                <w:szCs w:val="20"/>
              </w:rPr>
              <w:t xml:space="preserve">log_fleet</w:t>
            </w:r>
          </w:p>
        </w:tc>
        <w:tc>
          <w:tcPr>
            <w:tcW w:w="0" w:type="auto"/>
          </w:tcPr>
          <w:p>
            <w:pPr>
              <w:spacing w:line="240" w:lineRule="auto" w:before="0" w:after="0"/>
              <w:pStyle w:val="Compact"/>
            </w:pPr>
            <w:r>
              <w:rPr>
                <w:sz w:val="20"/>
                <w:szCs w:val="20"/>
              </w:rPr>
              <w:t xml:space="preserve">-1.1478</w:t>
            </w:r>
          </w:p>
        </w:tc>
        <w:tc>
          <w:tcPr>
            <w:tcW w:w="0" w:type="auto"/>
          </w:tcPr>
          <w:p>
            <w:pPr>
              <w:spacing w:line="240" w:lineRule="auto" w:before="0" w:after="0"/>
              <w:pStyle w:val="Compact"/>
            </w:pPr>
            <w:r>
              <w:rPr>
                <w:sz w:val="20"/>
                <w:szCs w:val="20"/>
              </w:rPr>
              <w:t xml:space="preserve">0.8458</w:t>
            </w:r>
          </w:p>
        </w:tc>
        <w:tc>
          <w:tcPr>
            <w:tcW w:w="0" w:type="auto"/>
          </w:tcPr>
          <w:p>
            <w:pPr>
              <w:spacing w:line="240" w:lineRule="auto" w:before="0" w:after="0"/>
              <w:pStyle w:val="Compact"/>
            </w:pPr>
            <w:r>
              <w:rPr>
                <w:sz w:val="20"/>
                <w:szCs w:val="20"/>
              </w:rPr>
              <w:t xml:space="preserve">-1.357</w:t>
            </w:r>
          </w:p>
        </w:tc>
        <w:tc>
          <w:tcPr>
            <w:tcW w:w="0" w:type="auto"/>
          </w:tcPr>
          <w:p>
            <w:pPr>
              <w:spacing w:line="240" w:lineRule="auto" w:before="0" w:after="0"/>
              <w:pStyle w:val="Compact"/>
            </w:pPr>
            <w:r>
              <w:rPr>
                <w:sz w:val="20"/>
                <w:szCs w:val="20"/>
              </w:rPr>
              <w:t xml:space="preserve">0.1748</w:t>
            </w:r>
          </w:p>
        </w:tc>
        <w:tc>
          <w:tcPr>
            <w:tcW w:w="0" w:type="auto"/>
          </w:tcPr>
          <w:p>
            <w:pPr>
              <w:spacing w:line="240" w:lineRule="auto" w:before="0" w:after="0"/>
              <w:pStyle w:val="Compact"/>
            </w:pPr>
            <w:r>
              <w:rPr>
                <w:sz w:val="20"/>
                <w:szCs w:val="20"/>
              </w:rPr>
              <w:t xml:space="preserve">[-2.8055, 0.51]</w:t>
            </w:r>
          </w:p>
        </w:tc>
        <w:tc>
          <w:tcPr>
            <w:tcW w:w="0" w:type="auto"/>
          </w:tcPr>
          <w:p>
            <w:pPr>
              <w:spacing w:line="240" w:lineRule="auto" w:before="0" w:after="0"/>
              <w:pStyle w:val="Compact"/>
            </w:pPr>
            <w:r>
              <w:rPr>
                <w:sz w:val="20"/>
                <w:szCs w:val="20"/>
              </w:rPr>
              <w:t xml:space="preserve">0.3173</w:t>
            </w:r>
          </w:p>
        </w:tc>
      </w:tr>
      <w:tr>
        <w:tc>
          <w:tcPr>
            <w:tcW w:w="0" w:type="auto"/>
          </w:tcPr>
          <w:p>
            <w:pPr>
              <w:spacing w:line="240" w:lineRule="auto" w:before="0" w:after="0"/>
              <w:pStyle w:val="Compact"/>
            </w:pPr>
            <w:r>
              <w:rPr>
                <w:sz w:val="20"/>
                <w:szCs w:val="20"/>
              </w:rPr>
              <w:t xml:space="preserve">us_licensed</w:t>
            </w:r>
          </w:p>
        </w:tc>
        <w:tc>
          <w:tcPr>
            <w:tcW w:w="0" w:type="auto"/>
          </w:tcPr>
          <w:p>
            <w:pPr>
              <w:spacing w:line="240" w:lineRule="auto" w:before="0" w:after="0"/>
              <w:pStyle w:val="Compact"/>
            </w:pPr>
            <w:r>
              <w:rPr>
                <w:sz w:val="20"/>
                <w:szCs w:val="20"/>
              </w:rPr>
              <w:t xml:space="preserve">2.8767</w:t>
            </w:r>
          </w:p>
        </w:tc>
        <w:tc>
          <w:tcPr>
            <w:tcW w:w="0" w:type="auto"/>
          </w:tcPr>
          <w:p>
            <w:pPr>
              <w:spacing w:line="240" w:lineRule="auto" w:before="0" w:after="0"/>
              <w:pStyle w:val="Compact"/>
            </w:pPr>
            <w:r>
              <w:rPr>
                <w:sz w:val="20"/>
                <w:szCs w:val="20"/>
              </w:rPr>
              <w:t xml:space="preserve">0.8318</w:t>
            </w:r>
          </w:p>
        </w:tc>
        <w:tc>
          <w:tcPr>
            <w:tcW w:w="0" w:type="auto"/>
          </w:tcPr>
          <w:p>
            <w:pPr>
              <w:spacing w:line="240" w:lineRule="auto" w:before="0" w:after="0"/>
              <w:pStyle w:val="Compact"/>
            </w:pPr>
            <w:r>
              <w:rPr>
                <w:sz w:val="20"/>
                <w:szCs w:val="20"/>
              </w:rPr>
              <w:t xml:space="preserve">3.4586</w:t>
            </w:r>
          </w:p>
        </w:tc>
        <w:tc>
          <w:tcPr>
            <w:tcW w:w="0" w:type="auto"/>
          </w:tcPr>
          <w:p>
            <w:pPr>
              <w:spacing w:line="240" w:lineRule="auto" w:before="0" w:after="0"/>
              <w:pStyle w:val="Compact"/>
            </w:pPr>
            <w:r>
              <w:rPr>
                <w:sz w:val="20"/>
                <w:szCs w:val="20"/>
              </w:rPr>
              <w:t xml:space="preserve">0.0005429</w:t>
            </w:r>
          </w:p>
        </w:tc>
        <w:tc>
          <w:tcPr>
            <w:tcW w:w="0" w:type="auto"/>
          </w:tcPr>
          <w:p>
            <w:pPr>
              <w:spacing w:line="240" w:lineRule="auto" w:before="0" w:after="0"/>
              <w:pStyle w:val="Compact"/>
            </w:pPr>
            <w:r>
              <w:rPr>
                <w:sz w:val="20"/>
                <w:szCs w:val="20"/>
              </w:rPr>
              <w:t xml:space="preserve">[1.2465, 4.507]</w:t>
            </w:r>
          </w:p>
        </w:tc>
        <w:tc>
          <w:tcPr>
            <w:tcW w:w="0" w:type="auto"/>
          </w:tcPr>
          <w:p>
            <w:pPr>
              <w:spacing w:line="240" w:lineRule="auto" w:before="0" w:after="0"/>
              <w:pStyle w:val="Compact"/>
            </w:pPr>
            <w:r>
              <w:rPr>
                <w:sz w:val="20"/>
                <w:szCs w:val="20"/>
              </w:rPr>
              <w:t xml:space="preserve">17.7559</w:t>
            </w:r>
          </w:p>
        </w:tc>
      </w:tr>
      <w:tr>
        <w:tc>
          <w:tcPr>
            <w:tcW w:w="0" w:type="auto"/>
          </w:tcPr>
          <w:p>
            <w:pPr>
              <w:spacing w:line="240" w:lineRule="auto" w:before="0" w:after="0"/>
              <w:pStyle w:val="Compact"/>
            </w:pPr>
            <w:r>
              <w:rPr>
                <w:sz w:val="20"/>
                <w:szCs w:val="20"/>
              </w:rPr>
              <w:t xml:space="preserve">prior_anomaly</w:t>
            </w:r>
          </w:p>
        </w:tc>
        <w:tc>
          <w:tcPr>
            <w:tcW w:w="0" w:type="auto"/>
          </w:tcPr>
          <w:p>
            <w:pPr>
              <w:spacing w:line="240" w:lineRule="auto" w:before="0" w:after="0"/>
              <w:pStyle w:val="Compact"/>
            </w:pPr>
            <w:r>
              <w:rPr>
                <w:sz w:val="20"/>
                <w:szCs w:val="20"/>
              </w:rPr>
              <w:t xml:space="preserve">1.0229</w:t>
            </w:r>
          </w:p>
        </w:tc>
        <w:tc>
          <w:tcPr>
            <w:tcW w:w="0" w:type="auto"/>
          </w:tcPr>
          <w:p>
            <w:pPr>
              <w:spacing w:line="240" w:lineRule="auto" w:before="0" w:after="0"/>
              <w:pStyle w:val="Compact"/>
            </w:pPr>
            <w:r>
              <w:rPr>
                <w:sz w:val="20"/>
                <w:szCs w:val="20"/>
              </w:rPr>
              <w:t xml:space="preserve">1.1387</w:t>
            </w:r>
          </w:p>
        </w:tc>
        <w:tc>
          <w:tcPr>
            <w:tcW w:w="0" w:type="auto"/>
          </w:tcPr>
          <w:p>
            <w:pPr>
              <w:spacing w:line="240" w:lineRule="auto" w:before="0" w:after="0"/>
              <w:pStyle w:val="Compact"/>
            </w:pPr>
            <w:r>
              <w:rPr>
                <w:sz w:val="20"/>
                <w:szCs w:val="20"/>
              </w:rPr>
              <w:t xml:space="preserve">0.8983</w:t>
            </w:r>
          </w:p>
        </w:tc>
        <w:tc>
          <w:tcPr>
            <w:tcW w:w="0" w:type="auto"/>
          </w:tcPr>
          <w:p>
            <w:pPr>
              <w:spacing w:line="240" w:lineRule="auto" w:before="0" w:after="0"/>
              <w:pStyle w:val="Compact"/>
            </w:pPr>
            <w:r>
              <w:rPr>
                <w:sz w:val="20"/>
                <w:szCs w:val="20"/>
              </w:rPr>
              <w:t xml:space="preserve">0.369</w:t>
            </w:r>
          </w:p>
        </w:tc>
        <w:tc>
          <w:tcPr>
            <w:tcW w:w="0" w:type="auto"/>
          </w:tcPr>
          <w:p>
            <w:pPr>
              <w:spacing w:line="240" w:lineRule="auto" w:before="0" w:after="0"/>
              <w:pStyle w:val="Compact"/>
            </w:pPr>
            <w:r>
              <w:rPr>
                <w:sz w:val="20"/>
                <w:szCs w:val="20"/>
              </w:rPr>
              <w:t xml:space="preserve">[-1.2089, 3.2547]</w:t>
            </w:r>
          </w:p>
        </w:tc>
        <w:tc>
          <w:tcPr>
            <w:tcW w:w="0" w:type="auto"/>
          </w:tcPr>
          <w:p>
            <w:pPr>
              <w:spacing w:line="240" w:lineRule="auto" w:before="0" w:after="0"/>
              <w:pStyle w:val="Compact"/>
            </w:pPr>
            <w:r>
              <w:rPr>
                <w:sz w:val="20"/>
                <w:szCs w:val="20"/>
              </w:rPr>
              <w:t xml:space="preserve">2.7812</w:t>
            </w:r>
          </w:p>
        </w:tc>
      </w:tr>
    </w:tbl>
    <w:p>
      <w:pPr>
        <w:pStyle w:val="BodyText"/>
      </w:pPr>
      <w:r>
        <w:t xml:space="preserve">Fit: N = 30 events = 21</w:t>
      </w:r>
    </w:p>
    <w:bookmarkEnd w:id="91"/>
    <w:bookmarkEnd w:id="92"/>
    <w:bookmarkEnd w:id="9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5" Target="media/rId85.png" /><Relationship Type="http://schemas.openxmlformats.org/officeDocument/2006/relationships/hyperlink" Id="rId76" Target="https://doi.org/10.1016/j.actaastro.2021.04.009" TargetMode="External" /><Relationship Type="http://schemas.openxmlformats.org/officeDocument/2006/relationships/hyperlink" Id="rId81" Target="https://doi.org/10.1016/j.actaastro.2025.01.031" TargetMode="External" /><Relationship Type="http://schemas.openxmlformats.org/officeDocument/2006/relationships/hyperlink" Id="rId78" Target="https://doi.org/10.1016/j.actaastro.2025.03.034" TargetMode="External" /><Relationship Type="http://schemas.openxmlformats.org/officeDocument/2006/relationships/hyperlink" Id="rId74" Target="https://doi.org/10.1016/j.actaastro.2025.05.036" TargetMode="External" /><Relationship Type="http://schemas.openxmlformats.org/officeDocument/2006/relationships/hyperlink" Id="rId72" Target="https://doi.org/10.64861/JKDR9240" TargetMode="External" /><Relationship Type="http://schemas.openxmlformats.org/officeDocument/2006/relationships/hyperlink" Id="rId70" Target="https://doi.org/10.64861/TRSQ4124" TargetMode="External" /></Relationships>
</file>

<file path=word/_rels/footnotes.xml.rels><?xml version="1.0" encoding="UTF-8"?><Relationships xmlns="http://schemas.openxmlformats.org/package/2006/relationships"><Relationship Type="http://schemas.openxmlformats.org/officeDocument/2006/relationships/hyperlink" Id="rId76" Target="https://doi.org/10.1016/j.actaastro.2021.04.009" TargetMode="External" /><Relationship Type="http://schemas.openxmlformats.org/officeDocument/2006/relationships/hyperlink" Id="rId81" Target="https://doi.org/10.1016/j.actaastro.2025.01.031" TargetMode="External" /><Relationship Type="http://schemas.openxmlformats.org/officeDocument/2006/relationships/hyperlink" Id="rId78" Target="https://doi.org/10.1016/j.actaastro.2025.03.034" TargetMode="External" /><Relationship Type="http://schemas.openxmlformats.org/officeDocument/2006/relationships/hyperlink" Id="rId74" Target="https://doi.org/10.1016/j.actaastro.2025.05.036" TargetMode="External" /><Relationship Type="http://schemas.openxmlformats.org/officeDocument/2006/relationships/hyperlink" Id="rId72" Target="https://doi.org/10.64861/JKDR9240" TargetMode="External" /><Relationship Type="http://schemas.openxmlformats.org/officeDocument/2006/relationships/hyperlink" Id="rId70" Target="https://doi.org/10.64861/TRSQ412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2026-06-27T13:10:16Z</dcterms:created>
  <dcterms:modified xsi:type="dcterms:W3CDTF">2026-06-27T13:10:16Z</dcterms:modified>
</cp:coreProperties>
</file>

<file path=docProps/custom.xml><?xml version="1.0" encoding="utf-8"?>
<Properties xmlns="http://schemas.openxmlformats.org/officeDocument/2006/custom-properties" xmlns:vt="http://schemas.openxmlformats.org/officeDocument/2006/docPropsVTypes"/>
</file>