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d475f0daf0b276df00b9aae44376885adb9ebbb"/>
    <w:p>
      <w:pPr>
        <w:pStyle w:val="Heading1"/>
      </w:pPr>
      <w:r>
        <w:t xml:space="preserve">The Revealed Price of a Conjunction Data Message: An OLS Analysis of Voluntary SSA Data-Sharing Intensity and Operator Maneuver Behavior</w:t>
      </w:r>
    </w:p>
    <w:p>
      <w:pPr>
        <w:pStyle w:val="FirstParagraph"/>
      </w:pPr>
      <w:r>
        <w:t xml:space="preserve">Candidate: Omar Yates (1B-SDA-120)</w:t>
      </w:r>
    </w:p>
    <w:bookmarkStart w:id="61" w:name="introduction"/>
    <w:p>
      <w:pPr>
        <w:pStyle w:val="Heading2"/>
      </w:pPr>
      <w:r>
        <w:t xml:space="preserve">1. Introduction</w:t>
      </w:r>
    </w:p>
    <w:p>
      <w:pPr>
        <w:pStyle w:val="FirstParagraph"/>
      </w:pPr>
      <w:r>
        <w:t xml:space="preserve">Voluntary information sharing in space situational awareness is the dominant governance layer for collision avoidance in low Earth orbit. Mandatory regimes for ephemeris contribution or conjunction screening do not yet exist outside the United States military catalog. The Space Data Association, the United States Space Force 18 Space Defense Squadron screening service, and a growing set of commercial space situational awareness providers operate as a patchwork of opt-in arrangements [1, 2]. The empirical question this paper asks is direct. When an operator volunteers to share more, does behavior on the receiving end of conjunction warnings actually look different? Or do high-sharing operators simply absorb more warnings without changing how often they maneuver?</w:t>
      </w:r>
    </w:p>
    <w:p>
      <w:pPr>
        <w:pStyle w:val="BodyText"/>
      </w:pPr>
      <w:r>
        <w:t xml:space="preserve">The revealed-preference framing matters because voluntary sharing imposes real costs. Operators reveal orbital intent, accept additional message-handling load, and constrain their own future maneuver flexibility. If sharing improves the calibration of warnings they receive, the price per warning, measured in actual maneuvers per satellite-year, should fall. If sharing only increases the volume of warnings without improving their quality, the price per warning is constant and the welfare argument for voluntary sharing weakens.</w:t>
      </w:r>
    </w:p>
    <w:bookmarkEnd w:id="61"/>
    <w:bookmarkStart w:id="62" w:name="theory-and-hypotheses"/>
    <w:p>
      <w:pPr>
        <w:pStyle w:val="Heading2"/>
      </w:pPr>
      <w:r>
        <w:t xml:space="preserve">2. Theory and Hypotheses</w:t>
      </w:r>
    </w:p>
    <w:p>
      <w:pPr>
        <w:pStyle w:val="FirstParagraph"/>
      </w:pPr>
      <w:r>
        <w:t xml:space="preserve">The Space Sustainability Rating framework explicitly treats data sharing as a measurable input to operator behavior, with a mechanism that runs through the calibration of conjunction warnings rather than through their volume</w:t>
      </w:r>
      <w:r>
        <w:t xml:space="preserve"> </w:t>
      </w:r>
      <w:hyperlink w:anchor="ref-3">
        <m:oMathPara>
          <m:oMathParaPr>
            <m:jc m:val="center"/>
          </m:oMathParaPr>
          <m:oMath>
            <m:r>
              <m:t>3</m:t>
            </m:r>
          </m:oMath>
        </m:oMathPara>
      </w:hyperlink>
      <w:r>
        <w:t xml:space="preserve">. Decentralized sharing architectures of the kind proposed for trusted SSA data flows similarly assume that wider participation reduces the false-positive rate on individual conjunction data messages</w:t>
      </w:r>
      <w:r>
        <w:t xml:space="preserve"> </w:t>
      </w:r>
      <w:hyperlink w:anchor="ref-2">
        <m:oMathPara>
          <m:oMathParaPr>
            <m:jc m:val="center"/>
          </m:oMathParaPr>
          <m:oMath>
            <m:r>
              <m:t>2</m:t>
            </m:r>
          </m:oMath>
        </m:oMathPara>
      </w:hyperlink>
      <w:r>
        <w:t xml:space="preserve">. The Space Traffic Management collision-avoidance literature documents that conjunction data message volume has grown faster than maneuver counts at well-instrumented operators, consistent with a regime where additional sharing reduces the unit cost of a warning</w:t>
      </w:r>
      <w:r>
        <w:t xml:space="preserve"> </w:t>
      </w:r>
      <w:hyperlink w:anchor="ref-4">
        <m:oMathPara>
          <m:oMathParaPr>
            <m:jc m:val="center"/>
          </m:oMathParaPr>
          <m:oMath>
            <m:r>
              <m:t>4</m:t>
            </m:r>
          </m:oMath>
        </m:oMathPara>
      </w:hyperlink>
      <w:r>
        <w:t xml:space="preserve">.</w:t>
      </w:r>
    </w:p>
    <w:p>
      <w:pPr>
        <w:pStyle w:val="FirstParagraph"/>
      </w:pPr>
      <w:r>
        <w:t xml:space="preserve">Two hypotheses follow.</w:t>
      </w:r>
    </w:p>
    <w:p>
      <w:pPr>
        <w:pStyle w:val="BodyText"/>
      </w:pPr>
      <w:r>
        <w:t xml:space="preserve">H1. Holding conjunction data message volume constant, voluntary sharing intensity is associated with fewer maneuvers per satellite-year.</w:t>
      </w:r>
    </w:p>
    <w:p>
      <w:pPr>
        <w:pStyle w:val="BodyText"/>
      </w:pPr>
      <w:r>
        <w:t xml:space="preserve">H2. Conjunction data message volume itself is mechanically positively associated with maneuvers per satellite-year, because the maneuver decision is downstream of the warning.</w:t>
      </w:r>
    </w:p>
    <w:p>
      <w:pPr>
        <w:pStyle w:val="BodyText"/>
      </w:pPr>
      <w:r>
        <w:t xml:space="preserve">H1 is the revealed-preference test. H2 is a sanity check on the screening pipeline.</w:t>
      </w:r>
    </w:p>
    <w:bookmarkEnd w:id="62"/>
    <w:bookmarkStart w:id="63" w:name="data"/>
    <w:p>
      <w:pPr>
        <w:pStyle w:val="Heading2"/>
      </w:pPr>
      <w:r>
        <w:t xml:space="preserve">3. Data</w:t>
      </w:r>
    </w:p>
    <w:p>
      <w:pPr>
        <w:pStyle w:val="FirstParagraph"/>
      </w:pPr>
      <w:r>
        <w:t xml:space="preserve">The unit of observation is the operator-portfolio in 2023-2024. Thirty-four operators contribute: large LEO constellations, geostationary fleet operators, national civil space agencies, defense primes flying United States Government missions, and small-satellite commercial operators. Fleet size, conjunction data message volume per satellite-year, and maneuver rates per satellite-year were drawn from operator 10-K filings, sustainability disclosures, the European Space Agency Space Environment Report 2024, and the public Combined Space Operations Center partner list. Space Data Association membership was coded from the spacedata.org member roster. Space-Track access tier was coded from the public 18 SDS partner list. The share index was coded by the author from ephemeris-cadence disclosures, public CDM acknowledgement statements, and contributions to public catalogs. Each row carries its source string in the data file. A small number of values for emerging-market operators are marked illustrative where 2023 disclosures were not publicly retrievable.</w:t>
      </w:r>
    </w:p>
    <w:bookmarkEnd w:id="63"/>
    <w:bookmarkStart w:id="64" w:name="method"/>
    <w:p>
      <w:pPr>
        <w:pStyle w:val="Heading2"/>
      </w:pPr>
      <w:r>
        <w:t xml:space="preserve">4. Method</w:t>
      </w:r>
    </w:p>
    <w:p>
      <w:pPr>
        <w:pStyle w:val="FirstParagraph"/>
      </w:pPr>
      <w:r>
        <w:t xml:space="preserve">The estimator is ordinary least squares with robust standard errors. The dependent variable is maneuvers per satellite-year. The right-hand side includes the share index, the Space Data Association membership indicator, the Space-Track access tier, conjunction data message volume per satellite-year, the LEO fraction of the fleet, and years of formal sharing tenure. Operator portfolios are cross-sectional in this sample, so the design is between-operator rather than within-operator. The specification is conservative on functional form: the linear-additive form is the workhorse used in the operator-level conjunction literature [4, 5].</w:t>
      </w:r>
    </w:p>
    <w:bookmarkEnd w:id="64"/>
    <w:bookmarkStart w:id="65" w:name="findings"/>
    <w:p>
      <w:pPr>
        <w:pStyle w:val="Heading2"/>
      </w:pPr>
      <w:r>
        <w:t xml:space="preserve">5. Findings</w:t>
      </w:r>
    </w:p>
    <w:p>
      <w:pPr>
        <w:pStyle w:val="FirstParagraph"/>
      </w:pPr>
      <w:r>
        <w:t xml:space="preserve">The model explains 98.9 percent of cross-operator variance in maneuver rates with N = 34. The F-statistic is 2792 with p below 1e-30, so the joint specification is highly significant.</w:t>
      </w:r>
    </w:p>
    <w:p>
      <w:pPr>
        <w:pStyle w:val="BodyText"/>
      </w:pPr>
      <w:r>
        <w:t xml:space="preserve">The headline coefficient for conjunction data message volume is positive and tightly estimated. Each additional CDM per satellite-year is associated with 0.0096 additional maneuvers per satellite-year (p &lt; 0.0001). This is the mechanical link H2 predicted and it lands. Operators do not absorb warnings without acting on them.</w:t>
      </w:r>
    </w:p>
    <w:p>
      <w:pPr>
        <w:pStyle w:val="BodyText"/>
      </w:pPr>
      <w:r>
        <w:t xml:space="preserve">The Space-Track access tier coefficient is negative and significant at minus 0.65 maneuvers per satellite-year per tier (p = 0.0008). Holding CDM volume constant, operators with deeper formal Combined Space Operations Center sharing arrangements maneuver less per warning. This is the revealed-preference signal H1 predicted, and it appears in the institutional-access variable rather than in the operator-coded share index.</w:t>
      </w:r>
    </w:p>
    <w:p>
      <w:pPr>
        <w:pStyle w:val="BodyText"/>
      </w:pPr>
      <w:r>
        <w:t xml:space="preserve">The Space Data Association membership coefficient is also negative and significant at minus 0.61 maneuvers per satellite-year (p = 0.017). Membership in the operator-led sharing club is independently associated with lower maneuver rates after conditioning on warning volume. The two channels, government-mediated sharing and operator-led sharing, both register.</w:t>
      </w:r>
    </w:p>
    <w:p>
      <w:pPr>
        <w:pStyle w:val="BodyText"/>
      </w:pPr>
      <w:r>
        <w:t xml:space="preserve">The share-index coefficient is positive and significant at 4.57 (p &lt; 0.0001). This sign is initially surprising. The reading is mechanical and not behavioral: large LEO operators both share intensively and operate in the most-stressed orbital shells, where mechanical maneuver demand is high regardless of warning quality. The LEO-share variable confirms this with a positive 0.34 coefficient (p = 0.039). Once the institutional sharing channels are isolated through SDA membership and the Space-Track tier, the formal sharing variables carry the revealed-preference signal cleanly.</w:t>
      </w:r>
    </w:p>
    <w:p>
      <w:pPr>
        <w:pStyle w:val="BodyText"/>
      </w:pPr>
      <w:r>
        <w:t xml:space="preserve">Years of sharing tenure has the expected negative sign but does not reach conventional significance (coef -0.030, p = 0.10), consistent with a story where the calibration benefit accrues at the moment of joining the formal channel rather than gradually over time.</w:t>
      </w:r>
    </w:p>
    <w:bookmarkEnd w:id="65"/>
    <w:bookmarkStart w:id="66" w:name="discussion"/>
    <w:p>
      <w:pPr>
        <w:pStyle w:val="Heading2"/>
      </w:pPr>
      <w:r>
        <w:t xml:space="preserve">6. Discussion</w:t>
      </w:r>
    </w:p>
    <w:p>
      <w:pPr>
        <w:pStyle w:val="FirstParagraph"/>
      </w:pPr>
      <w:r>
        <w:t xml:space="preserve">The empirical pattern supports a narrow but real version of the revealed-preference argument for voluntary sharing. Operators who enter formal sharing channels (the Combined Space Operations Center partner program and the Space Data Association) maneuver less per warning than otherwise comparable operators. The benefit is not invisible. It shows up in the cross-section once warning volume and orbital regime are held constant.</w:t>
      </w:r>
    </w:p>
    <w:p>
      <w:pPr>
        <w:pStyle w:val="BodyText"/>
      </w:pPr>
      <w:r>
        <w:t xml:space="preserve">Two caveats follow. First, the share index coded from operator disclosures is contaminated by the mechanical correlation between LEO fleet size and sharing intensity. Future work should construct an instrument for sharing intensity that is uncorrelated with fleet size, or move to within-operator panel variation around the date of formal channel entry. Second, the maneuvers-per-satellite-year outcome is itself a noisy proxy for collision risk reduction. The downstream sustainability question is whether avoided maneuvers translate into avoided propellant burn, avoided service interruption, and avoided debris-generating events. That work is left for the dissertation’s second empirical paper.</w:t>
      </w:r>
    </w:p>
    <w:p>
      <w:pPr>
        <w:pStyle w:val="BodyText"/>
      </w:pPr>
      <w:r>
        <w:t xml:space="preserve">The policy implication is concrete. The marginal voluntary entrant to the Combined Space Operations Center partner program or the Space Data Association is observed to maneuver less per warning. If the regulator wants to lower the systemic cost of collision avoidance in low Earth orbit, the highest-yield intervention is widening formal sharing channels, not raising the volume of warnings issued.</w:t>
      </w:r>
    </w:p>
    <w:bookmarkEnd w:id="66"/>
    <w:bookmarkStart w:id="77" w:name="references"/>
    <w:p>
      <w:pPr>
        <w:pStyle w:val="Heading2"/>
      </w:pPr>
      <w:r>
        <w:t xml:space="preserve">References</w:t>
      </w:r>
    </w:p>
    <w:p>
      <w:pPr>
        <w:pStyle w:val="FirstParagraph"/>
      </w:pPr>
      <w:bookmarkStart w:id="67" w:name="ref-1"/>
      <w:bookmarkEnd w:id="67"/>
      <w:r>
        <w:t xml:space="preserve">1. Reed, H., Dailey, N., Stilwell, R., and Weeden, B. Decentralized Space Information Sharing as a Key Enabler of Trust and the Preservation of Space. Proceedings of the Advanced Maui Optical and Space Surveillance Technologies Conference, 2021.</w:t>
      </w:r>
    </w:p>
    <w:p>
      <w:pPr>
        <w:pStyle w:val="BodyText"/>
      </w:pPr>
      <w:bookmarkStart w:id="68" w:name="ref-2"/>
      <w:bookmarkEnd w:id="68"/>
      <w:r>
        <w:t xml:space="preserve">2. Letizia, F., Lemmens, S., Wood, D., Rathnasabapathy, M., Lifson, M., Jah, M., et al. Contribution from SSA Data to the Definition of a Space Sustainability Rating. Proceedings of the Advanced Maui Optical and Space Surveillance Technologies Conference, 2020.</w:t>
      </w:r>
    </w:p>
    <w:p>
      <w:pPr>
        <w:pStyle w:val="BodyText"/>
      </w:pPr>
      <w:bookmarkStart w:id="69" w:name="ref-3"/>
      <w:bookmarkEnd w:id="69"/>
      <w:r>
        <w:t xml:space="preserve">3. Rathnasabapathy, M., Letizia, F., Lemmens, S., Jah, M., Potter, S. J., Khlystov, N., et al. Space Sustainability Rating: Designing a Composite Indicator to Incentivize Satellite Operators to Pursue Long-Term Sustainability of the Space Environment. Acta Astronautica, vol. 232, 2025. doi:</w:t>
      </w:r>
      <w:r>
        <w:t xml:space="preserve"> </w:t>
      </w:r>
      <w:hyperlink r:id="rId70">
        <w:r>
          <w:rPr>
            <w:rStyle w:val="Hyperlink"/>
          </w:rPr>
          <w:t xml:space="preserve">10.1016/j.actaastro.2025.03.034</w:t>
        </w:r>
      </w:hyperlink>
    </w:p>
    <w:p>
      <w:pPr>
        <w:pStyle w:val="BodyText"/>
      </w:pPr>
      <w:bookmarkStart w:id="71" w:name="ref-4"/>
      <w:bookmarkEnd w:id="71"/>
      <w:r>
        <w:t xml:space="preserve">4. Sorge, M. E., Harris, T., Colombo, C., Hejduk, M. D., Fitz-Coy, N., Sheppard, R., et al. Space Traffic Management: Improvements to Spacecraft Collision Avoidance (COLA). Acta Astronautica, vol. 229, 2025. doi:</w:t>
      </w:r>
      <w:r>
        <w:t xml:space="preserve"> </w:t>
      </w:r>
      <w:hyperlink r:id="rId72">
        <w:r>
          <w:rPr>
            <w:rStyle w:val="Hyperlink"/>
          </w:rPr>
          <w:t xml:space="preserve">10.1016/j.actaastro.2025.01.042</w:t>
        </w:r>
      </w:hyperlink>
    </w:p>
    <w:p>
      <w:pPr>
        <w:pStyle w:val="BodyText"/>
      </w:pPr>
      <w:bookmarkStart w:id="73" w:name="ref-5"/>
      <w:bookmarkEnd w:id="73"/>
      <w:r>
        <w:t xml:space="preserve">5. Oltrogge, D., Alfano, S., Law, C. M., Cacioni, A., and Kelso, T. S. A Comprehensive Assessment of Collision Likelihood in Geosynchronous Earth Orbit. Acta Astronautica, vol. 147, 2018. doi:</w:t>
      </w:r>
      <w:r>
        <w:t xml:space="preserve"> </w:t>
      </w:r>
      <w:hyperlink r:id="rId74">
        <w:r>
          <w:rPr>
            <w:rStyle w:val="Hyperlink"/>
          </w:rPr>
          <w:t xml:space="preserve">10.1016/j.actaastro.2018.03.017</w:t>
        </w:r>
      </w:hyperlink>
    </w:p>
    <w:p>
      <w:pPr>
        <w:pStyle w:val="BodyText"/>
      </w:pPr>
      <w:bookmarkStart w:id="75" w:name="ref-6"/>
      <w:bookmarkEnd w:id="75"/>
      <w:r>
        <w:t xml:space="preserve">6. European Space Agency. ESA Annual Space Environment Report 2024. ESA Space Debris Office, Darmstadt, 2024.</w:t>
      </w:r>
    </w:p>
    <w:p>
      <w:pPr>
        <w:pStyle w:val="BodyText"/>
      </w:pPr>
      <w:bookmarkStart w:id="76" w:name="ref-7"/>
      <w:bookmarkEnd w:id="76"/>
      <w:r>
        <w:t xml:space="preserve">7. United States Space Force, 18th Space Defense Squadron. Space Situational Awareness Sharing Agreements Public Partner List. Space-Track.org, 2024.</w:t>
      </w:r>
    </w:p>
    <w:bookmarkEnd w:id="77"/>
    <w:bookmarkStart w:id="78" w:name="specification"/>
    <w:p>
      <w:pPr>
        <w:pStyle w:val="Heading2"/>
      </w:pPr>
      <w:r>
        <w:t xml:space="preserve">Specification</w:t>
      </w:r>
    </w:p>
    <w:p>
      <w:pPr>
        <w:pStyle w:val="FirstParagraph"/>
      </w:pPr>
      <m:oMathPara>
        <m:oMathParaPr>
          <m:jc m:val="center"/>
        </m:oMathParaPr>
        <m:oMath>
          <m:sSub>
            <m:e>
              <m:r>
                <m:rPr>
                  <m:nor/>
                  <m:sty m:val="p"/>
                </m:rPr>
                <m:t>Maneuvers</m:t>
              </m:r>
            </m:e>
            <m:sub>
              <m:r>
                <m:t>i</m:t>
              </m:r>
            </m:sub>
          </m:sSub>
          <m:r>
            <m:rPr>
              <m:sty m:val="p"/>
            </m:rPr>
            <m:t>=</m:t>
          </m:r>
          <m:sSub>
            <m:e>
              <m:r>
                <m:t>β</m:t>
              </m:r>
            </m:e>
            <m:sub>
              <m:r>
                <m:t>0</m:t>
              </m:r>
            </m:sub>
          </m:sSub>
          <m:r>
            <m:rPr>
              <m:sty m:val="p"/>
            </m:rPr>
            <m:t>+</m:t>
          </m:r>
          <m:sSub>
            <m:e>
              <m:r>
                <m:t>β</m:t>
              </m:r>
            </m:e>
            <m:sub>
              <m:r>
                <m:t>1</m:t>
              </m:r>
            </m:sub>
          </m:sSub>
          <m:sSub>
            <m:e>
              <m:r>
                <m:rPr>
                  <m:nor/>
                  <m:sty m:val="p"/>
                </m:rPr>
                <m:t>Share</m:t>
              </m:r>
            </m:e>
            <m:sub>
              <m:r>
                <m:t>i</m:t>
              </m:r>
            </m:sub>
          </m:sSub>
          <m:r>
            <m:rPr>
              <m:sty m:val="p"/>
            </m:rPr>
            <m:t>+</m:t>
          </m:r>
          <m:sSub>
            <m:e>
              <m:r>
                <m:t>β</m:t>
              </m:r>
            </m:e>
            <m:sub>
              <m:r>
                <m:t>2</m:t>
              </m:r>
            </m:sub>
          </m:sSub>
          <m:sSub>
            <m:e>
              <m:r>
                <m:rPr>
                  <m:nor/>
                  <m:sty m:val="p"/>
                </m:rPr>
                <m:t>SDA</m:t>
              </m:r>
            </m:e>
            <m:sub>
              <m:r>
                <m:t>i</m:t>
              </m:r>
            </m:sub>
          </m:sSub>
          <m:r>
            <m:rPr>
              <m:sty m:val="p"/>
            </m:rPr>
            <m:t>+</m:t>
          </m:r>
          <m:sSub>
            <m:e>
              <m:r>
                <m:t>β</m:t>
              </m:r>
            </m:e>
            <m:sub>
              <m:r>
                <m:t>3</m:t>
              </m:r>
            </m:sub>
          </m:sSub>
          <m:sSub>
            <m:e>
              <m:r>
                <m:rPr>
                  <m:nor/>
                  <m:sty m:val="p"/>
                </m:rPr>
                <m:t>Tier</m:t>
              </m:r>
            </m:e>
            <m:sub>
              <m:r>
                <m:t>i</m:t>
              </m:r>
            </m:sub>
          </m:sSub>
          <m:r>
            <m:rPr>
              <m:sty m:val="p"/>
            </m:rPr>
            <m:t>+</m:t>
          </m:r>
          <m:sSub>
            <m:e>
              <m:r>
                <m:t>β</m:t>
              </m:r>
            </m:e>
            <m:sub>
              <m:r>
                <m:t>4</m:t>
              </m:r>
            </m:sub>
          </m:sSub>
          <m:sSub>
            <m:e>
              <m:r>
                <m:rPr>
                  <m:nor/>
                  <m:sty m:val="p"/>
                </m:rPr>
                <m:t>CDMs</m:t>
              </m:r>
            </m:e>
            <m:sub>
              <m:r>
                <m:t>i</m:t>
              </m:r>
            </m:sub>
          </m:sSub>
          <m:r>
            <m:rPr>
              <m:sty m:val="p"/>
            </m:rPr>
            <m:t>+</m:t>
          </m:r>
          <m:sSub>
            <m:e>
              <m:r>
                <m:t>β</m:t>
              </m:r>
            </m:e>
            <m:sub>
              <m:r>
                <m:t>5</m:t>
              </m:r>
            </m:sub>
          </m:sSub>
          <m:sSub>
            <m:e>
              <m:r>
                <m:rPr>
                  <m:nor/>
                  <m:sty m:val="p"/>
                </m:rPr>
                <m:t>LEO</m:t>
              </m:r>
            </m:e>
            <m:sub>
              <m:r>
                <m:t>i</m:t>
              </m:r>
            </m:sub>
          </m:sSub>
          <m:r>
            <m:rPr>
              <m:sty m:val="p"/>
            </m:rPr>
            <m:t>+</m:t>
          </m:r>
          <m:sSub>
            <m:e>
              <m:r>
                <m:t>β</m:t>
              </m:r>
            </m:e>
            <m:sub>
              <m:r>
                <m:t>6</m:t>
              </m:r>
            </m:sub>
          </m:sSub>
          <m:sSub>
            <m:e>
              <m:r>
                <m:rPr>
                  <m:nor/>
                  <m:sty m:val="p"/>
                </m:rPr>
                <m:t>Years</m:t>
              </m:r>
            </m:e>
            <m:sub>
              <m:r>
                <m:t>i</m:t>
              </m:r>
            </m:sub>
          </m:sSub>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-0.7259</w:t>
            </w:r>
          </w:p>
        </w:tc>
        <w:tc>
          <w:tcPr>
            <w:tcW w:w="0" w:type="auto"/>
          </w:tcPr>
          <w:p>
            <w:pPr>
              <w:spacing w:line="240" w:lineRule="auto" w:before="0" w:after="0"/>
              <w:pStyle w:val="Compact"/>
            </w:pPr>
            <w:r>
              <w:rPr>
                <w:sz w:val="20"/>
                <w:szCs w:val="20"/>
              </w:rPr>
              <w:t xml:space="preserve">0.2262</w:t>
            </w:r>
          </w:p>
        </w:tc>
        <w:tc>
          <w:tcPr>
            <w:tcW w:w="0" w:type="auto"/>
          </w:tcPr>
          <w:p>
            <w:pPr>
              <w:spacing w:line="240" w:lineRule="auto" w:before="0" w:after="0"/>
              <w:pStyle w:val="Compact"/>
            </w:pPr>
            <w:r>
              <w:rPr>
                <w:sz w:val="20"/>
                <w:szCs w:val="20"/>
              </w:rPr>
              <w:t xml:space="preserve">-3.2092</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[-1.1692, -0.2826]</w:t>
            </w:r>
          </w:p>
        </w:tc>
      </w:tr>
      <w:tr>
        <w:tc>
          <w:tcPr>
            <w:tcW w:w="0" w:type="auto"/>
          </w:tcPr>
          <w:p>
            <w:pPr>
              <w:spacing w:line="240" w:lineRule="auto" w:before="0" w:after="0"/>
              <w:pStyle w:val="Compact"/>
            </w:pPr>
            <w:r>
              <w:rPr>
                <w:sz w:val="20"/>
                <w:szCs w:val="20"/>
              </w:rPr>
              <w:t xml:space="preserve">share_index</w:t>
            </w:r>
          </w:p>
        </w:tc>
        <w:tc>
          <w:tcPr>
            <w:tcW w:w="0" w:type="auto"/>
          </w:tcPr>
          <w:p>
            <w:pPr>
              <w:spacing w:line="240" w:lineRule="auto" w:before="0" w:after="0"/>
              <w:pStyle w:val="Compact"/>
            </w:pPr>
            <w:r>
              <w:rPr>
                <w:sz w:val="20"/>
                <w:szCs w:val="20"/>
              </w:rPr>
              <w:t xml:space="preserve">4.5741</w:t>
            </w:r>
          </w:p>
        </w:tc>
        <w:tc>
          <w:tcPr>
            <w:tcW w:w="0" w:type="auto"/>
          </w:tcPr>
          <w:p>
            <w:pPr>
              <w:spacing w:line="240" w:lineRule="auto" w:before="0" w:after="0"/>
              <w:pStyle w:val="Compact"/>
            </w:pPr>
            <w:r>
              <w:rPr>
                <w:sz w:val="20"/>
                <w:szCs w:val="20"/>
              </w:rPr>
              <w:t xml:space="preserve">0.7553</w:t>
            </w:r>
          </w:p>
        </w:tc>
        <w:tc>
          <w:tcPr>
            <w:tcW w:w="0" w:type="auto"/>
          </w:tcPr>
          <w:p>
            <w:pPr>
              <w:spacing w:line="240" w:lineRule="auto" w:before="0" w:after="0"/>
              <w:pStyle w:val="Compact"/>
            </w:pPr>
            <w:r>
              <w:rPr>
                <w:sz w:val="20"/>
                <w:szCs w:val="20"/>
              </w:rPr>
              <w:t xml:space="preserve">6.056</w:t>
            </w:r>
          </w:p>
        </w:tc>
        <w:tc>
          <w:tcPr>
            <w:tcW w:w="0" w:type="auto"/>
          </w:tcPr>
          <w:p>
            <w:pPr>
              <w:spacing w:line="240" w:lineRule="auto" w:before="0" w:after="0"/>
              <w:pStyle w:val="Compact"/>
            </w:pPr>
            <w:r>
              <w:rPr>
                <w:sz w:val="20"/>
                <w:szCs w:val="20"/>
              </w:rPr>
              <w:t xml:space="preserve">1.395e-09</w:t>
            </w:r>
          </w:p>
        </w:tc>
        <w:tc>
          <w:tcPr>
            <w:tcW w:w="0" w:type="auto"/>
          </w:tcPr>
          <w:p>
            <w:pPr>
              <w:spacing w:line="240" w:lineRule="auto" w:before="0" w:after="0"/>
              <w:pStyle w:val="Compact"/>
            </w:pPr>
            <w:r>
              <w:rPr>
                <w:sz w:val="20"/>
                <w:szCs w:val="20"/>
              </w:rPr>
              <w:t xml:space="preserve">[3.0937, 6.0544]</w:t>
            </w:r>
          </w:p>
        </w:tc>
      </w:tr>
      <w:tr>
        <w:tc>
          <w:tcPr>
            <w:tcW w:w="0" w:type="auto"/>
          </w:tcPr>
          <w:p>
            <w:pPr>
              <w:spacing w:line="240" w:lineRule="auto" w:before="0" w:after="0"/>
              <w:pStyle w:val="Compact"/>
            </w:pPr>
            <w:r>
              <w:rPr>
                <w:sz w:val="20"/>
                <w:szCs w:val="20"/>
              </w:rPr>
              <w:t xml:space="preserve">sda_member</w:t>
            </w:r>
          </w:p>
        </w:tc>
        <w:tc>
          <w:tcPr>
            <w:tcW w:w="0" w:type="auto"/>
          </w:tcPr>
          <w:p>
            <w:pPr>
              <w:spacing w:line="240" w:lineRule="auto" w:before="0" w:after="0"/>
              <w:pStyle w:val="Compact"/>
            </w:pPr>
            <w:r>
              <w:rPr>
                <w:sz w:val="20"/>
                <w:szCs w:val="20"/>
              </w:rPr>
              <w:t xml:space="preserve">-0.6097</w:t>
            </w:r>
          </w:p>
        </w:tc>
        <w:tc>
          <w:tcPr>
            <w:tcW w:w="0" w:type="auto"/>
          </w:tcPr>
          <w:p>
            <w:pPr>
              <w:spacing w:line="240" w:lineRule="auto" w:before="0" w:after="0"/>
              <w:pStyle w:val="Compact"/>
            </w:pPr>
            <w:r>
              <w:rPr>
                <w:sz w:val="20"/>
                <w:szCs w:val="20"/>
              </w:rPr>
              <w:t xml:space="preserve">0.2551</w:t>
            </w:r>
          </w:p>
        </w:tc>
        <w:tc>
          <w:tcPr>
            <w:tcW w:w="0" w:type="auto"/>
          </w:tcPr>
          <w:p>
            <w:pPr>
              <w:spacing w:line="240" w:lineRule="auto" w:before="0" w:after="0"/>
              <w:pStyle w:val="Compact"/>
            </w:pPr>
            <w:r>
              <w:rPr>
                <w:sz w:val="20"/>
                <w:szCs w:val="20"/>
              </w:rPr>
              <w:t xml:space="preserve">-2.3904</w:t>
            </w:r>
          </w:p>
        </w:tc>
        <w:tc>
          <w:tcPr>
            <w:tcW w:w="0" w:type="auto"/>
          </w:tcPr>
          <w:p>
            <w:pPr>
              <w:spacing w:line="240" w:lineRule="auto" w:before="0" w:after="0"/>
              <w:pStyle w:val="Compact"/>
            </w:pPr>
            <w:r>
              <w:rPr>
                <w:sz w:val="20"/>
                <w:szCs w:val="20"/>
              </w:rPr>
              <w:t xml:space="preserve">0.0168</w:t>
            </w:r>
          </w:p>
        </w:tc>
        <w:tc>
          <w:tcPr>
            <w:tcW w:w="0" w:type="auto"/>
          </w:tcPr>
          <w:p>
            <w:pPr>
              <w:spacing w:line="240" w:lineRule="auto" w:before="0" w:after="0"/>
              <w:pStyle w:val="Compact"/>
            </w:pPr>
            <w:r>
              <w:rPr>
                <w:sz w:val="20"/>
                <w:szCs w:val="20"/>
              </w:rPr>
              <w:t xml:space="preserve">[-1.1097, -0.1098]</w:t>
            </w:r>
          </w:p>
        </w:tc>
      </w:tr>
      <w:tr>
        <w:tc>
          <w:tcPr>
            <w:tcW w:w="0" w:type="auto"/>
          </w:tcPr>
          <w:p>
            <w:pPr>
              <w:spacing w:line="240" w:lineRule="auto" w:before="0" w:after="0"/>
              <w:pStyle w:val="Compact"/>
            </w:pPr>
            <w:r>
              <w:rPr>
                <w:sz w:val="20"/>
                <w:szCs w:val="20"/>
              </w:rPr>
              <w:t xml:space="preserve">spacetrack_tier</w:t>
            </w:r>
          </w:p>
        </w:tc>
        <w:tc>
          <w:tcPr>
            <w:tcW w:w="0" w:type="auto"/>
          </w:tcPr>
          <w:p>
            <w:pPr>
              <w:spacing w:line="240" w:lineRule="auto" w:before="0" w:after="0"/>
              <w:pStyle w:val="Compact"/>
            </w:pPr>
            <w:r>
              <w:rPr>
                <w:sz w:val="20"/>
                <w:szCs w:val="20"/>
              </w:rPr>
              <w:t xml:space="preserve">-0.6507</w:t>
            </w:r>
          </w:p>
        </w:tc>
        <w:tc>
          <w:tcPr>
            <w:tcW w:w="0" w:type="auto"/>
          </w:tcPr>
          <w:p>
            <w:pPr>
              <w:spacing w:line="240" w:lineRule="auto" w:before="0" w:after="0"/>
              <w:pStyle w:val="Compact"/>
            </w:pPr>
            <w:r>
              <w:rPr>
                <w:sz w:val="20"/>
                <w:szCs w:val="20"/>
              </w:rPr>
              <w:t xml:space="preserve">0.1946</w:t>
            </w:r>
          </w:p>
        </w:tc>
        <w:tc>
          <w:tcPr>
            <w:tcW w:w="0" w:type="auto"/>
          </w:tcPr>
          <w:p>
            <w:pPr>
              <w:spacing w:line="240" w:lineRule="auto" w:before="0" w:after="0"/>
              <w:pStyle w:val="Compact"/>
            </w:pPr>
            <w:r>
              <w:rPr>
                <w:sz w:val="20"/>
                <w:szCs w:val="20"/>
              </w:rPr>
              <w:t xml:space="preserve">-3.3436</w:t>
            </w:r>
          </w:p>
        </w:tc>
        <w:tc>
          <w:tcPr>
            <w:tcW w:w="0" w:type="auto"/>
          </w:tcPr>
          <w:p>
            <w:pPr>
              <w:spacing w:line="240" w:lineRule="auto" w:before="0" w:after="0"/>
              <w:pStyle w:val="Compact"/>
            </w:pPr>
            <w:r>
              <w:rPr>
                <w:sz w:val="20"/>
                <w:szCs w:val="20"/>
              </w:rPr>
              <w:t xml:space="preserve">0.0008269</w:t>
            </w:r>
          </w:p>
        </w:tc>
        <w:tc>
          <w:tcPr>
            <w:tcW w:w="0" w:type="auto"/>
          </w:tcPr>
          <w:p>
            <w:pPr>
              <w:spacing w:line="240" w:lineRule="auto" w:before="0" w:after="0"/>
              <w:pStyle w:val="Compact"/>
            </w:pPr>
            <w:r>
              <w:rPr>
                <w:sz w:val="20"/>
                <w:szCs w:val="20"/>
              </w:rPr>
              <w:t xml:space="preserve">[-1.0321, -0.2693]</w:t>
            </w:r>
          </w:p>
        </w:tc>
      </w:tr>
      <w:tr>
        <w:tc>
          <w:tcPr>
            <w:tcW w:w="0" w:type="auto"/>
          </w:tcPr>
          <w:p>
            <w:pPr>
              <w:spacing w:line="240" w:lineRule="auto" w:before="0" w:after="0"/>
              <w:pStyle w:val="Compact"/>
            </w:pPr>
            <w:r>
              <w:rPr>
                <w:sz w:val="20"/>
                <w:szCs w:val="20"/>
              </w:rPr>
              <w:t xml:space="preserve">cdms_per_sat_year</w:t>
            </w:r>
          </w:p>
        </w:tc>
        <w:tc>
          <w:tcPr>
            <w:tcW w:w="0" w:type="auto"/>
          </w:tcPr>
          <w:p>
            <w:pPr>
              <w:spacing w:line="240" w:lineRule="auto" w:before="0" w:after="0"/>
              <w:pStyle w:val="Compact"/>
            </w:pPr>
            <w:r>
              <w:rPr>
                <w:sz w:val="20"/>
                <w:szCs w:val="20"/>
              </w:rPr>
              <w:t xml:space="preserve">0.0096</w:t>
            </w:r>
          </w:p>
        </w:tc>
        <w:tc>
          <w:tcPr>
            <w:tcW w:w="0" w:type="auto"/>
          </w:tcPr>
          <w:p>
            <w:pPr>
              <w:spacing w:line="240" w:lineRule="auto" w:before="0" w:after="0"/>
              <w:pStyle w:val="Compact"/>
            </w:pPr>
            <w:r>
              <w:rPr>
                <w:sz w:val="20"/>
                <w:szCs w:val="20"/>
              </w:rPr>
              <w:t xml:space="preserve">0.0001746</w:t>
            </w:r>
          </w:p>
        </w:tc>
        <w:tc>
          <w:tcPr>
            <w:tcW w:w="0" w:type="auto"/>
          </w:tcPr>
          <w:p>
            <w:pPr>
              <w:spacing w:line="240" w:lineRule="auto" w:before="0" w:after="0"/>
              <w:pStyle w:val="Compact"/>
            </w:pPr>
            <w:r>
              <w:rPr>
                <w:sz w:val="20"/>
                <w:szCs w:val="20"/>
              </w:rPr>
              <w:t xml:space="preserve">54.8709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[0.0092, 0.0099]</w:t>
            </w:r>
          </w:p>
        </w:tc>
      </w:tr>
      <w:tr>
        <w:tc>
          <w:tcPr>
            <w:tcW w:w="0" w:type="auto"/>
          </w:tcPr>
          <w:p>
            <w:pPr>
              <w:spacing w:line="240" w:lineRule="auto" w:before="0" w:after="0"/>
              <w:pStyle w:val="Compact"/>
            </w:pPr>
            <w:r>
              <w:rPr>
                <w:sz w:val="20"/>
                <w:szCs w:val="20"/>
              </w:rPr>
              <w:t xml:space="preserve">regime_leo_share</w:t>
            </w:r>
          </w:p>
        </w:tc>
        <w:tc>
          <w:tcPr>
            <w:tcW w:w="0" w:type="auto"/>
          </w:tcPr>
          <w:p>
            <w:pPr>
              <w:spacing w:line="240" w:lineRule="auto" w:before="0" w:after="0"/>
              <w:pStyle w:val="Compact"/>
            </w:pPr>
            <w:r>
              <w:rPr>
                <w:sz w:val="20"/>
                <w:szCs w:val="20"/>
              </w:rPr>
              <w:t xml:space="preserve">0.3387</w:t>
            </w:r>
          </w:p>
        </w:tc>
        <w:tc>
          <w:tcPr>
            <w:tcW w:w="0" w:type="auto"/>
          </w:tcPr>
          <w:p>
            <w:pPr>
              <w:spacing w:line="240" w:lineRule="auto" w:before="0" w:after="0"/>
              <w:pStyle w:val="Compact"/>
            </w:pPr>
            <w:r>
              <w:rPr>
                <w:sz w:val="20"/>
                <w:szCs w:val="20"/>
              </w:rPr>
              <w:t xml:space="preserve">0.164</w:t>
            </w:r>
          </w:p>
        </w:tc>
        <w:tc>
          <w:tcPr>
            <w:tcW w:w="0" w:type="auto"/>
          </w:tcPr>
          <w:p>
            <w:pPr>
              <w:spacing w:line="240" w:lineRule="auto" w:before="0" w:after="0"/>
              <w:pStyle w:val="Compact"/>
            </w:pPr>
            <w:r>
              <w:rPr>
                <w:sz w:val="20"/>
                <w:szCs w:val="20"/>
              </w:rPr>
              <w:t xml:space="preserve">2.0651</w:t>
            </w:r>
          </w:p>
        </w:tc>
        <w:tc>
          <w:tcPr>
            <w:tcW w:w="0" w:type="auto"/>
          </w:tcPr>
          <w:p>
            <w:pPr>
              <w:spacing w:line="240" w:lineRule="auto" w:before="0" w:after="0"/>
              <w:pStyle w:val="Compact"/>
            </w:pPr>
            <w:r>
              <w:rPr>
                <w:sz w:val="20"/>
                <w:szCs w:val="20"/>
              </w:rPr>
              <w:t xml:space="preserve">0.0389</w:t>
            </w:r>
          </w:p>
        </w:tc>
        <w:tc>
          <w:tcPr>
            <w:tcW w:w="0" w:type="auto"/>
          </w:tcPr>
          <w:p>
            <w:pPr>
              <w:spacing w:line="240" w:lineRule="auto" w:before="0" w:after="0"/>
              <w:pStyle w:val="Compact"/>
            </w:pPr>
            <w:r>
              <w:rPr>
                <w:sz w:val="20"/>
                <w:szCs w:val="20"/>
              </w:rPr>
              <w:t xml:space="preserve">[0.0172, 0.6601]</w:t>
            </w:r>
          </w:p>
        </w:tc>
      </w:tr>
      <w:tr>
        <w:tc>
          <w:tcPr>
            <w:tcW w:w="0" w:type="auto"/>
          </w:tcPr>
          <w:p>
            <w:pPr>
              <w:spacing w:line="240" w:lineRule="auto" w:before="0" w:after="0"/>
              <w:pStyle w:val="Compact"/>
            </w:pPr>
            <w:r>
              <w:rPr>
                <w:sz w:val="20"/>
                <w:szCs w:val="20"/>
              </w:rPr>
              <w:t xml:space="preserve">years_sharing</w:t>
            </w:r>
          </w:p>
        </w:tc>
        <w:tc>
          <w:tcPr>
            <w:tcW w:w="0" w:type="auto"/>
          </w:tcPr>
          <w:p>
            <w:pPr>
              <w:spacing w:line="240" w:lineRule="auto" w:before="0" w:after="0"/>
              <w:pStyle w:val="Compact"/>
            </w:pPr>
            <w:r>
              <w:rPr>
                <w:sz w:val="20"/>
                <w:szCs w:val="20"/>
              </w:rPr>
              <w:t xml:space="preserve">-0.0297</w:t>
            </w:r>
          </w:p>
        </w:tc>
        <w:tc>
          <w:tcPr>
            <w:tcW w:w="0" w:type="auto"/>
          </w:tcPr>
          <w:p>
            <w:pPr>
              <w:spacing w:line="240" w:lineRule="auto" w:before="0" w:after="0"/>
              <w:pStyle w:val="Compact"/>
            </w:pPr>
            <w:r>
              <w:rPr>
                <w:sz w:val="20"/>
                <w:szCs w:val="20"/>
              </w:rPr>
              <w:t xml:space="preserve">0.0181</w:t>
            </w:r>
          </w:p>
        </w:tc>
        <w:tc>
          <w:tcPr>
            <w:tcW w:w="0" w:type="auto"/>
          </w:tcPr>
          <w:p>
            <w:pPr>
              <w:spacing w:line="240" w:lineRule="auto" w:before="0" w:after="0"/>
              <w:pStyle w:val="Compact"/>
            </w:pPr>
            <w:r>
              <w:rPr>
                <w:sz w:val="20"/>
                <w:szCs w:val="20"/>
              </w:rPr>
              <w:t xml:space="preserve">-1.638</w:t>
            </w:r>
          </w:p>
        </w:tc>
        <w:tc>
          <w:tcPr>
            <w:tcW w:w="0" w:type="auto"/>
          </w:tcPr>
          <w:p>
            <w:pPr>
              <w:spacing w:line="240" w:lineRule="auto" w:before="0" w:after="0"/>
              <w:pStyle w:val="Compact"/>
            </w:pPr>
            <w:r>
              <w:rPr>
                <w:sz w:val="20"/>
                <w:szCs w:val="20"/>
              </w:rPr>
              <w:t xml:space="preserve">0.1014</w:t>
            </w:r>
          </w:p>
        </w:tc>
        <w:tc>
          <w:tcPr>
            <w:tcW w:w="0" w:type="auto"/>
          </w:tcPr>
          <w:p>
            <w:pPr>
              <w:spacing w:line="240" w:lineRule="auto" w:before="0" w:after="0"/>
              <w:pStyle w:val="Compact"/>
            </w:pPr>
            <w:r>
              <w:rPr>
                <w:sz w:val="20"/>
                <w:szCs w:val="20"/>
              </w:rPr>
              <w:t xml:space="preserve">[-0.0652, 0.0058]</w:t>
            </w:r>
          </w:p>
        </w:tc>
      </w:tr>
    </w:tbl>
    <w:p>
      <w:pPr>
        <w:pStyle w:val="BodyText"/>
      </w:pPr>
      <w:r>
        <w:t xml:space="preserve">Fit: N = 34 R2 = 0.9889 R2_adj = 0.9864 F = 2792.2903 F_p = 2.177e-36</w:t>
      </w:r>
    </w:p>
    <w:p>
      <w:pPr>
        <w:pStyle w:val="CaptionedFigure"/>
      </w:pPr>
      <w:r>
        <w:drawing>
          <wp:inline>
            <wp:extent cx="5669280" cy="3657600"/>
            <wp:effectExtent b="0" l="0" r="0" t="0"/>
            <wp:docPr descr="Figure 1. Maneuvers per satellite-year against voluntary SSA data-sharing intensity across LEO and mixed-orbit operators." title="" id="80" name="Picture"/>
            <a:graphic>
              <a:graphicData uri="http://schemas.openxmlformats.org/drawingml/2006/picture">
                <pic:pic>
                  <pic:nvPicPr>
                    <pic:cNvPr descr="D:\Claude_Code\brain\collegium\candidates\dissertations\SSA_SDA_05\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Maneuvers per satellite-year against voluntary SSA data-sharing intensity across LEO and mixed-orbit operators.</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fleet_size</w:t>
            </w:r>
          </w:p>
        </w:tc>
        <w:tc>
          <w:tcPr>
            <w:tcW w:w="0" w:type="auto"/>
          </w:tcPr>
          <w:p>
            <w:pPr>
              <w:spacing w:line="240" w:lineRule="auto" w:before="0" w:after="0"/>
              <w:pStyle w:val="Compact"/>
            </w:pPr>
            <w:r>
              <w:rPr>
                <w:sz w:val="20"/>
                <w:szCs w:val="20"/>
              </w:rPr>
              <w:t xml:space="preserve">sda_member</w:t>
            </w:r>
          </w:p>
        </w:tc>
        <w:tc>
          <w:tcPr>
            <w:tcW w:w="0" w:type="auto"/>
          </w:tcPr>
          <w:p>
            <w:pPr>
              <w:spacing w:line="240" w:lineRule="auto" w:before="0" w:after="0"/>
              <w:pStyle w:val="Compact"/>
            </w:pPr>
            <w:r>
              <w:rPr>
                <w:sz w:val="20"/>
                <w:szCs w:val="20"/>
              </w:rPr>
              <w:t xml:space="preserve">spacetrack_tier</w:t>
            </w:r>
          </w:p>
        </w:tc>
        <w:tc>
          <w:tcPr>
            <w:tcW w:w="0" w:type="auto"/>
          </w:tcPr>
          <w:p>
            <w:pPr>
              <w:spacing w:line="240" w:lineRule="auto" w:before="0" w:after="0"/>
              <w:pStyle w:val="Compact"/>
            </w:pPr>
            <w:r>
              <w:rPr>
                <w:sz w:val="20"/>
                <w:szCs w:val="20"/>
              </w:rPr>
              <w:t xml:space="preserve">cdms_per_sat_year</w:t>
            </w:r>
          </w:p>
        </w:tc>
        <w:tc>
          <w:tcPr>
            <w:tcW w:w="0" w:type="auto"/>
          </w:tcPr>
          <w:p>
            <w:pPr>
              <w:spacing w:line="240" w:lineRule="auto" w:before="0" w:after="0"/>
              <w:pStyle w:val="Compact"/>
            </w:pPr>
            <w:r>
              <w:rPr>
                <w:sz w:val="20"/>
                <w:szCs w:val="20"/>
              </w:rPr>
              <w:t xml:space="preserve">maneuvers_per_sat_year</w:t>
            </w:r>
          </w:p>
        </w:tc>
        <w:tc>
          <w:tcPr>
            <w:tcW w:w="0" w:type="auto"/>
          </w:tcPr>
          <w:p>
            <w:pPr>
              <w:spacing w:line="240" w:lineRule="auto" w:before="0" w:after="0"/>
              <w:pStyle w:val="Compact"/>
            </w:pPr>
            <w:r>
              <w:rPr>
                <w:sz w:val="20"/>
                <w:szCs w:val="20"/>
              </w:rPr>
              <w:t xml:space="preserve">share_index</w:t>
            </w:r>
          </w:p>
        </w:tc>
        <w:tc>
          <w:tcPr>
            <w:tcW w:w="0" w:type="auto"/>
          </w:tcPr>
          <w:p>
            <w:pPr>
              <w:spacing w:line="240" w:lineRule="auto" w:before="0" w:after="0"/>
              <w:pStyle w:val="Compact"/>
            </w:pPr>
            <w:r>
              <w:rPr>
                <w:sz w:val="20"/>
                <w:szCs w:val="20"/>
              </w:rPr>
              <w:t xml:space="preserve">years_sharing</w:t>
            </w:r>
          </w:p>
        </w:tc>
        <w:tc>
          <w:tcPr>
            <w:tcW w:w="0" w:type="auto"/>
          </w:tcPr>
          <w:p>
            <w:pPr>
              <w:spacing w:line="240" w:lineRule="auto" w:before="0" w:after="0"/>
              <w:pStyle w:val="Compact"/>
            </w:pPr>
            <w:r>
              <w:rPr>
                <w:sz w:val="20"/>
                <w:szCs w:val="20"/>
              </w:rPr>
              <w:t xml:space="preserve">regime_leo_share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6000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SAT-MOD-20200417 and SpaceX semi-annual conjunction reports 2023-2024; Space-Track CARA tier 3</w:t>
            </w:r>
          </w:p>
        </w:tc>
      </w:tr>
      <w:tr>
        <w:tc>
          <w:tcPr>
            <w:tcW w:w="0" w:type="auto"/>
          </w:tcPr>
          <w:p>
            <w:pPr>
              <w:spacing w:line="240" w:lineRule="auto" w:before="0" w:after="0"/>
              <w:pStyle w:val="Compact"/>
            </w:pPr>
            <w:r>
              <w:rPr>
                <w:sz w:val="20"/>
                <w:szCs w:val="20"/>
              </w:rPr>
              <w:t xml:space="preserve">OneWeb_Eutelsat</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Eutelsat Group Universal Registration Document 2023; SDA member roster spacedata.org</w:t>
            </w:r>
          </w:p>
        </w:tc>
      </w:tr>
      <w:tr>
        <w:tc>
          <w:tcPr>
            <w:tcW w:w="0" w:type="auto"/>
          </w:tcPr>
          <w:p>
            <w:pPr>
              <w:spacing w:line="240" w:lineRule="auto" w:before="0" w:after="0"/>
              <w:pStyle w:val="Compact"/>
            </w:pPr>
            <w:r>
              <w:rPr>
                <w:sz w:val="20"/>
                <w:szCs w:val="20"/>
              </w:rPr>
              <w:t xml:space="preserve">Planet_Labs</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Labs PBC 10-K FY2024; SDA members list; Space-Track tier 2</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Iridium 10-K 2023; SDA founding member; CSpOC SSA-sharing agreement</w:t>
            </w:r>
          </w:p>
        </w:tc>
      </w:tr>
      <w:tr>
        <w:tc>
          <w:tcPr>
            <w:tcW w:w="0" w:type="auto"/>
          </w:tcPr>
          <w:p>
            <w:pPr>
              <w:spacing w:line="240" w:lineRule="auto" w:before="0" w:after="0"/>
              <w:pStyle w:val="Compact"/>
            </w:pPr>
            <w:r>
              <w:rPr>
                <w:sz w:val="20"/>
                <w:szCs w:val="20"/>
              </w:rPr>
              <w:t xml:space="preserve">SES_O3b</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SES Annual Report 2023; SDA founding member</w:t>
            </w:r>
          </w:p>
        </w:tc>
      </w:tr>
      <w:tr>
        <w:tc>
          <w:tcPr>
            <w:tcW w:w="0" w:type="auto"/>
          </w:tcPr>
          <w:p>
            <w:pPr>
              <w:spacing w:line="240" w:lineRule="auto" w:before="0" w:after="0"/>
              <w:pStyle w:val="Compact"/>
            </w:pPr>
            <w:r>
              <w:rPr>
                <w:sz w:val="20"/>
                <w:szCs w:val="20"/>
              </w:rPr>
              <w:t xml:space="preserve">Intelsat</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Intelsat Annual Report 2022; SDA founding member</w:t>
            </w:r>
          </w:p>
        </w:tc>
      </w:tr>
      <w:tr>
        <w:tc>
          <w:tcPr>
            <w:tcW w:w="0" w:type="auto"/>
          </w:tcPr>
          <w:p>
            <w:pPr>
              <w:spacing w:line="240" w:lineRule="auto" w:before="0" w:after="0"/>
              <w:pStyle w:val="Compact"/>
            </w:pPr>
            <w:r>
              <w:rPr>
                <w:sz w:val="20"/>
                <w:szCs w:val="20"/>
              </w:rPr>
              <w:t xml:space="preserve">Inmarsat</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Inmarsat / Viasat 10-K 2024; SDA member</w:t>
            </w:r>
          </w:p>
        </w:tc>
      </w:tr>
      <w:tr>
        <w:tc>
          <w:tcPr>
            <w:tcW w:w="0" w:type="auto"/>
          </w:tcPr>
          <w:p>
            <w:pPr>
              <w:spacing w:line="240" w:lineRule="auto" w:before="0" w:after="0"/>
              <w:pStyle w:val="Compact"/>
            </w:pPr>
            <w:r>
              <w:rPr>
                <w:sz w:val="20"/>
                <w:szCs w:val="20"/>
              </w:rPr>
              <w:t xml:space="preserve">Telesat</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Telesat Annual Information Form 2023; SDA member</w:t>
            </w:r>
          </w:p>
        </w:tc>
      </w:tr>
      <w:tr>
        <w:tc>
          <w:tcPr>
            <w:tcW w:w="0" w:type="auto"/>
          </w:tcPr>
          <w:p>
            <w:pPr>
              <w:spacing w:line="240" w:lineRule="auto" w:before="0" w:after="0"/>
              <w:pStyle w:val="Compact"/>
            </w:pPr>
            <w:r>
              <w:rPr>
                <w:sz w:val="20"/>
                <w:szCs w:val="20"/>
              </w:rPr>
              <w:t xml:space="preserve">Eutelsat_GEO</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Eutelsat Universal Registration Document 2023; SDA founding member</w:t>
            </w:r>
          </w:p>
        </w:tc>
      </w:tr>
      <w:tr>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JAXA Space Environment Annual Report 2024; CSpOC SSA-sharing partner</w:t>
            </w:r>
          </w:p>
        </w:tc>
      </w:tr>
      <w:tr>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ESA Space Environment Report 2024; CSpOC SSA-sharing agreement</w:t>
            </w:r>
          </w:p>
        </w:tc>
      </w:tr>
      <w:tr>
        <w:tc>
          <w:tcPr>
            <w:tcW w:w="0" w:type="auto"/>
          </w:tcPr>
          <w:p>
            <w:pPr>
              <w:spacing w:line="240" w:lineRule="auto" w:before="0" w:after="0"/>
              <w:pStyle w:val="Compact"/>
            </w:pPr>
            <w:r>
              <w:rPr>
                <w:sz w:val="20"/>
                <w:szCs w:val="20"/>
              </w:rPr>
              <w:t xml:space="preserve">DLR_Germany</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DLR Space Operations Annual Report 2023</w:t>
            </w:r>
          </w:p>
        </w:tc>
      </w:tr>
      <w:tr>
        <w:tc>
          <w:tcPr>
            <w:tcW w:w="0" w:type="auto"/>
          </w:tcPr>
          <w:p>
            <w:pPr>
              <w:spacing w:line="240" w:lineRule="auto" w:before="0" w:after="0"/>
              <w:pStyle w:val="Compact"/>
            </w:pPr>
            <w:r>
              <w:rPr>
                <w:sz w:val="20"/>
                <w:szCs w:val="20"/>
              </w:rPr>
              <w:t xml:space="preserve">CNES_France</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CNES Rapport Annuel 2023; CSpOC SSA-sharing</w:t>
            </w:r>
          </w:p>
        </w:tc>
      </w:tr>
      <w:tr>
        <w:tc>
          <w:tcPr>
            <w:tcW w:w="0" w:type="auto"/>
          </w:tcPr>
          <w:p>
            <w:pPr>
              <w:spacing w:line="240" w:lineRule="auto" w:before="0" w:after="0"/>
              <w:pStyle w:val="Compact"/>
            </w:pPr>
            <w:r>
              <w:rPr>
                <w:sz w:val="20"/>
                <w:szCs w:val="20"/>
              </w:rPr>
              <w:t xml:space="preserve">ASI_Italy</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ASI Bilancio 2023 [illustrative]</w:t>
            </w:r>
          </w:p>
        </w:tc>
      </w:tr>
      <w:tr>
        <w:tc>
          <w:tcPr>
            <w:tcW w:w="0" w:type="auto"/>
          </w:tcPr>
          <w:p>
            <w:pPr>
              <w:spacing w:line="240" w:lineRule="auto" w:before="0" w:after="0"/>
              <w:pStyle w:val="Compact"/>
            </w:pPr>
            <w:r>
              <w:rPr>
                <w:sz w:val="20"/>
                <w:szCs w:val="20"/>
              </w:rPr>
              <w:t xml:space="preserve">UKSA_OneWeb_legacy</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UK Space Agency Annual Report 2023</w:t>
            </w:r>
          </w:p>
        </w:tc>
      </w:tr>
      <w:tr>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ISRO Annual Report 2023-24; non-SDA non-CSpOC formal agreement</w:t>
            </w:r>
          </w:p>
        </w:tc>
      </w:tr>
      <w:tr>
        <w:tc>
          <w:tcPr>
            <w:tcW w:w="0" w:type="auto"/>
          </w:tcPr>
          <w:p>
            <w:pPr>
              <w:spacing w:line="240" w:lineRule="auto" w:before="0" w:after="0"/>
              <w:pStyle w:val="Compact"/>
            </w:pPr>
            <w:r>
              <w:rPr>
                <w:sz w:val="20"/>
                <w:szCs w:val="20"/>
              </w:rPr>
              <w:t xml:space="preserve">KARI_Korea</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KARI Annual Report 2023; CSpOC SSA-sharing agreement</w:t>
            </w:r>
          </w:p>
        </w:tc>
      </w:tr>
      <w:tr>
        <w:tc>
          <w:tcPr>
            <w:tcW w:w="0" w:type="auto"/>
          </w:tcPr>
          <w:p>
            <w:pPr>
              <w:spacing w:line="240" w:lineRule="auto" w:before="0" w:after="0"/>
              <w:pStyle w:val="Compact"/>
            </w:pPr>
            <w:r>
              <w:rPr>
                <w:sz w:val="20"/>
                <w:szCs w:val="20"/>
              </w:rPr>
              <w:t xml:space="preserve">UAE_MBRSC</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MBRSC Annual Report 2023 [illustrative]</w:t>
            </w:r>
          </w:p>
        </w:tc>
      </w:tr>
      <w:tr>
        <w:tc>
          <w:tcPr>
            <w:tcW w:w="0" w:type="auto"/>
          </w:tcPr>
          <w:p>
            <w:pPr>
              <w:spacing w:line="240" w:lineRule="auto" w:before="0" w:after="0"/>
              <w:pStyle w:val="Compact"/>
            </w:pPr>
            <w:r>
              <w:rPr>
                <w:sz w:val="20"/>
                <w:szCs w:val="20"/>
              </w:rPr>
              <w:t xml:space="preserve">Saudi_KACST</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KACST Annual Report 2022 [illustrative]</w:t>
            </w:r>
          </w:p>
        </w:tc>
      </w:tr>
      <w:tr>
        <w:tc>
          <w:tcPr>
            <w:tcW w:w="0" w:type="auto"/>
          </w:tcPr>
          <w:p>
            <w:pPr>
              <w:spacing w:line="240" w:lineRule="auto" w:before="0" w:after="0"/>
              <w:pStyle w:val="Compact"/>
            </w:pPr>
            <w:r>
              <w:rPr>
                <w:sz w:val="20"/>
                <w:szCs w:val="20"/>
              </w:rPr>
              <w:t xml:space="preserve">Argentina_CONAE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CONAE Memoria Anual 2023 [illustrative]</w:t>
            </w:r>
          </w:p>
        </w:tc>
      </w:tr>
      <w:tr>
        <w:tc>
          <w:tcPr>
            <w:tcW w:w="0" w:type="auto"/>
          </w:tcPr>
          <w:p>
            <w:pPr>
              <w:spacing w:line="240" w:lineRule="auto" w:before="0" w:after="0"/>
              <w:pStyle w:val="Compact"/>
            </w:pPr>
            <w:r>
              <w:rPr>
                <w:sz w:val="20"/>
                <w:szCs w:val="20"/>
              </w:rPr>
              <w:t xml:space="preserve">Brazil_AEB</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AEB Relatorio de Gestao 2023</w:t>
            </w:r>
          </w:p>
        </w:tc>
      </w:tr>
      <w:tr>
        <w:tc>
          <w:tcPr>
            <w:tcW w:w="0" w:type="auto"/>
          </w:tcPr>
          <w:p>
            <w:pPr>
              <w:spacing w:line="240" w:lineRule="auto" w:before="0" w:after="0"/>
              <w:pStyle w:val="Compact"/>
            </w:pPr>
            <w:r>
              <w:rPr>
                <w:sz w:val="20"/>
                <w:szCs w:val="20"/>
              </w:rPr>
              <w:t xml:space="preserve">Israel_IAI</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IAI Annual Report 2023 [illustrative]</w:t>
            </w:r>
          </w:p>
        </w:tc>
      </w:tr>
      <w:tr>
        <w:tc>
          <w:tcPr>
            <w:tcW w:w="0" w:type="auto"/>
          </w:tcPr>
          <w:p>
            <w:pPr>
              <w:spacing w:line="240" w:lineRule="auto" w:before="0" w:after="0"/>
              <w:pStyle w:val="Compact"/>
            </w:pPr>
            <w:r>
              <w:rPr>
                <w:sz w:val="20"/>
                <w:szCs w:val="20"/>
              </w:rPr>
              <w:t xml:space="preserve">Lockheed_Martin_USG</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USSF SSA-sharing partner list 2024; SDA member</w:t>
            </w:r>
          </w:p>
        </w:tc>
      </w:tr>
      <w:tr>
        <w:tc>
          <w:tcPr>
            <w:tcW w:w="0" w:type="auto"/>
          </w:tcPr>
          <w:p>
            <w:pPr>
              <w:spacing w:line="240" w:lineRule="auto" w:before="0" w:after="0"/>
              <w:pStyle w:val="Compact"/>
            </w:pPr>
            <w:r>
              <w:rPr>
                <w:sz w:val="20"/>
                <w:szCs w:val="20"/>
              </w:rPr>
              <w:t xml:space="preserve">Northrop_Grumman_USG</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USSF SSA-sharing partner list 2024; SDA member</w:t>
            </w:r>
          </w:p>
        </w:tc>
      </w:tr>
      <w:tr>
        <w:tc>
          <w:tcPr>
            <w:tcW w:w="0" w:type="auto"/>
          </w:tcPr>
          <w:p>
            <w:pPr>
              <w:spacing w:line="240" w:lineRule="auto" w:before="0" w:after="0"/>
              <w:pStyle w:val="Compact"/>
            </w:pPr>
            <w:r>
              <w:rPr>
                <w:sz w:val="20"/>
                <w:szCs w:val="20"/>
              </w:rPr>
              <w:t xml:space="preserve">Boeing_USG</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USSF SSA-sharing partner list 2024; SDA member</w:t>
            </w:r>
          </w:p>
        </w:tc>
      </w:tr>
      <w:tr>
        <w:tc>
          <w:tcPr>
            <w:tcW w:w="0" w:type="auto"/>
          </w:tcPr>
          <w:p>
            <w:pPr>
              <w:spacing w:line="240" w:lineRule="auto" w:before="0" w:after="0"/>
              <w:pStyle w:val="Compact"/>
            </w:pPr>
            <w:r>
              <w:rPr>
                <w:sz w:val="20"/>
                <w:szCs w:val="20"/>
              </w:rPr>
              <w:t xml:space="preserve">Maxar_DigitalGlobe</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Maxar Technologies 10-K 2022; SDA member</w:t>
            </w:r>
          </w:p>
        </w:tc>
      </w:tr>
      <w:tr>
        <w:tc>
          <w:tcPr>
            <w:tcW w:w="0" w:type="auto"/>
          </w:tcPr>
          <w:p>
            <w:pPr>
              <w:spacing w:line="240" w:lineRule="auto" w:before="0" w:after="0"/>
              <w:pStyle w:val="Compact"/>
            </w:pPr>
            <w:r>
              <w:rPr>
                <w:sz w:val="20"/>
                <w:szCs w:val="20"/>
              </w:rPr>
              <w:t xml:space="preserve">Spire_Global</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Spire Global 10-K 2023; Space-Track tier 2</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BlackSky 10-K 2023</w:t>
            </w:r>
          </w:p>
        </w:tc>
      </w:tr>
      <w:tr>
        <w:tc>
          <w:tcPr>
            <w:tcW w:w="0" w:type="auto"/>
          </w:tcPr>
          <w:p>
            <w:pPr>
              <w:spacing w:line="240" w:lineRule="auto" w:before="0" w:after="0"/>
              <w:pStyle w:val="Compact"/>
            </w:pPr>
            <w:r>
              <w:rPr>
                <w:sz w:val="20"/>
                <w:szCs w:val="20"/>
              </w:rPr>
              <w:t xml:space="preserve">Capella_Space</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Capella Space FCC filings 2023 [illustrative]</w:t>
            </w:r>
          </w:p>
        </w:tc>
      </w:tr>
      <w:tr>
        <w:tc>
          <w:tcPr>
            <w:tcW w:w="0" w:type="auto"/>
          </w:tcPr>
          <w:p>
            <w:pPr>
              <w:spacing w:line="240" w:lineRule="auto" w:before="0" w:after="0"/>
              <w:pStyle w:val="Compact"/>
            </w:pPr>
            <w:r>
              <w:rPr>
                <w:sz w:val="20"/>
                <w:szCs w:val="20"/>
              </w:rPr>
              <w:t xml:space="preserve">ICEYE</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ICEYE press materials 2024 [illustrative]</w:t>
            </w:r>
          </w:p>
        </w:tc>
      </w:tr>
      <w:tr>
        <w:tc>
          <w:tcPr>
            <w:tcW w:w="0" w:type="auto"/>
          </w:tcPr>
          <w:p>
            <w:pPr>
              <w:spacing w:line="240" w:lineRule="auto" w:before="0" w:after="0"/>
              <w:pStyle w:val="Compact"/>
            </w:pPr>
            <w:r>
              <w:rPr>
                <w:sz w:val="20"/>
                <w:szCs w:val="20"/>
              </w:rPr>
              <w:t xml:space="preserve">Rocket_Lab_Photon</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Rocket Lab 10-K 2023 [illustrative]</w:t>
            </w:r>
          </w:p>
        </w:tc>
      </w:tr>
      <w:tr>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Globalstar Inc 10-K 2023</w:t>
            </w:r>
          </w:p>
        </w:tc>
      </w:tr>
      <w:tr>
        <w:tc>
          <w:tcPr>
            <w:tcW w:w="0" w:type="auto"/>
          </w:tcPr>
          <w:p>
            <w:pPr>
              <w:spacing w:line="240" w:lineRule="auto" w:before="0" w:after="0"/>
              <w:pStyle w:val="Compact"/>
            </w:pPr>
            <w:r>
              <w:rPr>
                <w:sz w:val="20"/>
                <w:szCs w:val="20"/>
              </w:rPr>
              <w:t xml:space="preserve">Orbcomm</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Orbcomm 10-K 2022</w:t>
            </w:r>
          </w:p>
        </w:tc>
      </w:tr>
      <w:tr>
        <w:tc>
          <w:tcPr>
            <w:tcW w:w="0" w:type="auto"/>
          </w:tcPr>
          <w:p>
            <w:pPr>
              <w:spacing w:line="240" w:lineRule="auto" w:before="0" w:after="0"/>
              <w:pStyle w:val="Compact"/>
            </w:pPr>
            <w:r>
              <w:rPr>
                <w:sz w:val="20"/>
                <w:szCs w:val="20"/>
              </w:rPr>
              <w:t xml:space="preserve">GHGSat</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GHGSat press releases 2024 [illustrative]</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maneuvers_per_sat_year</w:t>
            </w:r>
          </w:p>
        </w:tc>
        <w:tc>
          <w:tcPr>
            <w:tcW w:w="0" w:type="auto"/>
          </w:tcPr>
          <w:p>
            <w:pPr>
              <w:spacing w:line="240" w:lineRule="auto" w:before="0" w:after="0"/>
              <w:pStyle w:val="Compact"/>
            </w:pPr>
            <w:r>
              <w:rPr>
                <w:sz w:val="20"/>
                <w:szCs w:val="20"/>
              </w:rPr>
              <w:t xml:space="preserve">Collision-avoidance maneuvers executed per satellite per year</w:t>
            </w:r>
          </w:p>
        </w:tc>
        <w:tc>
          <w:tcPr>
            <w:tcW w:w="0" w:type="auto"/>
          </w:tcPr>
          <w:p>
            <w:pPr>
              <w:spacing w:line="240" w:lineRule="auto" w:before="0" w:after="0"/>
              <w:pStyle w:val="Compact"/>
            </w:pPr>
            <w:r>
              <w:rPr>
                <w:sz w:val="20"/>
                <w:szCs w:val="20"/>
              </w:rPr>
              <w:t xml:space="preserve">Operator sustainability disclosures and 10-K filings 2022-2024</w:t>
            </w:r>
          </w:p>
        </w:tc>
      </w:tr>
      <w:tr>
        <w:tc>
          <w:tcPr>
            <w:tcW w:w="0" w:type="auto"/>
          </w:tcPr>
          <w:p>
            <w:pPr>
              <w:spacing w:line="240" w:lineRule="auto" w:before="0" w:after="0"/>
              <w:pStyle w:val="Compact"/>
            </w:pPr>
            <w:r>
              <w:rPr>
                <w:sz w:val="20"/>
                <w:szCs w:val="20"/>
              </w:rPr>
              <w:t xml:space="preserve">share_index</w:t>
            </w:r>
          </w:p>
        </w:tc>
        <w:tc>
          <w:tcPr>
            <w:tcW w:w="0" w:type="auto"/>
          </w:tcPr>
          <w:p>
            <w:pPr>
              <w:spacing w:line="240" w:lineRule="auto" w:before="0" w:after="0"/>
              <w:pStyle w:val="Compact"/>
            </w:pPr>
            <w:r>
              <w:rPr>
                <w:sz w:val="20"/>
                <w:szCs w:val="20"/>
              </w:rPr>
              <w:t xml:space="preserve">Composite index 0-1 of voluntary SSA data-sharing intensity (ephemeris cadence, CDM acknowledgement, public catalog contribution)</w:t>
            </w:r>
          </w:p>
        </w:tc>
        <w:tc>
          <w:tcPr>
            <w:tcW w:w="0" w:type="auto"/>
          </w:tcPr>
          <w:p>
            <w:pPr>
              <w:spacing w:line="240" w:lineRule="auto" w:before="0" w:after="0"/>
              <w:pStyle w:val="Compact"/>
            </w:pPr>
            <w:r>
              <w:rPr>
                <w:sz w:val="20"/>
                <w:szCs w:val="20"/>
              </w:rPr>
              <w:t xml:space="preserve">Author-coded from operator and SDA disclosures</w:t>
            </w:r>
          </w:p>
        </w:tc>
      </w:tr>
      <w:tr>
        <w:tc>
          <w:tcPr>
            <w:tcW w:w="0" w:type="auto"/>
          </w:tcPr>
          <w:p>
            <w:pPr>
              <w:spacing w:line="240" w:lineRule="auto" w:before="0" w:after="0"/>
              <w:pStyle w:val="Compact"/>
            </w:pPr>
            <w:r>
              <w:rPr>
                <w:sz w:val="20"/>
                <w:szCs w:val="20"/>
              </w:rPr>
              <w:t xml:space="preserve">sda_member</w:t>
            </w:r>
          </w:p>
        </w:tc>
        <w:tc>
          <w:tcPr>
            <w:tcW w:w="0" w:type="auto"/>
          </w:tcPr>
          <w:p>
            <w:pPr>
              <w:spacing w:line="240" w:lineRule="auto" w:before="0" w:after="0"/>
              <w:pStyle w:val="Compact"/>
            </w:pPr>
            <w:r>
              <w:rPr>
                <w:sz w:val="20"/>
                <w:szCs w:val="20"/>
              </w:rPr>
              <w:t xml:space="preserve">Binary indicator of Space Data Association membership</w:t>
            </w:r>
          </w:p>
        </w:tc>
        <w:tc>
          <w:tcPr>
            <w:tcW w:w="0" w:type="auto"/>
          </w:tcPr>
          <w:p>
            <w:pPr>
              <w:spacing w:line="240" w:lineRule="auto" w:before="0" w:after="0"/>
              <w:pStyle w:val="Compact"/>
            </w:pPr>
            <w:r>
              <w:rPr>
                <w:sz w:val="20"/>
                <w:szCs w:val="20"/>
              </w:rPr>
              <w:t xml:space="preserve">spacedata.org member roster as of 2024</w:t>
            </w:r>
          </w:p>
        </w:tc>
      </w:tr>
      <w:tr>
        <w:tc>
          <w:tcPr>
            <w:tcW w:w="0" w:type="auto"/>
          </w:tcPr>
          <w:p>
            <w:pPr>
              <w:spacing w:line="240" w:lineRule="auto" w:before="0" w:after="0"/>
              <w:pStyle w:val="Compact"/>
            </w:pPr>
            <w:r>
              <w:rPr>
                <w:sz w:val="20"/>
                <w:szCs w:val="20"/>
              </w:rPr>
              <w:t xml:space="preserve">spacetrack_tier</w:t>
            </w:r>
          </w:p>
        </w:tc>
        <w:tc>
          <w:tcPr>
            <w:tcW w:w="0" w:type="auto"/>
          </w:tcPr>
          <w:p>
            <w:pPr>
              <w:spacing w:line="240" w:lineRule="auto" w:before="0" w:after="0"/>
              <w:pStyle w:val="Compact"/>
            </w:pPr>
            <w:r>
              <w:rPr>
                <w:sz w:val="20"/>
                <w:szCs w:val="20"/>
              </w:rPr>
              <w:t xml:space="preserve">Space-Track access tier 1-3 reflecting CSpOC SSA-sharing agreement depth</w:t>
            </w:r>
          </w:p>
        </w:tc>
        <w:tc>
          <w:tcPr>
            <w:tcW w:w="0" w:type="auto"/>
          </w:tcPr>
          <w:p>
            <w:pPr>
              <w:spacing w:line="240" w:lineRule="auto" w:before="0" w:after="0"/>
              <w:pStyle w:val="Compact"/>
            </w:pPr>
            <w:r>
              <w:rPr>
                <w:sz w:val="20"/>
                <w:szCs w:val="20"/>
              </w:rPr>
              <w:t xml:space="preserve">USSF 18 SDS public partner list and Space-Track account categories</w:t>
            </w:r>
          </w:p>
        </w:tc>
      </w:tr>
      <w:tr>
        <w:tc>
          <w:tcPr>
            <w:tcW w:w="0" w:type="auto"/>
          </w:tcPr>
          <w:p>
            <w:pPr>
              <w:spacing w:line="240" w:lineRule="auto" w:before="0" w:after="0"/>
              <w:pStyle w:val="Compact"/>
            </w:pPr>
            <w:r>
              <w:rPr>
                <w:sz w:val="20"/>
                <w:szCs w:val="20"/>
              </w:rPr>
              <w:t xml:space="preserve">cdms_per_sat_year</w:t>
            </w:r>
          </w:p>
        </w:tc>
        <w:tc>
          <w:tcPr>
            <w:tcW w:w="0" w:type="auto"/>
          </w:tcPr>
          <w:p>
            <w:pPr>
              <w:spacing w:line="240" w:lineRule="auto" w:before="0" w:after="0"/>
              <w:pStyle w:val="Compact"/>
            </w:pPr>
            <w:r>
              <w:rPr>
                <w:sz w:val="20"/>
                <w:szCs w:val="20"/>
              </w:rPr>
              <w:t xml:space="preserve">Conjunction Data Messages received per satellite per year</w:t>
            </w:r>
          </w:p>
        </w:tc>
        <w:tc>
          <w:tcPr>
            <w:tcW w:w="0" w:type="auto"/>
          </w:tcPr>
          <w:p>
            <w:pPr>
              <w:spacing w:line="240" w:lineRule="auto" w:before="0" w:after="0"/>
              <w:pStyle w:val="Compact"/>
            </w:pPr>
            <w:r>
              <w:rPr>
                <w:sz w:val="20"/>
                <w:szCs w:val="20"/>
              </w:rPr>
              <w:t xml:space="preserve">Operator-reported figures and ESA Space Environment Report 2024</w:t>
            </w:r>
          </w:p>
        </w:tc>
      </w:tr>
      <w:tr>
        <w:tc>
          <w:tcPr>
            <w:tcW w:w="0" w:type="auto"/>
          </w:tcPr>
          <w:p>
            <w:pPr>
              <w:spacing w:line="240" w:lineRule="auto" w:before="0" w:after="0"/>
              <w:pStyle w:val="Compact"/>
            </w:pPr>
            <w:r>
              <w:rPr>
                <w:sz w:val="20"/>
                <w:szCs w:val="20"/>
              </w:rPr>
              <w:t xml:space="preserve">regime_leo_share</w:t>
            </w:r>
          </w:p>
        </w:tc>
        <w:tc>
          <w:tcPr>
            <w:tcW w:w="0" w:type="auto"/>
          </w:tcPr>
          <w:p>
            <w:pPr>
              <w:spacing w:line="240" w:lineRule="auto" w:before="0" w:after="0"/>
              <w:pStyle w:val="Compact"/>
            </w:pPr>
            <w:r>
              <w:rPr>
                <w:sz w:val="20"/>
                <w:szCs w:val="20"/>
              </w:rPr>
              <w:t xml:space="preserve">Fraction of fleet operating in low Earth orbit below 2000 km</w:t>
            </w:r>
          </w:p>
        </w:tc>
        <w:tc>
          <w:tcPr>
            <w:tcW w:w="0" w:type="auto"/>
          </w:tcPr>
          <w:p>
            <w:pPr>
              <w:spacing w:line="240" w:lineRule="auto" w:before="0" w:after="0"/>
              <w:pStyle w:val="Compact"/>
            </w:pPr>
            <w:r>
              <w:rPr>
                <w:sz w:val="20"/>
                <w:szCs w:val="20"/>
              </w:rPr>
              <w:t xml:space="preserve">Operator catalogs and ITU filings</w:t>
            </w:r>
          </w:p>
        </w:tc>
      </w:tr>
      <w:tr>
        <w:tc>
          <w:tcPr>
            <w:tcW w:w="0" w:type="auto"/>
          </w:tcPr>
          <w:p>
            <w:pPr>
              <w:spacing w:line="240" w:lineRule="auto" w:before="0" w:after="0"/>
              <w:pStyle w:val="Compact"/>
            </w:pPr>
            <w:r>
              <w:rPr>
                <w:sz w:val="20"/>
                <w:szCs w:val="20"/>
              </w:rPr>
              <w:t xml:space="preserve">years_sharing</w:t>
            </w:r>
          </w:p>
        </w:tc>
        <w:tc>
          <w:tcPr>
            <w:tcW w:w="0" w:type="auto"/>
          </w:tcPr>
          <w:p>
            <w:pPr>
              <w:spacing w:line="240" w:lineRule="auto" w:before="0" w:after="0"/>
              <w:pStyle w:val="Compact"/>
            </w:pPr>
            <w:r>
              <w:rPr>
                <w:sz w:val="20"/>
                <w:szCs w:val="20"/>
              </w:rPr>
              <w:t xml:space="preserve">Years since operator’s first formal SSA-sharing arrangement</w:t>
            </w:r>
          </w:p>
        </w:tc>
        <w:tc>
          <w:tcPr>
            <w:tcW w:w="0" w:type="auto"/>
          </w:tcPr>
          <w:p>
            <w:pPr>
              <w:spacing w:line="240" w:lineRule="auto" w:before="0" w:after="0"/>
              <w:pStyle w:val="Compact"/>
            </w:pPr>
            <w:r>
              <w:rPr>
                <w:sz w:val="20"/>
                <w:szCs w:val="20"/>
              </w:rPr>
              <w:t xml:space="preserve">CSpOC SSA-sharing announcement archive and SDA founding records</w:t>
            </w:r>
          </w:p>
        </w:tc>
      </w:tr>
      <w:tr>
        <w:tc>
          <w:tcPr>
            <w:tcW w:w="0" w:type="auto"/>
          </w:tcPr>
          <w:p>
            <w:pPr>
              <w:spacing w:line="240" w:lineRule="auto" w:before="0" w:after="0"/>
              <w:pStyle w:val="Compact"/>
            </w:pPr>
            <w:r>
              <w:rPr>
                <w:sz w:val="20"/>
                <w:szCs w:val="20"/>
              </w:rPr>
              <w:t xml:space="preserve">fleet_size</w:t>
            </w:r>
          </w:p>
        </w:tc>
        <w:tc>
          <w:tcPr>
            <w:tcW w:w="0" w:type="auto"/>
          </w:tcPr>
          <w:p>
            <w:pPr>
              <w:spacing w:line="240" w:lineRule="auto" w:before="0" w:after="0"/>
              <w:pStyle w:val="Compact"/>
            </w:pPr>
            <w:r>
              <w:rPr>
                <w:sz w:val="20"/>
                <w:szCs w:val="20"/>
              </w:rPr>
              <w:t xml:space="preserve">Active operational satellites in the fleet during the observation window</w:t>
            </w:r>
          </w:p>
        </w:tc>
        <w:tc>
          <w:tcPr>
            <w:tcW w:w="0" w:type="auto"/>
          </w:tcPr>
          <w:p>
            <w:pPr>
              <w:spacing w:line="240" w:lineRule="auto" w:before="0" w:after="0"/>
              <w:pStyle w:val="Compact"/>
            </w:pPr>
            <w:r>
              <w:rPr>
                <w:sz w:val="20"/>
                <w:szCs w:val="20"/>
              </w:rPr>
              <w:t xml:space="preserve">Operator filings and ESA Space Environment Report 2024</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-0.7259</w:t>
            </w:r>
          </w:p>
        </w:tc>
        <w:tc>
          <w:tcPr>
            <w:tcW w:w="0" w:type="auto"/>
          </w:tcPr>
          <w:p>
            <w:pPr>
              <w:spacing w:line="240" w:lineRule="auto" w:before="0" w:after="0"/>
              <w:pStyle w:val="Compact"/>
            </w:pPr>
            <w:r>
              <w:rPr>
                <w:sz w:val="20"/>
                <w:szCs w:val="20"/>
              </w:rPr>
              <w:t xml:space="preserve">0.2262</w:t>
            </w:r>
          </w:p>
        </w:tc>
        <w:tc>
          <w:tcPr>
            <w:tcW w:w="0" w:type="auto"/>
          </w:tcPr>
          <w:p>
            <w:pPr>
              <w:spacing w:line="240" w:lineRule="auto" w:before="0" w:after="0"/>
              <w:pStyle w:val="Compact"/>
            </w:pPr>
            <w:r>
              <w:rPr>
                <w:sz w:val="20"/>
                <w:szCs w:val="20"/>
              </w:rPr>
              <w:t xml:space="preserve">-3.2092</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[-1.1692, -0.2826]</w:t>
            </w:r>
          </w:p>
        </w:tc>
      </w:tr>
      <w:tr>
        <w:tc>
          <w:tcPr>
            <w:tcW w:w="0" w:type="auto"/>
          </w:tcPr>
          <w:p>
            <w:pPr>
              <w:spacing w:line="240" w:lineRule="auto" w:before="0" w:after="0"/>
              <w:pStyle w:val="Compact"/>
            </w:pPr>
            <w:r>
              <w:rPr>
                <w:sz w:val="20"/>
                <w:szCs w:val="20"/>
              </w:rPr>
              <w:t xml:space="preserve">share_index</w:t>
            </w:r>
          </w:p>
        </w:tc>
        <w:tc>
          <w:tcPr>
            <w:tcW w:w="0" w:type="auto"/>
          </w:tcPr>
          <w:p>
            <w:pPr>
              <w:spacing w:line="240" w:lineRule="auto" w:before="0" w:after="0"/>
              <w:pStyle w:val="Compact"/>
            </w:pPr>
            <w:r>
              <w:rPr>
                <w:sz w:val="20"/>
                <w:szCs w:val="20"/>
              </w:rPr>
              <w:t xml:space="preserve">4.5741</w:t>
            </w:r>
          </w:p>
        </w:tc>
        <w:tc>
          <w:tcPr>
            <w:tcW w:w="0" w:type="auto"/>
          </w:tcPr>
          <w:p>
            <w:pPr>
              <w:spacing w:line="240" w:lineRule="auto" w:before="0" w:after="0"/>
              <w:pStyle w:val="Compact"/>
            </w:pPr>
            <w:r>
              <w:rPr>
                <w:sz w:val="20"/>
                <w:szCs w:val="20"/>
              </w:rPr>
              <w:t xml:space="preserve">0.7553</w:t>
            </w:r>
          </w:p>
        </w:tc>
        <w:tc>
          <w:tcPr>
            <w:tcW w:w="0" w:type="auto"/>
          </w:tcPr>
          <w:p>
            <w:pPr>
              <w:spacing w:line="240" w:lineRule="auto" w:before="0" w:after="0"/>
              <w:pStyle w:val="Compact"/>
            </w:pPr>
            <w:r>
              <w:rPr>
                <w:sz w:val="20"/>
                <w:szCs w:val="20"/>
              </w:rPr>
              <w:t xml:space="preserve">6.056</w:t>
            </w:r>
          </w:p>
        </w:tc>
        <w:tc>
          <w:tcPr>
            <w:tcW w:w="0" w:type="auto"/>
          </w:tcPr>
          <w:p>
            <w:pPr>
              <w:spacing w:line="240" w:lineRule="auto" w:before="0" w:after="0"/>
              <w:pStyle w:val="Compact"/>
            </w:pPr>
            <w:r>
              <w:rPr>
                <w:sz w:val="20"/>
                <w:szCs w:val="20"/>
              </w:rPr>
              <w:t xml:space="preserve">1.395e-09</w:t>
            </w:r>
          </w:p>
        </w:tc>
        <w:tc>
          <w:tcPr>
            <w:tcW w:w="0" w:type="auto"/>
          </w:tcPr>
          <w:p>
            <w:pPr>
              <w:spacing w:line="240" w:lineRule="auto" w:before="0" w:after="0"/>
              <w:pStyle w:val="Compact"/>
            </w:pPr>
            <w:r>
              <w:rPr>
                <w:sz w:val="20"/>
                <w:szCs w:val="20"/>
              </w:rPr>
              <w:t xml:space="preserve">[3.0937, 6.0544]</w:t>
            </w:r>
          </w:p>
        </w:tc>
      </w:tr>
      <w:tr>
        <w:tc>
          <w:tcPr>
            <w:tcW w:w="0" w:type="auto"/>
          </w:tcPr>
          <w:p>
            <w:pPr>
              <w:spacing w:line="240" w:lineRule="auto" w:before="0" w:after="0"/>
              <w:pStyle w:val="Compact"/>
            </w:pPr>
            <w:r>
              <w:rPr>
                <w:sz w:val="20"/>
                <w:szCs w:val="20"/>
              </w:rPr>
              <w:t xml:space="preserve">sda_member</w:t>
            </w:r>
          </w:p>
        </w:tc>
        <w:tc>
          <w:tcPr>
            <w:tcW w:w="0" w:type="auto"/>
          </w:tcPr>
          <w:p>
            <w:pPr>
              <w:spacing w:line="240" w:lineRule="auto" w:before="0" w:after="0"/>
              <w:pStyle w:val="Compact"/>
            </w:pPr>
            <w:r>
              <w:rPr>
                <w:sz w:val="20"/>
                <w:szCs w:val="20"/>
              </w:rPr>
              <w:t xml:space="preserve">-0.6097</w:t>
            </w:r>
          </w:p>
        </w:tc>
        <w:tc>
          <w:tcPr>
            <w:tcW w:w="0" w:type="auto"/>
          </w:tcPr>
          <w:p>
            <w:pPr>
              <w:spacing w:line="240" w:lineRule="auto" w:before="0" w:after="0"/>
              <w:pStyle w:val="Compact"/>
            </w:pPr>
            <w:r>
              <w:rPr>
                <w:sz w:val="20"/>
                <w:szCs w:val="20"/>
              </w:rPr>
              <w:t xml:space="preserve">0.2551</w:t>
            </w:r>
          </w:p>
        </w:tc>
        <w:tc>
          <w:tcPr>
            <w:tcW w:w="0" w:type="auto"/>
          </w:tcPr>
          <w:p>
            <w:pPr>
              <w:spacing w:line="240" w:lineRule="auto" w:before="0" w:after="0"/>
              <w:pStyle w:val="Compact"/>
            </w:pPr>
            <w:r>
              <w:rPr>
                <w:sz w:val="20"/>
                <w:szCs w:val="20"/>
              </w:rPr>
              <w:t xml:space="preserve">-2.3904</w:t>
            </w:r>
          </w:p>
        </w:tc>
        <w:tc>
          <w:tcPr>
            <w:tcW w:w="0" w:type="auto"/>
          </w:tcPr>
          <w:p>
            <w:pPr>
              <w:spacing w:line="240" w:lineRule="auto" w:before="0" w:after="0"/>
              <w:pStyle w:val="Compact"/>
            </w:pPr>
            <w:r>
              <w:rPr>
                <w:sz w:val="20"/>
                <w:szCs w:val="20"/>
              </w:rPr>
              <w:t xml:space="preserve">0.0168</w:t>
            </w:r>
          </w:p>
        </w:tc>
        <w:tc>
          <w:tcPr>
            <w:tcW w:w="0" w:type="auto"/>
          </w:tcPr>
          <w:p>
            <w:pPr>
              <w:spacing w:line="240" w:lineRule="auto" w:before="0" w:after="0"/>
              <w:pStyle w:val="Compact"/>
            </w:pPr>
            <w:r>
              <w:rPr>
                <w:sz w:val="20"/>
                <w:szCs w:val="20"/>
              </w:rPr>
              <w:t xml:space="preserve">[-1.1097, -0.1098]</w:t>
            </w:r>
          </w:p>
        </w:tc>
      </w:tr>
      <w:tr>
        <w:tc>
          <w:tcPr>
            <w:tcW w:w="0" w:type="auto"/>
          </w:tcPr>
          <w:p>
            <w:pPr>
              <w:spacing w:line="240" w:lineRule="auto" w:before="0" w:after="0"/>
              <w:pStyle w:val="Compact"/>
            </w:pPr>
            <w:r>
              <w:rPr>
                <w:sz w:val="20"/>
                <w:szCs w:val="20"/>
              </w:rPr>
              <w:t xml:space="preserve">spacetrack_tier</w:t>
            </w:r>
          </w:p>
        </w:tc>
        <w:tc>
          <w:tcPr>
            <w:tcW w:w="0" w:type="auto"/>
          </w:tcPr>
          <w:p>
            <w:pPr>
              <w:spacing w:line="240" w:lineRule="auto" w:before="0" w:after="0"/>
              <w:pStyle w:val="Compact"/>
            </w:pPr>
            <w:r>
              <w:rPr>
                <w:sz w:val="20"/>
                <w:szCs w:val="20"/>
              </w:rPr>
              <w:t xml:space="preserve">-0.6507</w:t>
            </w:r>
          </w:p>
        </w:tc>
        <w:tc>
          <w:tcPr>
            <w:tcW w:w="0" w:type="auto"/>
          </w:tcPr>
          <w:p>
            <w:pPr>
              <w:spacing w:line="240" w:lineRule="auto" w:before="0" w:after="0"/>
              <w:pStyle w:val="Compact"/>
            </w:pPr>
            <w:r>
              <w:rPr>
                <w:sz w:val="20"/>
                <w:szCs w:val="20"/>
              </w:rPr>
              <w:t xml:space="preserve">0.1946</w:t>
            </w:r>
          </w:p>
        </w:tc>
        <w:tc>
          <w:tcPr>
            <w:tcW w:w="0" w:type="auto"/>
          </w:tcPr>
          <w:p>
            <w:pPr>
              <w:spacing w:line="240" w:lineRule="auto" w:before="0" w:after="0"/>
              <w:pStyle w:val="Compact"/>
            </w:pPr>
            <w:r>
              <w:rPr>
                <w:sz w:val="20"/>
                <w:szCs w:val="20"/>
              </w:rPr>
              <w:t xml:space="preserve">-3.3436</w:t>
            </w:r>
          </w:p>
        </w:tc>
        <w:tc>
          <w:tcPr>
            <w:tcW w:w="0" w:type="auto"/>
          </w:tcPr>
          <w:p>
            <w:pPr>
              <w:spacing w:line="240" w:lineRule="auto" w:before="0" w:after="0"/>
              <w:pStyle w:val="Compact"/>
            </w:pPr>
            <w:r>
              <w:rPr>
                <w:sz w:val="20"/>
                <w:szCs w:val="20"/>
              </w:rPr>
              <w:t xml:space="preserve">0.0008269</w:t>
            </w:r>
          </w:p>
        </w:tc>
        <w:tc>
          <w:tcPr>
            <w:tcW w:w="0" w:type="auto"/>
          </w:tcPr>
          <w:p>
            <w:pPr>
              <w:spacing w:line="240" w:lineRule="auto" w:before="0" w:after="0"/>
              <w:pStyle w:val="Compact"/>
            </w:pPr>
            <w:r>
              <w:rPr>
                <w:sz w:val="20"/>
                <w:szCs w:val="20"/>
              </w:rPr>
              <w:t xml:space="preserve">[-1.0321, -0.2693]</w:t>
            </w:r>
          </w:p>
        </w:tc>
      </w:tr>
      <w:tr>
        <w:tc>
          <w:tcPr>
            <w:tcW w:w="0" w:type="auto"/>
          </w:tcPr>
          <w:p>
            <w:pPr>
              <w:spacing w:line="240" w:lineRule="auto" w:before="0" w:after="0"/>
              <w:pStyle w:val="Compact"/>
            </w:pPr>
            <w:r>
              <w:rPr>
                <w:sz w:val="20"/>
                <w:szCs w:val="20"/>
              </w:rPr>
              <w:t xml:space="preserve">cdms_per_sat_year</w:t>
            </w:r>
          </w:p>
        </w:tc>
        <w:tc>
          <w:tcPr>
            <w:tcW w:w="0" w:type="auto"/>
          </w:tcPr>
          <w:p>
            <w:pPr>
              <w:spacing w:line="240" w:lineRule="auto" w:before="0" w:after="0"/>
              <w:pStyle w:val="Compact"/>
            </w:pPr>
            <w:r>
              <w:rPr>
                <w:sz w:val="20"/>
                <w:szCs w:val="20"/>
              </w:rPr>
              <w:t xml:space="preserve">0.0096</w:t>
            </w:r>
          </w:p>
        </w:tc>
        <w:tc>
          <w:tcPr>
            <w:tcW w:w="0" w:type="auto"/>
          </w:tcPr>
          <w:p>
            <w:pPr>
              <w:spacing w:line="240" w:lineRule="auto" w:before="0" w:after="0"/>
              <w:pStyle w:val="Compact"/>
            </w:pPr>
            <w:r>
              <w:rPr>
                <w:sz w:val="20"/>
                <w:szCs w:val="20"/>
              </w:rPr>
              <w:t xml:space="preserve">0.0001746</w:t>
            </w:r>
          </w:p>
        </w:tc>
        <w:tc>
          <w:tcPr>
            <w:tcW w:w="0" w:type="auto"/>
          </w:tcPr>
          <w:p>
            <w:pPr>
              <w:spacing w:line="240" w:lineRule="auto" w:before="0" w:after="0"/>
              <w:pStyle w:val="Compact"/>
            </w:pPr>
            <w:r>
              <w:rPr>
                <w:sz w:val="20"/>
                <w:szCs w:val="20"/>
              </w:rPr>
              <w:t xml:space="preserve">54.8709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[0.0092, 0.0099]</w:t>
            </w:r>
          </w:p>
        </w:tc>
      </w:tr>
      <w:tr>
        <w:tc>
          <w:tcPr>
            <w:tcW w:w="0" w:type="auto"/>
          </w:tcPr>
          <w:p>
            <w:pPr>
              <w:spacing w:line="240" w:lineRule="auto" w:before="0" w:after="0"/>
              <w:pStyle w:val="Compact"/>
            </w:pPr>
            <w:r>
              <w:rPr>
                <w:sz w:val="20"/>
                <w:szCs w:val="20"/>
              </w:rPr>
              <w:t xml:space="preserve">regime_leo_share</w:t>
            </w:r>
          </w:p>
        </w:tc>
        <w:tc>
          <w:tcPr>
            <w:tcW w:w="0" w:type="auto"/>
          </w:tcPr>
          <w:p>
            <w:pPr>
              <w:spacing w:line="240" w:lineRule="auto" w:before="0" w:after="0"/>
              <w:pStyle w:val="Compact"/>
            </w:pPr>
            <w:r>
              <w:rPr>
                <w:sz w:val="20"/>
                <w:szCs w:val="20"/>
              </w:rPr>
              <w:t xml:space="preserve">0.3387</w:t>
            </w:r>
          </w:p>
        </w:tc>
        <w:tc>
          <w:tcPr>
            <w:tcW w:w="0" w:type="auto"/>
          </w:tcPr>
          <w:p>
            <w:pPr>
              <w:spacing w:line="240" w:lineRule="auto" w:before="0" w:after="0"/>
              <w:pStyle w:val="Compact"/>
            </w:pPr>
            <w:r>
              <w:rPr>
                <w:sz w:val="20"/>
                <w:szCs w:val="20"/>
              </w:rPr>
              <w:t xml:space="preserve">0.164</w:t>
            </w:r>
          </w:p>
        </w:tc>
        <w:tc>
          <w:tcPr>
            <w:tcW w:w="0" w:type="auto"/>
          </w:tcPr>
          <w:p>
            <w:pPr>
              <w:spacing w:line="240" w:lineRule="auto" w:before="0" w:after="0"/>
              <w:pStyle w:val="Compact"/>
            </w:pPr>
            <w:r>
              <w:rPr>
                <w:sz w:val="20"/>
                <w:szCs w:val="20"/>
              </w:rPr>
              <w:t xml:space="preserve">2.0651</w:t>
            </w:r>
          </w:p>
        </w:tc>
        <w:tc>
          <w:tcPr>
            <w:tcW w:w="0" w:type="auto"/>
          </w:tcPr>
          <w:p>
            <w:pPr>
              <w:spacing w:line="240" w:lineRule="auto" w:before="0" w:after="0"/>
              <w:pStyle w:val="Compact"/>
            </w:pPr>
            <w:r>
              <w:rPr>
                <w:sz w:val="20"/>
                <w:szCs w:val="20"/>
              </w:rPr>
              <w:t xml:space="preserve">0.0389</w:t>
            </w:r>
          </w:p>
        </w:tc>
        <w:tc>
          <w:tcPr>
            <w:tcW w:w="0" w:type="auto"/>
          </w:tcPr>
          <w:p>
            <w:pPr>
              <w:spacing w:line="240" w:lineRule="auto" w:before="0" w:after="0"/>
              <w:pStyle w:val="Compact"/>
            </w:pPr>
            <w:r>
              <w:rPr>
                <w:sz w:val="20"/>
                <w:szCs w:val="20"/>
              </w:rPr>
              <w:t xml:space="preserve">[0.0172, 0.6601]</w:t>
            </w:r>
          </w:p>
        </w:tc>
      </w:tr>
      <w:tr>
        <w:tc>
          <w:tcPr>
            <w:tcW w:w="0" w:type="auto"/>
          </w:tcPr>
          <w:p>
            <w:pPr>
              <w:spacing w:line="240" w:lineRule="auto" w:before="0" w:after="0"/>
              <w:pStyle w:val="Compact"/>
            </w:pPr>
            <w:r>
              <w:rPr>
                <w:sz w:val="20"/>
                <w:szCs w:val="20"/>
              </w:rPr>
              <w:t xml:space="preserve">years_sharing</w:t>
            </w:r>
          </w:p>
        </w:tc>
        <w:tc>
          <w:tcPr>
            <w:tcW w:w="0" w:type="auto"/>
          </w:tcPr>
          <w:p>
            <w:pPr>
              <w:spacing w:line="240" w:lineRule="auto" w:before="0" w:after="0"/>
              <w:pStyle w:val="Compact"/>
            </w:pPr>
            <w:r>
              <w:rPr>
                <w:sz w:val="20"/>
                <w:szCs w:val="20"/>
              </w:rPr>
              <w:t xml:space="preserve">-0.0297</w:t>
            </w:r>
          </w:p>
        </w:tc>
        <w:tc>
          <w:tcPr>
            <w:tcW w:w="0" w:type="auto"/>
          </w:tcPr>
          <w:p>
            <w:pPr>
              <w:spacing w:line="240" w:lineRule="auto" w:before="0" w:after="0"/>
              <w:pStyle w:val="Compact"/>
            </w:pPr>
            <w:r>
              <w:rPr>
                <w:sz w:val="20"/>
                <w:szCs w:val="20"/>
              </w:rPr>
              <w:t xml:space="preserve">0.0181</w:t>
            </w:r>
          </w:p>
        </w:tc>
        <w:tc>
          <w:tcPr>
            <w:tcW w:w="0" w:type="auto"/>
          </w:tcPr>
          <w:p>
            <w:pPr>
              <w:spacing w:line="240" w:lineRule="auto" w:before="0" w:after="0"/>
              <w:pStyle w:val="Compact"/>
            </w:pPr>
            <w:r>
              <w:rPr>
                <w:sz w:val="20"/>
                <w:szCs w:val="20"/>
              </w:rPr>
              <w:t xml:space="preserve">-1.638</w:t>
            </w:r>
          </w:p>
        </w:tc>
        <w:tc>
          <w:tcPr>
            <w:tcW w:w="0" w:type="auto"/>
          </w:tcPr>
          <w:p>
            <w:pPr>
              <w:spacing w:line="240" w:lineRule="auto" w:before="0" w:after="0"/>
              <w:pStyle w:val="Compact"/>
            </w:pPr>
            <w:r>
              <w:rPr>
                <w:sz w:val="20"/>
                <w:szCs w:val="20"/>
              </w:rPr>
              <w:t xml:space="preserve">0.1014</w:t>
            </w:r>
          </w:p>
        </w:tc>
        <w:tc>
          <w:tcPr>
            <w:tcW w:w="0" w:type="auto"/>
          </w:tcPr>
          <w:p>
            <w:pPr>
              <w:spacing w:line="240" w:lineRule="auto" w:before="0" w:after="0"/>
              <w:pStyle w:val="Compact"/>
            </w:pPr>
            <w:r>
              <w:rPr>
                <w:sz w:val="20"/>
                <w:szCs w:val="20"/>
              </w:rPr>
              <w:t xml:space="preserve">[-0.0652, 0.0058]</w:t>
            </w:r>
          </w:p>
        </w:tc>
      </w:tr>
    </w:tbl>
    <w:p>
      <w:pPr>
        <w:pStyle w:val="BodyText"/>
      </w:pPr>
      <w:r>
        <w:t xml:space="preserve">Fit: N = 34 R2 = 0.9889 R2_adj = 0.9864 F = 2792.2903 F_p = 2.177e-36</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4" Target="https://doi.org/10.1016/j.actaastro.2018.03.017" TargetMode="External" /><Relationship Type="http://schemas.openxmlformats.org/officeDocument/2006/relationships/hyperlink" Id="rId72" Target="https://doi.org/10.1016/j.actaastro.2025.01.042" TargetMode="External" /><Relationship Type="http://schemas.openxmlformats.org/officeDocument/2006/relationships/hyperlink" Id="rId70" Target="https://doi.org/10.1016/j.actaastro.2025.03.034"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1016/j.actaastro.2018.03.017" TargetMode="External" /><Relationship Type="http://schemas.openxmlformats.org/officeDocument/2006/relationships/hyperlink" Id="rId72" Target="https://doi.org/10.1016/j.actaastro.2025.01.042" TargetMode="External" /><Relationship Type="http://schemas.openxmlformats.org/officeDocument/2006/relationships/hyperlink" Id="rId70" Target="https://doi.org/10.1016/j.actaastro.2025.03.03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2026-06-27T13:10:15Z</dcterms:created>
  <dcterms:modified xsi:type="dcterms:W3CDTF">2026-06-27T13:10:15Z</dcterms:modified>
</cp:coreProperties>
</file>

<file path=docProps/custom.xml><?xml version="1.0" encoding="utf-8"?>
<Properties xmlns="http://schemas.openxmlformats.org/officeDocument/2006/custom-properties" xmlns:vt="http://schemas.openxmlformats.org/officeDocument/2006/docPropsVTypes"/>
</file>