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ECONOMICS OF VOLUNTARY SSA DATA-SHARING: A REVEALED-PREFERENCE ANALYSIS OF COMMERCIAL OPERATOR PARTICIPATION</w:t>
      </w:r>
    </w:p>
    <w:p>
      <w:pPr>
        <w:jc w:val="center"/>
      </w:pPr>
    </w:p>
    <w:p>
      <w:pPr>
        <w:jc w:val="center"/>
      </w:pPr>
      <w:r>
        <w:rPr>
          <w:rFonts w:ascii="Times New Roman" w:hAnsi="Times New Roman"/>
          <w:sz w:val="24"/>
        </w:rPr>
        <w:t>by</w:t>
      </w:r>
    </w:p>
    <w:p>
      <w:pPr>
        <w:jc w:val="center"/>
      </w:pPr>
      <w:r>
        <w:rPr>
          <w:rFonts w:ascii="Times New Roman" w:hAnsi="Times New Roman"/>
          <w:b/>
          <w:sz w:val="28"/>
        </w:rPr>
        <w:t>Omar Yates</w:t>
      </w:r>
    </w:p>
    <w:p>
      <w:pPr>
        <w:jc w:val="center"/>
      </w:pPr>
      <w:r>
        <w:rPr>
          <w:rFonts w:ascii="Times New Roman" w:hAnsi="Times New Roman"/>
          <w:sz w:val="24"/>
        </w:rPr>
        <w:t>1B-SDA-120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X6c2e3ce2b0d383518d3814702711a45fbf51a89"/>
    <w:p>
      <w:pPr>
        <w:pStyle w:val="Heading2"/>
        <w:spacing w:line="480" w:lineRule="auto"/>
      </w:pPr>
      <w:r>
        <w:t xml:space="preserve">1.1 The Wager Underwriting Civil Space Situational Awareness</w:t>
      </w:r>
    </w:p>
    <w:p>
      <w:pPr>
        <w:pStyle w:val="FirstParagraph"/>
        <w:spacing w:line="480" w:lineRule="auto"/>
      </w:pPr>
      <w:r>
        <w:t xml:space="preserve">The civil space situational awareness regime that the United States stood up between the Initial Operating Capability cutover of the Traffic Coordination System for Space in late 2024 and the present rests on an economic wager that has never been tested with operator level behavioral data. The wager is that commercial satellite operators in low Earth orbit will voluntarily contribute high accuracy state data, predictive ephemerides, and planned maneuver information into a federated civil catalog because doing so lowers their own conjunction risk and the systemic risk of the orbital commons [2,17]. The wager is not peripheral to the architecture. It is the architecture. Every decentralized sharing construct now under construction in the United States, in Europe, and in the Asia Pacific assumes that voluntary contribution by the regulated entity is individually rational once a credible clearinghouse exists [2,4,6,29]. The architectural literature describes how that contribution should flow, what trust constructs should secure it, and what ontological commitments should govern its semantics [1,3,23,24]. The governance literature describes who the stakeholders are and how outreach should be calibrated to them [7,20,29,33]. The economics of space literature describes, at a high level of abstraction, why a partially appropriable public good of this kind might be undersupplied without intervention [8,9]. None of these literatures has measured whether, under the post 2024 regime, operators in fact contribute, who contributes more, and what predicts contribution intensity.</w:t>
      </w:r>
    </w:p>
    <w:p>
      <w:pPr>
        <w:pStyle w:val="BodyText"/>
        <w:spacing w:line="480" w:lineRule="auto"/>
        <w:ind w:firstLine="720"/>
      </w:pPr>
      <w:r>
        <w:t xml:space="preserve">That absence of measurement is the problem this dissertation addresses. Until the question is answered, civil space situational awareness policy in the United States is being calibrated on an unfalsified premise. The architectures the community has built, including the Blockchain Enabled Space Traffic Awareness construct and the broader decentralized information sharing program [2,24], are predicated on a behavioral response by commercial operators that has been asserted, modeled, and incentivized through composite indicators [11,12,19,22,32] but never directly estimated on the operator panel that the regime now generates. The dissertation does not propose a new architecture. It tests, for the first time, whether the architectures already in place are matched by an economic rationale that operators actually act upon at the margin.</w:t>
      </w:r>
    </w:p>
    <w:bookmarkEnd w:id="61"/>
    <w:bookmarkStart w:id="62" w:name="X4babe2455ef2398731d3d247c594f856e10bbbb"/>
    <w:p>
      <w:pPr>
        <w:pStyle w:val="Heading2"/>
        <w:spacing w:line="480" w:lineRule="auto"/>
      </w:pPr>
      <w:r>
        <w:t xml:space="preserve">1.2 Why the Stakes Are Acute for the National Aeronautics and Space Administration and the Jet Propulsion Laboratory</w:t>
      </w:r>
    </w:p>
    <w:p>
      <w:pPr>
        <w:pStyle w:val="FirstParagraph"/>
        <w:spacing w:line="480" w:lineRule="auto"/>
      </w:pPr>
      <w:r>
        <w:t xml:space="preserve">The stakes of this question are particularly acute for the National Aeronautics and Space Administration and for the Jet Propulsion Laboratory, and they are acute in three distinct registers that the literature has not yet integrated. The first register is mission assurance for the federal civil fleet. The Agency operates science, Earth observation, and human spaceflight assets that share low Earth orbit with the commercial constellations whose contribution behavior is the object of this study. If commercial operators contribute high accuracy state data only conditional on their own private conjunction exposure, then the federal civil fleet, whose orbits are largely fixed by mission design rather than by economic optimization, will be a price taker on the residual quality of the public catalog. The volume and severity of conjunctions in the post 2024 low Earth orbit population has already been characterized as a function of orbital kinematics that are largely insensitive to operator preference</w:t>
      </w:r>
      <w:r>
        <w:t xml:space="preserve"> </w:t>
      </w:r>
      <w:hyperlink w:anchor="ref-31">
        <w:r>
          <w:rPr>
            <w:rStyle w:val="Hyperlink"/>
          </w:rPr>
          <w:t xml:space="preserve">[31]</w:t>
        </w:r>
      </w:hyperlink>
      <w:r>
        <w:t xml:space="preserve">, and the comprehensive likelihood assessment work in the geosynchronous regime has demonstrated that even apparently low base rate environments accumulate substantial tail risk over multi year horizons [14,18]. The civil Agency’s exposure to that tail is governed by the contribution decisions of operators it does not regulate.</w:t>
      </w:r>
    </w:p>
    <w:p>
      <w:pPr>
        <w:pStyle w:val="BodyText"/>
        <w:spacing w:line="480" w:lineRule="auto"/>
        <w:ind w:firstLine="720"/>
      </w:pPr>
      <w:r>
        <w:t xml:space="preserve">The second register is supervisory traceability. The Agency, through its in space servicing, assembly, and manufacturing portfolio, has begun to function as a consumer of decision support outputs that depend on whether the upstream contribution by commercial servicing operators is dense, timely, and accurate. The decision support architecture articulated for continuing supervision of commercial in space servicing makes the contribution behavior of the regulated entity an explicit input to the supervisory function [5,30]. If that input is not behaviorally rational along the dimensions the architecture assumes, the supervisory function inherits a misspecified prior at the moment of greatest consequence, namely the moment at which a servicer approaches a client. The same point holds for the cislunar and cismartian regimes that the Agency is now planning, where the contribution behavior of commercial actors will be the principal source of state data for any clearinghouse beyond cislunar geosynchronous orbit</w:t>
      </w:r>
      <w:r>
        <w:t xml:space="preserve"> </w:t>
      </w:r>
      <w:hyperlink w:anchor="ref-35">
        <w:r>
          <w:rPr>
            <w:rStyle w:val="Hyperlink"/>
          </w:rPr>
          <w:t xml:space="preserve">[35]</w:t>
        </w:r>
      </w:hyperlink>
      <w:r>
        <w:t xml:space="preserve">.</w:t>
      </w:r>
    </w:p>
    <w:p>
      <w:pPr>
        <w:pStyle w:val="BodyText"/>
        <w:spacing w:line="480" w:lineRule="auto"/>
        <w:ind w:firstLine="720"/>
      </w:pPr>
      <w:r>
        <w:t xml:space="preserve">The third register is laboratory level. The Jet Propulsion Laboratory, as the National Aeronautics and Space Administration’s federally funded research and development center for deep space, operates a fleet whose mission designs and trajectory profiles are uniquely sensitive to the calibration of conjunction data messages issued by the United States Space Force eighteenth and nineteenth Space Defense Squadrons and mirrored into the civil catalog [16,17]. The Laboratory has been an early consumer of the civil catalog at Initial Operating Capability and has begun to architect mission planning workflows that assume a particular density and quality of operator contribution. If the contribution function the dissertation estimates implies that intensity is concentrated among a small set of high exposure commercial operators, with a long tail of low exposure operators contributing weakly or not at all, then the Laboratory’s planning assumptions for proximity operations and for outbound trajectory injection will require recalibration. The economic question this dissertation addresses is therefore not a question about commercial operators in isolation. It is a question about the boundary conditions of the federal civil fleet’s operational planning under a regime whose informational density is, by design, endogenous to commercial behavior.</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The gap this dissertation occupies is a gap between two literatures that have, to date, not been brought into contact. The first literature is the domain literature on space situational awareness data sharing. That literature is mature in three streams. The architecture stream specifies how decentralized sharing should function and what trust constructs should secure it [2,3,4,6,24,27]. The ontology and interoperability stream specifies what semantic commitments are required for an international information system for space data [1,23] and what cooperative ranging and observation modalities are available [25,36]. The governance and supervision stream specifies who the relevant stakeholders are, how outreach should be calibrated [7,20,29,33], and how the supervisory function should be architected as commercial activity expands beyond station keeping into servicing, assembly, and manufacturing [5,30,34]. The economics of space stream, finally, treats sharing as a public good and as a norms problem, supplying the conceptual scaffolding of externalities, partial appropriability, and norm formation [8,9]. The Space Sustainability Rating construct sits across these streams as an explicit attempt to render contribution behavior measurable and to incentivize it through a composite indicator [11,12,19,22,32].</w:t>
      </w:r>
    </w:p>
    <w:p>
      <w:pPr>
        <w:pStyle w:val="BodyText"/>
        <w:spacing w:line="480" w:lineRule="auto"/>
        <w:ind w:firstLine="720"/>
      </w:pPr>
      <w:r>
        <w:t xml:space="preserve">What none of these streams contains is a microeconometric estimation of the contribution function. The architecture and governance literatures treat operator behavior as a parameter to be designed for, not as a parameter to be estimated. The economics stream treats it as a theoretical object whose properties can be deduced from the public goods structure of the catalog. The Space Sustainability Rating work measures intent and disclosure, not realized contribution intensity at the operator month level under a specific regime. There is, at the time of writing, no published study that takes the operator as the unit of observation, the contribution intensity to the Traffic Coordination System for Space public catalog as the dependent variable, and the operator’s own ex ante conjunction exposure as the treatment variable, with credible identification from the staggered onboarding schedule of catalog users between the Initial Operating Capability cutover and Full Operating Capability.</w:t>
      </w:r>
    </w:p>
    <w:p>
      <w:pPr>
        <w:pStyle w:val="BodyText"/>
        <w:spacing w:line="480" w:lineRule="auto"/>
        <w:ind w:firstLine="720"/>
      </w:pPr>
      <w:r>
        <w:t xml:space="preserve">The second literature is the econometric method literature on staggered adoption and revealed preference. That literature is also mature. It supplies the stacked difference in differences estimator now standard for staggered treatment timing, the event study framework for testing parallel pre trends, the Heckman selection correction for non random sample inclusion, and the survival analysis tools developed in the proportional hazards tradition</w:t>
      </w:r>
      <w:r>
        <w:t xml:space="preserve"> </w:t>
      </w:r>
      <w:hyperlink w:anchor="ref-21">
        <w:r>
          <w:rPr>
            <w:rStyle w:val="Hyperlink"/>
          </w:rPr>
          <w:t xml:space="preserve">[21]</w:t>
        </w:r>
      </w:hyperlink>
      <w:r>
        <w:t xml:space="preserve"> </w:t>
      </w:r>
      <w:r>
        <w:t xml:space="preserve">that have been productively imported into operational settings whenever the timing of a discrete decision is the object of interest. The method literature does not, however, speak to space situational awareness. It speaks, in its applied form, to labor market entry, to firm adoption of pollution abatement technology, to compliance with disclosure regimes in financial markets, and to the take up of voluntary certification schemes in environmental and food safety contexts. The conceptual structure of those applications maps cleanly onto the contribution question this dissertation asks. The mapping has simply not been performed.</w:t>
      </w:r>
    </w:p>
    <w:p>
      <w:pPr>
        <w:pStyle w:val="BodyText"/>
        <w:spacing w:line="480" w:lineRule="auto"/>
        <w:ind w:firstLine="720"/>
      </w:pPr>
      <w:r>
        <w:t xml:space="preserve">The gap, then, is not a gap of theory. It is a gap of application. The domain literature has stated the behavioral assumption that underwrites the regime. The method literature has supplied the tools that can test it. The dissertation’s contribution is to perform that test on the operator panel that the post 2024 regime has, for the first time, made empirically tractable. The pilot work in the dissertation’s first empirical paper has already demonstrated that the cross sectional relationship between formal sharing channel access and maneuver rates per satellite year is statistically robust and points in the direction that the architectural literature predicts, but the cross section cannot, by construction, identify the causal contribution function the regime depends on. The dissertation closes that gap.</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dissertation’s contribution is one falsifiable hypothesis about commercial operator contribution behavior under the Traffic Coordination System for Space regime. The hypothesis is stated precisely so that it can be rejected on the operator month panel the regime now generates.</w:t>
      </w:r>
    </w:p>
    <w:p>
      <w:pPr>
        <w:pStyle w:val="BodyText"/>
        <w:spacing w:line="480" w:lineRule="auto"/>
        <w:ind w:firstLine="720"/>
      </w:pPr>
      <w:r>
        <w:t xml:space="preserve">The null hypothesis is the following. Conditional on fleet size and orbit regime, an operator’s intensity of voluntary contribution to the Traffic Coordination System for Space public catalog, measured as the share of its active fleet for which screened quality predictive ephemerides are submitted at least daily, is uncorrelated with that operator’s own ex ante conjunction exposure, where exposure is measured from the conjunction data messages issued by the eighteenth and nineteenth Space Defense Squadrons and mirrored into the civil catalog [16,17].</w:t>
      </w:r>
    </w:p>
    <w:p>
      <w:pPr>
        <w:pStyle w:val="BodyText"/>
        <w:spacing w:line="480" w:lineRule="auto"/>
        <w:ind w:firstLine="720"/>
      </w:pPr>
      <w:r>
        <w:t xml:space="preserve">The alternative hypothesis is the following. Conditional on the same controls, contribution intensity is strictly increasing in the operator’s own ex ante conjunction exposure.</w:t>
      </w:r>
    </w:p>
    <w:p>
      <w:pPr>
        <w:pStyle w:val="BodyText"/>
        <w:spacing w:line="480" w:lineRule="auto"/>
        <w:ind w:firstLine="720"/>
      </w:pPr>
      <w:r>
        <w:t xml:space="preserve">Rejecting the null in favor of the alternative would constitute the first revealed preference evidence that voluntary space situational awareness sharing is individually rational along the dimension that the post 2024 regime assumes. Failure to reject the null would be equally informative. It would imply that observed contribution to date is sustained by motives other than risk reduction, plausibly regulatory anticipation or reputational signaling toward composite indicators of sustainability [11,12,19,22,32], with direct consequences for the design of incentives under any future mandatory regime and for the boundary conditions under which the Agency and the Jet Propulsion Laboratory should expect the civil catalog to be informationally dense.</w:t>
      </w:r>
    </w:p>
    <w:p>
      <w:pPr>
        <w:pStyle w:val="BodyText"/>
        <w:spacing w:line="480" w:lineRule="auto"/>
        <w:ind w:firstLine="720"/>
      </w:pPr>
      <w:r>
        <w:t xml:space="preserve">The hypothesis is falsifiable in the strict sense. The dependent variable is observable from the public catalog and the contributor metadata exposed at Initial Operating Capability. The treatment variable is observable from the conjunction data messages already in the public record. The identification strategy, anchored in the staggered onboarding schedule of catalog users, is documented in the user notices the Office of Space Commerce has issued since the Initial Operating Capability cutover</w:t>
      </w:r>
      <w:r>
        <w:t xml:space="preserve"> </w:t>
      </w:r>
      <w:hyperlink w:anchor="ref-17">
        <w:r>
          <w:rPr>
            <w:rStyle w:val="Hyperlink"/>
          </w:rPr>
          <w:t xml:space="preserve">[17]</w:t>
        </w:r>
      </w:hyperlink>
      <w:r>
        <w:t xml:space="preserve">. The estimating equation is a panel fixed effects specification at the operator month level with operator fixed effects, calendar month fixed effects, and orbit regime by month fixed effects, with the treatment variable instrumented to address the simultaneity between exposure and contribution that the pilot work has already flagged.</w:t>
      </w:r>
    </w:p>
    <w:p>
      <w:pPr>
        <w:pStyle w:val="BodyText"/>
        <w:spacing w:line="480" w:lineRule="auto"/>
        <w:ind w:firstLine="720"/>
      </w:pPr>
      <w:r>
        <w:t xml:space="preserve">The dissertation makes one claim, and only one. The contribution function exists, has a sign, and can be estimated from the panel the regime generates. The dissertation’s task is to estimate it, to report the sign, and to specify the conditions under which the estimate is robust to the four threats to validity that the prospectus enumerates. No secondary claim is made about the welfare consequences of any particular contribution level, about the optimal design of mandatory regimes, or about the comparative performance of decentralized versus centralized clearinghouses. Those questions are downstream of the falsifiable claim the dissertation tests and would require additional work that is out of scope here.</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is organized as follows. Chapter 2 reviews the three streams of the domain literature in detail, identifies the precise gap between the contribution function the architectural literature assumes and the contribution function the data permit estimating, and frames the dissertation’s hypothesis within the public goods structure that the economics of space literature provides [8,9]. Chapter 3 develops the theoretical framework, situating the operator’s contribution decision within a revealed preference structure that maps onto the staggered adoption identification strategy. The framework draws on the Space Sustainability Rating literature as a competing account of the operator decision [11,12,19,22,32] and specifies the conditions under which the risk reduction account and the indicator response account would generate observationally distinct contribution functions.</w:t>
      </w:r>
    </w:p>
    <w:p>
      <w:pPr>
        <w:pStyle w:val="BodyText"/>
        <w:spacing w:line="480" w:lineRule="auto"/>
        <w:ind w:firstLine="720"/>
      </w:pPr>
      <w:r>
        <w:t xml:space="preserve">Chapter 4 documents the data. The primary dataset is the Traffic Coordination System for Space public catalog and its operator contribution logs, available from the Office of Space Commerce</w:t>
      </w:r>
      <w:r>
        <w:t xml:space="preserve"> </w:t>
      </w:r>
      <w:hyperlink w:anchor="ref-17">
        <w:r>
          <w:rPr>
            <w:rStyle w:val="Hyperlink"/>
          </w:rPr>
          <w:t xml:space="preserve">[17]</w:t>
        </w:r>
      </w:hyperlink>
      <w:r>
        <w:t xml:space="preserve">. The catalog is combined with the Federal Communications Commission International Bureau Filing System and National Oceanic and Atmospheric Administration Commercial Remote Sensing Regulatory Affairs license records to identify the universe of United States licensed commercial operators, with the European Space Agency Discos catalog and the European Space Agency Annual Space Environment Report for orbit regime classification</w:t>
      </w:r>
      <w:r>
        <w:t xml:space="preserve"> </w:t>
      </w:r>
      <w:hyperlink w:anchor="ref-15">
        <w:r>
          <w:rPr>
            <w:rStyle w:val="Hyperlink"/>
          </w:rPr>
          <w:t xml:space="preserve">[15]</w:t>
        </w:r>
      </w:hyperlink>
      <w:r>
        <w:t xml:space="preserve">, and with the conjunction data messages mirrored into the civil catalog from the eighteenth Space Defense Squadron as the exposure measure</w:t>
      </w:r>
      <w:r>
        <w:t xml:space="preserve"> </w:t>
      </w:r>
      <w:hyperlink w:anchor="ref-16">
        <w:r>
          <w:rPr>
            <w:rStyle w:val="Hyperlink"/>
          </w:rPr>
          <w:t xml:space="preserve">[16]</w:t>
        </w:r>
      </w:hyperlink>
      <w:r>
        <w:t xml:space="preserve">. Every variable carries source provenance at the granularity that the supervisory traceability literature requires [5,30]. Chapter 4 also documents the data quality decisions, including the triangulation against the commercial catalog noted in the architectural literature</w:t>
      </w:r>
      <w:r>
        <w:t xml:space="preserve"> </w:t>
      </w:r>
      <w:hyperlink w:anchor="ref-2">
        <w:r>
          <w:rPr>
            <w:rStyle w:val="Hyperlink"/>
          </w:rPr>
          <w:t xml:space="preserve">[2]</w:t>
        </w:r>
      </w:hyperlink>
      <w:r>
        <w:t xml:space="preserve"> </w:t>
      </w:r>
      <w:r>
        <w:t xml:space="preserve">for operators using bilateral channels, and the bounding of measurement error in the contribution intensity variable.</w:t>
      </w:r>
    </w:p>
    <w:p>
      <w:pPr>
        <w:pStyle w:val="BodyText"/>
        <w:spacing w:line="480" w:lineRule="auto"/>
        <w:ind w:firstLine="720"/>
      </w:pPr>
      <w:r>
        <w:t xml:space="preserve">Chapter 5 develops the identification strategy. The estimating equation is a panel fixed effects specification at the operator month level with the three sets of fixed effects already named and with the treatment variable instrumented using the staggered onboarding schedule as the source of exogenous variation. The stacked difference in differences estimator is implemented in the form now standard for staggered adoption, with an event study to test parallel pre trends. A Heckman selection model addresses the possibility that observed contributors are non randomly selected from the population of licensed operators. A proportional hazards specification</w:t>
      </w:r>
      <w:r>
        <w:t xml:space="preserve"> </w:t>
      </w:r>
      <w:hyperlink w:anchor="ref-21">
        <w:r>
          <w:rPr>
            <w:rStyle w:val="Hyperlink"/>
          </w:rPr>
          <w:t xml:space="preserve">[21]</w:t>
        </w:r>
      </w:hyperlink>
      <w:r>
        <w:t xml:space="preserve"> </w:t>
      </w:r>
      <w:r>
        <w:t xml:space="preserve">complements the panel estimator by treating the timing of first contribution as a survival outcome, allowing the dissertation to report both the intensive margin and the extensive margin of the contribution decision.</w:t>
      </w:r>
    </w:p>
    <w:p>
      <w:pPr>
        <w:pStyle w:val="BodyText"/>
        <w:spacing w:line="480" w:lineRule="auto"/>
        <w:ind w:firstLine="720"/>
      </w:pPr>
      <w:r>
        <w:t xml:space="preserve">Chapter 6 presents the main results. The chapter reports the headline contribution function estimate, the event study graph for parallel pre trends, the Heckman selection diagnostic, and the survival analysis estimates. The chapter also reports the replication of the specification on the European Union Space Surveillance and Tracking contributor list as a partial external check, drawing on the European architecture surveyed in the architectural literature [4,6] and on the advancing concepts for global coordination on space situational awareness now being articulated by the Office of Space Commerce and European partners</w:t>
      </w:r>
      <w:r>
        <w:t xml:space="preserve"> </w:t>
      </w:r>
      <w:hyperlink w:anchor="ref-29">
        <w:r>
          <w:rPr>
            <w:rStyle w:val="Hyperlink"/>
          </w:rPr>
          <w:t xml:space="preserve">[29]</w:t>
        </w:r>
      </w:hyperlink>
      <w:r>
        <w:t xml:space="preserve">. Chapter 7 reports robustness checks against the four threats to validity the prospectus enumerated, namely measurement error in contribution intensity, reverse causality, selection on unobservables, and external validity beyond the United States commercial cohort. Chapter 8 discusses the findings, situates them within the architectural and governance literatures that motivated the question, and specifies the boundary conditions under which the contribution function the dissertation estimates is informative for the design of mandatory regimes. Chapter 9 concludes with the implications for the National Aeronautics and Space Administration’s mission assurance posture, for the Jet Propulsion Laboratory’s deep space planning workflows, and for the supervisory function the Office of Space Commerce is now constructing under the Traffic Coordination System for Space regime.</w:t>
      </w:r>
    </w:p>
    <w:p>
      <w:pPr>
        <w:pStyle w:val="BodyText"/>
        <w:spacing w:line="480" w:lineRule="auto"/>
        <w:ind w:firstLine="720"/>
      </w:pPr>
      <w:r>
        <w:t xml:space="preserve">The dissertation’s contribution stands or falls on a single estimate. The estimate is the sign and magnitude of the contribution function that maps an operator’s ex ante conjunction exposure into its intensity of voluntary contribution to the civil catalog. If the function has the sign the architectural literature assumes, the regime’s behavioral premise is vindicated and the agencies that depend on the catalog can plan accordingly. If the function does not have that sign, the regime’s premise requires reconsideration and the agencies must plan for a catalog whose informational density is sustained by motives other than the one the architecture was designed around. Either outcome is a contribution. The dissertation’s task is to produce the estimate.</w:t>
      </w:r>
    </w:p>
    <w:bookmarkEnd w:id="65"/>
    <w:bookmarkEnd w:id="66"/>
    <w:bookmarkStart w:id="80" w:name="chapter-2.-literature-review"/>
    <w:p>
      <w:pPr>
        <w:pStyle w:val="Heading1"/>
        <w:spacing w:line="480" w:lineRule="auto"/>
      </w:pPr>
      <w:r>
        <w:t xml:space="preserve">Chapter 2. Literature Review</w:t>
      </w:r>
    </w:p>
    <w:bookmarkStart w:id="67" w:name="Xf2f088cd504ec772bce9e87ea41befa885d614e"/>
    <w:p>
      <w:pPr>
        <w:pStyle w:val="Heading2"/>
        <w:spacing w:line="480" w:lineRule="auto"/>
      </w:pPr>
      <w:r>
        <w:t xml:space="preserve">2.1 Orientation: Two Literatures That Have Not Met</w:t>
      </w:r>
    </w:p>
    <w:p>
      <w:pPr>
        <w:pStyle w:val="FirstParagraph"/>
        <w:spacing w:line="480" w:lineRule="auto"/>
      </w:pPr>
      <w:r>
        <w:t xml:space="preserve">The dissertation sits at the intersection of two literatures that, despite their evident complementarity, have so far developed in separate registers. The first is the domain technical literature on Space Situational Awareness (SSA) and its operational successor, Space Domain Awareness (SDA): an applied corpus produced largely by aerospace engineers, orbital mechanics specialists, and policy practitioners, and disseminated through the Advanced Maui Optical and Space Surveillance Technologies (AMOS) Conference and the journal Acta Astronautica. The second is the cliometric and microeconometric methodology literature on revealed-preference estimation, panel identification with staggered adoption, and survival modeling of voluntary participation. The first literature has specified, in increasing architectural detail, how a federated civil SSA regime ought to function. The second has developed the inferential tools necessary to test whether the behavioral premises underlying that regime are borne out in operator conduct. Neither has reached for the other.</w:t>
      </w:r>
    </w:p>
    <w:p>
      <w:pPr>
        <w:pStyle w:val="BodyText"/>
        <w:spacing w:line="480" w:lineRule="auto"/>
        <w:ind w:firstLine="720"/>
      </w:pPr>
      <w:r>
        <w:t xml:space="preserve">This chapter reviews both literatures in turn and then identifies the gap that the dissertation occupies. Section 2.2 reviews the domain technical literature in four substrands: ontology and interoperability, decentralized sharing architectures, secure-framework and supervisory design, and the conjunction-risk and sustainability-indicator strands that supply the dependent and exposure variables for any behavioral test. Section 2.3 reviews the cliometric and econometric methodology literature relevant to the empirical strategy: revealed-preference identification of voluntary contribution to partially excludable goods, staggered-adoption panel fixed effects, the Cox proportional-hazards estimator</w:t>
      </w:r>
      <w:r>
        <w:t xml:space="preserve"> </w:t>
      </w:r>
      <w:hyperlink w:anchor="ref-21">
        <w:r>
          <w:rPr>
            <w:rStyle w:val="Hyperlink"/>
          </w:rPr>
          <w:t xml:space="preserve">[21]</w:t>
        </w:r>
      </w:hyperlink>
      <w:r>
        <w:t xml:space="preserve">, and selection-correction methods. Section 2.4 synthesizes the two strands and specifies the unjoined gap. Section 2.5 closes by locating the dissertation’s two empirical papers within that gap.</w:t>
      </w:r>
    </w:p>
    <w:bookmarkEnd w:id="67"/>
    <w:bookmarkStart w:id="72" w:name="X648732a5a214d6f5eaa6b46817e31c0256e0b87"/>
    <w:p>
      <w:pPr>
        <w:pStyle w:val="Heading2"/>
        <w:spacing w:line="480" w:lineRule="auto"/>
      </w:pPr>
      <w:r>
        <w:t xml:space="preserve">2.2 The Domain Technical Literature on SSA Sharing</w:t>
      </w:r>
    </w:p>
    <w:bookmarkStart w:id="68" w:name="ontology-and-interoperability"/>
    <w:p>
      <w:pPr>
        <w:pStyle w:val="Heading3"/>
        <w:spacing w:line="480" w:lineRule="auto"/>
      </w:pPr>
      <w:r>
        <w:t xml:space="preserve">2.2.1 Ontology and Interoperability</w:t>
      </w:r>
    </w:p>
    <w:p>
      <w:pPr>
        <w:pStyle w:val="FirstParagraph"/>
        <w:spacing w:line="480" w:lineRule="auto"/>
      </w:pPr>
      <w:r>
        <w:t xml:space="preserve">The foundational layer of the domain literature is concerned with the semantic and syntactic conditions under which space surveillance data from heterogeneous sources can be exchanged at all. Rovetto’s work on the Orbital Space Environment and Space Situational Awareness Domain Ontology [1,23] proposes a formal vocabulary intended to undergird an international information system for space data. The contribution is conceptual rather than empirical: it specifies the entities, relations, and constraints that a federated SSA catalog must encode if state vectors, conjunction data messages (CDMs), and maneuver plans produced by different organizations are to be machine-comparable. The Rovetto program is silent on the question of who will populate such an ontology, on what terms, and at what fidelity. It treats data sharing as a representational problem, not a behavioral one.</w:t>
      </w:r>
    </w:p>
    <w:p>
      <w:pPr>
        <w:pStyle w:val="BodyText"/>
        <w:spacing w:line="480" w:lineRule="auto"/>
        <w:ind w:firstLine="720"/>
      </w:pPr>
      <w:r>
        <w:t xml:space="preserve">The ontological program is necessary but not sufficient. Even a perfectly specified data model cannot determine whether a commercial operator will invest in the integration work required to publish to it. The unanswered question that motivates the present dissertation is therefore visible already at this layer: the literature presumes a population of contributors without estimating who, when, and why.</w:t>
      </w:r>
    </w:p>
    <w:bookmarkEnd w:id="68"/>
    <w:bookmarkStart w:id="69" w:name="decentralized-sharing-architectures"/>
    <w:p>
      <w:pPr>
        <w:pStyle w:val="Heading3"/>
        <w:spacing w:line="480" w:lineRule="auto"/>
      </w:pPr>
      <w:r>
        <w:t xml:space="preserve">2.2.2 Decentralized Sharing Architectures</w:t>
      </w:r>
    </w:p>
    <w:p>
      <w:pPr>
        <w:pStyle w:val="FirstParagraph"/>
        <w:spacing w:line="480" w:lineRule="auto"/>
      </w:pPr>
      <w:r>
        <w:t xml:space="preserve">A second substrand, more recent and more developed, addresses the architecture of decentralized SSA sharing. The Reed, Dailey, Stilwell, and Weeden contribution [2,10,26] is the central reference here. It proposes a decentralized space information sharing architecture in which trust between contributors is established through cryptographic attestation rather than through a single trusted central catalog. The architecture explicitly introduces the Blockchain Enabled Space Traffic Awareness (BESTA) construct</w:t>
      </w:r>
      <w:r>
        <w:t xml:space="preserve"> </w:t>
      </w:r>
      <w:hyperlink w:anchor="ref-24">
        <w:r>
          <w:rPr>
            <w:rStyle w:val="Hyperlink"/>
          </w:rPr>
          <w:t xml:space="preserve">[24]</w:t>
        </w:r>
      </w:hyperlink>
      <w:r>
        <w:t xml:space="preserve"> </w:t>
      </w:r>
      <w:r>
        <w:t xml:space="preserve">and the SNARE concept for compact, verifiable sharing of state and behavior data. The argument is that, because operators are unwilling to disclose proprietary maneuver plans to a single government-owned or competitor-owned catalog, decentralization is the precondition for participation. The same logic motivates Mokhnatkin’s proposal for a consortium for decentralized sharing of SSA data, drawing on lessons from the ISON observational initiative</w:t>
      </w:r>
      <w:r>
        <w:t xml:space="preserve"> </w:t>
      </w:r>
      <w:hyperlink w:anchor="ref-4">
        <w:r>
          <w:rPr>
            <w:rStyle w:val="Hyperlink"/>
          </w:rPr>
          <w:t xml:space="preserve">[4]</w:t>
        </w:r>
      </w:hyperlink>
      <w:r>
        <w:t xml:space="preserve">, and Kebschull and colleagues’ architecture for a distributed space traffic coordination system</w:t>
      </w:r>
      <w:r>
        <w:t xml:space="preserve"> </w:t>
      </w:r>
      <w:hyperlink w:anchor="ref-6">
        <w:r>
          <w:rPr>
            <w:rStyle w:val="Hyperlink"/>
          </w:rPr>
          <w:t xml:space="preserve">[6]</w:t>
        </w:r>
      </w:hyperlink>
      <w:r>
        <w:t xml:space="preserve">.</w:t>
      </w:r>
    </w:p>
    <w:p>
      <w:pPr>
        <w:pStyle w:val="BodyText"/>
        <w:spacing w:line="480" w:lineRule="auto"/>
        <w:ind w:firstLine="720"/>
      </w:pPr>
      <w:r>
        <w:t xml:space="preserve">The decentralized-architecture literature is explicit that its design choices are constrained by an inferred behavioral premise: that operators will share if and only if the channel preserves their commercial confidentiality and lowers their collision risk [2,4,6]. This premise is asserted on the basis of stakeholder interviews and architectural reasoning, not estimated from observed contribution behavior. The literature is, in this respect, normatively prescriptive about what voluntary sharing requires while remaining empirically agnostic about whether the requirement, once met, produces participation.</w:t>
      </w:r>
    </w:p>
    <w:p>
      <w:pPr>
        <w:pStyle w:val="BodyText"/>
        <w:spacing w:line="480" w:lineRule="auto"/>
        <w:ind w:firstLine="720"/>
      </w:pPr>
      <w:r>
        <w:t xml:space="preserve">Adjacent work on cooperative inter-satellite ranging</w:t>
      </w:r>
      <w:r>
        <w:t xml:space="preserve"> </w:t>
      </w:r>
      <w:hyperlink w:anchor="ref-36">
        <w:r>
          <w:rPr>
            <w:rStyle w:val="Hyperlink"/>
          </w:rPr>
          <w:t xml:space="preserve">[36]</w:t>
        </w:r>
      </w:hyperlink>
      <w:r>
        <w:t xml:space="preserve"> </w:t>
      </w:r>
      <w:r>
        <w:t xml:space="preserve">extends the same logic to the on-orbit segment, proposing custom code-division multiple-access frames for space traffic management. The premise that operators will participate in cooperative ranging schemes is, again, asserted by analogy to terrestrial cooperative-sensing regimes rather than tested.</w:t>
      </w:r>
    </w:p>
    <w:bookmarkEnd w:id="69"/>
    <w:bookmarkStart w:id="70" w:name="X13bfad0fdcf51e952ab373efbdba1a003471283"/>
    <w:p>
      <w:pPr>
        <w:pStyle w:val="Heading3"/>
        <w:spacing w:line="480" w:lineRule="auto"/>
      </w:pPr>
      <w:r>
        <w:t xml:space="preserve">2.2.3 Secure Frameworks, Supervisory Architectures, and Outreach</w:t>
      </w:r>
    </w:p>
    <w:p>
      <w:pPr>
        <w:pStyle w:val="FirstParagraph"/>
        <w:spacing w:line="480" w:lineRule="auto"/>
      </w:pPr>
      <w:r>
        <w:t xml:space="preserve">A third substrand addresses the security, supervisory, and outreach conditions under which sharing can be sustained. Allington, Peterson, and Bowen [3,27] develop a secure framework for Space Domain Awareness that treats the confidentiality, integrity, and availability of shared SSA data as a first-order design constraint. Smith, Jah, and Wood [5,30] propose a decision-support architecture for the continuing supervision of commercial in-space servicing, explicitly framing the contribution decision as a regulated, traceable artifact of operator due diligence. Sanchez-Ortiz and colleagues [7,20,33] develop an outreach taxonomy for Space Traffic Management, identifying the stakeholder classes that must be engaged for a voluntary regime to attain operational coverage. Borowitz and colleagues</w:t>
      </w:r>
      <w:r>
        <w:t xml:space="preserve"> </w:t>
      </w:r>
      <w:hyperlink w:anchor="ref-29">
        <w:r>
          <w:rPr>
            <w:rStyle w:val="Hyperlink"/>
          </w:rPr>
          <w:t xml:space="preserve">[29]</w:t>
        </w:r>
      </w:hyperlink>
      <w:r>
        <w:t xml:space="preserve"> </w:t>
      </w:r>
      <w:r>
        <w:t xml:space="preserve">survey advancing concepts for global coordination on SSA across the United States Office of Space Commerce, the Spanish Space Agency, CNES, and EU SST.</w:t>
      </w:r>
    </w:p>
    <w:p>
      <w:pPr>
        <w:pStyle w:val="BodyText"/>
        <w:spacing w:line="480" w:lineRule="auto"/>
        <w:ind w:firstLine="720"/>
      </w:pPr>
      <w:r>
        <w:t xml:space="preserve">These contributions are valuable for the present dissertation in two distinct ways. First, they identify the institutional channels through which contribution flows materialize. The Sanchez-Ortiz outreach taxonomy [7,33] and the Borowitz global-coordination survey</w:t>
      </w:r>
      <w:r>
        <w:t xml:space="preserve"> </w:t>
      </w:r>
      <w:hyperlink w:anchor="ref-29">
        <w:r>
          <w:rPr>
            <w:rStyle w:val="Hyperlink"/>
          </w:rPr>
          <w:t xml:space="preserve">[29]</w:t>
        </w:r>
      </w:hyperlink>
      <w:r>
        <w:t xml:space="preserve"> </w:t>
      </w:r>
      <w:r>
        <w:t xml:space="preserve">map the proximity of operators to onboarding capacity, which the first empirical paper of the dissertation [research_paper_1] confirms is a first-order determinant of contribution timing through the US-licensing coefficient. Second, the Smith, Jah, and Wood supervisory framing [5,30] supplies the traceability and provenance standard that the dissertation’s data appendix is required to meet.</w:t>
      </w:r>
    </w:p>
    <w:p>
      <w:pPr>
        <w:pStyle w:val="BodyText"/>
        <w:spacing w:line="480" w:lineRule="auto"/>
        <w:ind w:firstLine="720"/>
      </w:pPr>
      <w:r>
        <w:t xml:space="preserve">What this substrand does not supply is a behavioral test. The outreach taxonomy identifies whom to reach; it does not estimate the response of those reached. The supervisory architecture specifies how contribution should be recorded; it does not estimate the rate at which it is produced.</w:t>
      </w:r>
    </w:p>
    <w:p>
      <w:pPr>
        <w:pStyle w:val="BodyText"/>
        <w:spacing w:line="480" w:lineRule="auto"/>
        <w:ind w:firstLine="720"/>
      </w:pPr>
      <w:r>
        <w:t xml:space="preserve">The early work of Picciano</w:t>
      </w:r>
      <w:r>
        <w:t xml:space="preserve"> </w:t>
      </w:r>
      <w:hyperlink w:anchor="ref-28">
        <w:r>
          <w:rPr>
            <w:rStyle w:val="Hyperlink"/>
          </w:rPr>
          <w:t xml:space="preserve">[28]</w:t>
        </w:r>
      </w:hyperlink>
      <w:r>
        <w:t xml:space="preserve"> </w:t>
      </w:r>
      <w:r>
        <w:t xml:space="preserve">on human decision processes and implications for SSA support tools is an important historical reference because it explicitly raises the operator-decision question. Picciano frames SSA sharing as a problem in human judgment under uncertainty rather than as a problem in architecture. The framing is correct, but the empirical instruments available in 2013 did not permit a revealed-preference estimate. The intervening decade of architectural construction, culminating in the TraCSS Initial Operating Capability of September 2024, has finally produced the observational record that makes such an estimate feasible.</w:t>
      </w:r>
    </w:p>
    <w:bookmarkEnd w:id="70"/>
    <w:bookmarkStart w:id="71" w:name="Xebeeb8b54456bfcffd1c5a410a8ec617e35974e"/>
    <w:p>
      <w:pPr>
        <w:pStyle w:val="Heading3"/>
        <w:spacing w:line="480" w:lineRule="auto"/>
      </w:pPr>
      <w:r>
        <w:t xml:space="preserve">2.2.4 Conjunction Risk, Sustainability Indicators, and the Norms Strand</w:t>
      </w:r>
    </w:p>
    <w:p>
      <w:pPr>
        <w:pStyle w:val="FirstParagraph"/>
        <w:spacing w:line="480" w:lineRule="auto"/>
      </w:pPr>
      <w:r>
        <w:t xml:space="preserve">A fourth substrand of the domain literature is empirical in a narrower sense: it characterizes the risk environment in which sharing decisions are made. Alfano, Oltrogge, Krag, Merz, and Hall</w:t>
      </w:r>
      <w:r>
        <w:t xml:space="preserve"> </w:t>
      </w:r>
      <w:hyperlink w:anchor="ref-18">
        <w:r>
          <w:rPr>
            <w:rStyle w:val="Hyperlink"/>
          </w:rPr>
          <w:t xml:space="preserve">[18]</w:t>
        </w:r>
      </w:hyperlink>
      <w:r>
        <w:t xml:space="preserve"> </w:t>
      </w:r>
      <w:r>
        <w:t xml:space="preserve">supply a risk assessment of recent high-interest conjunctions that establishes the magnitude and tail behavior of operator-specific conjunction exposure. Oltrogge and colleagues</w:t>
      </w:r>
      <w:r>
        <w:t xml:space="preserve"> </w:t>
      </w:r>
      <w:hyperlink w:anchor="ref-14">
        <w:r>
          <w:rPr>
            <w:rStyle w:val="Hyperlink"/>
          </w:rPr>
          <w:t xml:space="preserve">[14]</w:t>
        </w:r>
      </w:hyperlink>
      <w:r>
        <w:t xml:space="preserve"> </w:t>
      </w:r>
      <w:r>
        <w:t xml:space="preserve">provide a comprehensive assessment of collision likelihood in geosynchronous Earth orbit, demonstrating that even the relatively sparse GEO regime supports non-trivial encounter rates. Sorge and colleagues</w:t>
      </w:r>
      <w:r>
        <w:t xml:space="preserve"> </w:t>
      </w:r>
      <w:hyperlink w:anchor="ref-13">
        <w:r>
          <w:rPr>
            <w:rStyle w:val="Hyperlink"/>
          </w:rPr>
          <w:t xml:space="preserve">[13]</w:t>
        </w:r>
      </w:hyperlink>
      <w:r>
        <w:t xml:space="preserve"> </w:t>
      </w:r>
      <w:r>
        <w:t xml:space="preserve">document improvements to spacecraft collision avoidance and observe that CDM volume has grown faster than maneuver counts at well-instrumented operators, a pattern consistent with the calibration mechanism that the dissertation’s first empirical paper exploits [research_paper_1]. Campiti and colleagues</w:t>
      </w:r>
      <w:r>
        <w:t xml:space="preserve"> </w:t>
      </w:r>
      <w:hyperlink w:anchor="ref-31">
        <w:r>
          <w:rPr>
            <w:rStyle w:val="Hyperlink"/>
          </w:rPr>
          <w:t xml:space="preserve">[31]</w:t>
        </w:r>
      </w:hyperlink>
      <w:r>
        <w:t xml:space="preserve"> </w:t>
      </w:r>
      <w:r>
        <w:t xml:space="preserve">characterize the orbital kinematics of conjuncting objects in low Earth orbit and identify opportunities for autonomous observation, which sharpens the operational meaning of</w:t>
      </w:r>
      <w:r>
        <w:t xml:space="preserve"> </w:t>
      </w:r>
      <w:r>
        <w:t xml:space="preserve">“exposure”</w:t>
      </w:r>
      <w:r>
        <w:t xml:space="preserve"> </w:t>
      </w:r>
      <w:r>
        <w:t xml:space="preserve">as a covariate.</w:t>
      </w:r>
    </w:p>
    <w:p>
      <w:pPr>
        <w:pStyle w:val="BodyText"/>
        <w:spacing w:line="480" w:lineRule="auto"/>
        <w:ind w:firstLine="720"/>
      </w:pPr>
      <w:r>
        <w:t xml:space="preserve">The Cunio and colleagues study of photometric and other analyses of energetic events related to 2017 GEO RSO anomalies</w:t>
      </w:r>
      <w:r>
        <w:t xml:space="preserve"> </w:t>
      </w:r>
      <w:hyperlink w:anchor="ref-25">
        <w:r>
          <w:rPr>
            <w:rStyle w:val="Hyperlink"/>
          </w:rPr>
          <w:t xml:space="preserve">[25]</w:t>
        </w:r>
      </w:hyperlink>
      <w:r>
        <w:t xml:space="preserve"> </w:t>
      </w:r>
      <w:r>
        <w:t xml:space="preserve">supplies the kind of public anomaly record that the dissertation operationalizes as the prior-anomaly covariate in the survival model [research_paper_2]. The ESA Annual Space Environment Report</w:t>
      </w:r>
      <w:r>
        <w:t xml:space="preserve"> </w:t>
      </w:r>
      <w:hyperlink w:anchor="ref-15">
        <w:r>
          <w:rPr>
            <w:rStyle w:val="Hyperlink"/>
          </w:rPr>
          <w:t xml:space="preserve">[15]</w:t>
        </w:r>
      </w:hyperlink>
      <w:r>
        <w:t xml:space="preserve"> </w:t>
      </w:r>
      <w:r>
        <w:t xml:space="preserve">and the public partner list maintained by the 18th Space Defense Squadron</w:t>
      </w:r>
      <w:r>
        <w:t xml:space="preserve"> </w:t>
      </w:r>
      <w:hyperlink w:anchor="ref-16">
        <w:r>
          <w:rPr>
            <w:rStyle w:val="Hyperlink"/>
          </w:rPr>
          <w:t xml:space="preserve">[16]</w:t>
        </w:r>
      </w:hyperlink>
      <w:r>
        <w:t xml:space="preserve"> </w:t>
      </w:r>
      <w:r>
        <w:t xml:space="preserve">supply the population-level counts and contributor identifiers required to construct the operator panels.</w:t>
      </w:r>
    </w:p>
    <w:p>
      <w:pPr>
        <w:pStyle w:val="BodyText"/>
        <w:spacing w:line="480" w:lineRule="auto"/>
        <w:ind w:firstLine="720"/>
      </w:pPr>
      <w:r>
        <w:t xml:space="preserve">A related strand develops sustainability indicators that explicitly treat sharing as a measurable behavioral input. Letizia and colleagues [11,22] propose a contribution from SSA data to the definition of a Space Sustainability Rating. Rathnasabapathy and colleagues [12,19,32] design the composite indicator and argue that the rating’s incentive properties depend on the responsiveness of operator behavior to the rating’s signals. Anilkumar and colleagues</w:t>
      </w:r>
      <w:r>
        <w:t xml:space="preserve"> </w:t>
      </w:r>
      <w:hyperlink w:anchor="ref-35">
        <w:r>
          <w:rPr>
            <w:rStyle w:val="Hyperlink"/>
          </w:rPr>
          <w:t xml:space="preserve">[35]</w:t>
        </w:r>
      </w:hyperlink>
      <w:r>
        <w:t xml:space="preserve"> </w:t>
      </w:r>
      <w:r>
        <w:t xml:space="preserve">extend the framework to cislunar and cismartian environments. The sustainability-rating program is the closest the domain literature has come to specifying a behavioral mechanism: it asserts that operators will respond to environmental incentives when those incentives are tied to observable behavior. The dissertation tests whether that assertion holds for the specific behavior of voluntary contribution to TraCSS.</w:t>
      </w:r>
    </w:p>
    <w:p>
      <w:pPr>
        <w:pStyle w:val="BodyText"/>
        <w:spacing w:line="480" w:lineRule="auto"/>
        <w:ind w:firstLine="720"/>
      </w:pPr>
      <w:r>
        <w:t xml:space="preserve">Finally, the norms and economics strand within the domain literature, represented by the architectural socio-technological transformative change framing of space-use norms</w:t>
      </w:r>
      <w:r>
        <w:t xml:space="preserve"> </w:t>
      </w:r>
      <w:hyperlink w:anchor="ref-8">
        <w:r>
          <w:rPr>
            <w:rStyle w:val="Hyperlink"/>
          </w:rPr>
          <w:t xml:space="preserve">[8]</w:t>
        </w:r>
      </w:hyperlink>
      <w:r>
        <w:t xml:space="preserve"> </w:t>
      </w:r>
      <w:r>
        <w:t xml:space="preserve">and by Weinzierl’s treatment of space as the final economic frontier</w:t>
      </w:r>
      <w:r>
        <w:t xml:space="preserve"> </w:t>
      </w:r>
      <w:hyperlink w:anchor="ref-9">
        <w:r>
          <w:rPr>
            <w:rStyle w:val="Hyperlink"/>
          </w:rPr>
          <w:t xml:space="preserve">[9]</w:t>
        </w:r>
      </w:hyperlink>
      <w:r>
        <w:t xml:space="preserve">, supplies the conceptual scaffolding of partial excludability and externalities. The norms framing</w:t>
      </w:r>
      <w:r>
        <w:t xml:space="preserve"> </w:t>
      </w:r>
      <w:hyperlink w:anchor="ref-8">
        <w:r>
          <w:rPr>
            <w:rStyle w:val="Hyperlink"/>
          </w:rPr>
          <w:t xml:space="preserve">[8]</w:t>
        </w:r>
      </w:hyperlink>
      <w:r>
        <w:t xml:space="preserve"> </w:t>
      </w:r>
      <w:r>
        <w:t xml:space="preserve">argues that voluntary sharing is sustained by an evolving set of professional and reputational expectations rather than by individual cost-benefit calculation alone. The recent Acta Astronautica piece on beneficiaries of the NewSpace age and governance by acknowledgment</w:t>
      </w:r>
      <w:r>
        <w:t xml:space="preserve"> </w:t>
      </w:r>
      <w:hyperlink w:anchor="ref-34">
        <w:r>
          <w:rPr>
            <w:rStyle w:val="Hyperlink"/>
          </w:rPr>
          <w:t xml:space="preserve">[34]</w:t>
        </w:r>
      </w:hyperlink>
      <w:r>
        <w:t xml:space="preserve"> </w:t>
      </w:r>
      <w:r>
        <w:t xml:space="preserve">develops the same theme. Weinzierl</w:t>
      </w:r>
      <w:r>
        <w:t xml:space="preserve"> </w:t>
      </w:r>
      <w:hyperlink w:anchor="ref-9">
        <w:r>
          <w:rPr>
            <w:rStyle w:val="Hyperlink"/>
          </w:rPr>
          <w:t xml:space="preserve">[9]</w:t>
        </w:r>
      </w:hyperlink>
      <w:r>
        <w:t xml:space="preserve"> </w:t>
      </w:r>
      <w:r>
        <w:t xml:space="preserve">embeds the question in the broader political economy of space commercialization and provides the language of public goods, partial appropriability, and price discovery that the dissertation imports into the methodology layer.</w:t>
      </w:r>
    </w:p>
    <w:p>
      <w:pPr>
        <w:pStyle w:val="BodyText"/>
        <w:spacing w:line="480" w:lineRule="auto"/>
        <w:ind w:firstLine="720"/>
      </w:pPr>
      <w:r>
        <w:t xml:space="preserve">What the conjunction-risk, sustainability-indicator, and norms substrands collectively offer is the substantive grammar of the dependent and exposure variables. What they do not offer is the inferential machinery required to identify a behavioral response from observational data. For that, the dissertation must turn to the second literature.</w:t>
      </w:r>
    </w:p>
    <w:bookmarkEnd w:id="71"/>
    <w:bookmarkEnd w:id="72"/>
    <w:bookmarkStart w:id="77" w:name="X4c7263dd9b089fce9405b2f1192c1a11869f5b3"/>
    <w:p>
      <w:pPr>
        <w:pStyle w:val="Heading2"/>
        <w:spacing w:line="480" w:lineRule="auto"/>
      </w:pPr>
      <w:r>
        <w:t xml:space="preserve">2.3 The Cliometric and Microeconometric Methodology Literature</w:t>
      </w:r>
    </w:p>
    <w:p>
      <w:pPr>
        <w:pStyle w:val="FirstParagraph"/>
        <w:spacing w:line="480" w:lineRule="auto"/>
      </w:pPr>
      <w:r>
        <w:t xml:space="preserve">The methodology literature on revealed-preference estimation, panel identification with staggered adoption, and survival analysis of voluntary participation has developed in registers entirely separate from the domain technical corpus reviewed above. The two have not been joined for the simple reason that, until the TraCSS Initial Operating Capability cutover of September 2024</w:t>
      </w:r>
      <w:r>
        <w:t xml:space="preserve"> </w:t>
      </w:r>
      <w:hyperlink w:anchor="ref-17">
        <w:r>
          <w:rPr>
            <w:rStyle w:val="Hyperlink"/>
          </w:rPr>
          <w:t xml:space="preserve">[17]</w:t>
        </w:r>
      </w:hyperlink>
      <w:r>
        <w:t xml:space="preserve">, the observational record required to apply microeconometric tools to operator contribution behavior did not exist. The present section reviews the methodological resources available for that application.</w:t>
      </w:r>
    </w:p>
    <w:bookmarkStart w:id="73" w:name="X2e042f89b005066a4f06eab5904f07ccdba52c3"/>
    <w:p>
      <w:pPr>
        <w:pStyle w:val="Heading3"/>
        <w:spacing w:line="480" w:lineRule="auto"/>
      </w:pPr>
      <w:r>
        <w:t xml:space="preserve">2.3.1 Revealed-Preference Estimation for Partially Excludable Goods</w:t>
      </w:r>
    </w:p>
    <w:p>
      <w:pPr>
        <w:pStyle w:val="FirstParagraph"/>
        <w:spacing w:line="480" w:lineRule="auto"/>
      </w:pPr>
      <w:r>
        <w:t xml:space="preserve">The revealed-preference tradition treats observed behavior, rather than survey or interview response, as the primary datum for inferring preferences. Applied to voluntary contribution to a partially excludable good, the strategy is to specify a contribution function, estimate it on observed contributor behavior, and test whether the estimated function exhibits the comparative-static properties predicted by a model of individually rational participation. The economics-of-space scaffolding in</w:t>
      </w:r>
      <w:r>
        <w:t xml:space="preserve"> </w:t>
      </w:r>
      <w:hyperlink w:anchor="ref-8">
        <w:r>
          <w:rPr>
            <w:rStyle w:val="Hyperlink"/>
          </w:rPr>
          <w:t xml:space="preserve">[8]</w:t>
        </w:r>
      </w:hyperlink>
      <w:r>
        <w:t xml:space="preserve"> </w:t>
      </w:r>
      <w:r>
        <w:t xml:space="preserve">and</w:t>
      </w:r>
      <w:r>
        <w:t xml:space="preserve"> </w:t>
      </w:r>
      <w:hyperlink w:anchor="ref-9">
        <w:r>
          <w:rPr>
            <w:rStyle w:val="Hyperlink"/>
          </w:rPr>
          <w:t xml:space="preserve">[9]</w:t>
        </w:r>
      </w:hyperlink>
      <w:r>
        <w:t xml:space="preserve"> </w:t>
      </w:r>
      <w:r>
        <w:t xml:space="preserve">supplies the public-goods framing that licenses this strategy in the SSA context: contribution lowers both the contributor’s own collision hazard and the systemic hazard of the orbital commons, and the contributor captures only part of the systemic benefit. The partial excludability of the benefit is what makes the contribution decision non-trivial and what makes the comparative static, whether contribution intensity rises with own exposure, an informative test.</w:t>
      </w:r>
    </w:p>
    <w:p>
      <w:pPr>
        <w:pStyle w:val="BodyText"/>
        <w:spacing w:line="480" w:lineRule="auto"/>
        <w:ind w:firstLine="720"/>
      </w:pPr>
      <w:r>
        <w:t xml:space="preserve">The dissertation’s first empirical paper [research_paper_1] applies this strategy in cross-section to a thirty-four-operator portfolio, estimating an ordinary-least-squares specification in which the dependent variable is maneuvers per satellite-year and the right-hand-side variables capture sharing intensity, institutional sharing channel, conjunction data message volume, and orbital regime. The estimated coefficients on the Space-Track access tier (negative, p = 0.0008) and on Space Data Association membership (negative, p = 0.017) are consistent with a calibration mechanism in which formal sharing reduces the unit cost of a warning. The methodological lineage of that specification is the workhorse linear-additive form documented in the operator-level conjunction literature [13,14] and the sharing-as-input framing of the sustainability rating [12,19,32].</w:t>
      </w:r>
    </w:p>
    <w:bookmarkEnd w:id="73"/>
    <w:bookmarkStart w:id="74" w:name="X9804578ed7431f8e231110d7ee70bdfa0b41835"/>
    <w:p>
      <w:pPr>
        <w:pStyle w:val="Heading3"/>
        <w:spacing w:line="480" w:lineRule="auto"/>
      </w:pPr>
      <w:r>
        <w:t xml:space="preserve">2.3.2 Staggered Adoption and Panel Fixed Effects</w:t>
      </w:r>
    </w:p>
    <w:p>
      <w:pPr>
        <w:pStyle w:val="FirstParagraph"/>
        <w:spacing w:line="480" w:lineRule="auto"/>
      </w:pPr>
      <w:r>
        <w:t xml:space="preserve">The dominant identification strategy in contemporary microeconometric work on policy uptake is the staggered-adoption difference-in-differences design, in which the treatment is the moment at which a unit first becomes eligible for a policy and identification rests on the assumption that the timing of eligibility is plausibly exogenous conditional on observable controls. The staggered onboarding of TraCSS users between Initial Operating Capability in September 2024 and Full Operating Capability projected for fiscal year 2026</w:t>
      </w:r>
      <w:r>
        <w:t xml:space="preserve"> </w:t>
      </w:r>
      <w:hyperlink w:anchor="ref-17">
        <w:r>
          <w:rPr>
            <w:rStyle w:val="Hyperlink"/>
          </w:rPr>
          <w:t xml:space="preserve">[17]</w:t>
        </w:r>
      </w:hyperlink>
      <w:r>
        <w:t xml:space="preserve"> </w:t>
      </w:r>
      <w:r>
        <w:t xml:space="preserve">supplies precisely such a source of variation. Operators enter the eligible population on the date the Office of Space Commerce admits them to the user roster, which is constrained by OSC integration capacity rather than by operator-specific characteristics that would otherwise confound a behavioral estimate.</w:t>
      </w:r>
    </w:p>
    <w:p>
      <w:pPr>
        <w:pStyle w:val="BodyText"/>
        <w:spacing w:line="480" w:lineRule="auto"/>
        <w:ind w:firstLine="720"/>
      </w:pPr>
      <w:r>
        <w:t xml:space="preserve">The prospectus specifies an operator-month panel fixed-effects estimator with operator fixed effects, calendar month fixed effects, and orbit regime by month fixed effects, with the treatment variable being the operator’s ex ante conjunction exposure instrumented to address the simultaneity between exposure and contribution. The methodological choice of a stacked difference-in-differences estimator with an event study for parallel pre-trends reflects the contemporary consensus on robust inference under staggered adoption. The Heckman selection model proposed as a robustness check addresses the canonical concern that observed contributors are non-randomly selected from the population of licensed operators.</w:t>
      </w:r>
    </w:p>
    <w:p>
      <w:pPr>
        <w:pStyle w:val="BodyText"/>
        <w:spacing w:line="480" w:lineRule="auto"/>
        <w:ind w:firstLine="720"/>
      </w:pPr>
      <w:r>
        <w:t xml:space="preserve">These methodological choices have no precedent in the domain literature on SSA sharing. The architectural literature [2,4,6] reasons about behavior at the level of plausibility arguments rather than identification strategies. The sustainability-rating literature [11,12,19,22,32] reasons about behavior at the level of incentive design rather than estimation. The Smith, Jah, and Wood supervisory architecture [5,30] reasons about behavior at the level of regulatory traceability rather than statistical identification. None of these substrands has, to the candidate’s knowledge, articulated an identification strategy for voluntary SSA contribution. The methodological literature on staggered adoption is, in this sense, an unutilized resource for SSA policy analysis.</w:t>
      </w:r>
    </w:p>
    <w:bookmarkEnd w:id="74"/>
    <w:bookmarkStart w:id="75" w:name="X35bb0b66323b6d382c80eab8536c3ad6982cd9f"/>
    <w:p>
      <w:pPr>
        <w:pStyle w:val="Heading3"/>
        <w:spacing w:line="480" w:lineRule="auto"/>
      </w:pPr>
      <w:r>
        <w:t xml:space="preserve">2.3.3 Survival Modeling and the Cox Proportional-Hazards Estimator</w:t>
      </w:r>
    </w:p>
    <w:p>
      <w:pPr>
        <w:pStyle w:val="FirstParagraph"/>
        <w:spacing w:line="480" w:lineRule="auto"/>
      </w:pPr>
      <w:r>
        <w:t xml:space="preserve">The complementary methodological resource is the survival-analysis literature, which models the timing of an event rather than its intensity. The Cox proportional-hazards estimator</w:t>
      </w:r>
      <w:r>
        <w:t xml:space="preserve"> </w:t>
      </w:r>
      <w:hyperlink w:anchor="ref-21">
        <w:r>
          <w:rPr>
            <w:rStyle w:val="Hyperlink"/>
          </w:rPr>
          <w:t xml:space="preserve">[21]</w:t>
        </w:r>
      </w:hyperlink>
      <w:r>
        <w:t xml:space="preserve"> </w:t>
      </w:r>
      <w:r>
        <w:t xml:space="preserve">is the canonical semiparametric tool for this purpose. It models the operator-specific instantaneous hazard of a first-contribution event as the product of a nonparametric baseline hazard and an exponential function of operator covariates, with coefficients estimated by partial likelihood and standard errors obtained from the inverse information.</w:t>
      </w:r>
    </w:p>
    <w:p>
      <w:pPr>
        <w:pStyle w:val="BodyText"/>
        <w:spacing w:line="480" w:lineRule="auto"/>
        <w:ind w:firstLine="720"/>
      </w:pPr>
      <w:r>
        <w:t xml:space="preserve">The Cox estimator is well suited to the SSA contribution problem for three reasons. First, the baseline hazard under TraCSS is itself an object of study rather than a nuisance: the trajectory of OSC onboarding capacity between IOC and FOC is part of what the dissertation seeks to characterize, and the semiparametric form leaves that trajectory unrestricted. Second, the right-censoring induced by the FY2025 cutoff is mechanical rather than informative, and the Cox partial likelihood handles right-censoring without distributional assumptions. Third, the proportional-hazards assumption is testable through inspection of scaled residuals and through inclusion of time-interaction terms in robustness specifications.</w:t>
      </w:r>
    </w:p>
    <w:p>
      <w:pPr>
        <w:pStyle w:val="BodyText"/>
        <w:spacing w:line="480" w:lineRule="auto"/>
        <w:ind w:firstLine="720"/>
      </w:pPr>
      <w:r>
        <w:t xml:space="preserve">The dissertation’s second empirical paper [research_paper_2] applies the Cox estimator to a single-cohort survival panel of thirty commercial LEO operators with twenty-one observed contribution events and nine right-censored observations at the 365-day horizon. The recovered coefficient on operator conjunction exposure (1.97, SE 0.88, p = 0.024, hazard ratio 7.2) and on US licensing status (2.88, SE 0.83, p = 0.0005, hazard ratio 17.76) are consistent with the revealed-preference interpretation that contribution timing responds to the operator’s own exposure and to proximity to the onboarding channel. The methodological lineage of that specification is the Cox semiparametric form</w:t>
      </w:r>
      <w:r>
        <w:t xml:space="preserve"> </w:t>
      </w:r>
      <w:hyperlink w:anchor="ref-21">
        <w:r>
          <w:rPr>
            <w:rStyle w:val="Hyperlink"/>
          </w:rPr>
          <w:t xml:space="preserve">[21]</w:t>
        </w:r>
      </w:hyperlink>
      <w:r>
        <w:t xml:space="preserve"> </w:t>
      </w:r>
      <w:r>
        <w:t xml:space="preserve">applied to a population for which it has not previously been used.</w:t>
      </w:r>
    </w:p>
    <w:bookmarkEnd w:id="75"/>
    <w:bookmarkStart w:id="76" w:name="X689d05bc510205e0ea4f88e54cbc1c0c377e499"/>
    <w:p>
      <w:pPr>
        <w:pStyle w:val="Heading3"/>
        <w:spacing w:line="480" w:lineRule="auto"/>
      </w:pPr>
      <w:r>
        <w:t xml:space="preserve">2.3.4 Selection, Identification, and External Validity</w:t>
      </w:r>
    </w:p>
    <w:p>
      <w:pPr>
        <w:pStyle w:val="FirstParagraph"/>
        <w:spacing w:line="480" w:lineRule="auto"/>
      </w:pPr>
      <w:r>
        <w:t xml:space="preserve">A final methodological resource is the literature on selection correction and external validity. The Heckman selection model addresses the possibility that observed contributors are non-randomly selected on unobservables; the operator fixed-effects specification proposed in the prospectus absorbs time-invariant selection on observables. External validity is addressed by replication on the EU SST contributor cohort, which the prospectus identifies as a partial external check. The methodological literature is explicit that single-cohort estimates of voluntary participation are vulnerable to compositional drift in the risk set, and the single-cohort design of the survival paper [research_paper_2] is chosen precisely to rule out such drift while accepting the loss of statistical power that accompanies it.</w:t>
      </w:r>
    </w:p>
    <w:p>
      <w:pPr>
        <w:pStyle w:val="BodyText"/>
        <w:spacing w:line="480" w:lineRule="auto"/>
        <w:ind w:firstLine="720"/>
      </w:pPr>
      <w:r>
        <w:t xml:space="preserve">The methodology literature, taken as a whole, supplies the inferential tools required to convert the observational record of TraCSS contribution into a falsifiable behavioral estimate. It has not, to date, been applied to that record because the record itself has only existed since the IOC cutover of September 2024.</w:t>
      </w:r>
    </w:p>
    <w:bookmarkEnd w:id="76"/>
    <w:bookmarkEnd w:id="77"/>
    <w:bookmarkStart w:id="78" w:name="synthesis-and-identification-of-the-gap"/>
    <w:p>
      <w:pPr>
        <w:pStyle w:val="Heading2"/>
        <w:spacing w:line="480" w:lineRule="auto"/>
      </w:pPr>
      <w:r>
        <w:t xml:space="preserve">2.4 Synthesis and Identification of the Gap</w:t>
      </w:r>
    </w:p>
    <w:p>
      <w:pPr>
        <w:pStyle w:val="FirstParagraph"/>
        <w:spacing w:line="480" w:lineRule="auto"/>
      </w:pPr>
      <w:r>
        <w:t xml:space="preserve">The two literatures reviewed in Sections 2.2 and 2.3 are individually mature and jointly disconnected. The domain technical literature on SSA sharing has produced, in the period since 2016, a substantial corpus on ontology and interoperability [1,23], decentralized sharing architectures [2,4,6,10,24,26], secure frameworks and supervisory design [3,5,27,30], outreach and global coordination [7,20,29,33], conjunction risk characterization [13,14,18,25,31], sustainability indicators [11,12,19,22,32], cislunar and cismartian extension</w:t>
      </w:r>
      <w:r>
        <w:t xml:space="preserve"> </w:t>
      </w:r>
      <w:hyperlink w:anchor="ref-35">
        <w:r>
          <w:rPr>
            <w:rStyle w:val="Hyperlink"/>
          </w:rPr>
          <w:t xml:space="preserve">[35]</w:t>
        </w:r>
      </w:hyperlink>
      <w:r>
        <w:t xml:space="preserve">, cooperative ranging</w:t>
      </w:r>
      <w:r>
        <w:t xml:space="preserve"> </w:t>
      </w:r>
      <w:hyperlink w:anchor="ref-36">
        <w:r>
          <w:rPr>
            <w:rStyle w:val="Hyperlink"/>
          </w:rPr>
          <w:t xml:space="preserve">[36]</w:t>
        </w:r>
      </w:hyperlink>
      <w:r>
        <w:t xml:space="preserve">, and the norms and economics scaffolding [8,9,34]. The cumulative claim of this corpus is that a federated civil SSA regime built on voluntary commercial contribution is architecturally feasible and individually rational for at-risk operators.</w:t>
      </w:r>
    </w:p>
    <w:p>
      <w:pPr>
        <w:pStyle w:val="BodyText"/>
        <w:spacing w:line="480" w:lineRule="auto"/>
        <w:ind w:firstLine="720"/>
      </w:pPr>
      <w:r>
        <w:t xml:space="preserve">The cliometric and microeconometric methodology literature has, over a much longer interval, produced the inferential tools necessary to test that cumulative claim: revealed-preference estimation, staggered-adoption identification, the Cox proportional-hazards estimator</w:t>
      </w:r>
      <w:r>
        <w:t xml:space="preserve"> </w:t>
      </w:r>
      <w:hyperlink w:anchor="ref-21">
        <w:r>
          <w:rPr>
            <w:rStyle w:val="Hyperlink"/>
          </w:rPr>
          <w:t xml:space="preserve">[21]</w:t>
        </w:r>
      </w:hyperlink>
      <w:r>
        <w:t xml:space="preserve">, and selection correction. None of these tools has been applied to operator-level SSA contribution behavior. The architectural literature has not reached for the methodology literature because, prior to the TraCSS Initial Operating Capability of September 2024, no observational record adequate to support such an application existed. The methodology literature has not reached for the architectural literature because the SSA domain is small relative to the canonical applications of these tools in labor, health, and industrial organization, and because the data-availability barrier was, until recently, prohibitive.</w:t>
      </w:r>
    </w:p>
    <w:p>
      <w:pPr>
        <w:pStyle w:val="BodyText"/>
        <w:spacing w:line="480" w:lineRule="auto"/>
        <w:ind w:firstLine="720"/>
      </w:pPr>
      <w:r>
        <w:t xml:space="preserve">The gap is, therefore, not a gap in either literature considered in isolation. It is a gap in their intersection. The architectural wager underlying the post-2024 civil SSA regime [2,5,17] has never been tested with the microeconometric tools that exist for precisely this purpose. The sustainability-rating literature [11,12,19,22,32] has specified an incentive mechanism whose efficacy depends on behavioral responsiveness that has never been estimated. The outreach taxonomy [7,20,33] and the global-coordination survey</w:t>
      </w:r>
      <w:r>
        <w:t xml:space="preserve"> </w:t>
      </w:r>
      <w:hyperlink w:anchor="ref-29">
        <w:r>
          <w:rPr>
            <w:rStyle w:val="Hyperlink"/>
          </w:rPr>
          <w:t xml:space="preserve">[29]</w:t>
        </w:r>
      </w:hyperlink>
      <w:r>
        <w:t xml:space="preserve"> </w:t>
      </w:r>
      <w:r>
        <w:t xml:space="preserve">have identified the populations whose responsiveness must be measured without measuring it. The supervisory architecture [5,30] has specified the traceability standard for a contribution record that has never been analyzed as a behavioral dataset.</w:t>
      </w:r>
    </w:p>
    <w:p>
      <w:pPr>
        <w:pStyle w:val="BodyText"/>
        <w:spacing w:line="480" w:lineRule="auto"/>
        <w:ind w:firstLine="720"/>
      </w:pPr>
      <w:r>
        <w:t xml:space="preserve">The dissertation occupies this intersection. It applies the revealed-preference framing of the partially excludable public good [8,9] and the staggered-adoption identification strategy now standard in microeconometric work on policy uptake to the operator-month panel of TraCSS contribution between IOC and FOC. It applies the Cox proportional-hazards estimator</w:t>
      </w:r>
      <w:r>
        <w:t xml:space="preserve"> </w:t>
      </w:r>
      <w:hyperlink w:anchor="ref-21">
        <w:r>
          <w:rPr>
            <w:rStyle w:val="Hyperlink"/>
          </w:rPr>
          <w:t xml:space="preserve">[21]</w:t>
        </w:r>
      </w:hyperlink>
      <w:r>
        <w:t xml:space="preserve"> </w:t>
      </w:r>
      <w:r>
        <w:t xml:space="preserve">to the single-cohort survival panel of commercial LEO operators eligible at IOC. It draws its exposure variable from the conjunction-risk literature [13,14,18,25,31], its dependent variable from the sustainability-indicator and contribution-data substrand [11,12,19,22,32], its provenance standard from the supervisory architecture [5,30], and its identifying variation from the operational record of TraCSS itself</w:t>
      </w:r>
      <w:r>
        <w:t xml:space="preserve"> </w:t>
      </w:r>
      <w:hyperlink w:anchor="ref-17">
        <w:r>
          <w:rPr>
            <w:rStyle w:val="Hyperlink"/>
          </w:rPr>
          <w:t xml:space="preserve">[17]</w:t>
        </w:r>
      </w:hyperlink>
      <w:r>
        <w:t xml:space="preserve">.</w:t>
      </w:r>
    </w:p>
    <w:p>
      <w:pPr>
        <w:pStyle w:val="BodyText"/>
        <w:spacing w:line="480" w:lineRule="auto"/>
        <w:ind w:firstLine="720"/>
      </w:pPr>
      <w:r>
        <w:t xml:space="preserve">The contribution is therefore methodological as well as substantive. Substantively, the dissertation supplies the first revealed-preference estimate of voluntary SSA contribution behavior under the TraCSS regime, and the first test of whether the architectural wager of the post-2024 civil SSA regime is borne out in operator conduct. Methodologically, it imports into the SSA domain a class of estimators that has not previously been used there, and demonstrates the feasibility and informativeness of revealed-preference identification on the new observational record.</w:t>
      </w:r>
    </w:p>
    <w:bookmarkEnd w:id="78"/>
    <w:bookmarkStart w:id="79" w:name="Xc30d90399d247fc968c09f90c96af6242f62481"/>
    <w:p>
      <w:pPr>
        <w:pStyle w:val="Heading2"/>
        <w:spacing w:line="480" w:lineRule="auto"/>
      </w:pPr>
      <w:r>
        <w:t xml:space="preserve">2.5 Locating the Two Empirical Papers in the Gap</w:t>
      </w:r>
    </w:p>
    <w:p>
      <w:pPr>
        <w:pStyle w:val="FirstParagraph"/>
        <w:spacing w:line="480" w:lineRule="auto"/>
      </w:pPr>
      <w:r>
        <w:t xml:space="preserve">The dissertation’s two empirical papers occupy the gap in complementary ways. The first paper [research_paper_1] estimates the revealed price of a conjunction data message through an ordinary-least-squares specification on a thirty-four-operator cross-section, recovering negative and statistically significant coefficients on the Space-Track access tier and on Space Data Association membership after conditioning on CDM volume and orbital regime. The substantive contribution is the first cross-sectional revealed-preference estimate that formal sharing channels are associated with lower maneuver rates per warning, conditional on warning volume. The methodological contribution is the demonstration that the cross-sectional revealed-preference logic familiar from the labor and industrial organization literatures can be implemented on operator-level data drawn from public sources [15,16,17].</w:t>
      </w:r>
    </w:p>
    <w:p>
      <w:pPr>
        <w:pStyle w:val="BodyText"/>
        <w:spacing w:line="480" w:lineRule="auto"/>
        <w:ind w:firstLine="720"/>
      </w:pPr>
      <w:r>
        <w:t xml:space="preserve">The second paper [research_paper_2] estimates the time-to-first-contribution under the TraCSS regime through a Cox proportional-hazards model</w:t>
      </w:r>
      <w:r>
        <w:t xml:space="preserve"> </w:t>
      </w:r>
      <w:hyperlink w:anchor="ref-21">
        <w:r>
          <w:rPr>
            <w:rStyle w:val="Hyperlink"/>
          </w:rPr>
          <w:t xml:space="preserve">[21]</w:t>
        </w:r>
      </w:hyperlink>
      <w:r>
        <w:t xml:space="preserve"> </w:t>
      </w:r>
      <w:r>
        <w:t xml:space="preserve">on a thirty-operator cohort, recovering positive and statistically significant coefficients on operator conjunction exposure and on US licensing status. The substantive contribution is the first survival-analytic estimate that contribution timing responds to the operator’s own ex ante conjunction exposure, which is the most direct test of the architectural wager that the literature surveyed in Section 2.2 has made. The methodological contribution is the demonstration that the Cox semiparametric estimator can be applied informatively to a small, well-sourced cohort drawn from the operational record of a new civil regime.</w:t>
      </w:r>
    </w:p>
    <w:p>
      <w:pPr>
        <w:pStyle w:val="BodyText"/>
        <w:spacing w:line="480" w:lineRule="auto"/>
        <w:ind w:firstLine="720"/>
      </w:pPr>
      <w:r>
        <w:t xml:space="preserve">The two papers, taken together, bracket the behavioral response. The Cox paper [research_paper_2] identifies the timing of entry into voluntary contribution; the panel paper specified in the prospectus identifies the intensity of contribution conditional on entry. The cross-sectional revealed-preference paper [research_paper_1] supplies the proximate behavioral mechanism, namely the association between formal sharing and maneuver rates per warning, that licenses the inference from observed contribution behavior to the welfare argument for voluntary sharing. The unifying contribution is the joining of the two literatures reviewed in this chapter into a single empirical program.</w:t>
      </w:r>
    </w:p>
    <w:p>
      <w:pPr>
        <w:pStyle w:val="BodyText"/>
        <w:spacing w:line="480" w:lineRule="auto"/>
        <w:ind w:firstLine="720"/>
      </w:pPr>
      <w:r>
        <w:t xml:space="preserve">The remainder of the dissertation develops that program. Chapter 3 specifies the data sources, variable definitions, and provenance standards required to operationalize the empirical strategy on the post-IOC observational record. Chapter 4 specifies the panel and survival estimators in formal terms and develops the identification arguments in detail. Chapters 5 and 6 present the two empirical analyses summarized above. Chapter 7 returns to the synthesis developed in Section 2.4 and assesses the extent to which the architectural wager underlying the post-2024 civil SSA regime is supported by the evidence the dissertation produces.</w:t>
      </w:r>
    </w:p>
    <w:bookmarkEnd w:id="79"/>
    <w:bookmarkEnd w:id="80"/>
    <w:bookmarkStart w:id="86" w:name="Xcfcc00a3ded59aed0c781c16bfc121f2a509603"/>
    <w:p>
      <w:pPr>
        <w:pStyle w:val="Heading1"/>
        <w:spacing w:line="480" w:lineRule="auto"/>
      </w:pPr>
      <w:r>
        <w:t xml:space="preserve">Chapter 3. Theoretical Framework and Hypotheses</w:t>
      </w:r>
    </w:p>
    <w:bookmarkStart w:id="81" w:name="purpose-of-the-chapter"/>
    <w:p>
      <w:pPr>
        <w:pStyle w:val="Heading2"/>
        <w:spacing w:line="480" w:lineRule="auto"/>
      </w:pPr>
      <w:r>
        <w:t xml:space="preserve">3.1 Purpose of the Chapter</w:t>
      </w:r>
    </w:p>
    <w:p>
      <w:pPr>
        <w:pStyle w:val="FirstParagraph"/>
        <w:spacing w:line="480" w:lineRule="auto"/>
      </w:pPr>
      <w:r>
        <w:t xml:space="preserve">This chapter specifies the theoretical framework within which the dissertation’s single falsifiable contribution is formulated, derives the causal logic that links operator-specific conjunction exposure to the intensity of voluntary contribution under the Traffic Coordination System for Space (TraCSS) regime, and states the formal null and alternative hypotheses, H0 and H1, that the empirical chapters subsequently test. The chapter does not introduce new data, new estimators, or new institutional description. Those are reserved for the data and method chapters that follow. The aim here is to fix, in advance of estimation, the mechanism the dissertation claims to test, the conditions under which that mechanism would be visible in the data, and the conditions under which it would be falsified. The framework is constructed so that the same theoretical object, the operator’s individually rational contribution decision under a credible federated clearinghouse, supports both the cross-sectional revealed-preference test in the first empirical paper and the survival-analytic test of contribution timing in the second [2, 5]. Both empirical specifications are reduced forms of the same underlying mechanism, and the hypotheses below are stated at the level of that mechanism rather than at the level of any one estimator.</w:t>
      </w:r>
    </w:p>
    <w:p>
      <w:pPr>
        <w:pStyle w:val="BodyText"/>
        <w:spacing w:line="480" w:lineRule="auto"/>
        <w:ind w:firstLine="720"/>
      </w:pPr>
      <w:r>
        <w:t xml:space="preserve">The chapter proceeds in four parts. Section 3.2 places the contribution decision within the partially excludable public-good framing that the SSA architecture literature has implicitly assumed but never formalized. Section 3.3 derives the causal logic that connects an operator’s ex ante conjunction exposure, conditional on fleet size and orbit regime, to its participation intensity in the public catalog. Section 3.4 states the formal hypotheses H0 and H1 and identifies the observable implications by which each would be supported or rejected. Section 3.5 discusses scope conditions, auxiliary assumptions, and the relationship between the dissertation’s mechanism and adjacent mechanisms in the literature, including reputational signaling, regulatory anticipation, and sustainability-rating incentives [11, 12, 19].</w:t>
      </w:r>
    </w:p>
    <w:bookmarkEnd w:id="81"/>
    <w:bookmarkStart w:id="82" w:name="X549f3565bd36d1b97a6e7fa0d2d6303c6b9faa2"/>
    <w:p>
      <w:pPr>
        <w:pStyle w:val="Heading2"/>
        <w:spacing w:line="480" w:lineRule="auto"/>
      </w:pPr>
      <w:r>
        <w:t xml:space="preserve">3.2 Theoretical Framework: Voluntary Contribution to a Partially Excludable SSA Clearinghouse</w:t>
      </w:r>
    </w:p>
    <w:p>
      <w:pPr>
        <w:pStyle w:val="FirstParagraph"/>
        <w:spacing w:line="480" w:lineRule="auto"/>
      </w:pPr>
      <w:r>
        <w:t xml:space="preserve">The post-2024 civil SSA regime in the United States operationalizes a coordination architecture that the SSA literature has been specifying for nearly a decade. The architectural stream of work, beginning with the ontology for an international SSA information system in</w:t>
      </w:r>
      <w:r>
        <w:t xml:space="preserve"> </w:t>
      </w:r>
      <w:hyperlink w:anchor="ref-1">
        <w:r>
          <w:rPr>
            <w:rStyle w:val="Hyperlink"/>
          </w:rPr>
          <w:t xml:space="preserve">[1]</w:t>
        </w:r>
      </w:hyperlink>
      <w:r>
        <w:t xml:space="preserve"> </w:t>
      </w:r>
      <w:r>
        <w:t xml:space="preserve">and culminating in the distributed coordination architectures of</w:t>
      </w:r>
      <w:r>
        <w:t xml:space="preserve"> </w:t>
      </w:r>
      <w:hyperlink w:anchor="ref-4">
        <w:r>
          <w:rPr>
            <w:rStyle w:val="Hyperlink"/>
          </w:rPr>
          <w:t xml:space="preserve">[4]</w:t>
        </w:r>
      </w:hyperlink>
      <w:r>
        <w:t xml:space="preserve"> </w:t>
      </w:r>
      <w:r>
        <w:t xml:space="preserve">and</w:t>
      </w:r>
      <w:r>
        <w:t xml:space="preserve"> </w:t>
      </w:r>
      <w:hyperlink w:anchor="ref-6">
        <w:r>
          <w:rPr>
            <w:rStyle w:val="Hyperlink"/>
          </w:rPr>
          <w:t xml:space="preserve">[6]</w:t>
        </w:r>
      </w:hyperlink>
      <w:r>
        <w:t xml:space="preserve">, specifies how a federated catalog should be constructed so that operator contributions of ephemerides and maneuver intent can be ingested, screened, and re-emitted as higher-quality conjunction data messages to the contributing population. The trust and security stream, including the decentralized sharing architecture of</w:t>
      </w:r>
      <w:r>
        <w:t xml:space="preserve"> </w:t>
      </w:r>
      <w:hyperlink w:anchor="ref-2">
        <w:r>
          <w:rPr>
            <w:rStyle w:val="Hyperlink"/>
          </w:rPr>
          <w:t xml:space="preserve">[2]</w:t>
        </w:r>
      </w:hyperlink>
      <w:r>
        <w:t xml:space="preserve"> </w:t>
      </w:r>
      <w:r>
        <w:t xml:space="preserve">and the secure framework of</w:t>
      </w:r>
      <w:r>
        <w:t xml:space="preserve"> </w:t>
      </w:r>
      <w:hyperlink w:anchor="ref-3">
        <w:r>
          <w:rPr>
            <w:rStyle w:val="Hyperlink"/>
          </w:rPr>
          <w:t xml:space="preserve">[3]</w:t>
        </w:r>
      </w:hyperlink>
      <w:r>
        <w:t xml:space="preserve">, specifies the conditions under which an operator can contribute without revealing proprietary information that would harm its competitive position. The supervision stream, including the decision-support framing in</w:t>
      </w:r>
      <w:r>
        <w:t xml:space="preserve"> </w:t>
      </w:r>
      <w:hyperlink w:anchor="ref-5">
        <w:r>
          <w:rPr>
            <w:rStyle w:val="Hyperlink"/>
          </w:rPr>
          <w:t xml:space="preserve">[5]</w:t>
        </w:r>
      </w:hyperlink>
      <w:r>
        <w:t xml:space="preserve">, specifies how a contribution event is recorded as a traceable artifact of operator due diligence. In each of these strands, the contribution of operator-held state data is treated as the input on which the architecture’s value to the contributing population depends. None of the strands, however, model the contribution decision itself. The decision is asserted to be rational once the architecture exists; it is not derived.</w:t>
      </w:r>
    </w:p>
    <w:p>
      <w:pPr>
        <w:pStyle w:val="BodyText"/>
        <w:spacing w:line="480" w:lineRule="auto"/>
        <w:ind w:firstLine="720"/>
      </w:pPr>
      <w:r>
        <w:t xml:space="preserve">The framework adopted here treats the TraCSS public catalog, and analogous civil clearinghouses surveyed in</w:t>
      </w:r>
      <w:r>
        <w:t xml:space="preserve"> </w:t>
      </w:r>
      <w:hyperlink w:anchor="ref-4">
        <w:r>
          <w:rPr>
            <w:rStyle w:val="Hyperlink"/>
          </w:rPr>
          <w:t xml:space="preserve">[4]</w:t>
        </w:r>
      </w:hyperlink>
      <w:r>
        <w:t xml:space="preserve"> </w:t>
      </w:r>
      <w:r>
        <w:t xml:space="preserve">and</w:t>
      </w:r>
      <w:r>
        <w:t xml:space="preserve"> </w:t>
      </w:r>
      <w:hyperlink w:anchor="ref-6">
        <w:r>
          <w:rPr>
            <w:rStyle w:val="Hyperlink"/>
          </w:rPr>
          <w:t xml:space="preserve">[6]</w:t>
        </w:r>
      </w:hyperlink>
      <w:r>
        <w:t xml:space="preserve">, as a partially excludable public good in the technical sense. The catalog is non-rival on the consumption side: a conjunction warning issued to operator</w:t>
      </w:r>
      <w:r>
        <w:t xml:space="preserve"> </w:t>
      </w:r>
      <m:oMath>
        <m:r>
          <m:t>i</m:t>
        </m:r>
      </m:oMath>
      <w:r>
        <w:t xml:space="preserve"> </w:t>
      </w:r>
      <w:r>
        <w:t xml:space="preserve">on the basis of operator</w:t>
      </w:r>
      <w:r>
        <w:t xml:space="preserve"> </w:t>
      </w:r>
      <m:oMath>
        <m:r>
          <m:t>j</m:t>
        </m:r>
      </m:oMath>
      <w:r>
        <w:t xml:space="preserve">’s contributed ephemeris does not deplete the catalog’s capacity to issue equivalent warnings to operator</w:t>
      </w:r>
      <w:r>
        <w:t xml:space="preserve"> </w:t>
      </w:r>
      <m:oMath>
        <m:r>
          <m:t>k</m:t>
        </m:r>
      </m:oMath>
      <w:r>
        <w:t xml:space="preserve">. It is partially excludable on the contribution side, because the operational benefits of a higher-quality screening pipeline accrue disproportionately to operators whose own state vectors are contained in the catalog at sufficient cadence and accuracy to be matched against the contributions of others [2, 4]. This partial excludability is what distinguishes the TraCSS regime from the classical public-good problem in which the privately rational contribution is zero. The framework predicts a strictly positive contribution from operators whose appropriable share of the screening benefit, conditional on contribution, exceeds the integration and disclosure cost of contributing.</w:t>
      </w:r>
    </w:p>
    <w:p>
      <w:pPr>
        <w:pStyle w:val="BodyText"/>
        <w:spacing w:line="480" w:lineRule="auto"/>
        <w:ind w:firstLine="720"/>
      </w:pPr>
      <w:r>
        <w:t xml:space="preserve">The framework borrows three structural assumptions from the SSA literature and one from the space economics literature. From</w:t>
      </w:r>
      <w:r>
        <w:t xml:space="preserve"> </w:t>
      </w:r>
      <w:hyperlink w:anchor="ref-2">
        <w:r>
          <w:rPr>
            <w:rStyle w:val="Hyperlink"/>
          </w:rPr>
          <w:t xml:space="preserve">[2]</w:t>
        </w:r>
      </w:hyperlink>
      <w:r>
        <w:t xml:space="preserve">, it borrows the assumption that the marginal value of a contributed ephemeris is increasing in the contributing operator’s exposure to conjunction events, because the screening benefit the operator captures is realized through the conjunction data messages issued back to its own fleet. From</w:t>
      </w:r>
      <w:r>
        <w:t xml:space="preserve"> </w:t>
      </w:r>
      <w:hyperlink w:anchor="ref-4">
        <w:r>
          <w:rPr>
            <w:rStyle w:val="Hyperlink"/>
          </w:rPr>
          <w:t xml:space="preserve">[4]</w:t>
        </w:r>
      </w:hyperlink>
      <w:r>
        <w:t xml:space="preserve"> </w:t>
      </w:r>
      <w:r>
        <w:t xml:space="preserve">and</w:t>
      </w:r>
      <w:r>
        <w:t xml:space="preserve"> </w:t>
      </w:r>
      <w:hyperlink w:anchor="ref-6">
        <w:r>
          <w:rPr>
            <w:rStyle w:val="Hyperlink"/>
          </w:rPr>
          <w:t xml:space="preserve">[6]</w:t>
        </w:r>
      </w:hyperlink>
      <w:r>
        <w:t xml:space="preserve">, it borrows the assumption that the federated clearinghouse is, after Initial Operating Capability, a credible low-friction channel through which contribution is technically feasible at marginal integration cost that is small relative to the value of an improved screening pipeline for an exposed operator. From</w:t>
      </w:r>
      <w:r>
        <w:t xml:space="preserve"> </w:t>
      </w:r>
      <w:hyperlink w:anchor="ref-5">
        <w:r>
          <w:rPr>
            <w:rStyle w:val="Hyperlink"/>
          </w:rPr>
          <w:t xml:space="preserve">[5]</w:t>
        </w:r>
      </w:hyperlink>
      <w:r>
        <w:t xml:space="preserve">, it borrows the assumption that the contribution event is recorded with sufficient granularity that it can be used as the dependent variable of a revealed-preference test. From the public-good and norms framing in [8, 9], it borrows the assumption that no operator anticipates that its individual contribution will be decisive in producing a tipping-point transition to a mandatory regime within the observation window of the empirical chapters, so that the contribution decision can be modeled as a marginal calculation rather than as a strategic move in a coordination game.</w:t>
      </w:r>
    </w:p>
    <w:p>
      <w:pPr>
        <w:pStyle w:val="BodyText"/>
        <w:spacing w:line="480" w:lineRule="auto"/>
        <w:ind w:firstLine="720"/>
      </w:pPr>
      <w:r>
        <w:t xml:space="preserve">These four assumptions, taken together, specify the operator’s contribution decision as a comparison between the expected reduction in own collision risk conditional on contribution and the integration and disclosure cost of contributing. The expected reduction in own collision risk is, by the first assumption, increasing in the operator’s ex ante conjunction exposure. The integration and disclosure cost is, by the second assumption, approximately constant across operators within a given orbit regime once the channel exists. The contribution decision is therefore predicted to be monotonically increasing in own conjunction exposure, conditional on the controls that capture cross-operator differences in fleet size and orbit regime.</w:t>
      </w:r>
    </w:p>
    <w:bookmarkEnd w:id="82"/>
    <w:bookmarkStart w:id="83" w:name="X135c2abf1fce7510af0b8668989676dd226e189"/>
    <w:p>
      <w:pPr>
        <w:pStyle w:val="Heading2"/>
        <w:spacing w:line="480" w:lineRule="auto"/>
      </w:pPr>
      <w:r>
        <w:t xml:space="preserve">3.3 Causal Logic: From Exposure to Contribution Intensity</w:t>
      </w:r>
    </w:p>
    <w:p>
      <w:pPr>
        <w:pStyle w:val="FirstParagraph"/>
        <w:spacing w:line="480" w:lineRule="auto"/>
      </w:pPr>
      <w:r>
        <w:t xml:space="preserve">The causal logic that connects conjunction exposure to contribution intensity has three steps, each of which is required for the dissertation’s central claim to hold and each of which generates an observable implication that can be checked against the data.</w:t>
      </w:r>
    </w:p>
    <w:p>
      <w:pPr>
        <w:pStyle w:val="BodyText"/>
        <w:spacing w:line="480" w:lineRule="auto"/>
        <w:ind w:firstLine="720"/>
      </w:pPr>
      <w:r>
        <w:t xml:space="preserve">The first step is the link from ex ante conjunction exposure to the expected screening benefit of contribution. The conjunction screening literature documents that the operational burden of conjunction data messages, measured in screening events per active satellite, rises nonlinearly with traffic density and event frequency in the operator’s principal orbit shells [13, 14, 18]. The contribution of an operator’s own predictive ephemerides at screened-quality cadence is the input that allows the clearinghouse to refine the covariance estimate on the operator’s own state vector, thereby reducing the false-positive rate of subsequent conjunction data messages issued back to that operator [2, 4]. The expected reduction in the operator’s own maneuver burden, conditional on contribution, is therefore an increasing function of the volume of conjunction screening events the operator faces ex ante. The first empirical paper of this dissertation finds the cross-sectional analogue of this prediction: after conditioning on warning volume and orbital regime, operators in formal sharing channels maneuver less per warning than otherwise comparable operators, with the Space-Track tier and Space Data Association membership coefficients both negative and statistically significant. That finding is the cross-sectional revealed-preference test of the first step in the causal chain.</w:t>
      </w:r>
    </w:p>
    <w:p>
      <w:pPr>
        <w:pStyle w:val="BodyText"/>
        <w:spacing w:line="480" w:lineRule="auto"/>
        <w:ind w:firstLine="720"/>
      </w:pPr>
      <w:r>
        <w:t xml:space="preserve">The second step is the link from the expected screening benefit to the contribution decision. The decision is modeled as a comparison between the expected reduction in own collision risk conditional on contribution and the integration and disclosure cost of contributing. Under the four assumptions specified in Section 3.2, the comparison reduces to a comparison between an exposure-increasing function of the screening benefit and an exposure-invariant integration cost. The contribution decision is therefore predicted to flip from negative to positive when the operator’s exposure crosses a threshold at which the marginal expected benefit equals the marginal cost. Above the threshold, contribution is individually rational; below the threshold, it is not. Because exposure varies continuously across operators and the threshold is operator-specific only to the extent that fleet size and orbit regime shift the integration cost, the framework predicts a continuous positive relationship between exposure and contribution intensity in the cross-section of operators above the threshold, and a censored distribution of zeros below the threshold. The second empirical paper of this dissertation finds the temporal analogue of this prediction: a one-unit increase in operator-specific conjunction data messages per active satellite over calendar year 2024 is associated with a more than sevenfold increase in the instantaneous hazard of first voluntary contribution under TraCSS, with conjunction exposure significant at conventional thresholds in the Cox specification. That finding is the survival-analytic revealed-preference test of the second step in the causal chain.</w:t>
      </w:r>
    </w:p>
    <w:p>
      <w:pPr>
        <w:pStyle w:val="BodyText"/>
        <w:spacing w:line="480" w:lineRule="auto"/>
        <w:ind w:firstLine="720"/>
      </w:pPr>
      <w:r>
        <w:t xml:space="preserve">The third step is the link from the contribution decision to observed contribution intensity. The dissertation’s dependent variable, the share of an operator’s active fleet for which screened-quality predictive ephemerides are submitted at least daily, is the intensive-margin analogue of the survival outcome. An operator that has crossed the contribution threshold is predicted to contribute at an intensity that is itself increasing in exposure, because the marginal screening benefit of a higher-cadence ephemeris on a higher-exposure satellite is larger than the marginal screening benefit on a lower-exposure satellite. The framework therefore predicts both an extensive-margin response, observable as the timing of first contribution, and an intensive-margin response, observable as the share of the fleet contributed at screened-quality cadence. Both responses share the same theoretical antecedent: the operator’s ex ante conjunction exposure.</w:t>
      </w:r>
    </w:p>
    <w:p>
      <w:pPr>
        <w:pStyle w:val="BodyText"/>
        <w:spacing w:line="480" w:lineRule="auto"/>
        <w:ind w:firstLine="720"/>
      </w:pPr>
      <w:r>
        <w:t xml:space="preserve">Three observable controls are required to isolate the exposure-to-contribution relationship from confounding sources of variation. Fleet size enters because the integration cost of contributing rises mechanically with the number of satellites that must be instrumented, telemetered, and screened, and because the population of CDMs per satellite is itself a function of fleet size in dense shells [13, 14]. Orbit regime enters because the screening benefit and integration cost both vary across orbit regimes; the geosynchronous environment of</w:t>
      </w:r>
      <w:r>
        <w:t xml:space="preserve"> </w:t>
      </w:r>
      <w:hyperlink w:anchor="ref-14">
        <w:r>
          <w:rPr>
            <w:rStyle w:val="Hyperlink"/>
          </w:rPr>
          <w:t xml:space="preserve">[14]</w:t>
        </w:r>
      </w:hyperlink>
      <w:r>
        <w:t xml:space="preserve"> </w:t>
      </w:r>
      <w:r>
        <w:t xml:space="preserve">is structurally different from the dense low Earth orbit regimes documented in</w:t>
      </w:r>
      <w:r>
        <w:t xml:space="preserve"> </w:t>
      </w:r>
      <w:hyperlink w:anchor="ref-18">
        <w:r>
          <w:rPr>
            <w:rStyle w:val="Hyperlink"/>
          </w:rPr>
          <w:t xml:space="preserve">[18]</w:t>
        </w:r>
      </w:hyperlink>
      <w:r>
        <w:t xml:space="preserve"> </w:t>
      </w:r>
      <w:r>
        <w:t xml:space="preserve">and</w:t>
      </w:r>
      <w:r>
        <w:t xml:space="preserve"> </w:t>
      </w:r>
      <w:hyperlink w:anchor="ref-31">
        <w:r>
          <w:rPr>
            <w:rStyle w:val="Hyperlink"/>
          </w:rPr>
          <w:t xml:space="preserve">[31]</w:t>
        </w:r>
      </w:hyperlink>
      <w:r>
        <w:t xml:space="preserve">. Calendar period enters because the maturation of the TraCSS channel itself between Initial Operating Capability and Full Operating Capability shifts the integration cost over time independently of exposure, and the staggered onboarding documented in</w:t>
      </w:r>
      <w:r>
        <w:t xml:space="preserve"> </w:t>
      </w:r>
      <w:hyperlink w:anchor="ref-17">
        <w:r>
          <w:rPr>
            <w:rStyle w:val="Hyperlink"/>
          </w:rPr>
          <w:t xml:space="preserve">[17]</w:t>
        </w:r>
      </w:hyperlink>
      <w:r>
        <w:t xml:space="preserve"> </w:t>
      </w:r>
      <w:r>
        <w:t xml:space="preserve">provides identifying variation that the empirical chapters exploit. These three controls, together with operator fixed effects in the panel specification, are the conditioning set against which the exposure-to-contribution relationship is identified.</w:t>
      </w:r>
    </w:p>
    <w:bookmarkEnd w:id="83"/>
    <w:bookmarkStart w:id="84" w:name="formal-hypotheses"/>
    <w:p>
      <w:pPr>
        <w:pStyle w:val="Heading2"/>
        <w:spacing w:line="480" w:lineRule="auto"/>
      </w:pPr>
      <w:r>
        <w:t xml:space="preserve">3.4 Formal Hypotheses</w:t>
      </w:r>
    </w:p>
    <w:p>
      <w:pPr>
        <w:pStyle w:val="FirstParagraph"/>
        <w:spacing w:line="480" w:lineRule="auto"/>
      </w:pPr>
      <w:r>
        <w:t xml:space="preserve">The framework and causal logic above support a single falsifiable contribution. Let</w:t>
      </w:r>
      <w:r>
        <w:t xml:space="preserve"> </w:t>
      </w:r>
      <m:oMath>
        <m:sSub>
          <m:e>
            <m:r>
              <m:t>c</m:t>
            </m:r>
          </m:e>
          <m:sub>
            <m:r>
              <m:t>i</m:t>
            </m:r>
            <m:r>
              <m:t>t</m:t>
            </m:r>
          </m:sub>
        </m:sSub>
      </m:oMath>
      <w:r>
        <w:t xml:space="preserve"> </w:t>
      </w:r>
      <w:r>
        <w:t xml:space="preserve">denote operator</w:t>
      </w:r>
      <w:r>
        <w:t xml:space="preserve"> </w:t>
      </w:r>
      <m:oMath>
        <m:r>
          <m:t>i</m:t>
        </m:r>
      </m:oMath>
      <w:r>
        <w:t xml:space="preserve">’s contribution intensity in month</w:t>
      </w:r>
      <w:r>
        <w:t xml:space="preserve"> </w:t>
      </w:r>
      <m:oMath>
        <m:r>
          <m:t>t</m:t>
        </m:r>
      </m:oMath>
      <w:r>
        <w:t xml:space="preserve">, defined as the share of its active fleet for which screened-quality predictive ephemerides are submitted to the TraCSS public catalog at least daily. Let</w:t>
      </w:r>
      <w:r>
        <w:t xml:space="preserve"> </w:t>
      </w:r>
      <m:oMath>
        <m:sSub>
          <m:e>
            <m:r>
              <m:t>x</m:t>
            </m:r>
          </m:e>
          <m:sub>
            <m:r>
              <m:t>i</m:t>
            </m:r>
            <m:r>
              <m:t>t</m:t>
            </m:r>
          </m:sub>
        </m:sSub>
      </m:oMath>
      <w:r>
        <w:t xml:space="preserve"> </w:t>
      </w:r>
      <w:r>
        <w:t xml:space="preserve">denote operator</w:t>
      </w:r>
      <w:r>
        <w:t xml:space="preserve"> </w:t>
      </w:r>
      <m:oMath>
        <m:r>
          <m:t>i</m:t>
        </m:r>
      </m:oMath>
      <w:r>
        <w:t xml:space="preserve">’s ex ante conjunction exposure, defined as the operator-mean of conjunction data messages per active satellite over a trailing window prior to</w:t>
      </w:r>
      <w:r>
        <w:t xml:space="preserve"> </w:t>
      </w:r>
      <m:oMath>
        <m:r>
          <m:t>t</m:t>
        </m:r>
      </m:oMath>
      <w:r>
        <w:t xml:space="preserve">. Let</w:t>
      </w:r>
      <w:r>
        <w:t xml:space="preserve"> </w:t>
      </w:r>
      <m:oMath>
        <m:sSub>
          <m:e>
            <m:r>
              <m:rPr>
                <m:sty m:val="b"/>
              </m:rPr>
              <m:t>z</m:t>
            </m:r>
          </m:e>
          <m:sub>
            <m:r>
              <m:t>i</m:t>
            </m:r>
            <m:r>
              <m:t>t</m:t>
            </m:r>
          </m:sub>
        </m:sSub>
      </m:oMath>
      <w:r>
        <w:t xml:space="preserve"> </w:t>
      </w:r>
      <w:r>
        <w:t xml:space="preserve">denote the vector of controls comprising the natural logarithm of fleet size, orbit regime indicators, calendar month indicators, and operator fixed effects. The conditional expectation function of interest is</w:t>
      </w:r>
      <w:r>
        <w:t xml:space="preserve"> </w:t>
      </w:r>
      <m:oMath>
        <m:r>
          <m:t>E</m:t>
        </m:r>
        <m:r>
          <m:rPr>
            <m:sty m:val="p"/>
          </m:rPr>
          <m:t>[</m:t>
        </m:r>
        <m:sSub>
          <m:e>
            <m:r>
              <m:t>c</m:t>
            </m:r>
          </m:e>
          <m:sub>
            <m:r>
              <m:t>i</m:t>
            </m:r>
            <m:r>
              <m:t>t</m:t>
            </m:r>
          </m:sub>
        </m:sSub>
        <m:r>
          <m:rPr>
            <m:sty m:val="p"/>
          </m:rPr>
          <m:t>∣</m:t>
        </m:r>
        <m:sSub>
          <m:e>
            <m:r>
              <m:t>x</m:t>
            </m:r>
          </m:e>
          <m:sub>
            <m:r>
              <m:t>i</m:t>
            </m:r>
            <m:r>
              <m:t>t</m:t>
            </m:r>
          </m:sub>
        </m:sSub>
        <m:r>
          <m:rPr>
            <m:sty m:val="p"/>
          </m:rPr>
          <m:t>,</m:t>
        </m:r>
        <m:sSub>
          <m:e>
            <m:r>
              <m:rPr>
                <m:sty m:val="b"/>
              </m:rPr>
              <m:t>z</m:t>
            </m:r>
          </m:e>
          <m:sub>
            <m:r>
              <m:t>i</m:t>
            </m:r>
            <m:r>
              <m:t>t</m:t>
            </m:r>
          </m:sub>
        </m:sSub>
        <m:r>
          <m:rPr>
            <m:sty m:val="p"/>
          </m:rPr>
          <m:t>]</m:t>
        </m:r>
      </m:oMath>
      <w:r>
        <w:t xml:space="preserve">, and the partial derivative of interest is</w:t>
      </w:r>
      <w:r>
        <w:t xml:space="preserve"> </w:t>
      </w:r>
      <m:oMath>
        <m:r>
          <m:rPr>
            <m:sty m:val="p"/>
          </m:rPr>
          <m:t>∂</m:t>
        </m:r>
        <m:r>
          <m:t>E</m:t>
        </m:r>
        <m:r>
          <m:rPr>
            <m:sty m:val="p"/>
          </m:rPr>
          <m:t>[</m:t>
        </m:r>
        <m:sSub>
          <m:e>
            <m:r>
              <m:t>c</m:t>
            </m:r>
          </m:e>
          <m:sub>
            <m:r>
              <m:t>i</m:t>
            </m:r>
            <m:r>
              <m:t>t</m:t>
            </m:r>
          </m:sub>
        </m:sSub>
        <m:r>
          <m:rPr>
            <m:sty m:val="p"/>
          </m:rPr>
          <m:t>∣</m:t>
        </m:r>
        <m:sSub>
          <m:e>
            <m:r>
              <m:t>x</m:t>
            </m:r>
          </m:e>
          <m:sub>
            <m:r>
              <m:t>i</m:t>
            </m:r>
            <m:r>
              <m:t>t</m:t>
            </m:r>
          </m:sub>
        </m:sSub>
        <m:r>
          <m:rPr>
            <m:sty m:val="p"/>
          </m:rPr>
          <m:t>,</m:t>
        </m:r>
        <m:sSub>
          <m:e>
            <m:r>
              <m:rPr>
                <m:sty m:val="b"/>
              </m:rPr>
              <m:t>z</m:t>
            </m:r>
          </m:e>
          <m:sub>
            <m:r>
              <m:t>i</m:t>
            </m:r>
            <m:r>
              <m:t>t</m:t>
            </m:r>
          </m:sub>
        </m:sSub>
        <m:r>
          <m:rPr>
            <m:sty m:val="p"/>
          </m:rPr>
          <m:t>]</m:t>
        </m:r>
        <m:r>
          <m:rPr>
            <m:sty m:val="p"/>
          </m:rPr>
          <m:t>/</m:t>
        </m:r>
        <m:r>
          <m:rPr>
            <m:sty m:val="p"/>
          </m:rPr>
          <m:t>∂</m:t>
        </m:r>
        <m:sSub>
          <m:e>
            <m:r>
              <m:t>x</m:t>
            </m:r>
          </m:e>
          <m:sub>
            <m:r>
              <m:t>i</m:t>
            </m:r>
            <m:r>
              <m:t>t</m:t>
            </m:r>
          </m:sub>
        </m:sSub>
      </m:oMath>
      <w:r>
        <w:t xml:space="preserve">.</w:t>
      </w:r>
    </w:p>
    <w:p>
      <w:pPr>
        <w:pStyle w:val="BodyText"/>
        <w:spacing w:line="480" w:lineRule="auto"/>
        <w:ind w:firstLine="720"/>
      </w:pPr>
      <w:r>
        <w:t xml:space="preserve">H0. Conditional on fleet size, orbit regime, calendar month, and operator fixed effects, the partial derivative of operator</w:t>
      </w:r>
      <w:r>
        <w:t xml:space="preserve"> </w:t>
      </w:r>
      <m:oMath>
        <m:r>
          <m:t>i</m:t>
        </m:r>
      </m:oMath>
      <w:r>
        <w:t xml:space="preserve">’s contribution intensity with respect to its own ex ante conjunction exposure is zero. Formally,</w:t>
      </w:r>
      <w:r>
        <w:t xml:space="preserve"> </w:t>
      </w:r>
      <m:oMath>
        <m:r>
          <m:rPr>
            <m:sty m:val="p"/>
          </m:rPr>
          <m:t>∂</m:t>
        </m:r>
        <m:r>
          <m:t>E</m:t>
        </m:r>
        <m:r>
          <m:rPr>
            <m:sty m:val="p"/>
          </m:rPr>
          <m:t>[</m:t>
        </m:r>
        <m:sSub>
          <m:e>
            <m:r>
              <m:t>c</m:t>
            </m:r>
          </m:e>
          <m:sub>
            <m:r>
              <m:t>i</m:t>
            </m:r>
            <m:r>
              <m:t>t</m:t>
            </m:r>
          </m:sub>
        </m:sSub>
        <m:r>
          <m:rPr>
            <m:sty m:val="p"/>
          </m:rPr>
          <m:t>∣</m:t>
        </m:r>
        <m:sSub>
          <m:e>
            <m:r>
              <m:t>x</m:t>
            </m:r>
          </m:e>
          <m:sub>
            <m:r>
              <m:t>i</m:t>
            </m:r>
            <m:r>
              <m:t>t</m:t>
            </m:r>
          </m:sub>
        </m:sSub>
        <m:r>
          <m:rPr>
            <m:sty m:val="p"/>
          </m:rPr>
          <m:t>,</m:t>
        </m:r>
        <m:sSub>
          <m:e>
            <m:r>
              <m:rPr>
                <m:sty m:val="b"/>
              </m:rPr>
              <m:t>z</m:t>
            </m:r>
          </m:e>
          <m:sub>
            <m:r>
              <m:t>i</m:t>
            </m:r>
            <m:r>
              <m:t>t</m:t>
            </m:r>
          </m:sub>
        </m:sSub>
        <m:r>
          <m:rPr>
            <m:sty m:val="p"/>
          </m:rPr>
          <m:t>]</m:t>
        </m:r>
        <m:r>
          <m:rPr>
            <m:sty m:val="p"/>
          </m:rPr>
          <m:t>/</m:t>
        </m:r>
        <m:r>
          <m:rPr>
            <m:sty m:val="p"/>
          </m:rPr>
          <m:t>∂</m:t>
        </m:r>
        <m:sSub>
          <m:e>
            <m:r>
              <m:t>x</m:t>
            </m:r>
          </m:e>
          <m:sub>
            <m:r>
              <m:t>i</m:t>
            </m:r>
            <m:r>
              <m:t>t</m:t>
            </m:r>
          </m:sub>
        </m:sSub>
        <m:r>
          <m:rPr>
            <m:sty m:val="p"/>
          </m:rPr>
          <m:t>=</m:t>
        </m:r>
        <m:r>
          <m:t>0</m:t>
        </m:r>
      </m:oMath>
      <w:r>
        <w:t xml:space="preserve">.</w:t>
      </w:r>
    </w:p>
    <w:p>
      <w:pPr>
        <w:pStyle w:val="BodyText"/>
        <w:spacing w:line="480" w:lineRule="auto"/>
        <w:ind w:firstLine="720"/>
      </w:pPr>
      <w:r>
        <w:t xml:space="preserve">H1. Conditional on the same controls, the partial derivative of operator</w:t>
      </w:r>
      <w:r>
        <w:t xml:space="preserve"> </w:t>
      </w:r>
      <m:oMath>
        <m:r>
          <m:t>i</m:t>
        </m:r>
      </m:oMath>
      <w:r>
        <w:t xml:space="preserve">’s contribution intensity with respect to its own ex ante conjunction exposure is strictly positive. Formally,</w:t>
      </w:r>
      <w:r>
        <w:t xml:space="preserve"> </w:t>
      </w:r>
      <m:oMath>
        <m:r>
          <m:rPr>
            <m:sty m:val="p"/>
          </m:rPr>
          <m:t>∂</m:t>
        </m:r>
        <m:r>
          <m:t>E</m:t>
        </m:r>
        <m:r>
          <m:rPr>
            <m:sty m:val="p"/>
          </m:rPr>
          <m:t>[</m:t>
        </m:r>
        <m:sSub>
          <m:e>
            <m:r>
              <m:t>c</m:t>
            </m:r>
          </m:e>
          <m:sub>
            <m:r>
              <m:t>i</m:t>
            </m:r>
            <m:r>
              <m:t>t</m:t>
            </m:r>
          </m:sub>
        </m:sSub>
        <m:r>
          <m:rPr>
            <m:sty m:val="p"/>
          </m:rPr>
          <m:t>∣</m:t>
        </m:r>
        <m:sSub>
          <m:e>
            <m:r>
              <m:t>x</m:t>
            </m:r>
          </m:e>
          <m:sub>
            <m:r>
              <m:t>i</m:t>
            </m:r>
            <m:r>
              <m:t>t</m:t>
            </m:r>
          </m:sub>
        </m:sSub>
        <m:r>
          <m:rPr>
            <m:sty m:val="p"/>
          </m:rPr>
          <m:t>,</m:t>
        </m:r>
        <m:sSub>
          <m:e>
            <m:r>
              <m:rPr>
                <m:sty m:val="b"/>
              </m:rPr>
              <m:t>z</m:t>
            </m:r>
          </m:e>
          <m:sub>
            <m:r>
              <m:t>i</m:t>
            </m:r>
            <m:r>
              <m:t>t</m:t>
            </m:r>
          </m:sub>
        </m:sSub>
        <m:r>
          <m:rPr>
            <m:sty m:val="p"/>
          </m:rPr>
          <m:t>]</m:t>
        </m:r>
        <m:r>
          <m:rPr>
            <m:sty m:val="p"/>
          </m:rPr>
          <m:t>/</m:t>
        </m:r>
        <m:r>
          <m:rPr>
            <m:sty m:val="p"/>
          </m:rPr>
          <m:t>∂</m:t>
        </m:r>
        <m:sSub>
          <m:e>
            <m:r>
              <m:t>x</m:t>
            </m:r>
          </m:e>
          <m:sub>
            <m:r>
              <m:t>i</m:t>
            </m:r>
            <m:r>
              <m:t>t</m:t>
            </m:r>
          </m:sub>
        </m:sSub>
        <m:r>
          <m:rPr>
            <m:sty m:val="p"/>
          </m:rPr>
          <m:t>&gt;</m:t>
        </m:r>
        <m:r>
          <m:t>0</m:t>
        </m:r>
      </m:oMath>
      <w:r>
        <w:t xml:space="preserve">.</w:t>
      </w:r>
    </w:p>
    <w:p>
      <w:pPr>
        <w:pStyle w:val="BodyText"/>
        <w:spacing w:line="480" w:lineRule="auto"/>
        <w:ind w:firstLine="720"/>
      </w:pPr>
      <w:r>
        <w:t xml:space="preserve">The two hypotheses partition the parameter space. H0 is the architectural null under which the post-2024 civil SSA regime, as specified in the decentralized sharing architecture of</w:t>
      </w:r>
      <w:r>
        <w:t xml:space="preserve"> </w:t>
      </w:r>
      <w:hyperlink w:anchor="ref-2">
        <w:r>
          <w:rPr>
            <w:rStyle w:val="Hyperlink"/>
          </w:rPr>
          <w:t xml:space="preserve">[2]</w:t>
        </w:r>
      </w:hyperlink>
      <w:r>
        <w:t xml:space="preserve"> </w:t>
      </w:r>
      <w:r>
        <w:t xml:space="preserve">and the distributed coordination architectures of</w:t>
      </w:r>
      <w:r>
        <w:t xml:space="preserve"> </w:t>
      </w:r>
      <w:hyperlink w:anchor="ref-4">
        <w:r>
          <w:rPr>
            <w:rStyle w:val="Hyperlink"/>
          </w:rPr>
          <w:t xml:space="preserve">[4]</w:t>
        </w:r>
      </w:hyperlink>
      <w:r>
        <w:t xml:space="preserve"> </w:t>
      </w:r>
      <w:r>
        <w:t xml:space="preserve">and</w:t>
      </w:r>
      <w:r>
        <w:t xml:space="preserve"> </w:t>
      </w:r>
      <w:hyperlink w:anchor="ref-6">
        <w:r>
          <w:rPr>
            <w:rStyle w:val="Hyperlink"/>
          </w:rPr>
          <w:t xml:space="preserve">[6]</w:t>
        </w:r>
      </w:hyperlink>
      <w:r>
        <w:t xml:space="preserve">, elicits contribution behavior that is, conditional on the controls, uncorrelated with the operator’s own exposure to the conjunction risk that contribution is supposed to mitigate. H1 is the revealed-preference alternative under which contribution intensity tracks own exposure in the manner the framework predicts. The two hypotheses are stated in terms of the conditional expectation function of</w:t>
      </w:r>
      <w:r>
        <w:t xml:space="preserve"> </w:t>
      </w:r>
      <m:oMath>
        <m:sSub>
          <m:e>
            <m:r>
              <m:t>c</m:t>
            </m:r>
          </m:e>
          <m:sub>
            <m:r>
              <m:t>i</m:t>
            </m:r>
            <m:r>
              <m:t>t</m:t>
            </m:r>
          </m:sub>
        </m:sSub>
      </m:oMath>
      <w:r>
        <w:t xml:space="preserve"> </w:t>
      </w:r>
      <w:r>
        <w:t xml:space="preserve">given</w:t>
      </w:r>
      <w:r>
        <w:t xml:space="preserve"> </w:t>
      </w:r>
      <m:oMath>
        <m:sSub>
          <m:e>
            <m:r>
              <m:t>x</m:t>
            </m:r>
          </m:e>
          <m:sub>
            <m:r>
              <m:t>i</m:t>
            </m:r>
            <m:r>
              <m:t>t</m:t>
            </m:r>
          </m:sub>
        </m:sSub>
      </m:oMath>
      <w:r>
        <w:t xml:space="preserve"> </w:t>
      </w:r>
      <w:r>
        <w:t xml:space="preserve">and the controls because the dissertation’s primary estimator is a panel fixed-effects specification of that conditional expectation function. The same partition translates without loss into the hazard-rate formulation used in the survival analysis of the second empirical paper, in which the null is that the coefficient on exposure in the Cox specification is zero and the alternative is that it is strictly positive; the second paper’s finding of a positive and statistically significant coefficient is the survival-analytic rejection of the corresponding null, and is reported here for theoretical completeness rather than as part of the chapter’s hypothesis statement.</w:t>
      </w:r>
    </w:p>
    <w:p>
      <w:pPr>
        <w:pStyle w:val="BodyText"/>
        <w:spacing w:line="480" w:lineRule="auto"/>
        <w:ind w:firstLine="720"/>
      </w:pPr>
      <w:r>
        <w:t xml:space="preserve">Two observable implications are required for the dissertation to claim that a rejection of H0 in favor of H1 constitutes revealed-preference evidence for the framework’s mechanism rather than for an alternative mechanism. The first implication is monotonicity: the estimated partial derivative must be positive across the range of exposure values observed in the cohort, not only at the high-exposure tail. A finding that is positive only among the most exposed operators would be consistent with reputational signaling at the high-visibility tail of the operator distribution rather than with the smooth marginal calculus the framework specifies. The second implication is conditional independence from regulatory anticipation: the estimated partial derivative must remain positive and statistically significant after conditioning on indicators that proxy for the operator’s exposure to regulatory anticipation, such as US licensing status and the proximity to the Office of Space Commerce outreach channels documented in</w:t>
      </w:r>
      <w:r>
        <w:t xml:space="preserve"> </w:t>
      </w:r>
      <w:hyperlink w:anchor="ref-7">
        <w:r>
          <w:rPr>
            <w:rStyle w:val="Hyperlink"/>
          </w:rPr>
          <w:t xml:space="preserve">[7]</w:t>
        </w:r>
      </w:hyperlink>
      <w:r>
        <w:t xml:space="preserve"> </w:t>
      </w:r>
      <w:r>
        <w:t xml:space="preserve">and</w:t>
      </w:r>
      <w:r>
        <w:t xml:space="preserve"> </w:t>
      </w:r>
      <w:hyperlink w:anchor="ref-33">
        <w:r>
          <w:rPr>
            <w:rStyle w:val="Hyperlink"/>
          </w:rPr>
          <w:t xml:space="preserve">[33]</w:t>
        </w:r>
      </w:hyperlink>
      <w:r>
        <w:t xml:space="preserve">. The second empirical paper finds a large and precisely estimated US-licensing coefficient alongside a significant exposure coefficient, which the chapter’s framework interprets as evidence that exposure and regulatory anticipation operate as distinct, separable channels rather than as a single confounded channel. The first empirical paper’s separation of the Space-Track tier, the Space Data Association membership indicator, and the operator-coded share index serves the same theoretical purpose: it isolates the institutional contribution channel from the mechanical correlation between fleet size and sharing intensity.</w:t>
      </w:r>
    </w:p>
    <w:p>
      <w:pPr>
        <w:pStyle w:val="BodyText"/>
        <w:spacing w:line="480" w:lineRule="auto"/>
        <w:ind w:firstLine="720"/>
      </w:pPr>
      <w:r>
        <w:t xml:space="preserve">The chapter’s hypotheses are intentionally narrow. They are not joint hypotheses about welfare, about systemic risk, or about the long-run sustainability of the orbital commons. They are hypotheses about a single conditional expectation function. The framework permits the dissertation to claim, in the event that H0 is rejected in favor of H1, that the architectural wager underlying TraCSS is empirically supported along the dimension the architecture community has assumed but never tested. The framework permits the dissertation to claim, in the event that H0 is not rejected, that the contribution observed to date is sustained by non-risk motives such as regulatory anticipation, reputational signaling, or sustainability-rating incentives [12, 19], and that the design of incentives under a future mandatory regime must therefore proceed on different theoretical premises than those the current architecture assumes. Either outcome is informative, which is the property a falsifiable contribution is required to have.</w:t>
      </w:r>
    </w:p>
    <w:bookmarkEnd w:id="84"/>
    <w:bookmarkStart w:id="85" w:name="Xa642ef0d5801c6295359c841a6ff5f55d913113"/>
    <w:p>
      <w:pPr>
        <w:pStyle w:val="Heading2"/>
        <w:spacing w:line="480" w:lineRule="auto"/>
      </w:pPr>
      <w:r>
        <w:t xml:space="preserve">3.5 Scope, Auxiliary Assumptions, and Adjacent Mechanisms</w:t>
      </w:r>
    </w:p>
    <w:p>
      <w:pPr>
        <w:pStyle w:val="FirstParagraph"/>
        <w:spacing w:line="480" w:lineRule="auto"/>
      </w:pPr>
      <w:r>
        <w:t xml:space="preserve">The framework’s scope conditions are explicit. The mechanism applies to commercial operators of active satellites in the low Earth orbit regime during the post-Initial Operating Capability window of the TraCSS regime. It does not apply to civil or military operators whose contribution decisions are governed by intergovernmental memoranda rather than by the individually rational calculus the framework specifies, and it does not apply to operators in the geosynchronous regime, for which the conjunction-likelihood structure documented in</w:t>
      </w:r>
      <w:r>
        <w:t xml:space="preserve"> </w:t>
      </w:r>
      <w:hyperlink w:anchor="ref-14">
        <w:r>
          <w:rPr>
            <w:rStyle w:val="Hyperlink"/>
          </w:rPr>
          <w:t xml:space="preserve">[14]</w:t>
        </w:r>
      </w:hyperlink>
      <w:r>
        <w:t xml:space="preserve"> </w:t>
      </w:r>
      <w:r>
        <w:t xml:space="preserve">differs from the dense-shell structure of low Earth orbit. The empirical chapters restrict the cohort to commercial low Earth orbit operators in conformity with this scope condition, and the survival analysis of the second empirical paper notes the staggered onboarding of European Union and other non-United States operators under the architectures surveyed in</w:t>
      </w:r>
      <w:r>
        <w:t xml:space="preserve"> </w:t>
      </w:r>
      <w:hyperlink w:anchor="ref-4">
        <w:r>
          <w:rPr>
            <w:rStyle w:val="Hyperlink"/>
          </w:rPr>
          <w:t xml:space="preserve">[4]</w:t>
        </w:r>
      </w:hyperlink>
      <w:r>
        <w:t xml:space="preserve"> </w:t>
      </w:r>
      <w:r>
        <w:t xml:space="preserve">and</w:t>
      </w:r>
      <w:r>
        <w:t xml:space="preserve"> </w:t>
      </w:r>
      <w:hyperlink w:anchor="ref-6">
        <w:r>
          <w:rPr>
            <w:rStyle w:val="Hyperlink"/>
          </w:rPr>
          <w:t xml:space="preserve">[6]</w:t>
        </w:r>
      </w:hyperlink>
      <w:r>
        <w:t xml:space="preserve"> </w:t>
      </w:r>
      <w:r>
        <w:t xml:space="preserve">as the natural external check on the United States cohort findings.</w:t>
      </w:r>
    </w:p>
    <w:p>
      <w:pPr>
        <w:pStyle w:val="BodyText"/>
        <w:spacing w:line="480" w:lineRule="auto"/>
        <w:ind w:firstLine="720"/>
      </w:pPr>
      <w:r>
        <w:t xml:space="preserve">Three auxiliary assumptions are required for the empirical implementation of the framework, and each is acknowledged here so that the empirical chapters can treat them as identification conditions rather than as silent priors. The first is that contribution intensity is measured without systematic error across the operator distribution. The first empirical paper’s discussion of the potential mechanical correlation between the operator-coded share index and fleet size is the operationalization of this assumption. The second is that ex ante conjunction exposure, as measured by the operator-mean of conjunction data messages per active satellite, is a faithful proxy for the operator’s expected screening benefit from contribution. The conjunction-screening literature in</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 and</w:t>
      </w:r>
      <w:r>
        <w:t xml:space="preserve"> </w:t>
      </w:r>
      <w:hyperlink w:anchor="ref-31">
        <w:r>
          <w:rPr>
            <w:rStyle w:val="Hyperlink"/>
          </w:rPr>
          <w:t xml:space="preserve">[31]</w:t>
        </w:r>
      </w:hyperlink>
      <w:r>
        <w:t xml:space="preserve"> </w:t>
      </w:r>
      <w:r>
        <w:t xml:space="preserve">supports this proxy at the population level but does not rule out heterogeneity at the operator level, and the empirical chapters’ use of operator fixed effects absorbs the time-invariant component of any such heterogeneity. The third is that the integration and disclosure cost of contributing is approximately constant across operators within a given orbit regime and calendar period once the channel exists. The architectural literature in</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and</w:t>
      </w:r>
      <w:r>
        <w:t xml:space="preserve"> </w:t>
      </w:r>
      <w:hyperlink w:anchor="ref-6">
        <w:r>
          <w:rPr>
            <w:rStyle w:val="Hyperlink"/>
          </w:rPr>
          <w:t xml:space="preserve">[6]</w:t>
        </w:r>
      </w:hyperlink>
      <w:r>
        <w:t xml:space="preserve"> </w:t>
      </w:r>
      <w:r>
        <w:t xml:space="preserve">is consistent with this assumption insofar as it specifies the channel as low-friction by design, but the assumption is not directly testable in the empirical chapters and is, in that sense, a maintained hypothesis.</w:t>
      </w:r>
    </w:p>
    <w:p>
      <w:pPr>
        <w:pStyle w:val="BodyText"/>
        <w:spacing w:line="480" w:lineRule="auto"/>
        <w:ind w:firstLine="720"/>
      </w:pPr>
      <w:r>
        <w:t xml:space="preserve">Three adjacent mechanisms appear in the literature and warrant explicit distinction from the framework’s mechanism. The first is reputational signaling, under which operators contribute in order to signal safety culture or operational sophistication to regulators, insurers, or the investing public. The reputational mechanism predicts a contribution decision that responds to the visibility of the operator rather than to its exposure, and the empirical chapters’ conditioning on fleet size and the inclusion of operator fixed effects are designed to attenuate the confounding influence of this mechanism without claiming to eliminate it. The second is regulatory anticipation, under which operators contribute in order to position themselves favorably under the rules of a future mandatory regime. The supervisory framing in</w:t>
      </w:r>
      <w:r>
        <w:t xml:space="preserve"> </w:t>
      </w:r>
      <w:hyperlink w:anchor="ref-5">
        <w:r>
          <w:rPr>
            <w:rStyle w:val="Hyperlink"/>
          </w:rPr>
          <w:t xml:space="preserve">[5]</w:t>
        </w:r>
      </w:hyperlink>
      <w:r>
        <w:t xml:space="preserve"> </w:t>
      </w:r>
      <w:r>
        <w:t xml:space="preserve">and the outreach taxonomy in</w:t>
      </w:r>
      <w:r>
        <w:t xml:space="preserve"> </w:t>
      </w:r>
      <w:hyperlink w:anchor="ref-7">
        <w:r>
          <w:rPr>
            <w:rStyle w:val="Hyperlink"/>
          </w:rPr>
          <w:t xml:space="preserve">[7]</w:t>
        </w:r>
      </w:hyperlink>
      <w:r>
        <w:t xml:space="preserve"> </w:t>
      </w:r>
      <w:r>
        <w:t xml:space="preserve">and</w:t>
      </w:r>
      <w:r>
        <w:t xml:space="preserve"> </w:t>
      </w:r>
      <w:hyperlink w:anchor="ref-33">
        <w:r>
          <w:rPr>
            <w:rStyle w:val="Hyperlink"/>
          </w:rPr>
          <w:t xml:space="preserve">[33]</w:t>
        </w:r>
      </w:hyperlink>
      <w:r>
        <w:t xml:space="preserve"> </w:t>
      </w:r>
      <w:r>
        <w:t xml:space="preserve">are consistent with this mechanism, and the empirical chapters’ inclusion of US licensing status and outreach-proximity indicators is intended to separate it from exposure. The third is sustainability-rating incentives, under which operators contribute in response to composite indicators of long-term environmental stewardship of the kind designed in</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and</w:t>
      </w:r>
      <w:r>
        <w:t xml:space="preserve"> </w:t>
      </w:r>
      <w:hyperlink w:anchor="ref-19">
        <w:r>
          <w:rPr>
            <w:rStyle w:val="Hyperlink"/>
          </w:rPr>
          <w:t xml:space="preserve">[19]</w:t>
        </w:r>
      </w:hyperlink>
      <w:r>
        <w:t xml:space="preserve">. The sustainability-rating mechanism predicts a contribution decision that responds to the operator’s score under such indicators rather than to its own exposure, and the empirical chapters’ use of conjunction exposure as the principal regressor and the inclusion of orbit regime indicators are intended to separate it from the framework’s mechanism.</w:t>
      </w:r>
    </w:p>
    <w:p>
      <w:pPr>
        <w:pStyle w:val="BodyText"/>
        <w:spacing w:line="480" w:lineRule="auto"/>
        <w:ind w:firstLine="720"/>
      </w:pPr>
      <w:r>
        <w:t xml:space="preserve">The framework does not claim that the three adjacent mechanisms are absent. It claims that, after conditioning on the controls the empirical chapters use, the exposure-to-contribution relationship is positive and statistically distinguishable from zero, and that the magnitude of that relationship is sufficient to support the inference that voluntary contribution under TraCSS is, at the margin, individually rational for exposed operators. The framework is, in this sense, a conditional theory of voluntary contribution and not an unconditional one. The chapter’s hypothesis statement reflects that conditional character by stating H0 and H1 as conditional on the vector</w:t>
      </w:r>
      <w:r>
        <w:t xml:space="preserve"> </w:t>
      </w:r>
      <m:oMath>
        <m:sSub>
          <m:e>
            <m:r>
              <m:rPr>
                <m:sty m:val="b"/>
              </m:rPr>
              <m:t>z</m:t>
            </m:r>
          </m:e>
          <m:sub>
            <m:r>
              <m:t>i</m:t>
            </m:r>
            <m:r>
              <m:t>t</m:t>
            </m:r>
          </m:sub>
        </m:sSub>
      </m:oMath>
      <w:r>
        <w:t xml:space="preserve"> </w:t>
      </w:r>
      <w:r>
        <w:t xml:space="preserve">of controls.</w:t>
      </w:r>
    </w:p>
    <w:p>
      <w:pPr>
        <w:pStyle w:val="BodyText"/>
        <w:spacing w:line="480" w:lineRule="auto"/>
        <w:ind w:firstLine="720"/>
      </w:pPr>
      <w:r>
        <w:t xml:space="preserve">The chapter closes with a note on the relationship between the framework and the broader public-good and norms framing in the space economics literature [8, 9]. That framing treats voluntary contribution as a coordination problem in which the equilibrium contribution level is determined by the interaction of operator incentives, sustainability norms, and the credible commitment of the clearinghouse. The framework adopted here is consistent with that framing but is narrower: it isolates the operator-level marginal calculation conditional on the existence of a credible clearinghouse, and treats the prior question of clearinghouse credibility as settled by the Initial Operating Capability cutover documented in</w:t>
      </w:r>
      <w:r>
        <w:t xml:space="preserve"> </w:t>
      </w:r>
      <w:hyperlink w:anchor="ref-17">
        <w:r>
          <w:rPr>
            <w:rStyle w:val="Hyperlink"/>
          </w:rPr>
          <w:t xml:space="preserve">[17]</w:t>
        </w:r>
      </w:hyperlink>
      <w:r>
        <w:t xml:space="preserve">. The dissertation’s empirical chapters therefore test the framework’s mechanism on the post-Initial Operating Capability cohort, and the dissertation’s discussion chapter returns to the broader coordination question only after the empirical results are in hand. With the framework, the causal logic, and the formal hypotheses fixed, the dissertation now proceeds to specify the data and method by which H0 and H1 are taken to the empirical evidence.</w:t>
      </w:r>
    </w:p>
    <w:bookmarkEnd w:id="85"/>
    <w:bookmarkEnd w:id="86"/>
    <w:bookmarkStart w:id="93" w:name="chapter-4.-data-and-measurement"/>
    <w:p>
      <w:pPr>
        <w:pStyle w:val="Heading1"/>
        <w:spacing w:line="480" w:lineRule="auto"/>
      </w:pPr>
      <w:r>
        <w:t xml:space="preserve">Chapter 4. Data and Measurement</w:t>
      </w:r>
    </w:p>
    <w:bookmarkStart w:id="87" w:name="purpose-and-organization-of-the-chapter"/>
    <w:p>
      <w:pPr>
        <w:pStyle w:val="Heading2"/>
        <w:spacing w:line="480" w:lineRule="auto"/>
      </w:pPr>
      <w:r>
        <w:t xml:space="preserve">4.1 Purpose and Organization of the Chapter</w:t>
      </w:r>
    </w:p>
    <w:p>
      <w:pPr>
        <w:pStyle w:val="FirstParagraph"/>
        <w:spacing w:line="480" w:lineRule="auto"/>
      </w:pPr>
      <w:r>
        <w:t xml:space="preserve">This chapter documents the empirical foundation on which the two estimating papers of the dissertation rest. Its purpose is threefold. First, it specifies the primary records from which every variable used in the OLS cross-sectional analysis of Paper 1 and the Cox proportional-hazards survival analysis of Paper 2 is constructed, together with the authoritative source for each record. Second, it defines the unit of analysis in each paper and the rules by which records were aggregated to that unit. Third, it makes explicit the construction rules, transformations, and quality flags applied to each variable, so that the inferential claims of Chapters 5 and 6 can be audited at the row level. The chapter therefore functions as the data appendix to which the methods chapters refer, in the granular form required by the supervisory traceability standard articulated in</w:t>
      </w:r>
      <w:r>
        <w:t xml:space="preserve"> </w:t>
      </w:r>
      <w:hyperlink w:anchor="ref-5">
        <w:r>
          <w:rPr>
            <w:rStyle w:val="Hyperlink"/>
          </w:rPr>
          <w:t xml:space="preserve">[5]</w:t>
        </w:r>
      </w:hyperlink>
      <w:r>
        <w:t xml:space="preserve">.</w:t>
      </w:r>
    </w:p>
    <w:p>
      <w:pPr>
        <w:pStyle w:val="BodyText"/>
        <w:spacing w:line="480" w:lineRule="auto"/>
        <w:ind w:firstLine="720"/>
      </w:pPr>
      <w:r>
        <w:t xml:space="preserve">The chapter proceeds in five sections. Section 4.2 specifies the population of operators that constitutes the empirical universe and the two analytic samples drawn from it. Section 4.3 catalogues the authoritative source for every primary record. Section 4.4 specifies the unit of analysis for each paper and the aggregation logic from primary record to unit. Section 4.5 walks through the construction of each variable used in either paper, with explicit attention to provenance, transformation, and treatment of missing values. Section 4.6 documents the measurement-quality regime, including the row-level provenance tagging system, the illustrative-observation flag, and the triangulation checks performed against independent commercial catalogs.</w:t>
      </w:r>
    </w:p>
    <w:bookmarkEnd w:id="87"/>
    <w:bookmarkStart w:id="88" w:name="population-and-analytic-samples"/>
    <w:p>
      <w:pPr>
        <w:pStyle w:val="Heading2"/>
        <w:spacing w:line="480" w:lineRule="auto"/>
      </w:pPr>
      <w:r>
        <w:t xml:space="preserve">4.2 Population and Analytic Samples</w:t>
      </w:r>
    </w:p>
    <w:p>
      <w:pPr>
        <w:pStyle w:val="FirstParagraph"/>
        <w:spacing w:line="480" w:lineRule="auto"/>
      </w:pPr>
      <w:r>
        <w:t xml:space="preserve">The empirical universe of the dissertation is the population of commercial low Earth orbit (LEO) satellite operators with active payloads on orbit during the post-2024 Traffic Coordination System for Space (TraCSS) regime. Operationally, this universe is defined as those entities holding either a primary Federal Communications Commission International Bureau Filing System (FCC IBFS) authorization for an active LEO constellation, a National Oceanic and Atmospheric Administration Commercial Remote Sensing Regulatory Affairs (NOAA CRSRA) license for an active LEO remote-sensing system, or an equivalent non-US national authorization that resulted in payloads tracked in the public catalog mirrored into TraCSS at Initial Operating Capability (IOC) on 30 September 2024</w:t>
      </w:r>
      <w:r>
        <w:t xml:space="preserve"> </w:t>
      </w:r>
      <w:hyperlink w:anchor="ref-17">
        <w:r>
          <w:rPr>
            <w:rStyle w:val="Hyperlink"/>
          </w:rPr>
          <w:t xml:space="preserve">[17]</w:t>
        </w:r>
      </w:hyperlink>
      <w:r>
        <w:t xml:space="preserve">.</w:t>
      </w:r>
    </w:p>
    <w:p>
      <w:pPr>
        <w:pStyle w:val="BodyText"/>
        <w:spacing w:line="480" w:lineRule="auto"/>
        <w:ind w:firstLine="720"/>
      </w:pPr>
      <w:r>
        <w:t xml:space="preserve">Two analytic samples are drawn from this universe. The first, used in Paper 1, is a cross-sectional sample of thirty-four operator-portfolios observed during calendar years 2023 and 2024. The portfolio is the operator entity, aggregated above the level of the individual satellite and below the level of the corporate parent where corporate structure produces multiple distinct licensed operating units. The sample is constructed to span the heterogeneity of the post-IOC operator population. It contains the large LEO broadband and Earth-observation constellation operators that dominate the public CDM record; geostationary fleet operators included as a contrast class to test whether the revealed-preference signal is specific to LEO; national civil space agencies that operate fleets and contribute to the public catalog under separate institutional logics; defense primes flying United States Government missions on commercial buses; and small-satellite commercial operators whose participation patterns are of particular policy interest. The thirty-four-operator size of the Paper 1 sample is bounded by the universe of operators for whom a complete row of disclosure-grade variables could be constructed without recourse to proprietary records.</w:t>
      </w:r>
    </w:p>
    <w:p>
      <w:pPr>
        <w:pStyle w:val="BodyText"/>
        <w:spacing w:line="480" w:lineRule="auto"/>
        <w:ind w:firstLine="720"/>
      </w:pPr>
      <w:r>
        <w:t xml:space="preserve">The second analytic sample, used in Paper 2, is a single-cohort survival panel of thirty commercial LEO operators with active satellites as of the TraCSS IOC date. The cohort comprises operators that either appear on the Office of Space Commerce (OSC) TraCSS user-roster bulletins between Q4 2024 and Q4 2025</w:t>
      </w:r>
      <w:r>
        <w:t xml:space="preserve"> </w:t>
      </w:r>
      <w:hyperlink w:anchor="ref-17">
        <w:r>
          <w:rPr>
            <w:rStyle w:val="Hyperlink"/>
          </w:rPr>
          <w:t xml:space="preserve">[17]</w:t>
        </w:r>
      </w:hyperlink>
      <w:r>
        <w:t xml:space="preserve"> </w:t>
      </w:r>
      <w:r>
        <w:t xml:space="preserve">or hold a primary FCC IBFS or NOAA CRSRA license for an active LEO constellation as of the IOC date. The two samples overlap substantially but are not identical, because the Paper 1 sample includes non-LEO and non-US operators required to test the LEO-share covariate, whereas the Paper 2 sample is restricted to LEO operators eligible for TraCSS contribution within the cohort window in order to preserve the single-cohort survival design.</w:t>
      </w:r>
    </w:p>
    <w:p>
      <w:pPr>
        <w:pStyle w:val="BodyText"/>
        <w:spacing w:line="480" w:lineRule="auto"/>
        <w:ind w:firstLine="720"/>
      </w:pPr>
      <w:r>
        <w:t xml:space="preserve">The decision to retain two related but distinct samples rather than collapse to a single panel reflects two design considerations. First, the outcome of interest differs across the two papers. Paper 1 estimates a cross-sectional relationship between sharing intensity and observed maneuver behavior; Paper 2 estimates the timing of first contribution under a defined risk set. Each estimator requires a different population and a different unit. Second, the disclosure regime that supports Paper 1 is annualized and centered on calendar years 2023 and 2024, whereas the disclosure regime that supports Paper 2 is event-dated and runs at sub-quarterly resolution over the IOC-to-FOC window. Forcing a single panel would have imposed coarse temporal aggregation on the survival outcome or fine temporal disaggregation on the OLS outcome, both of which would have degraded measurement quality.</w:t>
      </w:r>
    </w:p>
    <w:bookmarkEnd w:id="88"/>
    <w:bookmarkStart w:id="89" w:name="authoritative-sources-of-primary-records"/>
    <w:p>
      <w:pPr>
        <w:pStyle w:val="Heading2"/>
        <w:spacing w:line="480" w:lineRule="auto"/>
      </w:pPr>
      <w:r>
        <w:t xml:space="preserve">4.3 Authoritative Sources of Primary Records</w:t>
      </w:r>
    </w:p>
    <w:p>
      <w:pPr>
        <w:pStyle w:val="FirstParagraph"/>
        <w:spacing w:line="480" w:lineRule="auto"/>
      </w:pPr>
      <w:r>
        <w:t xml:space="preserve">Eight authoritative sources supply the primary records from which every variable in the two papers is constructed. Each is documented here with the record class it provides, the access mode used by the candidate, and the boundary of its coverage.</w:t>
      </w:r>
    </w:p>
    <w:p>
      <w:pPr>
        <w:pStyle w:val="BodyText"/>
        <w:spacing w:line="480" w:lineRule="auto"/>
        <w:ind w:firstLine="720"/>
      </w:pPr>
      <w:r>
        <w:t xml:space="preserve">The OSC TraCSS user-roster bulletins are the authoritative record of voluntary contribution events to the post-IOC civil catalog</w:t>
      </w:r>
      <w:r>
        <w:t xml:space="preserve"> </w:t>
      </w:r>
      <w:hyperlink w:anchor="ref-17">
        <w:r>
          <w:rPr>
            <w:rStyle w:val="Hyperlink"/>
          </w:rPr>
          <w:t xml:space="preserve">[17]</w:t>
        </w:r>
      </w:hyperlink>
      <w:r>
        <w:t xml:space="preserve">. These bulletins are issued at quarterly cadence from Q4 2024 through the close of fiscal year 2025 and identify confirmed contributors of screened-quality predictive ephemerides. They are the source of the contribution-event field in the Paper 2 survival panel and contribute to the operator-coded share index in Paper 1.</w:t>
      </w:r>
    </w:p>
    <w:p>
      <w:pPr>
        <w:pStyle w:val="BodyText"/>
        <w:spacing w:line="480" w:lineRule="auto"/>
        <w:ind w:firstLine="720"/>
      </w:pPr>
      <w:r>
        <w:t xml:space="preserve">The FCC International Bureau Filing System is the authoritative record of US licensing for commercial communications and Earth-observation systems operating in non-geostationary orbits. The relevant filings establish active LEO operator status as of the IOC date, fleet size at the IOC date, and the legal entity that holds the operator role. The candidate uses IBFS to establish the universe of US licensed operators and the fleet-size baseline for the Paper 2 covariate.</w:t>
      </w:r>
    </w:p>
    <w:p>
      <w:pPr>
        <w:pStyle w:val="BodyText"/>
        <w:spacing w:line="480" w:lineRule="auto"/>
        <w:ind w:firstLine="720"/>
      </w:pPr>
      <w:r>
        <w:t xml:space="preserve">The NOAA CRSRA registry is the authoritative record of US licensing for commercial remote-sensing systems. It complements IBFS in cases where the operator’s primary regulatory anchor is Earth observation rather than communications. CRSRA records contribute to the US licensing indicator and to the fleet inventory.</w:t>
      </w:r>
    </w:p>
    <w:p>
      <w:pPr>
        <w:pStyle w:val="BodyText"/>
        <w:spacing w:line="480" w:lineRule="auto"/>
        <w:ind w:firstLine="720"/>
      </w:pPr>
      <w:r>
        <w:t xml:space="preserve">The European Space Agency DISCOS catalog is the authoritative record of orbit-regime classification at the satellite level. DISCOS is used to assign each satellite in each operator’s fleet to a discrete orbit regime (LEO, MEO, GEO, HEO) and is the source of the LEO-share variable in Paper 1 and the LEO-eligibility filter in Paper 2.</w:t>
      </w:r>
    </w:p>
    <w:p>
      <w:pPr>
        <w:pStyle w:val="BodyText"/>
        <w:spacing w:line="480" w:lineRule="auto"/>
        <w:ind w:firstLine="720"/>
      </w:pPr>
      <w:r>
        <w:t xml:space="preserve">The 18th and 19th Space Defense Squadrons issue conjunction data messages (CDMs) that are mirrored into the public catalog and into TraCSS at IOC [16, 17]. The CDM record is the source of the conjunction-exposure variable in both papers and of the warning-volume control in Paper 1.</w:t>
      </w:r>
    </w:p>
    <w:p>
      <w:pPr>
        <w:pStyle w:val="BodyText"/>
        <w:spacing w:line="480" w:lineRule="auto"/>
        <w:ind w:firstLine="720"/>
      </w:pPr>
      <w:r>
        <w:t xml:space="preserve">The ESA Annual Space Environment Report 2024 is the authoritative annual summary of operator-level conjunction statistics aggregated across European tracking networks</w:t>
      </w:r>
      <w:r>
        <w:t xml:space="preserve"> </w:t>
      </w:r>
      <w:hyperlink w:anchor="ref-15">
        <w:r>
          <w:rPr>
            <w:rStyle w:val="Hyperlink"/>
          </w:rPr>
          <w:t xml:space="preserve">[15]</w:t>
        </w:r>
      </w:hyperlink>
      <w:r>
        <w:t xml:space="preserve">. It contributes the cross-validation series against which the operator-level CDMs-per-active-satellite figures used in Paper 1 are checked.</w:t>
      </w:r>
    </w:p>
    <w:p>
      <w:pPr>
        <w:pStyle w:val="BodyText"/>
        <w:spacing w:line="480" w:lineRule="auto"/>
        <w:ind w:firstLine="720"/>
      </w:pPr>
      <w:r>
        <w:t xml:space="preserve">Operator 10-K filings, sustainability disclosures, and equivalent annual reports filed with the Securities and Exchange Commission or with non-US national disclosure regimes are the source of fleet-size attestations, sharing-channel acknowledgements, and on-orbit anomaly disclosures used to construct the operator-coded share index, the Space Data Association membership indicator, the sharing-tenure variable, and the prior-anomaly indicator. Where disclosure is provided in a sustainability report rather than a 10-K, that report is treated as authoritative provided it carries the operator’s corporate seal and a date of issue.</w:t>
      </w:r>
    </w:p>
    <w:p>
      <w:pPr>
        <w:pStyle w:val="BodyText"/>
        <w:spacing w:line="480" w:lineRule="auto"/>
        <w:ind w:firstLine="720"/>
      </w:pPr>
      <w:r>
        <w:t xml:space="preserve">The public Combined Space Operations Center partner list and the Space Data Association member roster are the authoritative records of institutional sharing-channel participation</w:t>
      </w:r>
      <w:r>
        <w:t xml:space="preserve"> </w:t>
      </w:r>
      <w:hyperlink w:anchor="ref-16">
        <w:r>
          <w:rPr>
            <w:rStyle w:val="Hyperlink"/>
          </w:rPr>
          <w:t xml:space="preserve">[16]</w:t>
        </w:r>
      </w:hyperlink>
      <w:r>
        <w:t xml:space="preserve">. The CSpOC list, mirrored on Space-Track.org, is the source of the Space-Track access-tier variable in Paper 1. The Space Data Association roster, drawn from spacedata.org, is the source of the SDA-membership indicator.</w:t>
      </w:r>
    </w:p>
    <w:p>
      <w:pPr>
        <w:pStyle w:val="BodyText"/>
        <w:spacing w:line="480" w:lineRule="auto"/>
        <w:ind w:firstLine="720"/>
      </w:pPr>
      <w:r>
        <w:t xml:space="preserve">In addition to these eight primary sources, the LeoLabs commercial catalog provides an independent triangulation series for the operator-level CDM record, used in both papers as a robustness check on conjunction exposure consistent with the triangulation protocol noted by</w:t>
      </w:r>
      <w:r>
        <w:t xml:space="preserve"> </w:t>
      </w:r>
      <w:hyperlink w:anchor="ref-2">
        <w:r>
          <w:rPr>
            <w:rStyle w:val="Hyperlink"/>
          </w:rPr>
          <w:t xml:space="preserve">[2]</w:t>
        </w:r>
      </w:hyperlink>
      <w:r>
        <w:t xml:space="preserve">.</w:t>
      </w:r>
    </w:p>
    <w:bookmarkEnd w:id="89"/>
    <w:bookmarkStart w:id="90" w:name="unit-of-analysis-and-aggregation"/>
    <w:p>
      <w:pPr>
        <w:pStyle w:val="Heading2"/>
        <w:spacing w:line="480" w:lineRule="auto"/>
      </w:pPr>
      <w:r>
        <w:t xml:space="preserve">4.4 Unit of Analysis and Aggregation</w:t>
      </w:r>
    </w:p>
    <w:p>
      <w:pPr>
        <w:pStyle w:val="FirstParagraph"/>
        <w:spacing w:line="480" w:lineRule="auto"/>
      </w:pPr>
      <w:r>
        <w:t xml:space="preserve">The unit of analysis in Paper 1 is the operator-portfolio observed in calendar years 2023 and 2024. Each row in the analytic table corresponds to a single operator-portfolio with all rate variables expressed per satellite-year. Satellite-year denominators are constructed by integrating the operator’s active-fleet count over the 2023-2024 window using monthly fleet snapshots derived from IBFS and DISCOS records. Where an operator launched or decommissioned satellites mid-window, the satellite-year denominator was prorated accordingly. The thirty-four operator-portfolios are cross-sectional in this sample; there is no within-operator temporal variation in the estimated specification.</w:t>
      </w:r>
    </w:p>
    <w:p>
      <w:pPr>
        <w:pStyle w:val="BodyText"/>
        <w:spacing w:line="480" w:lineRule="auto"/>
        <w:ind w:firstLine="720"/>
      </w:pPr>
      <w:r>
        <w:t xml:space="preserve">The unit of analysis in Paper 2 is the operator at risk of a first contribution event during the 365-day window from the TraCSS IOC date of 30 September 2024. Each row corresponds to a single operator with a duration variable measured in days from the IOC cutover to either the first observed contribution event or right-censoring at 365 days. Twenty-one rows carry an observed contribution event; nine are right-censored. The fleet-size, conjunction-exposure, US-licensing, and anomaly covariates are measured at the IOC date or as annualized values over the immediately preceding calendar year, in order to satisfy the standard requirement of the Cox model that covariates be measured prior to the risk set entry.</w:t>
      </w:r>
    </w:p>
    <w:p>
      <w:pPr>
        <w:pStyle w:val="BodyText"/>
        <w:spacing w:line="480" w:lineRule="auto"/>
        <w:ind w:firstLine="720"/>
      </w:pPr>
      <w:r>
        <w:t xml:space="preserve">The aggregation logic from primary record to unit of analysis is the same in both papers and is as follows. CDMs are aggregated from the satellite-day level (the natural unit of the 18 SDS and 19 SDS record) to the operator-year (Paper 1) or operator-window (Paper 2) by summing across satellites and dividing by the relevant satellite-year denominator. Maneuvers are aggregated from operator disclosures, which are themselves typically reported at the satellite-year level, by summing across satellites and dividing by the satellite-year denominator. Orbit regime is assigned at the satellite level and then collapsed to an operator-level share variable by dividing the LEO satellite-year count by the total satellite-year count.</w:t>
      </w:r>
    </w:p>
    <w:p>
      <w:pPr>
        <w:pStyle w:val="BodyText"/>
        <w:spacing w:line="480" w:lineRule="auto"/>
        <w:ind w:firstLine="720"/>
      </w:pPr>
      <w:r>
        <w:t xml:space="preserve">Where the unit of analysis is the operator-portfolio rather than the satellite, the candidate has chosen to preserve aggregation at the corporate-operating-unit level rather than collapsing to the ultimate corporate parent. This choice reflects the operator-level granularity of the disclosure regime and of the TraCSS contribution event, both of which attach to the licensed operating entity rather than to the parent. Where a parent corporation operates multiple distinct licensed entities, each is treated as a separate operator-portfolio.</w:t>
      </w:r>
    </w:p>
    <w:bookmarkEnd w:id="90"/>
    <w:bookmarkStart w:id="91" w:name="variable-construction"/>
    <w:p>
      <w:pPr>
        <w:pStyle w:val="Heading2"/>
        <w:spacing w:line="480" w:lineRule="auto"/>
      </w:pPr>
      <w:r>
        <w:t xml:space="preserve">4.5 Variable Construction</w:t>
      </w:r>
    </w:p>
    <w:p>
      <w:pPr>
        <w:pStyle w:val="FirstParagraph"/>
        <w:spacing w:line="480" w:lineRule="auto"/>
      </w:pPr>
      <w:r>
        <w:t xml:space="preserve">The remainder of this section walks variable by variable through the construction logic.</w:t>
      </w:r>
    </w:p>
    <w:p>
      <w:pPr>
        <w:pStyle w:val="BodyText"/>
        <w:spacing w:line="480" w:lineRule="auto"/>
        <w:ind w:firstLine="720"/>
      </w:pPr>
      <w:r>
        <w:rPr>
          <w:b/>
          <w:bCs/>
        </w:rPr>
        <w:t xml:space="preserve">Maneuvers per satellite-year (Paper 1, dependent variable).</w:t>
      </w:r>
      <w:r>
        <w:t xml:space="preserve"> </w:t>
      </w:r>
      <w:r>
        <w:t xml:space="preserve">Constructed by dividing the operator’s total reported on-orbit maneuver count for calendar years 2023 and 2024 by the operator’s satellite-year denominator over the same window. Maneuver counts are taken from operator 10-K filings, sustainability disclosures, and the ESA Annual Space Environment Report 2024</w:t>
      </w:r>
      <w:r>
        <w:t xml:space="preserve"> </w:t>
      </w:r>
      <w:hyperlink w:anchor="ref-15">
        <w:r>
          <w:rPr>
            <w:rStyle w:val="Hyperlink"/>
          </w:rPr>
          <w:t xml:space="preserve">[15]</w:t>
        </w:r>
      </w:hyperlink>
      <w:r>
        <w:t xml:space="preserve">. Where the operator does not separately report propulsive maneuvers from non-propulsive collision-avoidance attitude adjustments, the broader category is used and the row is flagged. The variable enters the OLS specification in raw form without logarithmic transformation, consistent with the linear-additive form used in the operator-level conjunction literature [13, 14].</w:t>
      </w:r>
    </w:p>
    <w:p>
      <w:pPr>
        <w:pStyle w:val="BodyText"/>
        <w:spacing w:line="480" w:lineRule="auto"/>
        <w:ind w:firstLine="720"/>
      </w:pPr>
      <w:r>
        <w:rPr>
          <w:b/>
          <w:bCs/>
        </w:rPr>
        <w:t xml:space="preserve">Conjunction data message volume per satellite-year (both papers).</w:t>
      </w:r>
      <w:r>
        <w:t xml:space="preserve"> </w:t>
      </w:r>
      <w:r>
        <w:t xml:space="preserve">Constructed by counting all CDMs issued by the 18 SDS and 19 SDS that name a satellite in the operator’s fleet as a primary or secondary object over the relevant window and dividing by the satellite-year denominator</w:t>
      </w:r>
      <w:r>
        <w:t xml:space="preserve"> </w:t>
      </w:r>
      <w:hyperlink w:anchor="ref-16">
        <w:r>
          <w:rPr>
            <w:rStyle w:val="Hyperlink"/>
          </w:rPr>
          <w:t xml:space="preserve">[16]</w:t>
        </w:r>
      </w:hyperlink>
      <w:r>
        <w:t xml:space="preserve">. In Paper 1 the window is 2023-2024; in Paper 2 the window is calendar year 2024. The variable enters Paper 1 as a raw rate and Paper 2 as a continuous covariate. Triangulation against the LeoLabs commercial catalog identified discrepancies of less than ten percent for all operators in both samples; no values were adjusted, but the cross-validation series is retained in the data appendix.</w:t>
      </w:r>
    </w:p>
    <w:p>
      <w:pPr>
        <w:pStyle w:val="BodyText"/>
        <w:spacing w:line="480" w:lineRule="auto"/>
        <w:ind w:firstLine="720"/>
      </w:pPr>
      <w:r>
        <w:rPr>
          <w:b/>
          <w:bCs/>
        </w:rPr>
        <w:t xml:space="preserve">Voluntary sharing intensity index (Paper 1).</w:t>
      </w:r>
      <w:r>
        <w:t xml:space="preserve"> </w:t>
      </w:r>
      <w:r>
        <w:t xml:space="preserve">The operator-coded share index is constructed by the candidate from three observable inputs: the cadence at which the operator publicly discloses ephemeris updates, the public acknowledgement of CDM receipt and processing in operator disclosures, and the presence of operator contributions to public catalogs other than the 18 SDS catalog (such as the LeoLabs commercial catalog and the EU SST contributor list). The three inputs are combined into a single continuous index by additive scoring. The index is bounded below at zero and above at the maximum observed score; no operator achieves the theoretical maximum. The index is the principal independent variable in the Paper 1 OLS specification.</w:t>
      </w:r>
    </w:p>
    <w:p>
      <w:pPr>
        <w:pStyle w:val="BodyText"/>
        <w:spacing w:line="480" w:lineRule="auto"/>
        <w:ind w:firstLine="720"/>
      </w:pPr>
      <w:r>
        <w:rPr>
          <w:b/>
          <w:bCs/>
        </w:rPr>
        <w:t xml:space="preserve">Space Data Association membership indicator (Paper 1).</w:t>
      </w:r>
      <w:r>
        <w:t xml:space="preserve"> </w:t>
      </w:r>
      <w:r>
        <w:t xml:space="preserve">Constructed as a binary variable equal to one if the operator appears on the SDA member roster on spacedata.org at any point during 2023 or 2024 and zero otherwise. The variable captures participation in the operator-led sharing club and is treated as the operator-led sharing channel in the Paper 1 specification.</w:t>
      </w:r>
    </w:p>
    <w:p>
      <w:pPr>
        <w:pStyle w:val="BodyText"/>
        <w:spacing w:line="480" w:lineRule="auto"/>
        <w:ind w:firstLine="720"/>
      </w:pPr>
      <w:r>
        <w:rPr>
          <w:b/>
          <w:bCs/>
        </w:rPr>
        <w:t xml:space="preserve">Space-Track access tier (Paper 1).</w:t>
      </w:r>
      <w:r>
        <w:t xml:space="preserve"> </w:t>
      </w:r>
      <w:r>
        <w:t xml:space="preserve">Constructed as an ordered categorical variable taking values in {0, 1, 2, 3} from the public CSpOC partner list mirrored on Space-Track.org</w:t>
      </w:r>
      <w:r>
        <w:t xml:space="preserve"> </w:t>
      </w:r>
      <w:hyperlink w:anchor="ref-16">
        <w:r>
          <w:rPr>
            <w:rStyle w:val="Hyperlink"/>
          </w:rPr>
          <w:t xml:space="preserve">[16]</w:t>
        </w:r>
      </w:hyperlink>
      <w:r>
        <w:t xml:space="preserve">. The values correspond to no formal sharing agreement, basic Space Situational Awareness Sharing Agreement participation, Advanced SSA Sharing Agreement participation, and full Combined Space Operations Initiative partner status, respectively. The variable captures participation in the government-mediated sharing channel and is treated as the institutional access tier in the Paper 1 specification.</w:t>
      </w:r>
    </w:p>
    <w:p>
      <w:pPr>
        <w:pStyle w:val="BodyText"/>
        <w:spacing w:line="480" w:lineRule="auto"/>
        <w:ind w:firstLine="720"/>
      </w:pPr>
      <w:r>
        <w:rPr>
          <w:b/>
          <w:bCs/>
        </w:rPr>
        <w:t xml:space="preserve">LEO fraction of fleet (Paper 1).</w:t>
      </w:r>
      <w:r>
        <w:t xml:space="preserve"> </w:t>
      </w:r>
      <w:r>
        <w:t xml:space="preserve">Constructed as the share of the operator’s satellite-year denominator assigned to the LEO orbit regime in the DISCOS catalog. The variable enters as a control to absorb the mechanical correlation between LEO fleet size and per-satellite warning load, which would otherwise contaminate the interpretation of the sharing-intensity coefficient.</w:t>
      </w:r>
    </w:p>
    <w:p>
      <w:pPr>
        <w:pStyle w:val="BodyText"/>
        <w:spacing w:line="480" w:lineRule="auto"/>
        <w:ind w:firstLine="720"/>
      </w:pPr>
      <w:r>
        <w:rPr>
          <w:b/>
          <w:bCs/>
        </w:rPr>
        <w:t xml:space="preserve">Years of formal sharing tenure (Paper 1).</w:t>
      </w:r>
      <w:r>
        <w:t xml:space="preserve"> </w:t>
      </w:r>
      <w:r>
        <w:t xml:space="preserve">Constructed as the number of calendar years between the operator’s first observed participation in any of the SDA, Space-Track, or TraCSS contribution channels and the calendar year of observation. Where an operator participates in multiple channels with different start dates, the earliest start date is used. The variable captures the possibility that the calibration benefit of formal sharing accrues over time and enters the OLS specification as a linear control.</w:t>
      </w:r>
    </w:p>
    <w:p>
      <w:pPr>
        <w:pStyle w:val="BodyText"/>
        <w:spacing w:line="480" w:lineRule="auto"/>
        <w:ind w:firstLine="720"/>
      </w:pPr>
      <w:r>
        <w:rPr>
          <w:b/>
          <w:bCs/>
        </w:rPr>
        <w:t xml:space="preserve">Time to first contribution (Paper 2, duration variable).</w:t>
      </w:r>
      <w:r>
        <w:t xml:space="preserve"> </w:t>
      </w:r>
      <w:r>
        <w:t xml:space="preserve">Constructed as the number of days from 30 September 2024 to the first appearance of the operator on the OSC TraCSS user-roster bulletin as a confirmed contributor of screened-quality predictive ephemerides</w:t>
      </w:r>
      <w:r>
        <w:t xml:space="preserve"> </w:t>
      </w:r>
      <w:hyperlink w:anchor="ref-17">
        <w:r>
          <w:rPr>
            <w:rStyle w:val="Hyperlink"/>
          </w:rPr>
          <w:t xml:space="preserve">[17]</w:t>
        </w:r>
      </w:hyperlink>
      <w:r>
        <w:t xml:space="preserve">. Where the operator does not appear on any bulletin through Q4 2025, the observation is right-censored at 365 days.</w:t>
      </w:r>
    </w:p>
    <w:p>
      <w:pPr>
        <w:pStyle w:val="BodyText"/>
        <w:spacing w:line="480" w:lineRule="auto"/>
        <w:ind w:firstLine="720"/>
      </w:pPr>
      <w:r>
        <w:rPr>
          <w:b/>
          <w:bCs/>
        </w:rPr>
        <w:t xml:space="preserve">Operator conjunction exposure (Paper 2, primary covariate).</w:t>
      </w:r>
      <w:r>
        <w:t xml:space="preserve"> </w:t>
      </w:r>
      <w:r>
        <w:t xml:space="preserve">Constructed as the operator-mean of CDMs per active satellite over calendar year 2024, as described above. The variable is measured prior to the risk set entry and is therefore predetermined with respect to the contribution event.</w:t>
      </w:r>
    </w:p>
    <w:p>
      <w:pPr>
        <w:pStyle w:val="BodyText"/>
        <w:spacing w:line="480" w:lineRule="auto"/>
        <w:ind w:firstLine="720"/>
      </w:pPr>
      <w:r>
        <w:rPr>
          <w:b/>
          <w:bCs/>
        </w:rPr>
        <w:t xml:space="preserve">Log fleet size (Paper 2).</w:t>
      </w:r>
      <w:r>
        <w:t xml:space="preserve"> </w:t>
      </w:r>
      <w:r>
        <w:t xml:space="preserve">Constructed as the natural logarithm of the operator’s active-satellite count on the IOC date, taken from FCC IBFS filings, ESA DISCOS catalog entries, and operator FY2024 annual filings. The logarithmic transformation is applied to absorb the four-order-of-magnitude range of fleet sizes in the cohort, from single-satellite operators to constellations above five thousand satellites.</w:t>
      </w:r>
    </w:p>
    <w:p>
      <w:pPr>
        <w:pStyle w:val="BodyText"/>
        <w:spacing w:line="480" w:lineRule="auto"/>
        <w:ind w:firstLine="720"/>
      </w:pPr>
      <w:r>
        <w:rPr>
          <w:b/>
          <w:bCs/>
        </w:rPr>
        <w:t xml:space="preserve">US licensing status (Paper 2).</w:t>
      </w:r>
      <w:r>
        <w:t xml:space="preserve"> </w:t>
      </w:r>
      <w:r>
        <w:t xml:space="preserve">Constructed as a binary indicator equal to one if the operator holds a primary FCC IBFS or NOAA CRSRA license for an active LEO constellation as of the IOC date and zero otherwise.</w:t>
      </w:r>
    </w:p>
    <w:p>
      <w:pPr>
        <w:pStyle w:val="BodyText"/>
        <w:spacing w:line="480" w:lineRule="auto"/>
        <w:ind w:firstLine="720"/>
      </w:pPr>
      <w:r>
        <w:rPr>
          <w:b/>
          <w:bCs/>
        </w:rPr>
        <w:t xml:space="preserve">Prior anomaly history (Paper 2).</w:t>
      </w:r>
      <w:r>
        <w:t xml:space="preserve"> </w:t>
      </w:r>
      <w:r>
        <w:t xml:space="preserve">Constructed as a binary indicator equal to one if the operator had a publicly reported on-orbit collision or near-miss anomaly during 2019 to 2024 and zero otherwise. The variable is drawn from the public conjunction record reviewed in</w:t>
      </w:r>
      <w:r>
        <w:t xml:space="preserve"> </w:t>
      </w:r>
      <w:hyperlink w:anchor="ref-18">
        <w:r>
          <w:rPr>
            <w:rStyle w:val="Hyperlink"/>
          </w:rPr>
          <w:t xml:space="preserve">[18]</w:t>
        </w:r>
      </w:hyperlink>
      <w:r>
        <w:t xml:space="preserve"> </w:t>
      </w:r>
      <w:r>
        <w:t xml:space="preserve">and from SEC and equivalent disclosures.</w:t>
      </w:r>
    </w:p>
    <w:bookmarkEnd w:id="91"/>
    <w:bookmarkStart w:id="92" w:name="X021897d017494caaadbb2753939f1e8f9a2be43"/>
    <w:p>
      <w:pPr>
        <w:pStyle w:val="Heading2"/>
        <w:spacing w:line="480" w:lineRule="auto"/>
      </w:pPr>
      <w:r>
        <w:t xml:space="preserve">4.6 Measurement Quality, Provenance, and Illustrative Observations</w:t>
      </w:r>
    </w:p>
    <w:p>
      <w:pPr>
        <w:pStyle w:val="FirstParagraph"/>
        <w:spacing w:line="480" w:lineRule="auto"/>
      </w:pPr>
      <w:r>
        <w:t xml:space="preserve">Two measurement-quality regimes are imposed on the analytic tables. First, each row in each table carries a source-string field that records the authoritative source of every primary record used to construct that row. The source string is retained in the data appendix and supports the row-level audit required by the supervisory traceability standard of</w:t>
      </w:r>
      <w:r>
        <w:t xml:space="preserve"> </w:t>
      </w:r>
      <w:hyperlink w:anchor="ref-5">
        <w:r>
          <w:rPr>
            <w:rStyle w:val="Hyperlink"/>
          </w:rPr>
          <w:t xml:space="preserve">[5]</w:t>
        </w:r>
      </w:hyperlink>
      <w:r>
        <w:t xml:space="preserve">. Second, observations for which the original record was incomplete and the value was inferred from operator press materials, third-party trade-press coverage, or pattern extrapolation from the public catalog are marked with an illustrative-observation flag. Such observations account for fewer than fifteen percent of either sample. In Paper 2, illustrative observations are restricted to covariate fields and never carry the contribution event itself, so the survival outcome is constructed entirely from authoritative records.</w:t>
      </w:r>
    </w:p>
    <w:p>
      <w:pPr>
        <w:pStyle w:val="BodyText"/>
        <w:spacing w:line="480" w:lineRule="auto"/>
        <w:ind w:firstLine="720"/>
      </w:pPr>
      <w:r>
        <w:t xml:space="preserve">Triangulation is used as a third quality regime where independent secondary sources are available. The principal triangulation is the LeoLabs commercial catalog, which was used to cross-validate the operator-level CDM record drawn from the 18 SDS and 19 SDS feeds</w:t>
      </w:r>
      <w:r>
        <w:t xml:space="preserve"> </w:t>
      </w:r>
      <w:hyperlink w:anchor="ref-2">
        <w:r>
          <w:rPr>
            <w:rStyle w:val="Hyperlink"/>
          </w:rPr>
          <w:t xml:space="preserve">[2]</w:t>
        </w:r>
      </w:hyperlink>
      <w:r>
        <w:t xml:space="preserve">. A second triangulation, applied to the LEO-share variable in Paper 1 and the LEO-eligibility filter in Paper 2, uses the ESA DISCOS catalog as a cross-check on operator-disclosed fleet inventories at the orbit-regime level. A third triangulation, applied to the maneuver-count variable in Paper 1, uses the ESA Annual Space Environment Report 2024</w:t>
      </w:r>
      <w:r>
        <w:t xml:space="preserve"> </w:t>
      </w:r>
      <w:hyperlink w:anchor="ref-15">
        <w:r>
          <w:rPr>
            <w:rStyle w:val="Hyperlink"/>
          </w:rPr>
          <w:t xml:space="preserve">[15]</w:t>
        </w:r>
      </w:hyperlink>
      <w:r>
        <w:t xml:space="preserve"> </w:t>
      </w:r>
      <w:r>
        <w:t xml:space="preserve">as a cross-check on operator-disclosed maneuver counts. No values were adjusted on the basis of triangulation alone; discrepancies were flagged and retained in the data appendix for examination in the robustness analysis of Chapter 6.</w:t>
      </w:r>
    </w:p>
    <w:p>
      <w:pPr>
        <w:pStyle w:val="BodyText"/>
        <w:spacing w:line="480" w:lineRule="auto"/>
        <w:ind w:firstLine="720"/>
      </w:pPr>
      <w:r>
        <w:t xml:space="preserve">The measurement regime does not eliminate residual measurement error. The public catalog may understate contribution from operators using bilateral channels that bypass the OSC bulletin process; this is the principal threat to the share-index and time-to-contribution variables and is addressed in the validity discussion of Chapter 7. The 18 SDS and 19 SDS CDM record does not separately identify CDMs issued under each squadron’s responsibility within the merged TraCSS feed; this is the principal threat to the conjunction-exposure variable and is bounded by triangulation against the LeoLabs catalog. Operator-disclosed maneuver counts may conflate propulsive and non-propulsive collision-avoidance actions; this is the principal threat to the dependent variable in Paper 1 and is reported as an observation-level flag.</w:t>
      </w:r>
    </w:p>
    <w:p>
      <w:pPr>
        <w:pStyle w:val="BodyText"/>
        <w:spacing w:line="480" w:lineRule="auto"/>
        <w:ind w:firstLine="720"/>
      </w:pPr>
      <w:r>
        <w:t xml:space="preserve">Together, the source catalogue of Section 4.3, the unit of analysis specified in Section 4.4, the variable construction rules of Section 4.5, and the measurement-quality regime of Section 4.6 furnish a complete account of how every number that enters the estimating equations of Chapters 5 and 6 was assembled from primary records. The next chapter takes up the first of those equations.</w:t>
      </w:r>
    </w:p>
    <w:bookmarkEnd w:id="92"/>
    <w:bookmarkEnd w:id="93"/>
    <w:bookmarkStart w:id="103" w:name="chapter-5.-methods-and-identification"/>
    <w:p>
      <w:pPr>
        <w:pStyle w:val="Heading1"/>
        <w:spacing w:line="480" w:lineRule="auto"/>
      </w:pPr>
      <w:r>
        <w:t xml:space="preserve">Chapter 5. Methods and Identification</w:t>
      </w:r>
    </w:p>
    <w:bookmarkStart w:id="94" w:name="X28e3ea397ab69dedd886ce87e510010501cd690"/>
    <w:p>
      <w:pPr>
        <w:pStyle w:val="Heading2"/>
        <w:spacing w:line="480" w:lineRule="auto"/>
      </w:pPr>
      <w:r>
        <w:t xml:space="preserve">5.1 Overview and Logic of the Empirical Strategy</w:t>
      </w:r>
    </w:p>
    <w:p>
      <w:pPr>
        <w:pStyle w:val="FirstParagraph"/>
        <w:spacing w:line="480" w:lineRule="auto"/>
      </w:pPr>
      <w:r>
        <w:t xml:space="preserve">This chapter specifies the estimators that operationalize the dissertation’s single falsifiable hypothesis and the identification strategy that licenses a causal reading of the coefficients of interest. The hypothesis under test is that, conditional on fleet size and orbit regime, the intensity and timing of a commercial low Earth orbit operator’s voluntary contribution to the Department of Commerce Traffic Coordination System for Space (TraCSS) public catalog is strictly increasing in that operator’s own ex ante conjunction exposure. The empirical strategy proceeds in three coordinated estimators: a Cox semiparametric proportional hazards model for the timing of first contribution, a panel fixed effects specification with a stacked difference in differences estimator for the intensity of contribution conditional on entry, and a Heckman selection correction that addresses the joint determination of entry and intensity. The three estimators together bracket the behavioral response. The Cox model identifies the extensive margin; the panel model identifies the intensive margin; and the selection model arbitrates between them.</w:t>
      </w:r>
    </w:p>
    <w:p>
      <w:pPr>
        <w:pStyle w:val="BodyText"/>
        <w:spacing w:line="480" w:lineRule="auto"/>
        <w:ind w:firstLine="720"/>
      </w:pPr>
      <w:r>
        <w:t xml:space="preserve">The choice of three estimators rather than one is dictated by the structure of the data and by the specific threats to validity that the architectural and supervisory literatures have flagged for civil SSA participation. The architecture stream [2,4,6] specifies the federated catalog as a structured channel whose onboarding capacity is itself a moving constraint, which implies that the time at which an operator can contribute is not coterminous with the time at which the operator chooses to contribute. That distinction is the formal motivation for separating the hazard model from the intensity model. The supervisory stream</w:t>
      </w:r>
      <w:r>
        <w:t xml:space="preserve"> </w:t>
      </w:r>
      <w:hyperlink w:anchor="ref-5">
        <w:r>
          <w:rPr>
            <w:rStyle w:val="Hyperlink"/>
          </w:rPr>
          <w:t xml:space="preserve">[5]</w:t>
        </w:r>
      </w:hyperlink>
      <w:r>
        <w:t xml:space="preserve"> </w:t>
      </w:r>
      <w:r>
        <w:t xml:space="preserve">requires traceability of every covariate to a documented data lineage, which constrains the variable set to publicly observable and source-attributable measures. The economics of public goods stream [8,9] supplies the theoretical rationale for instrumenting exposure when the simultaneity of exposure and contribution would otherwise contaminate the slope of interest.</w:t>
      </w:r>
    </w:p>
    <w:bookmarkEnd w:id="94"/>
    <w:bookmarkStart w:id="95" w:name="X6a0a95a35b5e139518dc1e51585e3455615cd8e"/>
    <w:p>
      <w:pPr>
        <w:pStyle w:val="Heading2"/>
        <w:spacing w:line="480" w:lineRule="auto"/>
      </w:pPr>
      <w:r>
        <w:t xml:space="preserve">5.2 The Cox Proportional Hazards Estimator for Time to First Contribution</w:t>
      </w:r>
    </w:p>
    <w:p>
      <w:pPr>
        <w:pStyle w:val="FirstParagraph"/>
        <w:spacing w:line="480" w:lineRule="auto"/>
      </w:pPr>
      <w:r>
        <w:t xml:space="preserve">The first estimator is a Cox semiparametric proportional hazards model on the single-cohort survival panel of commercial LEO operators eligible to contribute on the IOC date of 30 September 2024</w:t>
      </w:r>
      <w:r>
        <w:t xml:space="preserve"> </w:t>
      </w:r>
      <w:hyperlink w:anchor="ref-17">
        <w:r>
          <w:rPr>
            <w:rStyle w:val="Hyperlink"/>
          </w:rPr>
          <w:t xml:space="preserve">[17]</w:t>
        </w:r>
      </w:hyperlink>
      <w:r>
        <w:t xml:space="preserve">. The duration variable is the number of days from the IOC cutover to the operator’s first observed appearance on the Office of Space Commerce TraCSS user roster as a confirmed contributor of screened quality predictive ephemerides, right censored at 365 days. The hazard for operator i at time t is modeled as the product of a nonparametric baseline hazard and an exponential of a linear predictor in operator covariates. The semiparametric form is chosen for two reasons. First, the baseline hazard of contribution under the TraCSS regime is an object of substantive interest, not a nuisance, because it carries the imprint of OSC onboarding capacity over the post IOC year. Second, the partial likelihood does not require a parametric assumption on the time profile of that capacity, which the architectural literature treats as endogenous to the federation effort itself [6,29].</w:t>
      </w:r>
    </w:p>
    <w:p>
      <w:pPr>
        <w:pStyle w:val="BodyText"/>
        <w:spacing w:line="480" w:lineRule="auto"/>
        <w:ind w:firstLine="720"/>
      </w:pPr>
      <w:r>
        <w:t xml:space="preserve">The covariates are operator specific conjunction exposure measured as the mean of conjunction data messages per active satellite over calendar year 2024</w:t>
      </w:r>
      <w:r>
        <w:t xml:space="preserve"> </w:t>
      </w:r>
      <w:hyperlink w:anchor="ref-18">
        <w:r>
          <w:rPr>
            <w:rStyle w:val="Hyperlink"/>
          </w:rPr>
          <w:t xml:space="preserve">[18]</w:t>
        </w:r>
      </w:hyperlink>
      <w:r>
        <w:t xml:space="preserve">, the natural logarithm of fleet size on the IOC date, a binary indicator for US licensing under FCC IBFS or NOAA CRSRA, and a binary indicator for prior anomaly history during 2019 to 2024. Coefficients are estimated by maximization of the partial likelihood</w:t>
      </w:r>
      <w:r>
        <w:t xml:space="preserve"> </w:t>
      </w:r>
      <w:hyperlink w:anchor="ref-21">
        <w:r>
          <w:rPr>
            <w:rStyle w:val="Hyperlink"/>
          </w:rPr>
          <w:t xml:space="preserve">[21]</w:t>
        </w:r>
      </w:hyperlink>
      <w:r>
        <w:t xml:space="preserve">, standard errors are taken from the inverse of the observed information matrix, and hazard ratios are obtained by exponentiation. The proportional hazards assumption is interrogated through scaled Schoenfeld residuals and through inclusion of a time interaction term on conjunction exposure in a robustness specification. A stratified Cox specification, in which the baseline hazard is allowed to differ across orbital shells inherited from the ESA DISCOS classification</w:t>
      </w:r>
      <w:r>
        <w:t xml:space="preserve"> </w:t>
      </w:r>
      <w:hyperlink w:anchor="ref-15">
        <w:r>
          <w:rPr>
            <w:rStyle w:val="Hyperlink"/>
          </w:rPr>
          <w:t xml:space="preserve">[15]</w:t>
        </w:r>
      </w:hyperlink>
      <w:r>
        <w:t xml:space="preserve">, is reported as a sensitivity exercise to absorb any shell specific time profile of OSC outreach that the unstratified model would otherwise attribute to the covariates.</w:t>
      </w:r>
    </w:p>
    <w:p>
      <w:pPr>
        <w:pStyle w:val="BodyText"/>
        <w:spacing w:line="480" w:lineRule="auto"/>
        <w:ind w:firstLine="720"/>
      </w:pPr>
      <w:r>
        <w:t xml:space="preserve">The estimand is the hazard ratio on conjunction exposure, which under the proportional hazards assumption is the multiplicative effect of a one unit increase in CDMs per active satellite over 2024 on the instantaneous hazard of first contribution. A coefficient strictly greater than zero, holding fleet size, US licensing, and prior anomaly history fixed, rejects the null of independence between exposure and the timing of contribution and is the extensive margin counterpart of the central hypothesis.</w:t>
      </w:r>
    </w:p>
    <w:bookmarkEnd w:id="95"/>
    <w:bookmarkStart w:id="96" w:name="X6aaa0b80e1a73cc7398191b79d7568f036a8274"/>
    <w:p>
      <w:pPr>
        <w:pStyle w:val="Heading2"/>
        <w:spacing w:line="480" w:lineRule="auto"/>
      </w:pPr>
      <w:r>
        <w:t xml:space="preserve">5.3 The Panel Fixed Effects Estimator for Contribution Intensity</w:t>
      </w:r>
    </w:p>
    <w:p>
      <w:pPr>
        <w:pStyle w:val="FirstParagraph"/>
        <w:spacing w:line="480" w:lineRule="auto"/>
      </w:pPr>
      <w:r>
        <w:t xml:space="preserve">The second estimator is a panel fixed effects specification at the operator month level over the post IOC window. The dependent variable is contribution intensity, defined as the share of an operator’s active fleet for which screened quality predictive ephemerides are submitted to the TraCSS public catalog at least daily during the month. The right hand side carries operator fixed effects, calendar month fixed effects, and orbit regime by month fixed effects, with the regime classification drawn from ESA DISCOS shell boundaries</w:t>
      </w:r>
      <w:r>
        <w:t xml:space="preserve"> </w:t>
      </w:r>
      <w:hyperlink w:anchor="ref-15">
        <w:r>
          <w:rPr>
            <w:rStyle w:val="Hyperlink"/>
          </w:rPr>
          <w:t xml:space="preserve">[15]</w:t>
        </w:r>
      </w:hyperlink>
      <w:r>
        <w:t xml:space="preserve">. The treatment variable is the operator’s contemporaneous conjunction exposure measured at month frequency from CDMs mirrored into the TraCSS catalog [17,18]. Standard errors are clustered at the operator level to accommodate within operator serial correlation in contribution intensity and in screening volume.</w:t>
      </w:r>
    </w:p>
    <w:p>
      <w:pPr>
        <w:pStyle w:val="BodyText"/>
        <w:spacing w:line="480" w:lineRule="auto"/>
        <w:ind w:firstLine="720"/>
      </w:pPr>
      <w:r>
        <w:t xml:space="preserve">The operator fixed effects absorb all time invariant operator characteristics, including safety culture, corporate ownership structure, and the legacy of pre IOC participation in the Space Data Association or in Combined Space Operations Center partner arrangements [16,26]. The calendar month fixed effects absorb shocks common to the cohort, including episodes of elevated CDM volume associated with high interest conjunction events</w:t>
      </w:r>
      <w:r>
        <w:t xml:space="preserve"> </w:t>
      </w:r>
      <w:hyperlink w:anchor="ref-18">
        <w:r>
          <w:rPr>
            <w:rStyle w:val="Hyperlink"/>
          </w:rPr>
          <w:t xml:space="preserve">[18]</w:t>
        </w:r>
      </w:hyperlink>
      <w:r>
        <w:t xml:space="preserve"> </w:t>
      </w:r>
      <w:r>
        <w:t xml:space="preserve">and any catalog wide changes in screening thresholds. The orbit regime by month fixed effects absorb shell specific time profiles, including seasonal density perturbations and the differential timing of large constellation deployments that the operator level model could otherwise misattribute to the exposure covariate.</w:t>
      </w:r>
    </w:p>
    <w:p>
      <w:pPr>
        <w:pStyle w:val="BodyText"/>
        <w:spacing w:line="480" w:lineRule="auto"/>
        <w:ind w:firstLine="720"/>
      </w:pPr>
      <w:r>
        <w:t xml:space="preserve">Two features of this design require careful statement. First, identification within this fixed effects model rests on within operator over time variation in conjunction exposure that is orthogonal to within operator over time variation in contribution intensity once the three layers of fixed effects are partialled out. The exposure variable is not bound to be exogenous to contribution intensity. An operator that contributes more may receive sharper warnings on shared state, and sharper warnings may register in the CDM count as either a higher or a lower volume depending on the screening threshold. This simultaneity motivates the instrumental variable strategy described below.</w:t>
      </w:r>
    </w:p>
    <w:p>
      <w:pPr>
        <w:pStyle w:val="BodyText"/>
        <w:spacing w:line="480" w:lineRule="auto"/>
        <w:ind w:firstLine="720"/>
      </w:pPr>
      <w:r>
        <w:t xml:space="preserve">Second, the cross-sectional results reported in the companion paper [Paper 1] revealed that a portion of the raw association between voluntary sharing intensity and operator behavior is mechanically driven by the correlation between fleet size and shell occupancy. The panel specification addresses this directly. Operator fixed effects strip the time invariant component of the fleet size and shell correlation, and orbit regime by month fixed effects strip the time varying shell shock. What remains in the slope on exposure is the within operator response of contribution intensity to changes in exposure on a fixed fleet within a fixed shell, which is the conceptual quantity the hypothesis names.</w:t>
      </w:r>
    </w:p>
    <w:bookmarkEnd w:id="96"/>
    <w:bookmarkStart w:id="97" w:name="X77b04c9267995df9a4b06db4f6bcb07b9047894"/>
    <w:p>
      <w:pPr>
        <w:pStyle w:val="Heading2"/>
        <w:spacing w:line="480" w:lineRule="auto"/>
      </w:pPr>
      <w:r>
        <w:t xml:space="preserve">5.4 Identification Strategy: Staggered TraCSS Onboarding as a Quasi-Experiment</w:t>
      </w:r>
    </w:p>
    <w:p>
      <w:pPr>
        <w:pStyle w:val="FirstParagraph"/>
        <w:spacing w:line="480" w:lineRule="auto"/>
      </w:pPr>
      <w:r>
        <w:t xml:space="preserve">The identification strategy exploits the staggered onboarding of TraCSS users between the IOC cutover and the Full Operating Capability transition as a quasi-experiment in the timing at which a given operator first faces the low friction contribution channel. The OSC onboarding queue is governed by integration capacity, by the sequence of operator outreach activity documented in [7,33], and by the federation schedule with the 18 and 19 Space Defense Squadrons</w:t>
      </w:r>
      <w:r>
        <w:t xml:space="preserve"> </w:t>
      </w:r>
      <w:hyperlink w:anchor="ref-16">
        <w:r>
          <w:rPr>
            <w:rStyle w:val="Hyperlink"/>
          </w:rPr>
          <w:t xml:space="preserve">[16]</w:t>
        </w:r>
      </w:hyperlink>
      <w:r>
        <w:t xml:space="preserve">. The variation in the date at which a given operator transitions from eligible to onboarded is therefore a function of OSC supply side capacity rather than of the operator’s own contemporaneous conjunction exposure. This is the source of plausibly exogenous variation that the hypothesis test exploits.</w:t>
      </w:r>
    </w:p>
    <w:p>
      <w:pPr>
        <w:pStyle w:val="BodyText"/>
        <w:spacing w:line="480" w:lineRule="auto"/>
        <w:ind w:firstLine="720"/>
      </w:pPr>
      <w:r>
        <w:t xml:space="preserve">The estimator that takes this variation seriously is the stacked difference in differences design now standard for staggered adoption with heterogeneous treatment effects. For each operator i that is observed to onboard at month t, a cohort specific dataset is constructed that contains operator i and a set of not yet onboarded comparison operators across a symmetric window around t. The cohort specific datasets are stacked, and a single two way fixed effects regression is estimated with cohort by operator and cohort by month fixed effects. The coefficient of interest is the average treatment effect on the treated at each event time relative to the operator’s onboarding month. Parallel pre trends are tested through an event study specification with leads and lags around the onboarding date.</w:t>
      </w:r>
    </w:p>
    <w:p>
      <w:pPr>
        <w:pStyle w:val="BodyText"/>
        <w:spacing w:line="480" w:lineRule="auto"/>
        <w:ind w:firstLine="720"/>
      </w:pPr>
      <w:r>
        <w:t xml:space="preserve">The identifying assumption is that, conditional on operator and month fixed effects within each cohort, the timing of OSC onboarding for operator i is independent of unobserved determinants of contribution intensity for operator i. The assumption is defended on three grounds. First, the OSC integration queue is documented in the public user notices</w:t>
      </w:r>
      <w:r>
        <w:t xml:space="preserve"> </w:t>
      </w:r>
      <w:hyperlink w:anchor="ref-17">
        <w:r>
          <w:rPr>
            <w:rStyle w:val="Hyperlink"/>
          </w:rPr>
          <w:t xml:space="preserve">[17]</w:t>
        </w:r>
      </w:hyperlink>
      <w:r>
        <w:t xml:space="preserve"> </w:t>
      </w:r>
      <w:r>
        <w:t xml:space="preserve">as a function of integration sprint capacity and outreach sequencing rather than of operator specific contemporaneous risk. Second, the outreach taxonomy of [7,33] identifies operator strata that received targeted engagement at known intervals, which permits the construction of a stratum aware comparison group rather than a pooled comparison group. Third, the architectural literature [4,6,29] is explicit that the federation schedule for distributed coordination systems is engineered around the federation node’s integration testing window, not around the contributing operator’s instantaneous exposure.</w:t>
      </w:r>
    </w:p>
    <w:bookmarkEnd w:id="97"/>
    <w:bookmarkStart w:id="98" w:name="X9b41f6d61a7bf7ed1de6235473a8d7788d0d744"/>
    <w:p>
      <w:pPr>
        <w:pStyle w:val="Heading2"/>
        <w:spacing w:line="480" w:lineRule="auto"/>
      </w:pPr>
      <w:r>
        <w:t xml:space="preserve">5.5 Instrumental Variable for Conjunction Exposure</w:t>
      </w:r>
    </w:p>
    <w:p>
      <w:pPr>
        <w:pStyle w:val="FirstParagraph"/>
        <w:spacing w:line="480" w:lineRule="auto"/>
      </w:pPr>
      <w:r>
        <w:t xml:space="preserve">The simultaneity threat in the panel model is addressed through an instrumental variable for operator specific conjunction exposure. The instrument is the orbit regime mean of CDM volume per active satellite computed over all non-contributing operators in the regime during the same month, excluding operator i itself. The exclusion restriction is that this leave one out regime mean affects operator i’s contribution intensity only through its effect on operator i’s own exposure to conjunction risk in the same regime, and not through any direct channel. The instrument is correlated with operator i’s exposure because operators in the same orbital shell face common density shocks from new launches, from atmospheric drag perturbations, and from the deposition of debris from anomaly events documented in [25,18]. The instrument is plausibly excludable because the contribution intensity of operator i is determined by operator i’s own integration choices, fleet size, and risk perception, not directly by the realized CDM volume of other operators in the shell.</w:t>
      </w:r>
    </w:p>
    <w:p>
      <w:pPr>
        <w:pStyle w:val="BodyText"/>
        <w:spacing w:line="480" w:lineRule="auto"/>
        <w:ind w:firstLine="720"/>
      </w:pPr>
      <w:r>
        <w:t xml:space="preserve">A second instrument is a binary indicator for the federation milestone at which the orbit shell of operator i was first served by the corresponding 18 or 19 Space Defense Squadron screening volume in the TraCSS catalog [16,17]. The milestone date is determined by federation engineering schedule and not by operator i’s behavior. The two instruments together permit overidentification testing through a Hansen J test, and the joint first stage is reported with the Kleibergen Paap rk Wald F statistic to confirm instrument strength.</w:t>
      </w:r>
    </w:p>
    <w:bookmarkEnd w:id="98"/>
    <w:bookmarkStart w:id="99" w:name="the-heckman-selection-correction"/>
    <w:p>
      <w:pPr>
        <w:pStyle w:val="Heading2"/>
        <w:spacing w:line="480" w:lineRule="auto"/>
      </w:pPr>
      <w:r>
        <w:t xml:space="preserve">5.6 The Heckman Selection Correction</w:t>
      </w:r>
    </w:p>
    <w:p>
      <w:pPr>
        <w:pStyle w:val="FirstParagraph"/>
        <w:spacing w:line="480" w:lineRule="auto"/>
      </w:pPr>
      <w:r>
        <w:t xml:space="preserve">Conditional intensity is estimated only on operators that have entered the contribution sample. The selection of operators into entry is non-random and depends on the same exposure covariate that drives intensity. The Heckman two step selection model is estimated as the third coordinated estimator. The first stage is a probit on the binary outcome of ever contributing during the post IOC window, with the same covariate set as the Cox model plus a vector of selection only variables that satisfy the exclusion restriction for the second stage. The selection only variables are an indicator for prior membership in the Space Data Association</w:t>
      </w:r>
      <w:r>
        <w:t xml:space="preserve"> </w:t>
      </w:r>
      <w:hyperlink w:anchor="ref-26">
        <w:r>
          <w:rPr>
            <w:rStyle w:val="Hyperlink"/>
          </w:rPr>
          <w:t xml:space="preserve">[26]</w:t>
        </w:r>
      </w:hyperlink>
      <w:r>
        <w:t xml:space="preserve">, an indicator for prior CSpOC partner status</w:t>
      </w:r>
      <w:r>
        <w:t xml:space="preserve"> </w:t>
      </w:r>
      <w:hyperlink w:anchor="ref-16">
        <w:r>
          <w:rPr>
            <w:rStyle w:val="Hyperlink"/>
          </w:rPr>
          <w:t xml:space="preserve">[16]</w:t>
        </w:r>
      </w:hyperlink>
      <w:r>
        <w:t xml:space="preserve">, and a measure of regulatory proximity proxied by the count of public OSC outreach events in the operator’s licensing jurisdiction over the prior twelve months [7,33]. The inverse Mills ratio is computed from the first stage and entered as an additional regressor in the second stage intensity equation.</w:t>
      </w:r>
    </w:p>
    <w:p>
      <w:pPr>
        <w:pStyle w:val="BodyText"/>
        <w:spacing w:line="480" w:lineRule="auto"/>
        <w:ind w:firstLine="720"/>
      </w:pPr>
      <w:r>
        <w:t xml:space="preserve">The exclusion restriction for the Heckman correction is that prior SDA membership, prior CSpOC partner status, and the count of outreach events affect the probability of entering the TraCSS contribution sample but do not directly affect the within sample intensity of contribution conditional on entry. The defense of the restriction is that prior institutional sharing membership and outreach exposure are determinants of the awareness and integration cost of TraCSS contribution, but that, conditional on having entered, the intensity decision is determined by current period conjunction exposure and orbit regime rather than by legacy memberships. The restriction is interrogated through a placebo specification that includes the selection only variables in the second stage and tests their joint significance.</w:t>
      </w:r>
    </w:p>
    <w:bookmarkEnd w:id="99"/>
    <w:bookmarkStart w:id="100" w:name="threats-to-validity-and-their-bounding"/>
    <w:p>
      <w:pPr>
        <w:pStyle w:val="Heading2"/>
        <w:spacing w:line="480" w:lineRule="auto"/>
      </w:pPr>
      <w:r>
        <w:t xml:space="preserve">5.7 Threats to Validity and Their Bounding</w:t>
      </w:r>
    </w:p>
    <w:p>
      <w:pPr>
        <w:pStyle w:val="FirstParagraph"/>
        <w:spacing w:line="480" w:lineRule="auto"/>
      </w:pPr>
      <w:r>
        <w:t xml:space="preserve">Four threats to validity are explicitly addressed.</w:t>
      </w:r>
    </w:p>
    <w:p>
      <w:pPr>
        <w:pStyle w:val="BodyText"/>
        <w:spacing w:line="480" w:lineRule="auto"/>
        <w:ind w:firstLine="720"/>
      </w:pPr>
      <w:r>
        <w:t xml:space="preserve">The first is measurement error in the dependent variable. The TraCSS public catalog may understate contribution from operators that route ephemerides through bilateral channels with the Space Data Association or with commercial providers including the LeoLabs catalog mirrored into the federation</w:t>
      </w:r>
      <w:r>
        <w:t xml:space="preserve"> </w:t>
      </w:r>
      <w:hyperlink w:anchor="ref-2">
        <w:r>
          <w:rPr>
            <w:rStyle w:val="Hyperlink"/>
          </w:rPr>
          <w:t xml:space="preserve">[2]</w:t>
        </w:r>
      </w:hyperlink>
      <w:r>
        <w:t xml:space="preserve">. Classical measurement error in the dependent variable inflates standard errors but does not bias the slope on exposure. Non-classical measurement error, in which the magnitude of underreporting is correlated with operator characteristics, is bounded by triangulation against three external sources: the SDA member roster</w:t>
      </w:r>
      <w:r>
        <w:t xml:space="preserve"> </w:t>
      </w:r>
      <w:hyperlink w:anchor="ref-26">
        <w:r>
          <w:rPr>
            <w:rStyle w:val="Hyperlink"/>
          </w:rPr>
          <w:t xml:space="preserve">[26]</w:t>
        </w:r>
      </w:hyperlink>
      <w:r>
        <w:t xml:space="preserve">, the CSpOC partner list</w:t>
      </w:r>
      <w:r>
        <w:t xml:space="preserve"> </w:t>
      </w:r>
      <w:hyperlink w:anchor="ref-16">
        <w:r>
          <w:rPr>
            <w:rStyle w:val="Hyperlink"/>
          </w:rPr>
          <w:t xml:space="preserve">[16]</w:t>
        </w:r>
      </w:hyperlink>
      <w:r>
        <w:t xml:space="preserve">, and the LeoLabs commercial catalog flagged in</w:t>
      </w:r>
      <w:r>
        <w:t xml:space="preserve"> </w:t>
      </w:r>
      <w:hyperlink w:anchor="ref-2">
        <w:r>
          <w:rPr>
            <w:rStyle w:val="Hyperlink"/>
          </w:rPr>
          <w:t xml:space="preserve">[2]</w:t>
        </w:r>
      </w:hyperlink>
      <w:r>
        <w:t xml:space="preserve">. The bound is reported as the range of the exposure coefficient across the triangulated and untriangulated samples, with a Bonferroni correction applied to the resulting confidence interval.</w:t>
      </w:r>
    </w:p>
    <w:p>
      <w:pPr>
        <w:pStyle w:val="BodyText"/>
        <w:spacing w:line="480" w:lineRule="auto"/>
        <w:ind w:firstLine="720"/>
      </w:pPr>
      <w:r>
        <w:t xml:space="preserve">The second threat is reverse causality. High contributors may experience lower realized exposure precisely because contribution sharpens the screening of their own state, which under one screening threshold reduces false positive CDMs and under another threshold increases true positive CDMs. The direction of the bias is ambiguous in theory, which makes the simultaneity threat more, rather than less, important to address by instrumentation. The two instruments specified in section 5.5 break the simultaneity by tying the exposure variation to leave one out regime shocks and to federation engineering milestones, neither of which is a function of operator i’s contribution choice. The reverse causality threat is bounded by the comparison of the OLS slope on exposure from the fixed effects model, the two stage least squares slope under the leave one out instrument alone, and the two stage least squares slope under the joint instrument set. If the three slopes lie in the same sign and within a credible interval, the bound on reverse causality bias is tight. If they diverge, the divergence itself is reported.</w:t>
      </w:r>
    </w:p>
    <w:p>
      <w:pPr>
        <w:pStyle w:val="BodyText"/>
        <w:spacing w:line="480" w:lineRule="auto"/>
        <w:ind w:firstLine="720"/>
      </w:pPr>
      <w:r>
        <w:t xml:space="preserve">The third threat is selection on unobservables. Contributing operators may differ from non-contributors in unobserved safety culture, integration sophistication, and regulatory disposition. The operator fixed effects in the panel model absorb time invariant unobservables. The Heckman correction in section 5.6 addresses time varying selection. The residual concern is the joint determination of within operator changes in safety culture and within operator changes in contribution intensity, which neither tool absorbs. This residual concern is bounded through an Oster style sensitivity analysis on selection on observables, in which the maximum coefficient stability across the inclusion of the full observable covariate set is used to derive a bound on the coefficient under proportional selection on unobservables.</w:t>
      </w:r>
    </w:p>
    <w:p>
      <w:pPr>
        <w:pStyle w:val="BodyText"/>
        <w:spacing w:line="480" w:lineRule="auto"/>
        <w:ind w:firstLine="720"/>
      </w:pPr>
      <w:r>
        <w:t xml:space="preserve">The fourth threat is external validity beyond the US licensed commercial cohort. The Cox and panel estimates are identified on a US dominated cohort because the OSC TraCSS public catalog is the data backbone for the contribution event. The architecture and outreach literature [4,6,7,29,33] documents parallel federation efforts in the EU SST and in adjacent national programs. The external validity bound is operationalized by replicating the panel specification on the EU SST contributor list, with contribution intensity redefined to the analogous EU SST construct, and reporting the ratio of the EU SST coefficient to the TraCSS coefficient as the cross regime external validity factor. The substantive interpretation is that if the ratio is statistically indistinguishable from unity, the US cohort estimate generalizes to the EU SST cohort; if the ratio differs from unity, the divergence is reported and interpreted in light of the differing federation architectures of [4,6,29].</w:t>
      </w:r>
    </w:p>
    <w:bookmarkEnd w:id="100"/>
    <w:bookmarkStart w:id="101" w:name="robustness-and-specification-tests"/>
    <w:p>
      <w:pPr>
        <w:pStyle w:val="Heading2"/>
        <w:spacing w:line="480" w:lineRule="auto"/>
      </w:pPr>
      <w:r>
        <w:t xml:space="preserve">5.8 Robustness and Specification Tests</w:t>
      </w:r>
    </w:p>
    <w:p>
      <w:pPr>
        <w:pStyle w:val="FirstParagraph"/>
        <w:spacing w:line="480" w:lineRule="auto"/>
      </w:pPr>
      <w:r>
        <w:t xml:space="preserve">Four additional robustness tests are pre-specified. First, the intensity threshold defining contribution is varied across the daily, weekly, and monthly screened quality submission thresholds, and the coefficient on exposure is reported across the three thresholds to confirm that the result does not depend on the choice of intensity cutoff. Second, the orbit regime classification is varied between the ESA DISCOS shell boundaries</w:t>
      </w:r>
      <w:r>
        <w:t xml:space="preserve"> </w:t>
      </w:r>
      <w:hyperlink w:anchor="ref-15">
        <w:r>
          <w:rPr>
            <w:rStyle w:val="Hyperlink"/>
          </w:rPr>
          <w:t xml:space="preserve">[15]</w:t>
        </w:r>
      </w:hyperlink>
      <w:r>
        <w:t xml:space="preserve">, an alternative LEO subdivision by mean motion, and a coarse three regime classification, with the panel coefficient reported in each. Third, the conjunction exposure measure is computed from CDM mirroring in the TraCSS catalog as the primary measure and from the LeoLabs commercial catalog flagged in</w:t>
      </w:r>
      <w:r>
        <w:t xml:space="preserve"> </w:t>
      </w:r>
      <w:hyperlink w:anchor="ref-2">
        <w:r>
          <w:rPr>
            <w:rStyle w:val="Hyperlink"/>
          </w:rPr>
          <w:t xml:space="preserve">[2]</w:t>
        </w:r>
      </w:hyperlink>
      <w:r>
        <w:t xml:space="preserve"> </w:t>
      </w:r>
      <w:r>
        <w:t xml:space="preserve">as a secondary measure, and the two measures are entered separately and jointly. Fourth, the staggered difference in differences event study is reported with the Callaway and Sant’Anna inspired specification that conditions on never treated comparisons, as a check against the two way fixed effects pathologies in the standard staggered adoption literature.</w:t>
      </w:r>
    </w:p>
    <w:p>
      <w:pPr>
        <w:pStyle w:val="BodyText"/>
        <w:spacing w:line="480" w:lineRule="auto"/>
        <w:ind w:firstLine="720"/>
      </w:pPr>
      <w:r>
        <w:t xml:space="preserve">The proportional hazards assumption is interrogated through three diagnostics: scaled residuals against time for each covariate, a global test of the proportional hazards null, and a stratified Cox specification by orbit regime. If any covariate fails the proportional hazards null, the time interaction term is retained in the reported specification and the coefficient is interpreted as a time averaged hazard ratio.</w:t>
      </w:r>
    </w:p>
    <w:bookmarkEnd w:id="101"/>
    <w:bookmarkStart w:id="102" w:name="bounding-the-composite-claim"/>
    <w:p>
      <w:pPr>
        <w:pStyle w:val="Heading2"/>
        <w:spacing w:line="480" w:lineRule="auto"/>
      </w:pPr>
      <w:r>
        <w:t xml:space="preserve">5.9 Bounding the Composite Claim</w:t>
      </w:r>
    </w:p>
    <w:p>
      <w:pPr>
        <w:pStyle w:val="FirstParagraph"/>
        <w:spacing w:line="480" w:lineRule="auto"/>
      </w:pPr>
      <w:r>
        <w:t xml:space="preserve">The dissertation’s central claim is composite. It asserts that contribution intensity is monotonically increasing in operator specific conjunction exposure across both the timing and the depth of participation. The composite claim is bounded by reporting the joint set of coefficients from the three estimators side by side, with the Cox hazard ratio on exposure, the panel two stage least squares slope on exposure, and the Heckman corrected second stage slope on exposure interpreted together. The bound on the composite claim is the worst case across the three estimators after the threats specified in section 5.7 are addressed. If all three coefficients are strictly positive at conventional thresholds, the composite claim is supported. If any one of the three coefficients reverses sign or fails significance, the reversal is reported and the composite claim is revised to the margin on which it survives.</w:t>
      </w:r>
    </w:p>
    <w:p>
      <w:pPr>
        <w:pStyle w:val="BodyText"/>
        <w:spacing w:line="480" w:lineRule="auto"/>
        <w:ind w:firstLine="720"/>
      </w:pPr>
      <w:r>
        <w:t xml:space="preserve">The supervisory framing of</w:t>
      </w:r>
      <w:r>
        <w:t xml:space="preserve"> </w:t>
      </w:r>
      <w:hyperlink w:anchor="ref-5">
        <w:r>
          <w:rPr>
            <w:rStyle w:val="Hyperlink"/>
          </w:rPr>
          <w:t xml:space="preserve">[5]</w:t>
        </w:r>
      </w:hyperlink>
      <w:r>
        <w:t xml:space="preserve"> </w:t>
      </w:r>
      <w:r>
        <w:t xml:space="preserve">is invoked one final time as the standard for the data appendix. Every covariate, every estimator, and every robustness specification is documented to the granularity required for an independent supervisory replication. The threats to validity are not eliminated; they are bounded. The bounds are reported alongside the point estimates. The dissertation rests on the joint pattern across the three estimators rather than on the headline coefficient of any one of them.</w:t>
      </w:r>
    </w:p>
    <w:bookmarkEnd w:id="102"/>
    <w:bookmarkEnd w:id="103"/>
    <w:bookmarkStart w:id="119"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estimators that together constitute the revealed-preference analysis of voluntary commercial participation in the post-2024 civil Space Situational Awareness (SSA) regime. Paper One estimates an ordinary least squares (OLS) model of maneuver intensity across thirty-four operator portfolios, recovering the cross-sectional behavioral response to formal participation in sharing channels conditional on observed conjunction warning volume. Paper Two estimates a Cox semiparametric proportional-hazards model of time-to-first-contribution on a thirty-operator cohort, recovering the determinants of the timing of voluntary entry into the Traffic Coordination System for Space (TraCSS) public catalog after Initial Operating Capability (IOC). Both estimators are reported here in full coefficient detail; the regression tables, survival functions, and supporting graphics are reserved for Appendix A. The exposition below restricts itself to numerical values that appear in the estimator output and abstains from any quantity not directly produced by the partial likelihood or the OLS objective.</w:t>
      </w:r>
    </w:p>
    <w:p>
      <w:pPr>
        <w:pStyle w:val="BodyText"/>
        <w:spacing w:line="480" w:lineRule="auto"/>
        <w:ind w:firstLine="720"/>
      </w:pPr>
      <w:r>
        <w:t xml:space="preserve">The two papers are presented in sequence and then jointly interpreted. The OLS results in Section 6.1 address the intensity of participation conditional on entry. The Cox results in Section 6.2 address the timing of entry conditional on eligibility. The joint reading in Section 6.3 reconciles the two estimands and locates the findings against the prospectus’s single falsifiable hypothesis. Throughout, the discussion is restricted to what the estimators actually identify; the conditions under which the results would be expected to generalize beyond the observed cohort are treated separately in Chapter 7.</w:t>
      </w:r>
    </w:p>
    <w:bookmarkStart w:id="111" w:name="X08b5fe058c2ac33f185515a4dad9d778f20c85d"/>
    <w:p>
      <w:pPr>
        <w:pStyle w:val="Heading2"/>
        <w:spacing w:line="480" w:lineRule="auto"/>
      </w:pPr>
      <w:r>
        <w:t xml:space="preserve">6.1 Paper One: OLS Estimates of Maneuver Intensity</w:t>
      </w:r>
    </w:p>
    <w:bookmarkStart w:id="104" w:name="global-fit"/>
    <w:p>
      <w:pPr>
        <w:pStyle w:val="Heading3"/>
        <w:spacing w:line="480" w:lineRule="auto"/>
      </w:pPr>
      <w:r>
        <w:t xml:space="preserve">6.1.1 Global fit</w:t>
      </w:r>
    </w:p>
    <w:p>
      <w:pPr>
        <w:pStyle w:val="FirstParagraph"/>
        <w:spacing w:line="480" w:lineRule="auto"/>
      </w:pPr>
      <w:r>
        <w:t xml:space="preserve">The OLS specification was estimated on N equal to thirty-four operator portfolios with robust HC1 standard errors. The model recovers a coefficient of determination of 0.9889 and an adjusted coefficient of determination of 0.9864. The associated F-statistic is 2792.29, with a p-value of 2.18e-36. Two observations follow from these summary statistics. First, the joint specification is significant at any conventional threshold and the null that the right-hand-side variables jointly contribute no explanatory power to maneuver intensity is rejected decisively. Second, the magnitude of the adjusted coefficient of determination indicates that the six right-hand-side regressors absorb almost the entirety of the cross-operator variance in maneuvers per satellite-year. This is not an artifact of overfitting because the adjusted statistic, which penalises additional regressors, declines from the unadjusted value by only twenty-five hundredths of a percentage point. The implication is that the observable cross-section of operators is genuinely structured by the variables the literature has long argued should structure it [2,3,4,13], and that residual heterogeneity in maneuver behavior across portfolios is small once that structure is controlled.</w:t>
      </w:r>
    </w:p>
    <w:p>
      <w:pPr>
        <w:pStyle w:val="BodyText"/>
        <w:spacing w:line="480" w:lineRule="auto"/>
        <w:ind w:firstLine="720"/>
      </w:pPr>
      <w:r>
        <w:t xml:space="preserve">The high fit does invite caution about external validity. The sample is the universe of operators for which 2023 to 2024 maneuver disclosures, conjunction data message (CDM) records, and sharing affiliations were jointly retrievable. Operators in earlier stages of disclosure maturity are necessarily underrepresented. The finding that the specification explains nearly all of the cross-portfolio variance should therefore be read as conditional on the disclosure-mature segment of the operator population rather than as a population statement.</w:t>
      </w:r>
    </w:p>
    <w:bookmarkEnd w:id="104"/>
    <w:bookmarkStart w:id="105" w:name="the-mechanical-warning-to-maneuver-link"/>
    <w:p>
      <w:pPr>
        <w:pStyle w:val="Heading3"/>
        <w:spacing w:line="480" w:lineRule="auto"/>
      </w:pPr>
      <w:r>
        <w:t xml:space="preserve">6.1.2 The mechanical warning-to-maneuver link</w:t>
      </w:r>
    </w:p>
    <w:p>
      <w:pPr>
        <w:pStyle w:val="FirstParagraph"/>
        <w:spacing w:line="480" w:lineRule="auto"/>
      </w:pPr>
      <w:r>
        <w:t xml:space="preserve">The coefficient on conjunction data messages per satellite-year (cdms_per_sat_year) is 0.0096, with a robust standard error of 0.0002 and a p-value below the precision floor of the routine. The estimate is therefore significant at any conventional threshold and is the most precisely estimated parameter in the model. Substantively, the coefficient indicates that, holding all other regressors constant, each additional CDM issued per satellite per year is associated with an increase of 0.0096 maneuvers per satellite per year. Aggregated to operationally meaningful magnitudes, one hundred additional CDMs per satellite-year are associated with approximately 0.96 additional maneuvers per satellite-year, which is the order of magnitude reported for active LEO constellations in the COLA literature</w:t>
      </w:r>
      <w:r>
        <w:t xml:space="preserve"> </w:t>
      </w:r>
      <w:hyperlink w:anchor="ref-13">
        <w:r>
          <w:rPr>
            <w:rStyle w:val="Hyperlink"/>
          </w:rPr>
          <w:t xml:space="preserve">[13]</w:t>
        </w:r>
      </w:hyperlink>
      <w:r>
        <w:t xml:space="preserve">.</w:t>
      </w:r>
    </w:p>
    <w:p>
      <w:pPr>
        <w:pStyle w:val="BodyText"/>
        <w:spacing w:line="480" w:lineRule="auto"/>
        <w:ind w:firstLine="720"/>
      </w:pPr>
      <w:r>
        <w:t xml:space="preserve">This estimate is the empirical confirmation of the auxiliary hypothesis H2 in Paper One: that warning volume mechanically propagates into maneuver counts. The substantive importance of the coefficient is less its magnitude than its precision. A standard error of 0.0002 against a point estimate of 0.0096 implies a coefficient-to-standard-error ratio above forty, which is the kind of identification one obtains when the regressor varies smoothly across the cross-section and the dependent variable responds to it in a near-deterministic way. That the warning-to-maneuver translation is so tightly identified is itself informative: operators in the disclosure-mature segment do not absorb warnings without acting on them, in contrast with the lay intuition that high-CDM operators have learned to triage</w:t>
      </w:r>
      <w:r>
        <w:t xml:space="preserve"> </w:t>
      </w:r>
      <w:hyperlink w:anchor="ref-18">
        <w:r>
          <w:rPr>
            <w:rStyle w:val="Hyperlink"/>
          </w:rPr>
          <w:t xml:space="preserve">[18]</w:t>
        </w:r>
      </w:hyperlink>
      <w:r>
        <w:t xml:space="preserve">.</w:t>
      </w:r>
    </w:p>
    <w:bookmarkEnd w:id="105"/>
    <w:bookmarkStart w:id="106" w:name="the-space-track-access-tier"/>
    <w:p>
      <w:pPr>
        <w:pStyle w:val="Heading3"/>
        <w:spacing w:line="480" w:lineRule="auto"/>
      </w:pPr>
      <w:r>
        <w:t xml:space="preserve">6.1.3 The Space-Track access tier</w:t>
      </w:r>
    </w:p>
    <w:p>
      <w:pPr>
        <w:pStyle w:val="FirstParagraph"/>
        <w:spacing w:line="480" w:lineRule="auto"/>
      </w:pPr>
      <w:r>
        <w:t xml:space="preserve">The coefficient on the Space-Track access tier (spacetrack_tier) is negative at minus 0.6507 with a robust standard error of 0.1946, yielding a p-value of 0.0008. The estimate is significant at the one-tenth-of-one-percent threshold. The interpretation is that, holding CDM volume and all other regressors constant, each additional tier of formal Combined Space Operations Center sharing access is associated with a reduction of approximately 0.65 maneuvers per satellite-year. The sign is negative and the magnitude is operationally consequential: a two-tier difference in formal access corresponds to a reduction of roughly 1.30 maneuvers per satellite-year at constant warning volume, which is a substantial fraction of the typical operator’s annual maneuver budget [13,16].</w:t>
      </w:r>
    </w:p>
    <w:p>
      <w:pPr>
        <w:pStyle w:val="BodyText"/>
        <w:spacing w:line="480" w:lineRule="auto"/>
        <w:ind w:firstLine="720"/>
      </w:pPr>
      <w:r>
        <w:t xml:space="preserve">This coefficient carries the central revealed-preference signal of Paper One. Because warning volume is already absorbed by the CDM regressor, the Space-Track tier coefficient cannot be interpreted as a volume effect. It must be interpreted as a calibration effect: operators with deeper formal access to the eighteenth Space Defense Squadron screening pipeline maneuver less per warning, conditional on warning. The conditional structure of the estimate is what makes it identify the calibration channel rather than the access channel itself. The negative sign is consistent with the architectural argument of</w:t>
      </w:r>
      <w:r>
        <w:t xml:space="preserve"> </w:t>
      </w:r>
      <w:hyperlink w:anchor="ref-2">
        <w:r>
          <w:rPr>
            <w:rStyle w:val="Hyperlink"/>
          </w:rPr>
          <w:t xml:space="preserve">[2]</w:t>
        </w:r>
      </w:hyperlink>
      <w:r>
        <w:t xml:space="preserve"> </w:t>
      </w:r>
      <w:r>
        <w:t xml:space="preserve">and with the supervisory framing of</w:t>
      </w:r>
      <w:r>
        <w:t xml:space="preserve"> </w:t>
      </w:r>
      <w:hyperlink w:anchor="ref-5">
        <w:r>
          <w:rPr>
            <w:rStyle w:val="Hyperlink"/>
          </w:rPr>
          <w:t xml:space="preserve">[5]</w:t>
        </w:r>
      </w:hyperlink>
      <w:r>
        <w:t xml:space="preserve">, in both of which deeper participation in the formal sharing infrastructure is hypothesised to sharpen the screening decision at the operator level rather than to alter the volume of warnings received.</w:t>
      </w:r>
    </w:p>
    <w:bookmarkEnd w:id="106"/>
    <w:bookmarkStart w:id="107" w:name="the-space-data-association-indicator"/>
    <w:p>
      <w:pPr>
        <w:pStyle w:val="Heading3"/>
        <w:spacing w:line="480" w:lineRule="auto"/>
      </w:pPr>
      <w:r>
        <w:t xml:space="preserve">6.1.4 The Space Data Association indicator</w:t>
      </w:r>
    </w:p>
    <w:p>
      <w:pPr>
        <w:pStyle w:val="FirstParagraph"/>
        <w:spacing w:line="480" w:lineRule="auto"/>
      </w:pPr>
      <w:r>
        <w:t xml:space="preserve">The coefficient on Space Data Association membership (sda_member) is minus 0.6097 with a robust standard error of 0.2551, yielding a p-value of 0.0168. The estimate is significant at the two-percent threshold. Operators who are members of the Space Data Association maneuver, conditional on CDM volume and all other regressors, approximately 0.61 fewer times per satellite-year than non-member operators of otherwise comparable profile. The magnitude is closely comparable to the Space-Track tier estimate and the two estimates appear to identify distinct channels: the Space-Track tier captures the operator’s depth of engagement with the United States government sharing infrastructure, while the Space Data Association indicator captures engagement with the operator-led commercial sharing club</w:t>
      </w:r>
      <w:r>
        <w:t xml:space="preserve"> </w:t>
      </w:r>
      <w:hyperlink w:anchor="ref-16">
        <w:r>
          <w:rPr>
            <w:rStyle w:val="Hyperlink"/>
          </w:rPr>
          <w:t xml:space="preserve">[16]</w:t>
        </w:r>
      </w:hyperlink>
      <w:r>
        <w:t xml:space="preserve">.</w:t>
      </w:r>
    </w:p>
    <w:p>
      <w:pPr>
        <w:pStyle w:val="BodyText"/>
        <w:spacing w:line="480" w:lineRule="auto"/>
        <w:ind w:firstLine="720"/>
      </w:pPr>
      <w:r>
        <w:t xml:space="preserve">That the two coefficients are of comparable magnitude and both negatively signed is the strongest cross-sectional evidence in the dataset that the calibration effect attributed to formal sharing is not an artifact of any single institutional channel. The operator-led Space Data Association and the government-mediated Space-Track partner program both register independently as factors that lower the per-warning maneuver burden. The independence is statistical, in the sense that the two regressors enter the specification simultaneously, and behavioural, in the sense that the two institutional channels operate through partially distinct technical and contractual mechanisms.</w:t>
      </w:r>
    </w:p>
    <w:bookmarkEnd w:id="107"/>
    <w:bookmarkStart w:id="108" w:name="the-share-index"/>
    <w:p>
      <w:pPr>
        <w:pStyle w:val="Heading3"/>
        <w:spacing w:line="480" w:lineRule="auto"/>
      </w:pPr>
      <w:r>
        <w:t xml:space="preserve">6.1.5 The share index</w:t>
      </w:r>
    </w:p>
    <w:p>
      <w:pPr>
        <w:pStyle w:val="FirstParagraph"/>
        <w:spacing w:line="480" w:lineRule="auto"/>
      </w:pPr>
      <w:r>
        <w:t xml:space="preserve">The share-index regressor (share_index) carries a positive coefficient of 4.5741 with a robust standard error of 0.7553 and a p-value below the precision floor. The point estimate is by an order of magnitude the largest coefficient in the model, and its sign is, on its face, the opposite of what a naive revealed-preference reading would predict. A naive reading would expect that a richer share index corresponds to lower maneuver intensity. The estimate finds the opposite, with very high precision.</w:t>
      </w:r>
    </w:p>
    <w:p>
      <w:pPr>
        <w:pStyle w:val="BodyText"/>
        <w:spacing w:line="480" w:lineRule="auto"/>
        <w:ind w:firstLine="720"/>
      </w:pPr>
      <w:r>
        <w:t xml:space="preserve">The reading defended in Section 5 of Paper One is that the share index, as coded from operator disclosures of ephemeris cadence and CDM acknowledgement, is mechanically correlated with operating tempo. Large LEO constellations both share at high cadence and operate in the most heavily trafficked orbital shells, in which mechanical maneuver demand is structurally high regardless of warning calibration [13,15]. The coefficient on the share index therefore identifies operating tempo as much as it identifies sharing intensity. Once the institutional sharing channels are isolated through the Space Data Association indicator and the Space-Track tier, the formal-channel coefficients carry the revealed-preference signal cleanly and the share-index coefficient carries the residual operating-tempo signal. The two readings are not in tension and they are not competing for the same variance, as evidenced by the fact that all three coefficients retain their signs, magnitudes, and significance in the joint specification.</w:t>
      </w:r>
    </w:p>
    <w:bookmarkEnd w:id="108"/>
    <w:bookmarkStart w:id="109" w:name="the-orbit-regime-and-tenure-controls"/>
    <w:p>
      <w:pPr>
        <w:pStyle w:val="Heading3"/>
        <w:spacing w:line="480" w:lineRule="auto"/>
      </w:pPr>
      <w:r>
        <w:t xml:space="preserve">6.1.6 The orbit regime and tenure controls</w:t>
      </w:r>
    </w:p>
    <w:p>
      <w:pPr>
        <w:pStyle w:val="FirstParagraph"/>
        <w:spacing w:line="480" w:lineRule="auto"/>
      </w:pPr>
      <w:r>
        <w:t xml:space="preserve">The coefficient on the LEO share of the operator’s fleet (regime_leo_share) is 0.3387 with a robust standard error of 0.1640 and a p-value of 0.0389. The estimate is significant at the four-percent threshold and is consistent with the operating-tempo reading of the share-index coefficient: operators whose fleets are concentrated in LEO maneuver more per satellite-year than otherwise comparable operators with a higher non-LEO fraction. The magnitude of the coefficient indicates that a fifty-percentage-point increase in LEO share is associated with approximately 0.17 additional maneuvers per satellite-year, which is modest in magnitude but statistically distinguishable from zero.</w:t>
      </w:r>
    </w:p>
    <w:p>
      <w:pPr>
        <w:pStyle w:val="BodyText"/>
        <w:spacing w:line="480" w:lineRule="auto"/>
        <w:ind w:firstLine="720"/>
      </w:pPr>
      <w:r>
        <w:t xml:space="preserve">The coefficient on years of formal sharing tenure (years_sharing) is minus 0.0297 with a robust standard error of 0.0181 and a p-value of 0.1014. The point estimate has the expected negative sign, but the p-value is above the conventional five-percent threshold. The reading defended in Paper One is that the calibration benefit of formal sharing accrues at the moment of joining the formal channel rather than gradually across subsequent years of membership, which is consistent with the level effect identified by the Space-Track tier and Space Data Association indicators and inconsistent with a gradual learning-by-membership story. The point estimate is not statistically distinguishable from zero in the present cross-section, but the sign is informative as a constraint on alternative narratives.</w:t>
      </w:r>
    </w:p>
    <w:bookmarkEnd w:id="109"/>
    <w:bookmarkStart w:id="110" w:name="the-intercept"/>
    <w:p>
      <w:pPr>
        <w:pStyle w:val="Heading3"/>
        <w:spacing w:line="480" w:lineRule="auto"/>
      </w:pPr>
      <w:r>
        <w:t xml:space="preserve">6.1.7 The intercept</w:t>
      </w:r>
    </w:p>
    <w:p>
      <w:pPr>
        <w:pStyle w:val="FirstParagraph"/>
        <w:spacing w:line="480" w:lineRule="auto"/>
      </w:pPr>
      <w:r>
        <w:t xml:space="preserve">The intercept term is minus 0.7259 with a robust standard error of 0.2262 and a p-value of 0.0013. The intercept is statistically distinguishable from zero at the one-tenth-of-one-percent threshold, but its substantive interpretation is limited because it represents the predicted maneuver intensity for an operator with all regressors set to zero, a profile that does not correspond to any observed portfolio in the sample. The intercept is reported here for completeness and is retained in the specification because excluding it would impose a structural restriction on the conditional mean that is not justified by theory.</w:t>
      </w:r>
    </w:p>
    <w:bookmarkEnd w:id="110"/>
    <w:bookmarkEnd w:id="111"/>
    <w:bookmarkStart w:id="117" w:name="X6e203d385c7e3c8651191eaf3ff0cc49b4cb062"/>
    <w:p>
      <w:pPr>
        <w:pStyle w:val="Heading2"/>
        <w:spacing w:line="480" w:lineRule="auto"/>
      </w:pPr>
      <w:r>
        <w:t xml:space="preserve">6.2 Paper Two: Cox Proportional-Hazards Estimates of Time-to-First-Contribution</w:t>
      </w:r>
    </w:p>
    <w:bookmarkStart w:id="112" w:name="sample-and-event-structure"/>
    <w:p>
      <w:pPr>
        <w:pStyle w:val="Heading3"/>
        <w:spacing w:line="480" w:lineRule="auto"/>
      </w:pPr>
      <w:r>
        <w:t xml:space="preserve">6.2.1 Sample and event structure</w:t>
      </w:r>
    </w:p>
    <w:p>
      <w:pPr>
        <w:pStyle w:val="FirstParagraph"/>
        <w:spacing w:line="480" w:lineRule="auto"/>
      </w:pPr>
      <w:r>
        <w:t xml:space="preserve">The Cox model was estimated on N equal to thirty commercial LEO operators, of whom twenty-one experienced the contribution event during the 365-day post-IOC observation window and nine were right-censored at the window’s close. The ratio of events to covariates is therefore approximately five to one, which is adequate for a four-covariate semiparametric specification under standard rules of thumb but limits the power available for higher-order interactions and proportional-hazards diagnostics. The partial-likelihood estimator and the model-based standard errors are reported on this cohort. The fit is reported as N equal to thirty and events equal to twenty-one; no additional global fit statistic is reported because the semiparametric model leaves the baseline hazard unrestricted and therefore does not produce a single likelihood-ratio analog to the OLS coefficient of determination.</w:t>
      </w:r>
    </w:p>
    <w:bookmarkEnd w:id="112"/>
    <w:bookmarkStart w:id="113" w:name="conjunction-exposure"/>
    <w:p>
      <w:pPr>
        <w:pStyle w:val="Heading3"/>
        <w:spacing w:line="480" w:lineRule="auto"/>
      </w:pPr>
      <w:r>
        <w:t xml:space="preserve">6.2.2 Conjunction exposure</w:t>
      </w:r>
    </w:p>
    <w:p>
      <w:pPr>
        <w:pStyle w:val="FirstParagraph"/>
        <w:spacing w:line="480" w:lineRule="auto"/>
      </w:pPr>
      <w:r>
        <w:t xml:space="preserve">The coefficient on operator conjunction exposure (conjunction_exposure) is 1.9741 with a model-based standard error of 0.8760 and a p-value of 0.0242. The estimate is significant at the three-percent threshold. The implied hazard ratio, obtained by exponentiating the coefficient, indicates that a one-unit increase in operator-specific CDMs per active satellite over calendar year 2024 is associated with a multiplicative increase in the instantaneous hazard of contribution of approximately a factor of seven, conditional on log fleet size, US licensing status, and prior anomaly history.</w:t>
      </w:r>
    </w:p>
    <w:p>
      <w:pPr>
        <w:pStyle w:val="BodyText"/>
        <w:spacing w:line="480" w:lineRule="auto"/>
        <w:ind w:firstLine="720"/>
      </w:pPr>
      <w:r>
        <w:t xml:space="preserve">The sign of this coefficient is the central empirical finding of Paper Two. It rejects the prospectus’s null hypothesis H0 in favor of the directional alternative H1 at the three-percent threshold. The point estimate is large in absolute value and the standard error, while substantial relative to the coefficient, leaves the lower bound of a conventional confidence interval positive. The reading is that, conditional on the controls included in the specification, operators whose fleets actually face higher CDM rates during the year preceding TraCSS IOC contribute earlier than otherwise comparable operators. This is the first revealed-preference evidence in the SSA literature that the architectural wager underlying TraCSS, that contribution is individually rational for at-risk operators [2,4], is empirically supported within the post-IOC window.</w:t>
      </w:r>
    </w:p>
    <w:bookmarkEnd w:id="113"/>
    <w:bookmarkStart w:id="114" w:name="united-states-licensing-status"/>
    <w:p>
      <w:pPr>
        <w:pStyle w:val="Heading3"/>
        <w:spacing w:line="480" w:lineRule="auto"/>
      </w:pPr>
      <w:r>
        <w:t xml:space="preserve">6.2.3 United States licensing status</w:t>
      </w:r>
    </w:p>
    <w:p>
      <w:pPr>
        <w:pStyle w:val="FirstParagraph"/>
        <w:spacing w:line="480" w:lineRule="auto"/>
      </w:pPr>
      <w:r>
        <w:t xml:space="preserve">The coefficient on the United States licensing indicator (us_licensed) is 2.8767 with a model-based standard error of 0.8318 and a p-value of 0.0005. The estimate is the most precisely identified parameter in the Cox specification. The implied hazard ratio indicates that, conditional on conjunction exposure, log fleet size, and prior anomaly history, United States licensed operators face an instantaneous hazard of first contribution that is multiplicatively larger than that of non-United States licensed operators by a factor of approximately seventeen.</w:t>
      </w:r>
    </w:p>
    <w:p>
      <w:pPr>
        <w:pStyle w:val="BodyText"/>
        <w:spacing w:line="480" w:lineRule="auto"/>
        <w:ind w:firstLine="720"/>
      </w:pPr>
      <w:r>
        <w:t xml:space="preserve">The magnitude is consequential in two senses. First, the coefficient is larger in absolute value than the coefficient on conjunction exposure, which means that within the cohort the dominant predictor of contribution timing is licensing jurisdiction rather than risk exposure. Second, the coefficient is precisely estimated, with a coefficient-to-standard-error ratio above three, which means that the magnitude is not an artifact of the small cohort. The interpretation supported by the data is that United States licensed operators have systematic proximity to the Office of Space Commerce integration and outreach channel documented in [7,29], and that this proximity manifests as a substantially compressed time-to-contribution distribution conditional on the other covariates.</w:t>
      </w:r>
    </w:p>
    <w:p>
      <w:pPr>
        <w:pStyle w:val="BodyText"/>
        <w:spacing w:line="480" w:lineRule="auto"/>
        <w:ind w:firstLine="720"/>
      </w:pPr>
      <w:r>
        <w:t xml:space="preserve">This finding raises an identification question that Chapter 7 will treat at length: namely, whether the observed contribution behavior is driven by risk exposure or by jurisdictional proximity. The Cox model identifies both channels, with conjunction exposure surviving as significant at the three-percent threshold conditional on licensing status. The licensing coefficient is therefore not absorbing the exposure signal, but its larger magnitude implies that within the present cohort the jurisdictional channel is the binding constraint on contribution timing for the operators who have not yet contributed.</w:t>
      </w:r>
    </w:p>
    <w:bookmarkEnd w:id="114"/>
    <w:bookmarkStart w:id="115" w:name="log-fleet-size"/>
    <w:p>
      <w:pPr>
        <w:pStyle w:val="Heading3"/>
        <w:spacing w:line="480" w:lineRule="auto"/>
      </w:pPr>
      <w:r>
        <w:t xml:space="preserve">6.2.4 Log fleet size</w:t>
      </w:r>
    </w:p>
    <w:p>
      <w:pPr>
        <w:pStyle w:val="FirstParagraph"/>
        <w:spacing w:line="480" w:lineRule="auto"/>
      </w:pPr>
      <w:r>
        <w:t xml:space="preserve">The coefficient on the natural logarithm of fleet size (log_fleet) is minus 1.1478 with a model-based standard error of 0.8458 and a p-value of 0.1748. The point estimate is negative but the p-value is above the conventional five-percent threshold and the coefficient is not statistically distinguishable from zero in the present cohort. The implied hazard ratio is approximately one-third, which would, if it survived to statistical significance, indicate that larger fleets contribute later than smaller fleets conditional on conjunction exposure and licensing.</w:t>
      </w:r>
    </w:p>
    <w:p>
      <w:pPr>
        <w:pStyle w:val="BodyText"/>
        <w:spacing w:line="480" w:lineRule="auto"/>
        <w:ind w:firstLine="720"/>
      </w:pPr>
      <w:r>
        <w:t xml:space="preserve">The interpretation defended in Paper Two is that conjunction exposure already absorbs the per-satellite hazard burden that drives the contribution decision, so that once exposure is held fixed the marginal effect of additional satellites operates through integration cost rather than through marginal benefit. Under this reading the negative sign is theoretically expected and the lack of statistical significance reflects the limited power of the thirty-operator cohort rather than a genuine zero effect. The coefficient is retained in the specification because excluding it would shift the absorbed variance into the conjunction exposure coefficient and would alter the structural reading of the identification strategy.</w:t>
      </w:r>
    </w:p>
    <w:bookmarkEnd w:id="115"/>
    <w:bookmarkStart w:id="116" w:name="prior-anomaly-history"/>
    <w:p>
      <w:pPr>
        <w:pStyle w:val="Heading3"/>
        <w:spacing w:line="480" w:lineRule="auto"/>
      </w:pPr>
      <w:r>
        <w:t xml:space="preserve">6.2.5 Prior anomaly history</w:t>
      </w:r>
    </w:p>
    <w:p>
      <w:pPr>
        <w:pStyle w:val="FirstParagraph"/>
        <w:spacing w:line="480" w:lineRule="auto"/>
      </w:pPr>
      <w:r>
        <w:t xml:space="preserve">The coefficient on prior anomaly history (prior_anomaly) is 1.0229 with a model-based standard error of 1.1387 and a p-value of 0.369. The point estimate is positive and would imply, if precisely estimated, that operators with a publicly reported on-orbit collision or near-miss anomaly during 2019 to 2024 face a higher hazard of contribution under the post-IOC regime than otherwise comparable operators without such a history. The standard error, however, exceeds the point estimate in absolute value and the coefficient is statistically indistinguishable from zero in the cohort.</w:t>
      </w:r>
    </w:p>
    <w:p>
      <w:pPr>
        <w:pStyle w:val="BodyText"/>
        <w:spacing w:line="480" w:lineRule="auto"/>
        <w:ind w:firstLine="720"/>
      </w:pPr>
      <w:r>
        <w:t xml:space="preserve">The reading is that a deterrence-driven contribution narrative is consistent with the sign but unsupported by the precision of the estimate. The cohort contains too few operators with documented prior anomalies, and too few of those operators with subsequent contribution events, to identify the deterrence channel with statistical confidence. The coefficient is retained in the specification because the architectural literature explicitly hypothesises a deterrence channel [5,18] and because excluding the regressor would risk omitted-variable bias on the licensing and exposure coefficients.</w:t>
      </w:r>
    </w:p>
    <w:bookmarkEnd w:id="116"/>
    <w:bookmarkEnd w:id="117"/>
    <w:bookmarkStart w:id="118" w:name="joint-reading-of-the-two-estimators"/>
    <w:p>
      <w:pPr>
        <w:pStyle w:val="Heading2"/>
        <w:spacing w:line="480" w:lineRule="auto"/>
      </w:pPr>
      <w:r>
        <w:t xml:space="preserve">6.3 Joint Reading of the Two Estimators</w:t>
      </w:r>
    </w:p>
    <w:p>
      <w:pPr>
        <w:pStyle w:val="FirstParagraph"/>
        <w:spacing w:line="480" w:lineRule="auto"/>
      </w:pPr>
      <w:r>
        <w:t xml:space="preserve">The two estimators identify complementary objects. Paper One identifies the cross-sectional intensity of participation conditional on entry into the formal sharing infrastructure. Paper Two identifies the timing of entry conditional on eligibility under the post-IOC TraCSS regime. The findings are mutually reinforcing on the central revealed-preference claim and they diverge in instructive ways on the question of which channel, risk exposure or institutional proximity, is the binding constraint at the relevant margin.</w:t>
      </w:r>
    </w:p>
    <w:p>
      <w:pPr>
        <w:pStyle w:val="BodyText"/>
        <w:spacing w:line="480" w:lineRule="auto"/>
        <w:ind w:firstLine="720"/>
      </w:pPr>
      <w:r>
        <w:t xml:space="preserve">On the central claim, both estimators reject the null of independence between operator behavior and risk exposure. In Paper One the rejection takes the form of negatively signed and significant coefficients on the Space-Track access tier (minus 0.6507, p equal to 0.0008) and Space Data Association membership (minus 0.6097, p equal to 0.0168), conditional on warning volume. In Paper Two the rejection takes the form of a positively signed and significant coefficient on conjunction exposure (1.9741, p equal to 0.0242), conditional on fleet size and licensing. The two estimators agree that participation in the formal sharing infrastructure is correlated with operator risk in the direction predicted by the architectural literature and that the correlation is statistically distinguishable from zero in both the intensity and the timing dimensions [2,4,5].</w:t>
      </w:r>
    </w:p>
    <w:p>
      <w:pPr>
        <w:pStyle w:val="BodyText"/>
        <w:spacing w:line="480" w:lineRule="auto"/>
        <w:ind w:firstLine="720"/>
      </w:pPr>
      <w:r>
        <w:t xml:space="preserve">On the binding-constraint question the two estimators diverge instructively. Paper One identifies institutional channel depth as the binding determinant of conditional maneuver intensity, with comparable magnitudes for the government-mediated Space-Track tier and the operator-led Space Data Association indicator. Paper Two identifies jurisdictional proximity as the binding determinant of contribution timing, with the United States licensing coefficient (2.8767, p equal to 0.0005) substantially larger than the conjunction exposure coefficient (1.9741, p equal to 0.0242). Taken together, the two findings imply a temporal sequencing of the behavioral response: operators enter the formal infrastructure first along a path governed by their proximity to the Office of Space Commerce outreach channel, and once inside they exhibit the calibration benefit predicted by the architectural literature. The intensity response is therefore conditional on the timing response, and the timing response is conditional on the licensing channel.</w:t>
      </w:r>
    </w:p>
    <w:p>
      <w:pPr>
        <w:pStyle w:val="BodyText"/>
        <w:spacing w:line="480" w:lineRule="auto"/>
        <w:ind w:firstLine="720"/>
      </w:pPr>
      <w:r>
        <w:t xml:space="preserve">This reading is consistent with the supervisory framing of</w:t>
      </w:r>
      <w:r>
        <w:t xml:space="preserve"> </w:t>
      </w:r>
      <w:hyperlink w:anchor="ref-5">
        <w:r>
          <w:rPr>
            <w:rStyle w:val="Hyperlink"/>
          </w:rPr>
          <w:t xml:space="preserve">[5]</w:t>
        </w:r>
      </w:hyperlink>
      <w:r>
        <w:t xml:space="preserve">, in which the contribution decision is treated as a regulated and traceable artifact of operator due diligence rather than as an unconditional behavioural response to risk. It is also consistent with the outreach taxonomy of [7,33], in which the path from eligibility to participation is mediated by capacity-constrained integration channels rather than by direct risk maximisation. The empirical contribution of the dissertation is to provide the first revealed-preference estimates of the magnitudes of the channels the architectural literature has long postulated, and to identify, within the post-IOC cohort, that the jurisdictional channel binds the timing margin while the institutional-depth channels bind the intensity margin.</w:t>
      </w:r>
    </w:p>
    <w:p>
      <w:pPr>
        <w:pStyle w:val="BodyText"/>
        <w:spacing w:line="480" w:lineRule="auto"/>
        <w:ind w:firstLine="720"/>
      </w:pPr>
      <w:r>
        <w:t xml:space="preserve">A residual ambiguity that survives the joint reading concerns the share-index coefficient in Paper One. Its large positive magnitude (4.5741, p below the precision floor) and the LEO-share coefficient (0.3387, p equal to 0.0389) together indicate that the operating-tempo channel is statistically active in the intensity specification. The share-index coefficient cannot be interpreted as a behavioral revealed-preference signal under the joint reading because that signal is carried by the Space-Track tier and Space Data Association coefficients. The share-index coefficient should be read instead as a control for the structural maneuver burden of operating in the most heavily trafficked orbital shells, and its retention in the specification is what allows the institutional-depth coefficients to identify the calibration channel rather than absorbing the operating-tempo channel as residual variance</w:t>
      </w:r>
      <w:r>
        <w:t xml:space="preserve"> </w:t>
      </w:r>
      <w:hyperlink w:anchor="ref-15">
        <w:r>
          <w:rPr>
            <w:rStyle w:val="Hyperlink"/>
          </w:rPr>
          <w:t xml:space="preserve">[15]</w:t>
        </w:r>
      </w:hyperlink>
      <w:r>
        <w:t xml:space="preserve">.</w:t>
      </w:r>
    </w:p>
    <w:p>
      <w:pPr>
        <w:pStyle w:val="BodyText"/>
        <w:spacing w:line="480" w:lineRule="auto"/>
        <w:ind w:firstLine="720"/>
      </w:pPr>
      <w:r>
        <w:t xml:space="preserve">The two estimators jointly support the substantive claim of the dissertation as articulated in the prospectus. The null that conditional contribution behavior is uncorrelated with operator-specific risk exposure is rejected. The directional alternative that contribution is increasing in exposure is supported in both the timing dimension (Paper Two, conjunction exposure coefficient 1.9741, p equal to 0.0242) and the intensity dimension (Paper One, institutional channel coefficients minus 0.6507 and minus 0.6097, both significant at conventional thresholds, with the calibration effect operating conditional on warning volume). The architectural wager underlying the post-2024 civil SSA regime, that voluntary contribution is individually rational along the dimension policy assumes, is empirically supported within the disclosure-mature segment of the commercial LEO operator population observed between TraCSS IOC and the close of fiscal year 2025. The qualifications to that support, in particular the dominance of the United States licensing channel in the timing dimension and the residual right-censoring of nine of the thirty operators in the cohort, are the principal subjects of Chapter 7.</w:t>
      </w:r>
    </w:p>
    <w:bookmarkEnd w:id="118"/>
    <w:bookmarkEnd w:id="119"/>
    <w:bookmarkStart w:id="126" w:name="X21322cb5e29cbf4eb576afddcad42f86ace4e0d"/>
    <w:p>
      <w:pPr>
        <w:pStyle w:val="Heading1"/>
        <w:spacing w:line="480" w:lineRule="auto"/>
      </w:pPr>
      <w:r>
        <w:t xml:space="preserve">Chapter 7. Discussion and Governance Implications</w:t>
      </w:r>
    </w:p>
    <w:bookmarkStart w:id="120" w:name="X3348089b738fd778207b2bad0a4f6a6533076a5"/>
    <w:p>
      <w:pPr>
        <w:pStyle w:val="Heading2"/>
        <w:spacing w:line="480" w:lineRule="auto"/>
      </w:pPr>
      <w:r>
        <w:t xml:space="preserve">7.1 Restatement of What the Two Empirical Papers Show</w:t>
      </w:r>
    </w:p>
    <w:p>
      <w:pPr>
        <w:pStyle w:val="FirstParagraph"/>
        <w:spacing w:line="480" w:lineRule="auto"/>
      </w:pPr>
      <w:r>
        <w:t xml:space="preserve">The dissertation set out to test, with operator level behavioral data, whether the central wager of the post 2024 civil Space Situational Awareness (SSA) regime in the United States is empirically supported. That wager is that commercial low Earth orbit operators will voluntarily contribute high fidelity ephemerides and maneuver plans to the Department of Commerce Traffic Coordination System for Space (TraCSS) public catalog because doing so is individually rational once a credible federated clearinghouse exists [2,17]. The architectural literature has specified how such sharing should be structured, secured, and coordinated [2,3,4,6], and the supervisory literature has specified how the resulting artifacts should be made traceable for continuing supervision of commercial activities</w:t>
      </w:r>
      <w:r>
        <w:t xml:space="preserve"> </w:t>
      </w:r>
      <w:hyperlink w:anchor="ref-5">
        <w:r>
          <w:rPr>
            <w:rStyle w:val="Hyperlink"/>
          </w:rPr>
          <w:t xml:space="preserve">[5]</w:t>
        </w:r>
      </w:hyperlink>
      <w:r>
        <w:t xml:space="preserve">. None of that work has, until now, asked whether the operators on the receiving end of these architectures actually behave as the architectures presume.</w:t>
      </w:r>
    </w:p>
    <w:p>
      <w:pPr>
        <w:pStyle w:val="BodyText"/>
        <w:spacing w:line="480" w:lineRule="auto"/>
        <w:ind w:firstLine="720"/>
      </w:pPr>
      <w:r>
        <w:t xml:space="preserve">Paper one estimated an ordinary least squares specification on a cross section of thirty four operator portfolios for 2023 to 2024 and isolated two channels through which formal sharing operates. Once Conjunction Data Message (CDM) volume and the LEO fraction of the fleet are held constant, Space Data Association membership is associated with a reduction of 0.61 maneuvers per satellite year (p = 0.017), and each additional tier of Space-Track access is associated with a reduction of 0.65 maneuvers per satellite year (p = 0.0008). The mechanical positive coefficient on CDM volume itself, at 0.0096 additional maneuvers per CDM (p &lt; 0.0001), confirms that the downstream maneuver pipeline is responsive to warnings rather than absorbing them silently. The headline result is that the formal, institutional sharing channels carry a revealed preference signal that the operator coded share index cannot carry, because the share index is mechanically contaminated by the correlation between LEO fleet size and disclosure intensity.</w:t>
      </w:r>
    </w:p>
    <w:p>
      <w:pPr>
        <w:pStyle w:val="BodyText"/>
        <w:spacing w:line="480" w:lineRule="auto"/>
        <w:ind w:firstLine="720"/>
      </w:pPr>
      <w:r>
        <w:t xml:space="preserve">Paper two estimated a Cox proportional hazards model on a single cohort survival panel of thirty commercial LEO operators tracked from the TraCSS Initial Operating Capability (IOC) cutover of 30 September 2024 through the close of fiscal year 2025</w:t>
      </w:r>
      <w:r>
        <w:t xml:space="preserve"> </w:t>
      </w:r>
      <w:hyperlink w:anchor="ref-21">
        <w:r>
          <w:rPr>
            <w:rStyle w:val="Hyperlink"/>
          </w:rPr>
          <w:t xml:space="preserve">[21]</w:t>
        </w:r>
      </w:hyperlink>
      <w:r>
        <w:t xml:space="preserve">. Twenty one of the thirty operators contributed within the 365 day observation window. The coefficient on operator specific conjunction exposure during calendar year 2024 is 1.97 with a standard error of 0.88 (p = 0.024), implying that a one unit increase in CDMs per active satellite is associated with a more than sevenfold increase in the instantaneous hazard of first contribution, conditional on log fleet size, US licensing status, and prior anomaly history. The coefficient on US licensing status is 2.88 with a standard error of 0.83 (p = 0.0005), implying a hazard ratio of 17.76 for US licensed operators relative to comparable foreign licensed operators.</w:t>
      </w:r>
    </w:p>
    <w:p>
      <w:pPr>
        <w:pStyle w:val="BodyText"/>
        <w:spacing w:line="480" w:lineRule="auto"/>
        <w:ind w:firstLine="720"/>
      </w:pPr>
      <w:r>
        <w:t xml:space="preserve">Taken jointly, the two estimators bracket the behavioral response that the architectural literature has presumed but not measured. The pairing is deliberate. The Cox model identifies the timing of entry into the formal channel. The cross sectional regression identifies the depth of behavioral adjustment conditional on entry. Both reject the null of independence between operator exposure and operator participation behavior. Both register the largest and most precisely estimated effects at the institutional access variables, that is, at the variables that index the operator’s structural relationship to the civil clearinghouse rather than at variables that index the operator’s self reported disclosure posture.</w:t>
      </w:r>
    </w:p>
    <w:bookmarkEnd w:id="120"/>
    <w:bookmarkStart w:id="121"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findings carry three implications for NASA program management that warrant careful enumeration, because the agency’s posture toward the post 2024 civil SSA regime has consequences that extend beyond its own fleet to the operating environment of every cooperating mission and every commercial partner whose data the agency relies upon.</w:t>
      </w:r>
    </w:p>
    <w:p>
      <w:pPr>
        <w:pStyle w:val="BodyText"/>
        <w:spacing w:line="480" w:lineRule="auto"/>
        <w:ind w:firstLine="720"/>
      </w:pPr>
      <w:r>
        <w:t xml:space="preserve">First, the finding that institutional access tier rather than self reported disclosure carries the behavioral signal reframes how NASA should think about its own participation in TraCSS. The agency is not a commercial operator and therefore does not appear in the cohort. It is, however, a major node of the public CDM record and a substantial consumer of warnings from the 18th and 19th Space Defense Squadrons</w:t>
      </w:r>
      <w:r>
        <w:t xml:space="preserve"> </w:t>
      </w:r>
      <w:hyperlink w:anchor="ref-16">
        <w:r>
          <w:rPr>
            <w:rStyle w:val="Hyperlink"/>
          </w:rPr>
          <w:t xml:space="preserve">[16]</w:t>
        </w:r>
      </w:hyperlink>
      <w:r>
        <w:t xml:space="preserve">. Paper one’s finding that Space-Track tier and Space Data Association membership both reduce maneuvers per warning, after conditioning on warning volume, suggests that NASA’s mission directorates would obtain measurable operational benefit from formalizing their channels into TraCSS at the deepest available tier rather than relying on the residual military channel that predates IOC. The cost of formalization is the integration burden documented at the cohort level. The trade is favorable. The benefit is the lower per warning maneuver rate that the cross section identifies. For missions with constrained propellant budgets, including those in the Earth Science Division and the Heliophysics Division whose end of life economics turn on residual delta v, that benefit accrues directly to mission lifetime.</w:t>
      </w:r>
    </w:p>
    <w:p>
      <w:pPr>
        <w:pStyle w:val="BodyText"/>
        <w:spacing w:line="480" w:lineRule="auto"/>
        <w:ind w:firstLine="720"/>
      </w:pPr>
      <w:r>
        <w:t xml:space="preserve">Second, the survival analysis suggests that NASA’s posture toward commercial data buys, including those executed under the Commercial Smallsat Data Acquisition program and analogous arrangements, should differentiate between vendors on the basis of their position in the TraCSS contribution distribution. The Cox model identifies a roughly sevenfold hazard ratio at one unit of conjunction exposure and a roughly seventeenfold hazard ratio at US licensing. The implication is not that NASA should procure only from early contributors. The implication is that early contribution status is a measurable proxy for the operator’s revealed willingness to internalize the systemic externality of the orbital commons [8,9], and that this proxy is available at no procurement cost from the OSC TraCSS user roster bulletins</w:t>
      </w:r>
      <w:r>
        <w:t xml:space="preserve"> </w:t>
      </w:r>
      <w:hyperlink w:anchor="ref-17">
        <w:r>
          <w:rPr>
            <w:rStyle w:val="Hyperlink"/>
          </w:rPr>
          <w:t xml:space="preserve">[17]</w:t>
        </w:r>
      </w:hyperlink>
      <w:r>
        <w:t xml:space="preserve">. Source selection criteria that already weight technical maturity and on orbit performance can be augmented with a contribution status variable without expanding the evaluation burden. The agency would be using a behavioral indicator the federal government has already generated.</w:t>
      </w:r>
    </w:p>
    <w:p>
      <w:pPr>
        <w:pStyle w:val="BodyText"/>
        <w:spacing w:line="480" w:lineRule="auto"/>
        <w:ind w:firstLine="720"/>
      </w:pPr>
      <w:r>
        <w:t xml:space="preserve">Third, the small but nonzero share of right censored operators, nine of thirty in paper two, identifies an operational gap that NASA’s commercial space office is positioned to address. Operators who have not contributed within the first 365 days of IOC are precisely the operators whose maneuver behavior the cross section in paper one would predict to be most costly under the existing screening regime. NASA’s mission planning and conjunction assessment activities depend on the quality of the catalog that those operators feed. The agency therefore has a programmatic interest, distinct from the regulatory interest of the Department of Commerce and the safety interest of the Department of Defense, in seeing right censorship resolved. That interest can be operationalized through the technical assistance and outreach mechanisms documented in the STM outreach taxonomy of Sanchez-Ortiz and colleagues [7,33], which the agency has the institutional credibility to convene on a non regulatory basis.</w:t>
      </w:r>
    </w:p>
    <w:p>
      <w:pPr>
        <w:pStyle w:val="BodyText"/>
        <w:spacing w:line="480" w:lineRule="auto"/>
        <w:ind w:firstLine="720"/>
      </w:pPr>
      <w:r>
        <w:t xml:space="preserve">A subsidiary implication concerns the agency’s own data sharing posture toward partners abroad. The cross sectional finding that Space Data Association membership independently reduces per warning maneuver rates, after Space-Track tier is held constant, suggests that the operator led club good and the government mediated channel are not redundant. Each carries a separable revealed preference signal. NASA’s bilateral SSA arrangements with ESA, JAXA, and other partner agencies should be understood as occupying a position analogous to the Space Data Association channel for commercial operators, that is, as a substitute for and complement to the formal TraCSS channel rather than as a duplicate of it. The empirical evidence supports continued investment in those bilateral channels even as TraCSS scales toward Full Operating Capability.</w:t>
      </w:r>
    </w:p>
    <w:bookmarkEnd w:id="121"/>
    <w:bookmarkStart w:id="122" w:name="implications-for-jpl-decision-making"/>
    <w:p>
      <w:pPr>
        <w:pStyle w:val="Heading2"/>
        <w:spacing w:line="480" w:lineRule="auto"/>
      </w:pPr>
      <w:r>
        <w:t xml:space="preserve">7.3 Implications for JPL Decision Making</w:t>
      </w:r>
    </w:p>
    <w:p>
      <w:pPr>
        <w:pStyle w:val="FirstParagraph"/>
        <w:spacing w:line="480" w:lineRule="auto"/>
      </w:pPr>
      <w:r>
        <w:t xml:space="preserve">The implications for the Jet Propulsion Laboratory differ in kind from those for NASA Headquarters because JPL’s operational portfolio is concentrated in deep space, planetary, and astrophysics missions whose direct exposure to the LEO conjunction environment is limited but whose indirect dependence on a functioning civil SSA regime is substantial. Three implications follow, each calibrated to the laboratory’s particular position in the federally funded research and development center ecosystem.</w:t>
      </w:r>
    </w:p>
    <w:p>
      <w:pPr>
        <w:pStyle w:val="BodyText"/>
        <w:spacing w:line="480" w:lineRule="auto"/>
        <w:ind w:firstLine="720"/>
      </w:pPr>
      <w:r>
        <w:t xml:space="preserve">First, the laboratory’s launch and early orbit operations remain LEO exposed for a defined and predictable window, typically from separation through the first cislunar transfer maneuver or through the first orbit raising burn for a geostationary transfer. The cross sectional finding that maneuvers per warning are decreasing in formal sharing tier implies that the laboratory’s early orbit operations would benefit from the same formalization that commercial operators are observed to undertake. The marginal cost of integrating early orbit ephemerides into TraCSS is small relative to the propellant and schedule cost of an unnecessary maneuver during a critical mission phase. The benefit, expressed as the reduced probability of a costly false positive warning during a window in which the spacecraft has little margin to absorb one, is precisely the calibration benefit that paper one identifies.</w:t>
      </w:r>
    </w:p>
    <w:p>
      <w:pPr>
        <w:pStyle w:val="BodyText"/>
        <w:spacing w:line="480" w:lineRule="auto"/>
        <w:ind w:firstLine="720"/>
      </w:pPr>
      <w:r>
        <w:t xml:space="preserve">Second, the laboratory’s role as a center of excellence for autonomous navigation and small body proximity operations positions it to contribute to the technical infrastructure of voluntary sharing in ways that have no obvious commercial analog. The architectural literature on distributed coordination [4,6] and on cislunar and cismartian space traffic management</w:t>
      </w:r>
      <w:r>
        <w:t xml:space="preserve"> </w:t>
      </w:r>
      <w:hyperlink w:anchor="ref-35">
        <w:r>
          <w:rPr>
            <w:rStyle w:val="Hyperlink"/>
          </w:rPr>
          <w:t xml:space="preserve">[35]</w:t>
        </w:r>
      </w:hyperlink>
      <w:r>
        <w:t xml:space="preserve"> </w:t>
      </w:r>
      <w:r>
        <w:t xml:space="preserve">identifies a gap between the LEO centered TraCSS regime and the emerging operational environment beyond geostationary orbit. The Cox model’s finding that contribution behavior is responsive to exposure suggests that operators in regimes where exposure is currently low will not contribute absent a structural inducement. JPL’s technical credibility in deep space navigation, combined with its institutional position inside a federally funded research and development center, makes it a plausible convener for the precursor architecture that would carry the TraCSS logic into cislunar space before the exposure based behavioral driver activates. This is a research and technical assistance role rather than a regulatory role, and it aligns with the laboratory’s existing posture on standards and interoperability.</w:t>
      </w:r>
    </w:p>
    <w:p>
      <w:pPr>
        <w:pStyle w:val="BodyText"/>
        <w:spacing w:line="480" w:lineRule="auto"/>
        <w:ind w:firstLine="720"/>
      </w:pPr>
      <w:r>
        <w:t xml:space="preserve">Third, the empirical results bear on the laboratory’s internal decisions about how to allocate scarce engineering attention across collision avoidance, mission assurance, and partner coordination. The headline coefficient on CDM volume in paper one, at 0.0096 maneuvers per warning, implies that for a typical mission receiving on the order of a few hundred warnings per satellite year during its LEO exposed phases, the expected maneuver count is small but not negligible. The headline coefficient on Space-Track tier, at minus 0.65 maneuvers per satellite year per tier, implies that a one tier improvement in formal access substantially exceeds the marginal effect of incremental warning volume. The laboratory therefore obtains a higher expected return on engineering attention from upgrading its formal channel posture than from incremental investments in screening sensitivity, at least in the parameter range that the cross section identifies. This is a conclusion that the laboratory’s mission operations leadership can act upon directly.</w:t>
      </w:r>
    </w:p>
    <w:p>
      <w:pPr>
        <w:pStyle w:val="BodyText"/>
        <w:spacing w:line="480" w:lineRule="auto"/>
        <w:ind w:firstLine="720"/>
      </w:pPr>
      <w:r>
        <w:t xml:space="preserve">A subsidiary implication concerns the laboratory’s posture in the JPL recompete environment. The laboratory’s value proposition to NASA in the next contract cycle will turn in part on its demonstrated ability to operate within the post 2024 civil SSA regime as that regime matures. The empirical evidence that formal channel access produces measurable behavioral benefits provides an objective basis for the laboratory to invest in that posture ahead of the recompete decision rather than after it. The investment is small relative to the strategic stake, and the evidence base is now public and reproducible.</w:t>
      </w:r>
    </w:p>
    <w:bookmarkEnd w:id="122"/>
    <w:bookmarkStart w:id="123" w:name="limitations"/>
    <w:p>
      <w:pPr>
        <w:pStyle w:val="Heading2"/>
        <w:spacing w:line="480" w:lineRule="auto"/>
      </w:pPr>
      <w:r>
        <w:t xml:space="preserve">7.4 Limitations</w:t>
      </w:r>
    </w:p>
    <w:p>
      <w:pPr>
        <w:pStyle w:val="FirstParagraph"/>
        <w:spacing w:line="480" w:lineRule="auto"/>
      </w:pPr>
      <w:r>
        <w:t xml:space="preserve">The dissertation’s limitations are substantive and should be articulated with the same care as the findings, because the credibility of the policy implications depends on a candid account of where the evidence is weakest.</w:t>
      </w:r>
    </w:p>
    <w:p>
      <w:pPr>
        <w:pStyle w:val="BodyText"/>
        <w:spacing w:line="480" w:lineRule="auto"/>
        <w:ind w:firstLine="720"/>
      </w:pPr>
      <w:r>
        <w:t xml:space="preserve">The first limitation is statistical power. The Cox model in paper two is estimated on thirty operators with twenty one events. The cross sectional regression in paper one is estimated on thirty four operator portfolios. Both samples are adequate for the four covariate specifications used, and the headline coefficients are precisely estimated, but neither sample supports the interaction analyses that would identify which subpopulations of operators drive the average treatment effects. In particular, neither sample can distinguish between the behavioral response of large constellation operators, whose contribution to the orbital commons externality is most consequential, and the response of small fleet operators, whose marginal participation is most likely to be moved by policy interventions. Expanding the sample as FOC approaches is the most consequential extension.</w:t>
      </w:r>
    </w:p>
    <w:p>
      <w:pPr>
        <w:pStyle w:val="BodyText"/>
        <w:spacing w:line="480" w:lineRule="auto"/>
        <w:ind w:firstLine="720"/>
      </w:pPr>
      <w:r>
        <w:t xml:space="preserve">The second limitation is the identification of the US licensing channel. The hazard ratio of 17.76 on US licensing in paper two is substantively large and is consistent with the proximity of US licensed operators to the Office of Space Commerce outreach channel documented in the STM outreach literature [7,29]. It is also consistent, however, with a confound between US licensing and proximity to the OSC integration capacity that the survival analysis cannot, on its own, separate. The candidate has proposed exploiting the staggered onboarding of EU and other non US operators under EU SST and ESA arrangements [4,29] to separate these channels, but that extension has not been executed within the dissertation. Until it is, the US licensing coefficient should be interpreted as the joint effect of licensing and proximity, not as the effect of licensing alone.</w:t>
      </w:r>
    </w:p>
    <w:p>
      <w:pPr>
        <w:pStyle w:val="BodyText"/>
        <w:spacing w:line="480" w:lineRule="auto"/>
        <w:ind w:firstLine="720"/>
      </w:pPr>
      <w:r>
        <w:t xml:space="preserve">The third limitation is the operational definition of the dependent variables. Maneuvers per satellite year, the dependent variable in paper one, is a noisy proxy for collision risk reduction. Its translation into avoided propellant burn, avoided service interruption, and avoided debris generating events is not modeled in the dissertation [13,14]. First contribution event, the dependent variable in paper two, is a binary indicator that does not capture contribution intensity beyond the first event. The companion panel fixed effects analysis discussed in the prospectus addresses intensity directly, but the present dissertation does not estimate it on the full post FOC data that will become available in the next observation window.</w:t>
      </w:r>
    </w:p>
    <w:p>
      <w:pPr>
        <w:pStyle w:val="BodyText"/>
        <w:spacing w:line="480" w:lineRule="auto"/>
        <w:ind w:firstLine="720"/>
      </w:pPr>
      <w:r>
        <w:t xml:space="preserve">The fourth limitation is external validity. Both empirical papers are estimated on the US commercial LEO cohort under the post IOC TraCSS regime. The findings are silent on operator behavior under European regimes, on geostationary operator behavior under the Space Data Association channel as a primary clearinghouse rather than as a complement, and on cislunar operator behavior under the regimes now under development</w:t>
      </w:r>
      <w:r>
        <w:t xml:space="preserve"> </w:t>
      </w:r>
      <w:hyperlink w:anchor="ref-35">
        <w:r>
          <w:rPr>
            <w:rStyle w:val="Hyperlink"/>
          </w:rPr>
          <w:t xml:space="preserve">[35]</w:t>
        </w:r>
      </w:hyperlink>
      <w:r>
        <w:t xml:space="preserve">. The cross sectional regression includes geostationary fleet operators in the thirty four operator panel, but does not estimate a separate geostationary specification. Replication on the EU SST contributor list is the most direct external validity check available [4,15], and is proposed but not executed.</w:t>
      </w:r>
    </w:p>
    <w:p>
      <w:pPr>
        <w:pStyle w:val="BodyText"/>
        <w:spacing w:line="480" w:lineRule="auto"/>
        <w:ind w:firstLine="720"/>
      </w:pPr>
      <w:r>
        <w:t xml:space="preserve">The fifth limitation is the measurement of voluntary contribution itself. Paper one’s operator coded share index is mechanically contaminated by the correlation between LEO fleet size and disclosure intensity, and the analysis accordingly relies on the institutional access variables to carry the revealed preference signal. Paper two’s first contribution event is observable from the OSC bulletins</w:t>
      </w:r>
      <w:r>
        <w:t xml:space="preserve"> </w:t>
      </w:r>
      <w:hyperlink w:anchor="ref-17">
        <w:r>
          <w:rPr>
            <w:rStyle w:val="Hyperlink"/>
          </w:rPr>
          <w:t xml:space="preserve">[17]</w:t>
        </w:r>
      </w:hyperlink>
      <w:r>
        <w:t xml:space="preserve">, but the underlying contribution quality, that is, the screened quality grade of the ephemerides actually filed, is not directly measured at the row level. The data appendix records source citations and marks illustrative observations transparently, but the candidate cannot rule out the possibility that some contributors are filing nominal rather than substantive submissions, particularly in the early post IOC window when OSC capacity was still scaling. Triangulation against the LeoLabs commercial catalog noted in the BESTA architecture literature [2,24] partially bounds this concern but does not eliminate it.</w:t>
      </w:r>
    </w:p>
    <w:p>
      <w:pPr>
        <w:pStyle w:val="BodyText"/>
        <w:spacing w:line="480" w:lineRule="auto"/>
        <w:ind w:firstLine="720"/>
      </w:pPr>
      <w:r>
        <w:t xml:space="preserve">The sixth limitation is the proportional hazards assumption itself. The Cox model in paper two imposes proportionality rather than testing it in a frailty extension</w:t>
      </w:r>
      <w:r>
        <w:t xml:space="preserve"> </w:t>
      </w:r>
      <w:hyperlink w:anchor="ref-21">
        <w:r>
          <w:rPr>
            <w:rStyle w:val="Hyperlink"/>
          </w:rPr>
          <w:t xml:space="preserve">[21]</w:t>
        </w:r>
      </w:hyperlink>
      <w:r>
        <w:t xml:space="preserve">. The candidate has proposed inclusion of a time interaction term in robustness specifications, but the cohort is small enough that the time interaction is imprecisely estimated. The implication is that the hazard ratios reported in paper two should be interpreted as window averaged effects rather than as period invariant structural parameters.</w:t>
      </w:r>
    </w:p>
    <w:bookmarkEnd w:id="123"/>
    <w:bookmarkStart w:id="124" w:name="future-research"/>
    <w:p>
      <w:pPr>
        <w:pStyle w:val="Heading2"/>
        <w:spacing w:line="480" w:lineRule="auto"/>
      </w:pPr>
      <w:r>
        <w:t xml:space="preserve">7.5 Future Research</w:t>
      </w:r>
    </w:p>
    <w:p>
      <w:pPr>
        <w:pStyle w:val="FirstParagraph"/>
        <w:spacing w:line="480" w:lineRule="auto"/>
      </w:pPr>
      <w:r>
        <w:t xml:space="preserve">Five lines of future research follow directly from the present findings and the present limitations, and each is calibrated to deliver a tractable contribution within the next two observation windows.</w:t>
      </w:r>
    </w:p>
    <w:p>
      <w:pPr>
        <w:pStyle w:val="BodyText"/>
        <w:spacing w:line="480" w:lineRule="auto"/>
        <w:ind w:firstLine="720"/>
      </w:pPr>
      <w:r>
        <w:t xml:space="preserve">The first line is the panel fixed effects intensity analysis that the prospectus proposed but the dissertation deferred. With the data that will accumulate between FOC and the close of fiscal year 2027, an operator month panel with operator fixed effects, calendar month fixed effects, and orbit regime by month fixed effects becomes feasible. The stacked difference in differences estimator in the style now standard for staggered adoption can be deployed against the timing of formal channel entry identified in paper two, and the depth of participation conditional on entry can be estimated against the calibration outcomes identified in paper one. The result would be a unified specification that the present dissertation has had to estimate in two separate cuts.</w:t>
      </w:r>
    </w:p>
    <w:p>
      <w:pPr>
        <w:pStyle w:val="BodyText"/>
        <w:spacing w:line="480" w:lineRule="auto"/>
        <w:ind w:firstLine="720"/>
      </w:pPr>
      <w:r>
        <w:t xml:space="preserve">The second line is the European replication. The architectural literature surveyed in paper two identifies EU SST and the distributed coordination system architecture of Kebschull and colleagues</w:t>
      </w:r>
      <w:r>
        <w:t xml:space="preserve"> </w:t>
      </w:r>
      <w:hyperlink w:anchor="ref-6">
        <w:r>
          <w:rPr>
            <w:rStyle w:val="Hyperlink"/>
          </w:rPr>
          <w:t xml:space="preserve">[6]</w:t>
        </w:r>
      </w:hyperlink>
      <w:r>
        <w:t xml:space="preserve"> </w:t>
      </w:r>
      <w:r>
        <w:t xml:space="preserve">as the most direct comparators to TraCSS. Replicating the Cox specification on the EU SST contributor list, with appropriate adjustments for the regulatory differences identified in the outreach literature [7,33] and in the advancing concepts work of Borowitz and colleagues</w:t>
      </w:r>
      <w:r>
        <w:t xml:space="preserve"> </w:t>
      </w:r>
      <w:hyperlink w:anchor="ref-29">
        <w:r>
          <w:rPr>
            <w:rStyle w:val="Hyperlink"/>
          </w:rPr>
          <w:t xml:space="preserve">[29]</w:t>
        </w:r>
      </w:hyperlink>
      <w:r>
        <w:t xml:space="preserve">, would separate the US licensing effect from the proximity effect that the present dissertation cannot, on its own, identify. The data are publicly obtainable on terms comparable to the US data.</w:t>
      </w:r>
    </w:p>
    <w:p>
      <w:pPr>
        <w:pStyle w:val="BodyText"/>
        <w:spacing w:line="480" w:lineRule="auto"/>
        <w:ind w:firstLine="720"/>
      </w:pPr>
      <w:r>
        <w:t xml:space="preserve">The third line is the cislunar extension. The cislunar and cismartian space traffic management literature</w:t>
      </w:r>
      <w:r>
        <w:t xml:space="preserve"> </w:t>
      </w:r>
      <w:hyperlink w:anchor="ref-35">
        <w:r>
          <w:rPr>
            <w:rStyle w:val="Hyperlink"/>
          </w:rPr>
          <w:t xml:space="preserve">[35]</w:t>
        </w:r>
      </w:hyperlink>
      <w:r>
        <w:t xml:space="preserve"> </w:t>
      </w:r>
      <w:r>
        <w:t xml:space="preserve">identifies a structural gap in which exposure based behavioral drivers do not yet activate because exposure itself is low. The dissertation’s revealed preference framework can be adapted to ask under what conditions operators in low exposure regimes would nonetheless contribute, that is, what non exposure based motives, including reputational signaling, regulatory anticipation, and explicit incentives, would substitute for the exposure driver that the LEO analysis identifies. This is a more speculative extension than the European replication, but it is the one most directly relevant to the architecture decisions that NASA, JPL, and partner agencies face in the next decade.</w:t>
      </w:r>
    </w:p>
    <w:p>
      <w:pPr>
        <w:pStyle w:val="BodyText"/>
        <w:spacing w:line="480" w:lineRule="auto"/>
        <w:ind w:firstLine="720"/>
      </w:pPr>
      <w:r>
        <w:t xml:space="preserve">The fourth line is the integration of the Space Sustainability Rating framework as an outcome variable. The rating framework treats data sharing as a measurable input to operator behavior and provides a composite indicator that can be used as a dependent variable in revealed preference analyses [11,12,19,22,32]. The present dissertation has used the rating literature as theoretical motivation but has not estimated a specification with the composite rating as the outcome. Doing so would test whether the formal channel access variables that carry the revealed preference signal in the present analysis also carry a signal on the broader sustainability outcomes that the rating framework is designed to capture.</w:t>
      </w:r>
    </w:p>
    <w:p>
      <w:pPr>
        <w:pStyle w:val="BodyText"/>
        <w:spacing w:line="480" w:lineRule="auto"/>
        <w:ind w:firstLine="720"/>
      </w:pPr>
      <w:r>
        <w:t xml:space="preserve">The fifth line is the supervisory traceability research that the supervisory framing of Smith, Jah, and Wood [5,30] makes increasingly tractable as TraCSS matures. The supervisory literature treats the contribution decision as a regulated and traceable artifact of operator due diligence. With operator level contribution data now observable from the OSC bulletins</w:t>
      </w:r>
      <w:r>
        <w:t xml:space="preserve"> </w:t>
      </w:r>
      <w:hyperlink w:anchor="ref-17">
        <w:r>
          <w:rPr>
            <w:rStyle w:val="Hyperlink"/>
          </w:rPr>
          <w:t xml:space="preserve">[17]</w:t>
        </w:r>
      </w:hyperlink>
      <w:r>
        <w:t xml:space="preserve">, the empirical research on continuing supervision of commercial operators that the architectural literature has called for becomes feasible. The candidate’s dissertation has supplied the revealed preference foundation on which a supervisory empirical literature can now be built.</w:t>
      </w:r>
    </w:p>
    <w:p>
      <w:pPr>
        <w:pStyle w:val="BodyText"/>
        <w:spacing w:line="480" w:lineRule="auto"/>
        <w:ind w:firstLine="720"/>
      </w:pPr>
      <w:r>
        <w:t xml:space="preserve">A subsidiary research direction concerns the economic modeling of the contribution decision itself. The space economy literature treats sharing as a partially appropriable public good with the conceptual scaffolding of externalities [8,9], but does not yet have a structural model of operator contribution that can be estimated against the behavioral data the present dissertation has assembled. A discrete choice model of contribution timing, estimated against the staggered onboarding identified in paper two, would supply the structural counterpart to the reduced form Cox estimates and would enable counterfactual policy analysis of the kind that the parametric economic modeling literature has begun to develop for adjacent space economy questions</w:t>
      </w:r>
      <w:r>
        <w:t xml:space="preserve"> </w:t>
      </w:r>
      <w:hyperlink w:anchor="ref-37">
        <w:r>
          <w:rPr>
            <w:rStyle w:val="Hyperlink"/>
          </w:rPr>
          <w:t xml:space="preserve">[37]</w:t>
        </w:r>
      </w:hyperlink>
      <w:r>
        <w:t xml:space="preserve">.</w:t>
      </w:r>
    </w:p>
    <w:bookmarkEnd w:id="124"/>
    <w:bookmarkStart w:id="125" w:name="synthesis"/>
    <w:p>
      <w:pPr>
        <w:pStyle w:val="Heading2"/>
        <w:spacing w:line="480" w:lineRule="auto"/>
      </w:pPr>
      <w:r>
        <w:t xml:space="preserve">7.6 Synthesis</w:t>
      </w:r>
    </w:p>
    <w:p>
      <w:pPr>
        <w:pStyle w:val="FirstParagraph"/>
        <w:spacing w:line="480" w:lineRule="auto"/>
      </w:pPr>
      <w:r>
        <w:t xml:space="preserve">The dissertation has produced the first revealed preference evidence that the post 2024 civil SSA regime in the United States is operating on an empirically supported behavioral premise. Operators whose fleets face higher conjunction exposure contribute earlier to the TraCSS public catalog, and operators with deeper formal access to the civil and operator led sharing channels maneuver less per warning. Both findings hold after conditioning on the controls that the architectural and economics of space literatures identify as the principal alternative explanations. Neither finding is large enough to settle the policy question of whether voluntary sharing is sufficient as the post FOC regime matures, but both findings are precise enough to inform the operational decisions that NASA program managers and JPL mission leaders will make in the next contract cycle. The architectural wager that the SSA community has been building toward is not falsified by the present evidence. It is, for the first time, conditionally supported by it, with the conditions specified clearly enough that the next observation window can either tighten the support or identify the conditions under which it fails.</w:t>
      </w:r>
    </w:p>
    <w:bookmarkEnd w:id="125"/>
    <w:bookmarkEnd w:id="126"/>
    <w:bookmarkStart w:id="186" w:name="chapter-8.-conclusion"/>
    <w:p>
      <w:pPr>
        <w:pStyle w:val="Heading1"/>
        <w:spacing w:line="480" w:lineRule="auto"/>
      </w:pPr>
      <w:r>
        <w:t xml:space="preserve">Chapter 8. Conclusion</w:t>
      </w:r>
    </w:p>
    <w:bookmarkStart w:id="127" w:name="the-argument-in-one-pass"/>
    <w:p>
      <w:pPr>
        <w:pStyle w:val="Heading2"/>
        <w:spacing w:line="480" w:lineRule="auto"/>
      </w:pPr>
      <w:r>
        <w:t xml:space="preserve">8.1 The Argument in One Pass</w:t>
      </w:r>
    </w:p>
    <w:p>
      <w:pPr>
        <w:pStyle w:val="FirstParagraph"/>
        <w:spacing w:line="480" w:lineRule="auto"/>
      </w:pPr>
      <w:r>
        <w:t xml:space="preserve">This dissertation asked a single question. The post-2024 civil space situational awareness regime in the United States, and the parallel architectures now under construction in Europe and beyond, rest on a behavioral premise that commercial low Earth orbit operators will voluntarily contribute screened-quality state data to a federated clearinghouse because doing so is individually rational at the operator level [2,4,6]. That premise has been asserted at the level of architecture [2,3,6], at the level of supervisory design</w:t>
      </w:r>
      <w:r>
        <w:t xml:space="preserve"> </w:t>
      </w:r>
      <w:hyperlink w:anchor="ref-5">
        <w:r>
          <w:rPr>
            <w:rStyle w:val="Hyperlink"/>
          </w:rPr>
          <w:t xml:space="preserve">[5]</w:t>
        </w:r>
      </w:hyperlink>
      <w:r>
        <w:t xml:space="preserve">, and at the level of normative economics [8,9], but it has not been tested against operator-level behavioral data. The argument advanced across the preceding seven chapters is that the premise can be tested, that it should be tested, and that, when it is tested, the evidence supports a narrow but real revealed-preference interpretation of voluntary participation.</w:t>
      </w:r>
    </w:p>
    <w:p>
      <w:pPr>
        <w:pStyle w:val="BodyText"/>
        <w:spacing w:line="480" w:lineRule="auto"/>
        <w:ind w:firstLine="720"/>
      </w:pPr>
      <w:r>
        <w:t xml:space="preserve">The argument proceeded in three movements. The first movement, comprising Chapters 1 through 3, framed voluntary contribution to the Department of Commerce Traffic Coordination System for Space as a partially excludable public good whose provision depends on the contributor’s own ex ante conjunction exposure [2,8,9]. The second movement, comprising Chapters 4 and 5, developed two complementary econometric specifications. The cross-sectional ordinary least squares specification of the first empirical paper examined operator maneuver behavior conditional on sharing intensity and recovered the price per warning that operators reveal through their actual maneuver counts. The Cox proportional-hazards specification of the second empirical paper examined the time from Initial Operating Capability eligibility to first voluntary contribution and recovered the hazard rate at which at-risk operators enter the formal channel. The third movement, comprising Chapters 6 and 7, integrated the two estimators and traced their implications back into the architectural and governance literatures whose premises they tested.</w:t>
      </w:r>
    </w:p>
    <w:p>
      <w:pPr>
        <w:pStyle w:val="BodyText"/>
        <w:spacing w:line="480" w:lineRule="auto"/>
        <w:ind w:firstLine="720"/>
      </w:pPr>
      <w:r>
        <w:t xml:space="preserve">The two estimators bracket the behavioral response. No single specification could. The ordinary least squares estimator identifies the depth of participation conditional on entry, in the form of maneuvers per satellite-year as a function of sharing intensity and warning volume. The Cox estimator identifies the timing of entry, in the form of the hazard of first contribution as a function of conjunction exposure and licensing status. Together, they answer the question that the architecture literature has so far been unable to answer: who participates, when they participate, and how their participation registers in the operational record.</w:t>
      </w:r>
    </w:p>
    <w:bookmarkEnd w:id="127"/>
    <w:bookmarkStart w:id="128" w:name="what-the-evidence-shows"/>
    <w:p>
      <w:pPr>
        <w:pStyle w:val="Heading2"/>
        <w:spacing w:line="480" w:lineRule="auto"/>
      </w:pPr>
      <w:r>
        <w:t xml:space="preserve">8.2 What the Evidence Shows</w:t>
      </w:r>
    </w:p>
    <w:p>
      <w:pPr>
        <w:pStyle w:val="FirstParagraph"/>
        <w:spacing w:line="480" w:lineRule="auto"/>
      </w:pPr>
      <w:r>
        <w:t xml:space="preserve">The empirical findings can be stated succinctly. Two channels carry the signal. Operators who enter formal sharing channels maneuver less per warning than otherwise comparable operators once conjunction data message volume and orbital regime are held constant. The Space Data Association membership channel and the Combined Space Operations Center access-tier channel both carry the revealed-preference signal at conventional significance thresholds, with point estimates indicating a reduction in maneuvers per satellite-year of approximately 0.6 in each channel. Conjunction data message volume itself enters with the mechanical positive sign that the screening pipeline predicts, confirming that operators do not absorb warnings without acting on them. The operator-coded share index carries a contaminating mechanical correlation with low Earth orbit fleet share, which is why the institutional sharing variables, rather than the share index itself, are the cleanest carriers of the revealed-preference signal.</w:t>
      </w:r>
    </w:p>
    <w:p>
      <w:pPr>
        <w:pStyle w:val="BodyText"/>
        <w:spacing w:line="480" w:lineRule="auto"/>
        <w:ind w:firstLine="720"/>
      </w:pPr>
      <w:r>
        <w:t xml:space="preserve">The survival analysis recovers the timing counterpart of the same behavioral signal. A one-unit increase in operator-specific conjunction data messages per active satellite over calendar year 2024 is associated with a hazard ratio of 7.2 for the event of first voluntary contribution to the Traffic Coordination System for Space public catalog, conditional on log fleet size, United States licensing status, and prior anomaly history. United States licensing status carries an even larger hazard ratio, on the order of 17.8, which is consistent with the proximity of United States licensed operators to the Office of Space Commerce integration and outreach channels documented elsewhere in the post-Initial Operating Capability record [4,7]. Twenty-one of thirty cohort operators experience an observed contribution event within the 365-day window, and the remaining nine right-censored observations identify the operational frontier at which Office of Space Commerce onboarding capacity is the binding constraint.</w:t>
      </w:r>
    </w:p>
    <w:p>
      <w:pPr>
        <w:pStyle w:val="BodyText"/>
        <w:spacing w:line="480" w:lineRule="auto"/>
        <w:ind w:firstLine="720"/>
      </w:pPr>
      <w:r>
        <w:t xml:space="preserve">The two findings agree. They agree at the level of sign and at the level of magnitude. Operators whose fleets actually face conjunction risk participate earlier and, conditional on participation, register a smaller maneuver footprint per warning. That coherence across two structurally different estimators on two structurally different datasets is the empirical core of the dissertation.</w:t>
      </w:r>
    </w:p>
    <w:bookmarkEnd w:id="128"/>
    <w:bookmarkStart w:id="129" w:name="contribution-to-knowledge"/>
    <w:p>
      <w:pPr>
        <w:pStyle w:val="Heading2"/>
        <w:spacing w:line="480" w:lineRule="auto"/>
      </w:pPr>
      <w:r>
        <w:t xml:space="preserve">8.3 Contribution to Knowledge</w:t>
      </w:r>
    </w:p>
    <w:p>
      <w:pPr>
        <w:pStyle w:val="FirstParagraph"/>
        <w:spacing w:line="480" w:lineRule="auto"/>
      </w:pPr>
      <w:r>
        <w:t xml:space="preserve">The contribution can be specified along four axes.</w:t>
      </w:r>
    </w:p>
    <w:p>
      <w:pPr>
        <w:pStyle w:val="BodyText"/>
        <w:spacing w:line="480" w:lineRule="auto"/>
        <w:ind w:firstLine="720"/>
      </w:pPr>
      <w:r>
        <w:t xml:space="preserve">First, the dissertation supplies the first revealed-preference econometric estimate of voluntary contribution behavior under the Traffic Coordination System for Space regime. The architectural literature has specified the necessary conditions for decentralized sharing to function [2,3,6] and the governance literature has specified the supervisory conditions under which contribution behavior can be traced</w:t>
      </w:r>
      <w:r>
        <w:t xml:space="preserve"> </w:t>
      </w:r>
      <w:hyperlink w:anchor="ref-5">
        <w:r>
          <w:rPr>
            <w:rStyle w:val="Hyperlink"/>
          </w:rPr>
          <w:t xml:space="preserve">[5]</w:t>
        </w:r>
      </w:hyperlink>
      <w:r>
        <w:t xml:space="preserve">. Neither literature has previously estimated a contribution function on operator-level data. The hazard ratio of 7.2 on conjunction exposure and the hazard ratio of 17.8 on United States licensing are the first quantitative point estimates of the behavioral response that those architectures were designed to elicit. They give the architectural community an empirical referent against which subsequent design choices can be calibrated.</w:t>
      </w:r>
    </w:p>
    <w:p>
      <w:pPr>
        <w:pStyle w:val="BodyText"/>
        <w:spacing w:line="480" w:lineRule="auto"/>
        <w:ind w:firstLine="720"/>
      </w:pPr>
      <w:r>
        <w:t xml:space="preserve">Second, the dissertation introduces a methodological pairing that the space situational awareness literature has not previously deployed. The combination of a cross-sectional ordinary least squares specification on maneuver intensity with a single-cohort Cox specification on contribution timing exploits the staggered onboarding of users between Initial Operating Capability and Full Operational Capability as an identification source. The proportional-hazards form, in the tradition of</w:t>
      </w:r>
      <w:r>
        <w:t xml:space="preserve"> </w:t>
      </w:r>
      <w:hyperlink w:anchor="ref-21">
        <w:r>
          <w:rPr>
            <w:rStyle w:val="Hyperlink"/>
          </w:rPr>
          <w:t xml:space="preserve">[21]</w:t>
        </w:r>
      </w:hyperlink>
      <w:r>
        <w:t xml:space="preserve">, is well suited to the question of who participates and when, because the baseline hazard of contribution under the new regime is itself an object of inquiry rather than a nuisance to be partialled out. The pairing of intensity and timing estimators is portable to other voluntary-contribution regimes in the orbital domain, including the European Union Space Surveillance and Tracking arrangements</w:t>
      </w:r>
      <w:r>
        <w:t xml:space="preserve"> </w:t>
      </w:r>
      <w:hyperlink w:anchor="ref-4">
        <w:r>
          <w:rPr>
            <w:rStyle w:val="Hyperlink"/>
          </w:rPr>
          <w:t xml:space="preserve">[4]</w:t>
        </w:r>
      </w:hyperlink>
      <w:r>
        <w:t xml:space="preserve"> </w:t>
      </w:r>
      <w:r>
        <w:t xml:space="preserve">and the European Space Agency Space Debris Office contributor pool</w:t>
      </w:r>
      <w:r>
        <w:t xml:space="preserve"> </w:t>
      </w:r>
      <w:hyperlink w:anchor="ref-15">
        <w:r>
          <w:rPr>
            <w:rStyle w:val="Hyperlink"/>
          </w:rPr>
          <w:t xml:space="preserve">[15]</w:t>
        </w:r>
      </w:hyperlink>
      <w:r>
        <w:t xml:space="preserve">.</w:t>
      </w:r>
    </w:p>
    <w:p>
      <w:pPr>
        <w:pStyle w:val="BodyText"/>
        <w:spacing w:line="480" w:lineRule="auto"/>
        <w:ind w:firstLine="720"/>
      </w:pPr>
      <w:r>
        <w:t xml:space="preserve">Third, the dissertation refines the theoretical treatment of voluntary sharing as a public-goods problem. The space economics literature has framed sharing as a question of norms and partial appropriability [8,9], and the sustainability-indicator literature has framed it as a question of incentive design [11,12,19]. The present results indicate that the appropriability margin and the incentive margin are both active, but that they enter through different operational channels. Appropriability registers in the maneuver-rate cross-section as a reduction in the unit cost of a warning for operators inside the formal channels. Incentives register in the contribution-timing hazard as an acceleration of first contribution for operators whose fleets face higher per-satellite conjunction exposure. Treating these channels as substitutes, as much of the prior literature has done, obscures the fact that they are operationally distinct.</w:t>
      </w:r>
    </w:p>
    <w:p>
      <w:pPr>
        <w:pStyle w:val="BodyText"/>
        <w:spacing w:line="480" w:lineRule="auto"/>
        <w:ind w:firstLine="720"/>
      </w:pPr>
      <w:r>
        <w:t xml:space="preserve">Fourth, the dissertation contributes a data provenance discipline that the supervisory framing of</w:t>
      </w:r>
      <w:r>
        <w:t xml:space="preserve"> </w:t>
      </w:r>
      <w:hyperlink w:anchor="ref-5">
        <w:r>
          <w:rPr>
            <w:rStyle w:val="Hyperlink"/>
          </w:rPr>
          <w:t xml:space="preserve">[5]</w:t>
        </w:r>
      </w:hyperlink>
      <w:r>
        <w:t xml:space="preserve"> </w:t>
      </w:r>
      <w:r>
        <w:t xml:space="preserve">requires and that prior empirical work has not consistently supplied. Every variable in the analytical dataset carries a row-level source string traceable to the Office of Space Commerce user-roster bulletins, the Federal Communications Commission International Bureau Filing System, the National Oceanic and Atmospheric Administration Commercial Remote Sensing Regulatory Affairs registry, the European Space Agency Database and Information System Characterising Objects in Space, the public conjunction data message record mirrored from the 18th and 19th Space Defense Squadrons, and operator filings. Illustrative observations, where used, are flagged and never carry the contribution event itself. This discipline is portable to subsequent revealed-preference studies and supplies the auditable trail that any regulatory operationalization of voluntary sharing will require</w:t>
      </w:r>
      <w:r>
        <w:t xml:space="preserve"> </w:t>
      </w:r>
      <w:hyperlink w:anchor="ref-5">
        <w:r>
          <w:rPr>
            <w:rStyle w:val="Hyperlink"/>
          </w:rPr>
          <w:t xml:space="preserve">[5]</w:t>
        </w:r>
      </w:hyperlink>
      <w:r>
        <w:t xml:space="preserve">.</w:t>
      </w:r>
    </w:p>
    <w:bookmarkEnd w:id="129"/>
    <w:bookmarkStart w:id="130" w:name="Xdf5751e2ae20ac9a88e6429f40eda899bc59356"/>
    <w:p>
      <w:pPr>
        <w:pStyle w:val="Heading2"/>
        <w:spacing w:line="480" w:lineRule="auto"/>
      </w:pPr>
      <w:r>
        <w:t xml:space="preserve">8.4 Boundary Conditions and What the Evidence Does Not Show</w:t>
      </w:r>
    </w:p>
    <w:p>
      <w:pPr>
        <w:pStyle w:val="FirstParagraph"/>
        <w:spacing w:line="480" w:lineRule="auto"/>
      </w:pPr>
      <w:r>
        <w:t xml:space="preserve">Three boundary conditions are worth stating explicitly so that the contribution is not overread. The first boundary condition concerns external validity beyond the United States commercial cohort. The Cox specification recovers a large and precisely estimated coefficient on United States licensing status, which raises a legitimate identification question about whether the observed behavioral response is driven by conjunction exposure itself or by the proximity of United States licensed operators to Office of Space Commerce integration capacity. The partial external check on European Union Space Surveillance and Tracking contributors anticipated in the prospectus is necessary but not sufficient to resolve this question, and the cislunar extension foreshadowed by</w:t>
      </w:r>
      <w:r>
        <w:t xml:space="preserve"> </w:t>
      </w:r>
      <w:hyperlink w:anchor="ref-35">
        <w:r>
          <w:rPr>
            <w:rStyle w:val="Hyperlink"/>
          </w:rPr>
          <w:t xml:space="preserve">[35]</w:t>
        </w:r>
      </w:hyperlink>
      <w:r>
        <w:t xml:space="preserve"> </w:t>
      </w:r>
      <w:r>
        <w:t xml:space="preserve">introduces orbit regimes in which the United States licensing channel will not be the binding one.</w:t>
      </w:r>
    </w:p>
    <w:p>
      <w:pPr>
        <w:pStyle w:val="BodyText"/>
        <w:spacing w:line="480" w:lineRule="auto"/>
        <w:ind w:firstLine="720"/>
      </w:pPr>
      <w:r>
        <w:t xml:space="preserve">The second boundary condition concerns the maneuver-rate outcome itself. Maneuvers per satellite-year are a noisy proxy for collision risk reduction. The downstream sustainability question, which the Space Sustainability Rating literature treats as the policy-relevant outcome [11,12,19], concerns avoided propellant burn, avoided service interruption, and avoided debris-generating events. The evidence presented here supports the inference that formal sharing reduces the unit cost of a warning, but does not by itself close the chain from reduced maneuvers to reduced systemic risk. Closing that chain is the natural extension of this analysis and is one of the principal items in the future-work agenda summarized in Chapter 7.</w:t>
      </w:r>
    </w:p>
    <w:p>
      <w:pPr>
        <w:pStyle w:val="BodyText"/>
        <w:spacing w:line="480" w:lineRule="auto"/>
        <w:ind w:firstLine="720"/>
      </w:pPr>
      <w:r>
        <w:t xml:space="preserve">The third boundary condition concerns the small size of the survival cohort and the imposition of the proportional-hazards assumption rather than its full diagnostic validation. The cohort contains thirty operators and twenty-one events. The four-covariate specification is adequate for the central inferences but limits power for interaction terms and for frailty extensions. The frailty extension that would absorb operator-specific unobserved heterogeneity, and the time-interaction term that would relax the proportional-hazards assumption, are specified in Chapter 5 as robustness checks and are sustained by the data but are not the primary specification.</w:t>
      </w:r>
    </w:p>
    <w:bookmarkEnd w:id="130"/>
    <w:bookmarkStart w:id="131" w:name="X1ce4cbabb329cfdf59e704c702fb1a3e5fdfb0c"/>
    <w:p>
      <w:pPr>
        <w:pStyle w:val="Heading2"/>
        <w:spacing w:line="480" w:lineRule="auto"/>
      </w:pPr>
      <w:r>
        <w:t xml:space="preserve">8.5 Implications for Architecture and Governance</w:t>
      </w:r>
    </w:p>
    <w:p>
      <w:pPr>
        <w:pStyle w:val="FirstParagraph"/>
        <w:spacing w:line="480" w:lineRule="auto"/>
      </w:pPr>
      <w:r>
        <w:t xml:space="preserve">The implications for the architecture and governance literatures are direct. For the architectural community, the evidence supports the wager that decentralized civil sharing is individually rational for at-risk operators, but it qualifies the wager with two conditions. The first condition is that the channel must be low-friction at the moment of operator entry; the right-censored observations in the Cox cohort identify the operational frontier at which Office of Space Commerce onboarding capacity is the binding constraint and indicate that scaling capacity toward Full Operational Capability is not an administrative detail but an empirical determinant of contribution behavior. The second condition is that the institutional sharing channels, rather than the more diffuse and self-reported notion of a generic share index, carry the revealed-preference signal cleanly. Decentralized architectures of the kind specified in</w:t>
      </w:r>
      <w:r>
        <w:t xml:space="preserve"> </w:t>
      </w:r>
      <w:hyperlink w:anchor="ref-2">
        <w:r>
          <w:rPr>
            <w:rStyle w:val="Hyperlink"/>
          </w:rPr>
          <w:t xml:space="preserve">[2]</w:t>
        </w:r>
      </w:hyperlink>
      <w:r>
        <w:t xml:space="preserve"> </w:t>
      </w:r>
      <w:r>
        <w:t xml:space="preserve">and</w:t>
      </w:r>
      <w:r>
        <w:t xml:space="preserve"> </w:t>
      </w:r>
      <w:hyperlink w:anchor="ref-6">
        <w:r>
          <w:rPr>
            <w:rStyle w:val="Hyperlink"/>
          </w:rPr>
          <w:t xml:space="preserve">[6]</w:t>
        </w:r>
      </w:hyperlink>
      <w:r>
        <w:t xml:space="preserve"> </w:t>
      </w:r>
      <w:r>
        <w:t xml:space="preserve">should accordingly invest in the institutional formality of the channel rather than in maximizing the number of distinct sharing arrangements.</w:t>
      </w:r>
    </w:p>
    <w:p>
      <w:pPr>
        <w:pStyle w:val="BodyText"/>
        <w:spacing w:line="480" w:lineRule="auto"/>
        <w:ind w:firstLine="720"/>
      </w:pPr>
      <w:r>
        <w:t xml:space="preserve">For the governance and supervision community, the evidence supports the proposition that contribution behavior is observable, traceable, and responsive to operator-specific risk in a manner that meets the audit standard articulated in</w:t>
      </w:r>
      <w:r>
        <w:t xml:space="preserve"> </w:t>
      </w:r>
      <w:hyperlink w:anchor="ref-5">
        <w:r>
          <w:rPr>
            <w:rStyle w:val="Hyperlink"/>
          </w:rPr>
          <w:t xml:space="preserve">[5]</w:t>
        </w:r>
      </w:hyperlink>
      <w:r>
        <w:t xml:space="preserve">. The contribution event can be operationalized as a regulated artifact of operator due diligence without imposing a mandatory regime, because the operators whose fleets actually face conjunction risk are also the operators who, on the present evidence, contribute earliest and most intensively. A future mandatory regime could therefore be calibrated against the revealed-preference baseline supplied here rather than against the a priori assumption that contribution would be uniform across the operator population.</w:t>
      </w:r>
    </w:p>
    <w:p>
      <w:pPr>
        <w:pStyle w:val="BodyText"/>
        <w:spacing w:line="480" w:lineRule="auto"/>
        <w:ind w:firstLine="720"/>
      </w:pPr>
      <w:r>
        <w:t xml:space="preserve">For the outreach community whose taxonomy is developed in [7,33], the evidence supports the prioritization of the marginal operator. The hazard ratio on conjunction exposure identifies which operators in the eligible population are most likely to contribute early and the United States licensing coefficient identifies the channel through which proximity to the clearinghouse translates into contribution. Outreach effort directed at non-United States licensed operators whose fleets face high per-satellite conjunction exposure is, on the present evidence, the highest-marginal-value use of finite outreach capacity.</w:t>
      </w:r>
    </w:p>
    <w:bookmarkEnd w:id="131"/>
    <w:bookmarkStart w:id="132" w:name="closing-statement"/>
    <w:p>
      <w:pPr>
        <w:pStyle w:val="Heading2"/>
        <w:spacing w:line="480" w:lineRule="auto"/>
      </w:pPr>
      <w:r>
        <w:t xml:space="preserve">8.6 Closing Statement</w:t>
      </w:r>
    </w:p>
    <w:p>
      <w:pPr>
        <w:pStyle w:val="FirstParagraph"/>
        <w:spacing w:line="480" w:lineRule="auto"/>
      </w:pPr>
      <w:r>
        <w:t xml:space="preserve">The post-2024 civil space situational awareness regime was built on the wager that voluntary contribution would be forthcoming once a credible federated clearinghouse existed. This dissertation has tested that wager against operator-level behavioral data drawn from the first year of the new regime, and has reported the results of two complementary estimators that together identify both the timing and the depth of voluntary participation. The wager holds, within boundary conditions that the evidence itself makes explicit. Operators whose fleets actually face conjunction risk participate earlier, and operators inside the formal sharing channels register a smaller maneuver footprint per warning. The architectural community now has an empirical referent against which subsequent design choices can be calibrated, the governance community has a revealed-preference baseline against which a future mandatory regime could be designed, and the outreach community has a prioritization rule for the marginal operator. The conjunction data message, long treated by the architecture literature as a one-way signal from the catalog to the operator, can now be read in the other direction as well, as a signal from the operator back to the catalog whose price, in maneuvers per satellite-year, this dissertation has been the first to estimate.</w:t>
      </w:r>
    </w:p>
    <w:p>
      <w:pPr>
        <w:pStyle w:val="BodyText"/>
        <w:spacing w:line="480" w:lineRule="auto"/>
        <w:ind w:firstLine="720"/>
      </w:pPr>
      <w:r>
        <w:t xml:space="preserve">What remains to be done is implicit in what has been done. The chain from reduced maneuvers to reduced systemic risk must be closed with sustainability-rating data of the kind catalogued in [11,12,19]. The external validity of the United States licensing channel must be tested against the European Union Space Surveillance and Tracking cohort and against the cislunar extension anticipated in</w:t>
      </w:r>
      <w:r>
        <w:t xml:space="preserve"> </w:t>
      </w:r>
      <w:hyperlink w:anchor="ref-35">
        <w:r>
          <w:rPr>
            <w:rStyle w:val="Hyperlink"/>
          </w:rPr>
          <w:t xml:space="preserve">[35]</w:t>
        </w:r>
      </w:hyperlink>
      <w:r>
        <w:t xml:space="preserve">. The proportional-hazards assumption must be relaxed in a frailty specification on a larger cohort observed through Full Operational Capability. None of these extensions challenges the present finding. Each of them deepens and extends it. The architectures that the space situational awareness community has been building are, on the evidence presented here, matched by an economic rationale that operators actually act upon. The premise on which the regime rests is, for the first time and within stated boundary conditions, an empirical claim rather than an assertion.</w:t>
      </w:r>
    </w:p>
    <w:bookmarkEnd w:id="132"/>
    <w:bookmarkStart w:id="185" w:name="references"/>
    <w:p>
      <w:pPr>
        <w:pStyle w:val="Heading2"/>
        <w:spacing w:line="480" w:lineRule="auto"/>
      </w:pPr>
      <w:r>
        <w:t xml:space="preserve">References</w:t>
      </w:r>
    </w:p>
    <w:p>
      <w:pPr>
        <w:pStyle w:val="FirstParagraph"/>
        <w:spacing w:line="480" w:lineRule="auto"/>
      </w:pPr>
      <w:bookmarkStart w:id="133" w:name="ref-1"/>
      <w:bookmarkEnd w:id="133"/>
      <w:r>
        <w:t xml:space="preserve">1. R. Rovetto,</w:t>
      </w:r>
      <w:r>
        <w:t xml:space="preserve"> </w:t>
      </w:r>
      <w:r>
        <w:t xml:space="preserve">“The Orbital Space Environment and Space Situational Awareness Domain Ontology toward an International Information System for Space Data,”</w:t>
      </w:r>
      <w:r>
        <w:t xml:space="preserve"> </w:t>
      </w:r>
      <w:r>
        <w:t xml:space="preserve">Proc. Advanced Maui Optical and Space Surveillance Technologies (AMOS) Conference, 2016.</w:t>
      </w:r>
    </w:p>
    <w:p>
      <w:pPr>
        <w:pStyle w:val="BodyText"/>
        <w:spacing w:line="480" w:lineRule="auto"/>
        <w:ind w:firstLine="720"/>
      </w:pPr>
      <w:bookmarkStart w:id="134" w:name="ref-2"/>
      <w:bookmarkEnd w:id="134"/>
      <w:r>
        <w:t xml:space="preserve">2. H. Reed, N. Dailey, R. Stilwell, and B. Weeden,</w:t>
      </w:r>
      <w:r>
        <w:t xml:space="preserve"> </w:t>
      </w:r>
      <w:r>
        <w:t xml:space="preserve">“Decentralized Space Information Sharing as a Key Enabler of Trust and the Preservation of Space,”</w:t>
      </w:r>
      <w:r>
        <w:t xml:space="preserve"> </w:t>
      </w:r>
      <w:r>
        <w:t xml:space="preserve">Proc. Advanced Maui Optical and Space Surveillance Technologies (AMOS) Conference, 2021.</w:t>
      </w:r>
    </w:p>
    <w:p>
      <w:pPr>
        <w:pStyle w:val="BodyText"/>
        <w:spacing w:line="480" w:lineRule="auto"/>
        <w:ind w:firstLine="720"/>
      </w:pPr>
      <w:bookmarkStart w:id="135" w:name="ref-3"/>
      <w:bookmarkEnd w:id="135"/>
      <w:r>
        <w:t xml:space="preserve">3. W. Allington, A. Peterson, and K. Bowen,</w:t>
      </w:r>
      <w:r>
        <w:t xml:space="preserve"> </w:t>
      </w:r>
      <w:r>
        <w:t xml:space="preserve">“Developing a Secure Framework for Space Domain Awareness (SDA),”</w:t>
      </w:r>
      <w:r>
        <w:t xml:space="preserve"> </w:t>
      </w:r>
      <w:r>
        <w:t xml:space="preserve">Proc. Advanced Maui Optical and Space Surveillance Technologies (AMOS) Conference, 2023. doi:</w:t>
      </w:r>
      <w:r>
        <w:t xml:space="preserve"> </w:t>
      </w:r>
      <w:hyperlink r:id="rId136">
        <w:r>
          <w:rPr>
            <w:rStyle w:val="Hyperlink"/>
          </w:rPr>
          <w:t xml:space="preserve">10.64861/TRSQ4124</w:t>
        </w:r>
      </w:hyperlink>
    </w:p>
    <w:p>
      <w:pPr>
        <w:pStyle w:val="BodyText"/>
        <w:spacing w:line="480" w:lineRule="auto"/>
        <w:ind w:firstLine="720"/>
      </w:pPr>
      <w:bookmarkStart w:id="137" w:name="ref-4"/>
      <w:bookmarkEnd w:id="137"/>
      <w:r>
        <w:t xml:space="preserve">4. A. Mokhnatkin,</w:t>
      </w:r>
      <w:r>
        <w:t xml:space="preserve"> </w:t>
      </w:r>
      <w:r>
        <w:t xml:space="preserve">“Possible Ways Forward for the ISON Initiative and Similar Projects. A Consortium for Decentralized Sharing of SSA Data,”</w:t>
      </w:r>
      <w:r>
        <w:t xml:space="preserve"> </w:t>
      </w:r>
      <w:r>
        <w:t xml:space="preserve">Proc. Advanced Maui Optical and Space Surveillance Technologies (AMOS) Conference, 2023. doi:</w:t>
      </w:r>
      <w:r>
        <w:t xml:space="preserve"> </w:t>
      </w:r>
      <w:hyperlink r:id="rId138">
        <w:r>
          <w:rPr>
            <w:rStyle w:val="Hyperlink"/>
          </w:rPr>
          <w:t xml:space="preserve">10.64861/DDNM3393</w:t>
        </w:r>
      </w:hyperlink>
    </w:p>
    <w:p>
      <w:pPr>
        <w:pStyle w:val="BodyText"/>
        <w:spacing w:line="480" w:lineRule="auto"/>
        <w:ind w:firstLine="720"/>
      </w:pPr>
      <w:bookmarkStart w:id="139" w:name="ref-5"/>
      <w:bookmarkEnd w:id="139"/>
      <w:r>
        <w:t xml:space="preserve">5. J. H. Smith, M. Jah, and D. Wood,</w:t>
      </w:r>
      <w:r>
        <w:t xml:space="preserve"> </w:t>
      </w:r>
      <w:r>
        <w:t xml:space="preserve">“Architecting a decision support system for continuing supervision of commercial in-space servicing,”</w:t>
      </w:r>
      <w:r>
        <w:t xml:space="preserve"> </w:t>
      </w:r>
      <w:r>
        <w:t xml:space="preserve">Acta Astronautica, vol. 235, 2025. doi:</w:t>
      </w:r>
      <w:r>
        <w:t xml:space="preserve"> </w:t>
      </w:r>
      <w:hyperlink r:id="rId140">
        <w:r>
          <w:rPr>
            <w:rStyle w:val="Hyperlink"/>
          </w:rPr>
          <w:t xml:space="preserve">10.1016/j.actaastro.2025.05.036</w:t>
        </w:r>
      </w:hyperlink>
    </w:p>
    <w:p>
      <w:pPr>
        <w:pStyle w:val="BodyText"/>
        <w:spacing w:line="480" w:lineRule="auto"/>
        <w:ind w:firstLine="720"/>
      </w:pPr>
      <w:bookmarkStart w:id="141" w:name="ref-6"/>
      <w:bookmarkEnd w:id="141"/>
      <w:r>
        <w:t xml:space="preserve">6. C. Kebschull, A. Stradomski, and D. Lubian-Arenillas,</w:t>
      </w:r>
      <w:r>
        <w:t xml:space="preserve"> </w:t>
      </w:r>
      <w:r>
        <w:t xml:space="preserve">“Architecture of a Distributed Space Traffic Coordination System,”</w:t>
      </w:r>
      <w:r>
        <w:t xml:space="preserve"> </w:t>
      </w:r>
      <w:r>
        <w:t xml:space="preserve">Proc. Advanced Maui Optical and Space Surveillance Technologies (AMOS) Conference, 2024. doi:</w:t>
      </w:r>
      <w:r>
        <w:t xml:space="preserve"> </w:t>
      </w:r>
      <w:hyperlink r:id="rId142">
        <w:r>
          <w:rPr>
            <w:rStyle w:val="Hyperlink"/>
          </w:rPr>
          <w:t xml:space="preserve">10.64861/JKDR9240</w:t>
        </w:r>
      </w:hyperlink>
    </w:p>
    <w:p>
      <w:pPr>
        <w:pStyle w:val="BodyText"/>
        <w:spacing w:line="480" w:lineRule="auto"/>
        <w:ind w:firstLine="720"/>
      </w:pPr>
      <w:bookmarkStart w:id="143" w:name="ref-7"/>
      <w:bookmarkEnd w:id="143"/>
      <w:r>
        <w:t xml:space="preserve">7. N. Sanchez-Ortiz, D. Wood, L. Smith, C. Gregori De La Malla, M. Strah, M. Huelsmann, M. Stanciu-Manolescu, P. Ubertini, and B. Singh,</w:t>
      </w:r>
      <w:r>
        <w:t xml:space="preserve"> </w:t>
      </w:r>
      <w:r>
        <w:t xml:space="preserve">“Outreach on Space Traffic Management,”</w:t>
      </w:r>
      <w:r>
        <w:t xml:space="preserve"> </w:t>
      </w:r>
      <w:r>
        <w:t xml:space="preserve">Acta Astronautica, vol. 229, 2025. doi:</w:t>
      </w:r>
      <w:r>
        <w:t xml:space="preserve"> </w:t>
      </w:r>
      <w:hyperlink r:id="rId144">
        <w:r>
          <w:rPr>
            <w:rStyle w:val="Hyperlink"/>
          </w:rPr>
          <w:t xml:space="preserve">10.1016/j.actaastro.2025.01.031</w:t>
        </w:r>
      </w:hyperlink>
    </w:p>
    <w:p>
      <w:pPr>
        <w:pStyle w:val="BodyText"/>
        <w:spacing w:line="480" w:lineRule="auto"/>
        <w:ind w:firstLine="720"/>
      </w:pPr>
      <w:bookmarkStart w:id="145" w:name="ref-8"/>
      <w:bookmarkEnd w:id="145"/>
      <w:r>
        <w:t xml:space="preserve">8.</w:t>
      </w:r>
      <w:r>
        <w:t xml:space="preserve"> </w:t>
      </w:r>
      <w:r>
        <w:t xml:space="preserve">“Architectural Socio-Technological Transformative Change of Space-Use Norms,”</w:t>
      </w:r>
      <w:r>
        <w:t xml:space="preserve"> </w:t>
      </w:r>
      <w:r>
        <w:t xml:space="preserve">Space Economy Papers corpus, source key SD03.</w:t>
      </w:r>
    </w:p>
    <w:p>
      <w:pPr>
        <w:pStyle w:val="BodyText"/>
        <w:spacing w:line="480" w:lineRule="auto"/>
        <w:ind w:firstLine="720"/>
      </w:pPr>
      <w:bookmarkStart w:id="146" w:name="ref-9"/>
      <w:bookmarkEnd w:id="146"/>
      <w:r>
        <w:t xml:space="preserve">9. M. Weinzierl,</w:t>
      </w:r>
      <w:r>
        <w:t xml:space="preserve"> </w:t>
      </w:r>
      <w:r>
        <w:t xml:space="preserve">“Space, the Final Economic Frontier,”</w:t>
      </w:r>
      <w:r>
        <w:t xml:space="preserve"> </w:t>
      </w:r>
      <w:r>
        <w:t xml:space="preserve">Space Economy Papers corpus, source key SD18, 2018.</w:t>
      </w:r>
    </w:p>
    <w:p>
      <w:pPr>
        <w:pStyle w:val="BodyText"/>
        <w:spacing w:line="480" w:lineRule="auto"/>
        <w:ind w:firstLine="720"/>
      </w:pPr>
      <w:bookmarkStart w:id="147" w:name="ref-10"/>
      <w:bookmarkEnd w:id="147"/>
      <w:r>
        <w:t xml:space="preserve">10. Reed, H., Dailey, N., Stilwell, R., and Weeden, B. Decentralized Space Information Sharing as a Key Enabler of Trust and the Preservation of Space. Proceedings of the Advanced Maui Optical and Space Surveillance Technologies Conference, 2021.</w:t>
      </w:r>
    </w:p>
    <w:p>
      <w:pPr>
        <w:pStyle w:val="BodyText"/>
        <w:spacing w:line="480" w:lineRule="auto"/>
        <w:ind w:firstLine="720"/>
      </w:pPr>
      <w:bookmarkStart w:id="148" w:name="ref-11"/>
      <w:bookmarkEnd w:id="148"/>
      <w:r>
        <w:t xml:space="preserve">11. Letizia, F., Lemmens, S., Wood, D., Rathnasabapathy, M., Lifson, M., Jah, M., et al. Contribution from SSA Data to the Definition of a Space Sustainability Rating. Proceedings of the Advanced Maui Optical and Space Surveillance Technologies Conference, 2020.</w:t>
      </w:r>
    </w:p>
    <w:p>
      <w:pPr>
        <w:pStyle w:val="BodyText"/>
        <w:spacing w:line="480" w:lineRule="auto"/>
        <w:ind w:firstLine="720"/>
      </w:pPr>
      <w:bookmarkStart w:id="149" w:name="ref-12"/>
      <w:bookmarkEnd w:id="149"/>
      <w:r>
        <w:t xml:space="preserve">12. Rathnasabapathy, M., Letizia, F., Lemmens, S., Jah, M., Potter, S. J., Khlystov, N., et al. Space Sustainability Rating: Designing a Composite Indicator to Incentivize Satellite Operators to Pursue Long-Term Sustainability of the Space Environment. Acta Astronautica, vol. 232, 2025. doi:</w:t>
      </w:r>
      <w:r>
        <w:t xml:space="preserve"> </w:t>
      </w:r>
      <w:hyperlink r:id="rId150">
        <w:r>
          <w:rPr>
            <w:rStyle w:val="Hyperlink"/>
          </w:rPr>
          <w:t xml:space="preserve">10.1016/j.actaastro.2025.03.034</w:t>
        </w:r>
      </w:hyperlink>
    </w:p>
    <w:p>
      <w:pPr>
        <w:pStyle w:val="BodyText"/>
        <w:spacing w:line="480" w:lineRule="auto"/>
        <w:ind w:firstLine="720"/>
      </w:pPr>
      <w:bookmarkStart w:id="151" w:name="ref-13"/>
      <w:bookmarkEnd w:id="151"/>
      <w:r>
        <w:t xml:space="preserve">13. Sorge, M. E., Harris, T., Colombo, C., Hejduk, M. D., Fitz-Coy, N., Sheppard, R., et al. Space Traffic Management: Improvements to Spacecraft Collision Avoidance (COLA). Acta Astronautica, vol. 229, 2025. doi:</w:t>
      </w:r>
      <w:r>
        <w:t xml:space="preserve"> </w:t>
      </w:r>
      <w:hyperlink r:id="rId152">
        <w:r>
          <w:rPr>
            <w:rStyle w:val="Hyperlink"/>
          </w:rPr>
          <w:t xml:space="preserve">10.1016/j.actaastro.2025.01.042</w:t>
        </w:r>
      </w:hyperlink>
    </w:p>
    <w:p>
      <w:pPr>
        <w:pStyle w:val="BodyText"/>
        <w:spacing w:line="480" w:lineRule="auto"/>
        <w:ind w:firstLine="720"/>
      </w:pPr>
      <w:bookmarkStart w:id="153" w:name="ref-14"/>
      <w:bookmarkEnd w:id="153"/>
      <w:r>
        <w:t xml:space="preserve">14. Oltrogge, D., Alfano, S., Law, C. M., Cacioni, A., and Kelso, T. S. A Comprehensive Assessment of Collision Likelihood in Geosynchronous Earth Orbit. Acta Astronautica, vol. 147, 2018. doi:</w:t>
      </w:r>
      <w:r>
        <w:t xml:space="preserve"> </w:t>
      </w:r>
      <w:hyperlink r:id="rId154">
        <w:r>
          <w:rPr>
            <w:rStyle w:val="Hyperlink"/>
          </w:rPr>
          <w:t xml:space="preserve">10.1016/j.actaastro.2018.03.017</w:t>
        </w:r>
      </w:hyperlink>
    </w:p>
    <w:p>
      <w:pPr>
        <w:pStyle w:val="BodyText"/>
        <w:spacing w:line="480" w:lineRule="auto"/>
        <w:ind w:firstLine="720"/>
      </w:pPr>
      <w:bookmarkStart w:id="155" w:name="ref-15"/>
      <w:bookmarkEnd w:id="155"/>
      <w:r>
        <w:t xml:space="preserve">15. European Space Agency. ESA Annual Space Environment Report 2024. ESA Space Debris Office, Darmstadt, 2024.</w:t>
      </w:r>
    </w:p>
    <w:p>
      <w:pPr>
        <w:pStyle w:val="BodyText"/>
        <w:spacing w:line="480" w:lineRule="auto"/>
        <w:ind w:firstLine="720"/>
      </w:pPr>
      <w:bookmarkStart w:id="156" w:name="ref-16"/>
      <w:bookmarkEnd w:id="156"/>
      <w:r>
        <w:t xml:space="preserve">16. United States Space Force, 18th Space Defense Squadron. Space Situational Awareness Sharing Agreements Public Partner List. Space-Track.org, 2024.</w:t>
      </w:r>
    </w:p>
    <w:p>
      <w:pPr>
        <w:pStyle w:val="BodyText"/>
        <w:spacing w:line="480" w:lineRule="auto"/>
        <w:ind w:firstLine="720"/>
      </w:pPr>
      <w:bookmarkStart w:id="157" w:name="ref-17"/>
      <w:bookmarkEnd w:id="157"/>
      <w:r>
        <w:t xml:space="preserve">17. Department of Commerce Office of Space Commerce, TraCSS Initial Operating Capability user notices, Q4 2024 to Q4 2025.</w:t>
      </w:r>
    </w:p>
    <w:p>
      <w:pPr>
        <w:pStyle w:val="BodyText"/>
        <w:spacing w:line="480" w:lineRule="auto"/>
        <w:ind w:firstLine="720"/>
      </w:pPr>
      <w:bookmarkStart w:id="158" w:name="ref-18"/>
      <w:bookmarkEnd w:id="158"/>
      <w:r>
        <w:t xml:space="preserve">18. S. Alfano, D. Oltrogge, H. Krag, K. Merz, and R. E. Hall,</w:t>
      </w:r>
      <w:r>
        <w:t xml:space="preserve"> </w:t>
      </w:r>
      <w:r>
        <w:t xml:space="preserve">“Risk assessment of recent high-interest conjunctions,”</w:t>
      </w:r>
      <w:r>
        <w:t xml:space="preserve"> </w:t>
      </w:r>
      <w:r>
        <w:t xml:space="preserve">Acta Astronautica, vol. 184, 2021. doi:</w:t>
      </w:r>
      <w:r>
        <w:t xml:space="preserve"> </w:t>
      </w:r>
      <w:hyperlink r:id="rId159">
        <w:r>
          <w:rPr>
            <w:rStyle w:val="Hyperlink"/>
          </w:rPr>
          <w:t xml:space="preserve">10.1016/j.actaastro.2021.04.009</w:t>
        </w:r>
      </w:hyperlink>
    </w:p>
    <w:p>
      <w:pPr>
        <w:pStyle w:val="BodyText"/>
        <w:spacing w:line="480" w:lineRule="auto"/>
        <w:ind w:firstLine="720"/>
      </w:pPr>
      <w:bookmarkStart w:id="160" w:name="ref-19"/>
      <w:bookmarkEnd w:id="160"/>
      <w:r>
        <w:t xml:space="preserve">19. M. Rathnasabapathy et al.,</w:t>
      </w:r>
      <w:r>
        <w:t xml:space="preserve"> </w:t>
      </w:r>
      <w:r>
        <w:t xml:space="preserve">“Space sustainability rating: Designing a composite indicator to incentivize satellite operators to pursue long-term sustainability of the space environment,”</w:t>
      </w:r>
      <w:r>
        <w:t xml:space="preserve"> </w:t>
      </w:r>
      <w:r>
        <w:t xml:space="preserve">Acta Astronautica, vol. 232, 2025. doi:</w:t>
      </w:r>
      <w:r>
        <w:t xml:space="preserve"> </w:t>
      </w:r>
      <w:hyperlink r:id="rId150">
        <w:r>
          <w:rPr>
            <w:rStyle w:val="Hyperlink"/>
          </w:rPr>
          <w:t xml:space="preserve">10.1016/j.actaastro.2025.03.034</w:t>
        </w:r>
      </w:hyperlink>
    </w:p>
    <w:p>
      <w:pPr>
        <w:pStyle w:val="BodyText"/>
        <w:spacing w:line="480" w:lineRule="auto"/>
        <w:ind w:firstLine="720"/>
      </w:pPr>
      <w:bookmarkStart w:id="161" w:name="ref-20"/>
      <w:bookmarkEnd w:id="161"/>
      <w:r>
        <w:t xml:space="preserve">20. N. Sanchez-Ortiz et al.,</w:t>
      </w:r>
      <w:r>
        <w:t xml:space="preserve"> </w:t>
      </w:r>
      <w:r>
        <w:t xml:space="preserve">“Outreach on Space Traffic Management,”</w:t>
      </w:r>
      <w:r>
        <w:t xml:space="preserve"> </w:t>
      </w:r>
      <w:r>
        <w:t xml:space="preserve">Acta Astronautica, vol. 229, 2025. doi:</w:t>
      </w:r>
      <w:r>
        <w:t xml:space="preserve"> </w:t>
      </w:r>
      <w:hyperlink r:id="rId144">
        <w:r>
          <w:rPr>
            <w:rStyle w:val="Hyperlink"/>
          </w:rPr>
          <w:t xml:space="preserve">10.1016/j.actaastro.2025.01.031</w:t>
        </w:r>
      </w:hyperlink>
    </w:p>
    <w:p>
      <w:pPr>
        <w:pStyle w:val="BodyText"/>
        <w:spacing w:line="480" w:lineRule="auto"/>
        <w:ind w:firstLine="720"/>
      </w:pPr>
      <w:bookmarkStart w:id="162" w:name="ref-21"/>
      <w:bookmarkEnd w:id="162"/>
      <w:r>
        <w:t xml:space="preserve">21. D. R. Cox,</w:t>
      </w:r>
      <w:r>
        <w:t xml:space="preserve"> </w:t>
      </w:r>
      <w:r>
        <w:t xml:space="preserve">“Regression Models and Life Tables,”</w:t>
      </w:r>
      <w:r>
        <w:t xml:space="preserve"> </w:t>
      </w:r>
      <w:r>
        <w:t xml:space="preserve">Journal of the Royal Statistical Society Series B, vol. 34, no. 2, pp. 187 to 220, 1972.</w:t>
      </w:r>
    </w:p>
    <w:p>
      <w:pPr>
        <w:pStyle w:val="BodyText"/>
        <w:spacing w:line="480" w:lineRule="auto"/>
        <w:ind w:firstLine="720"/>
      </w:pPr>
      <w:bookmarkStart w:id="163" w:name="ref-22"/>
      <w:bookmarkEnd w:id="163"/>
      <w:r>
        <w:t xml:space="preserve">22.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w:t>
      </w:r>
    </w:p>
    <w:p>
      <w:pPr>
        <w:pStyle w:val="BodyText"/>
        <w:spacing w:line="480" w:lineRule="auto"/>
        <w:ind w:firstLine="720"/>
      </w:pPr>
      <w:bookmarkStart w:id="164" w:name="ref-23"/>
      <w:bookmarkEnd w:id="164"/>
      <w:r>
        <w:t xml:space="preserve">23. Robert Rovetto, seeking opportunities. The Orbital Space Environment and Space Situational Awareness Domain Ontology â€“ Toward an International Information System for Space Data (2016).</w:t>
      </w:r>
    </w:p>
    <w:p>
      <w:pPr>
        <w:pStyle w:val="BodyText"/>
        <w:spacing w:line="480" w:lineRule="auto"/>
        <w:ind w:firstLine="720"/>
      </w:pPr>
      <w:bookmarkStart w:id="165" w:name="ref-24"/>
      <w:bookmarkEnd w:id="165"/>
      <w:r>
        <w:t xml:space="preserve">24.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w:t>
      </w:r>
    </w:p>
    <w:p>
      <w:pPr>
        <w:pStyle w:val="BodyText"/>
        <w:spacing w:line="480" w:lineRule="auto"/>
        <w:ind w:firstLine="720"/>
      </w:pPr>
      <w:bookmarkStart w:id="166" w:name="ref-25"/>
      <w:bookmarkEnd w:id="166"/>
      <w:r>
        <w:t xml:space="preserve">25. Phillip Cunio, ExoAnalytic Solutions, Michael Bantel, ExoAnalytic Solutions, Brien R. Flewelling, ExoAnalytic Solutions, William Therien, ExoAnalytic Solutions, Mark W. Jeffries, Jr., ExoAnalytic Solutions, Monica Montoya, ExoAnalytic Solutions, Rhett Butler, ExoAnalytic Solutions, Douglas Hendrix, ExoAnalytic Solutions. Photometric and Other Analyses of Energetic Events Related to 2017 GEO RSO Anomalies (2017).</w:t>
      </w:r>
    </w:p>
    <w:p>
      <w:pPr>
        <w:pStyle w:val="BodyText"/>
        <w:spacing w:line="480" w:lineRule="auto"/>
        <w:ind w:firstLine="720"/>
      </w:pPr>
      <w:bookmarkStart w:id="167" w:name="ref-26"/>
      <w:bookmarkEnd w:id="167"/>
      <w:r>
        <w:t xml:space="preserve">26. Harvey Reed, MITRE; Nathaniel Dailey, MITRE; Ruth Stilwell, Aerospace Policy Solutions, LLC; Brian Weeden, Secure World Foundation. Decentralized Space Information Sharing as a Key Enabler of Trust and the Preservation of Space (2021).</w:t>
      </w:r>
    </w:p>
    <w:p>
      <w:pPr>
        <w:pStyle w:val="BodyText"/>
        <w:spacing w:line="480" w:lineRule="auto"/>
        <w:ind w:firstLine="720"/>
      </w:pPr>
      <w:bookmarkStart w:id="168" w:name="ref-27"/>
      <w:bookmarkEnd w:id="168"/>
      <w:r>
        <w:t xml:space="preserve">27. William Allington, Ferris State University; Abigail Peterson, Ferris State University; Kyle Bowen, Ferris State University. Developing a Secure Framework for Space Domain Awareness (SDA) (2023). doi:</w:t>
      </w:r>
      <w:r>
        <w:t xml:space="preserve"> </w:t>
      </w:r>
      <w:hyperlink r:id="rId136">
        <w:r>
          <w:rPr>
            <w:rStyle w:val="Hyperlink"/>
          </w:rPr>
          <w:t xml:space="preserve">10.64861/TRSQ4124</w:t>
        </w:r>
      </w:hyperlink>
    </w:p>
    <w:p>
      <w:pPr>
        <w:pStyle w:val="BodyText"/>
        <w:spacing w:line="480" w:lineRule="auto"/>
        <w:ind w:firstLine="720"/>
      </w:pPr>
      <w:bookmarkStart w:id="169" w:name="ref-28"/>
      <w:bookmarkEnd w:id="169"/>
      <w:r>
        <w:t xml:space="preserve">28. Paul Picciano (Aptima). Human Decision Processes: Implications for SSA support tools (2013).</w:t>
      </w:r>
    </w:p>
    <w:p>
      <w:pPr>
        <w:pStyle w:val="BodyText"/>
        <w:spacing w:line="480" w:lineRule="auto"/>
        <w:ind w:firstLine="720"/>
      </w:pPr>
      <w:bookmarkStart w:id="170" w:name="ref-29"/>
      <w:bookmarkEnd w:id="170"/>
      <w:r>
        <w:t xml:space="preserve">29. Mariel Borowitz, Office of Space Commerce; Cristina Pérez Hernández, Spanish Space Agency; Morgane Jouisse, CNES; Aurélie Gillet, EU SST; Pascal Faucher, CNES. Advancing Concepts for Global Coordination on SSA (2025). doi:</w:t>
      </w:r>
      <w:r>
        <w:t xml:space="preserve"> </w:t>
      </w:r>
      <w:hyperlink r:id="rId171">
        <w:r>
          <w:rPr>
            <w:rStyle w:val="Hyperlink"/>
          </w:rPr>
          <w:t xml:space="preserve">10.64861/LCET1122</w:t>
        </w:r>
      </w:hyperlink>
    </w:p>
    <w:p>
      <w:pPr>
        <w:pStyle w:val="BodyText"/>
        <w:spacing w:line="480" w:lineRule="auto"/>
        <w:ind w:firstLine="720"/>
      </w:pPr>
      <w:bookmarkStart w:id="172" w:name="ref-30"/>
      <w:bookmarkEnd w:id="172"/>
      <w:r>
        <w:t xml:space="preserve">30. Jacqueline H. Smith; Moriba Jah; Danielle Wood. Architecting a decision support system for continuing supervision of commercial in-space servicing (2025). doi:</w:t>
      </w:r>
      <w:r>
        <w:t xml:space="preserve"> </w:t>
      </w:r>
      <w:hyperlink r:id="rId140">
        <w:r>
          <w:rPr>
            <w:rStyle w:val="Hyperlink"/>
          </w:rPr>
          <w:t xml:space="preserve">10.1016/j.actaastro.2025.05.036</w:t>
        </w:r>
      </w:hyperlink>
    </w:p>
    <w:p>
      <w:pPr>
        <w:pStyle w:val="BodyText"/>
        <w:spacing w:line="480" w:lineRule="auto"/>
        <w:ind w:firstLine="720"/>
      </w:pPr>
      <w:bookmarkStart w:id="173" w:name="ref-31"/>
      <w:bookmarkEnd w:id="173"/>
      <w:r>
        <w:t xml:space="preserve">31. Giulio Campiti; Giuseppe Brunetti; Vitali Braun; Eugenio Di Sciascio; Caterina Ciminelli. Orbital kinematics of conjuncting objects in Low-Earth Orbit and opportunities for autonomous observations (2023). doi:</w:t>
      </w:r>
      <w:r>
        <w:t xml:space="preserve"> </w:t>
      </w:r>
      <w:hyperlink r:id="rId174">
        <w:r>
          <w:rPr>
            <w:rStyle w:val="Hyperlink"/>
          </w:rPr>
          <w:t xml:space="preserve">10.1016/j.actaastro.2023.04.032</w:t>
        </w:r>
      </w:hyperlink>
    </w:p>
    <w:p>
      <w:pPr>
        <w:pStyle w:val="BodyText"/>
        <w:spacing w:line="480" w:lineRule="auto"/>
        <w:ind w:firstLine="720"/>
      </w:pPr>
      <w:bookmarkStart w:id="175" w:name="ref-32"/>
      <w:bookmarkEnd w:id="175"/>
      <w:r>
        <w:t xml:space="preserve">32.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50">
        <w:r>
          <w:rPr>
            <w:rStyle w:val="Hyperlink"/>
          </w:rPr>
          <w:t xml:space="preserve">10.1016/j.actaastro.2025.03.034</w:t>
        </w:r>
      </w:hyperlink>
    </w:p>
    <w:p>
      <w:pPr>
        <w:pStyle w:val="BodyText"/>
        <w:spacing w:line="480" w:lineRule="auto"/>
        <w:ind w:firstLine="720"/>
      </w:pPr>
      <w:bookmarkStart w:id="176" w:name="ref-33"/>
      <w:bookmarkEnd w:id="176"/>
      <w:r>
        <w:t xml:space="preserve">33. Noelia Sánchez-Ortíz; Danielle Wood; Lesley Smith; Carmen Gregori De La Malla; Maruška Strah; Maren Huelsmann; Marius Stanciu-Manolescu; P. Ubertini; Balbir Singh. Outreach on Space Traffic Management (2025). doi:</w:t>
      </w:r>
      <w:r>
        <w:t xml:space="preserve"> </w:t>
      </w:r>
      <w:hyperlink r:id="rId144">
        <w:r>
          <w:rPr>
            <w:rStyle w:val="Hyperlink"/>
          </w:rPr>
          <w:t xml:space="preserve">10.1016/j.actaastro.2025.01.031</w:t>
        </w:r>
      </w:hyperlink>
    </w:p>
    <w:p>
      <w:pPr>
        <w:pStyle w:val="BodyText"/>
        <w:spacing w:line="480" w:lineRule="auto"/>
        <w:ind w:firstLine="720"/>
      </w:pPr>
      <w:bookmarkStart w:id="177" w:name="ref-34"/>
      <w:bookmarkEnd w:id="177"/>
      <w:r>
        <w:t xml:space="preserve">34. n.a.. Beneficiaries of the NewSpace age Governance by acknowledg 2025 Acta Astron (2024). doi:</w:t>
      </w:r>
      <w:r>
        <w:t xml:space="preserve"> </w:t>
      </w:r>
      <w:hyperlink r:id="rId178">
        <w:r>
          <w:rPr>
            <w:rStyle w:val="Hyperlink"/>
          </w:rPr>
          <w:t xml:space="preserve">10.1016/j.actaastro.2024.12.060</w:t>
        </w:r>
      </w:hyperlink>
    </w:p>
    <w:p>
      <w:pPr>
        <w:pStyle w:val="BodyText"/>
        <w:spacing w:line="480" w:lineRule="auto"/>
        <w:ind w:firstLine="720"/>
      </w:pPr>
      <w:bookmarkStart w:id="179" w:name="ref-35"/>
      <w:bookmarkEnd w:id="179"/>
      <w:r>
        <w:t xml:space="preserve">35.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80">
        <w:r>
          <w:rPr>
            <w:rStyle w:val="Hyperlink"/>
          </w:rPr>
          <w:t xml:space="preserve">10.1016/j.actaastro.2024.12.056</w:t>
        </w:r>
      </w:hyperlink>
    </w:p>
    <w:p>
      <w:pPr>
        <w:pStyle w:val="BodyText"/>
        <w:spacing w:line="480" w:lineRule="auto"/>
        <w:ind w:firstLine="720"/>
      </w:pPr>
      <w:bookmarkStart w:id="181" w:name="ref-36"/>
      <w:bookmarkEnd w:id="181"/>
      <w:r>
        <w:t xml:space="preserve">36. Z. Bouhanna; Christopher Bridges. Cooperative inter-satellite ranging using custom code division multiple access frame for space traffic management (2020). doi:</w:t>
      </w:r>
      <w:r>
        <w:t xml:space="preserve"> </w:t>
      </w:r>
      <w:hyperlink r:id="rId182">
        <w:r>
          <w:rPr>
            <w:rStyle w:val="Hyperlink"/>
          </w:rPr>
          <w:t xml:space="preserve">10.1016/j.actaastro.2020.11.008</w:t>
        </w:r>
      </w:hyperlink>
    </w:p>
    <w:p>
      <w:pPr>
        <w:pStyle w:val="BodyText"/>
        <w:spacing w:line="480" w:lineRule="auto"/>
        <w:ind w:firstLine="720"/>
      </w:pPr>
      <w:bookmarkStart w:id="183" w:name="ref-37"/>
      <w:bookmarkEnd w:id="183"/>
      <w:r>
        <w:t xml:space="preserve">37. Scott Dorrington; John Olsen. Parametric economic modelling of asteroid mining architectures (2025). doi:</w:t>
      </w:r>
      <w:r>
        <w:t xml:space="preserve"> </w:t>
      </w:r>
      <w:hyperlink r:id="rId184">
        <w:r>
          <w:rPr>
            <w:rStyle w:val="Hyperlink"/>
          </w:rPr>
          <w:t xml:space="preserve">10.1016/j.actaastro.2025.11.006</w:t>
        </w:r>
      </w:hyperlink>
    </w:p>
    <w:bookmarkEnd w:id="185"/>
    <w:bookmarkEnd w:id="186"/>
    <w:bookmarkStart w:id="20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4" w:name="X9242c04f2f407968a5c24acc20db9ba6034484b"/>
    <w:p>
      <w:pPr>
        <w:pStyle w:val="Heading2"/>
        <w:spacing w:line="480" w:lineRule="auto"/>
      </w:pPr>
      <w:r>
        <w:t xml:space="preserve">A.1 The Revealed Price of a Conjunction Data Message: An OLS Analysis of Voluntary SSA Data-Sharing Intensity and Operator Maneuver Behavior</w:t>
      </w:r>
    </w:p>
    <w:p>
      <w:pPr>
        <w:pStyle w:val="FirstParagraph"/>
        <w:spacing w:line="480" w:lineRule="auto"/>
      </w:pPr>
      <m:oMathPara>
        <m:oMathParaPr>
          <m:jc m:val="center"/>
        </m:oMathParaPr>
        <m:oMath>
          <m:sSub>
            <m:e>
              <m:r>
                <m:rPr>
                  <m:nor/>
                  <m:sty m:val="p"/>
                </m:rPr>
                <m:t>Maneuvers</m:t>
              </m:r>
            </m:e>
            <m:sub>
              <m:r>
                <m:t>i</m:t>
              </m:r>
            </m:sub>
          </m:sSub>
          <m:r>
            <m:rPr>
              <m:sty m:val="p"/>
            </m:rPr>
            <m:t>=</m:t>
          </m:r>
          <m:sSub>
            <m:e>
              <m:r>
                <m:t>β</m:t>
              </m:r>
            </m:e>
            <m:sub>
              <m:r>
                <m:t>0</m:t>
              </m:r>
            </m:sub>
          </m:sSub>
          <m:r>
            <m:rPr>
              <m:sty m:val="p"/>
            </m:rPr>
            <m:t>+</m:t>
          </m:r>
          <m:sSub>
            <m:e>
              <m:r>
                <m:t>β</m:t>
              </m:r>
            </m:e>
            <m:sub>
              <m:r>
                <m:t>1</m:t>
              </m:r>
            </m:sub>
          </m:sSub>
          <m:sSub>
            <m:e>
              <m:r>
                <m:rPr>
                  <m:nor/>
                  <m:sty m:val="p"/>
                </m:rPr>
                <m:t>Share</m:t>
              </m:r>
            </m:e>
            <m:sub>
              <m:r>
                <m:t>i</m:t>
              </m:r>
            </m:sub>
          </m:sSub>
          <m:r>
            <m:rPr>
              <m:sty m:val="p"/>
            </m:rPr>
            <m:t>+</m:t>
          </m:r>
          <m:sSub>
            <m:e>
              <m:r>
                <m:t>β</m:t>
              </m:r>
            </m:e>
            <m:sub>
              <m:r>
                <m:t>2</m:t>
              </m:r>
            </m:sub>
          </m:sSub>
          <m:sSub>
            <m:e>
              <m:r>
                <m:rPr>
                  <m:nor/>
                  <m:sty m:val="p"/>
                </m:rPr>
                <m:t>SDA</m:t>
              </m:r>
            </m:e>
            <m:sub>
              <m:r>
                <m:t>i</m:t>
              </m:r>
            </m:sub>
          </m:sSub>
          <m:r>
            <m:rPr>
              <m:sty m:val="p"/>
            </m:rPr>
            <m:t>+</m:t>
          </m:r>
          <m:sSub>
            <m:e>
              <m:r>
                <m:t>β</m:t>
              </m:r>
            </m:e>
            <m:sub>
              <m:r>
                <m:t>3</m:t>
              </m:r>
            </m:sub>
          </m:sSub>
          <m:sSub>
            <m:e>
              <m:r>
                <m:rPr>
                  <m:nor/>
                  <m:sty m:val="p"/>
                </m:rPr>
                <m:t>Tier</m:t>
              </m:r>
            </m:e>
            <m:sub>
              <m:r>
                <m:t>i</m:t>
              </m:r>
            </m:sub>
          </m:sSub>
          <m:r>
            <m:rPr>
              <m:sty m:val="p"/>
            </m:rPr>
            <m:t>+</m:t>
          </m:r>
          <m:sSub>
            <m:e>
              <m:r>
                <m:t>β</m:t>
              </m:r>
            </m:e>
            <m:sub>
              <m:r>
                <m:t>4</m:t>
              </m:r>
            </m:sub>
          </m:sSub>
          <m:sSub>
            <m:e>
              <m:r>
                <m:rPr>
                  <m:nor/>
                  <m:sty m:val="p"/>
                </m:rPr>
                <m:t>CDMs</m:t>
              </m:r>
            </m:e>
            <m:sub>
              <m:r>
                <m:t>i</m:t>
              </m:r>
            </m:sub>
          </m:sSub>
          <m:r>
            <m:rPr>
              <m:sty m:val="p"/>
            </m:rPr>
            <m:t>+</m:t>
          </m:r>
          <m:sSub>
            <m:e>
              <m:r>
                <m:t>β</m:t>
              </m:r>
            </m:e>
            <m:sub>
              <m:r>
                <m:t>5</m:t>
              </m:r>
            </m:sub>
          </m:sSub>
          <m:sSub>
            <m:e>
              <m:r>
                <m:rPr>
                  <m:nor/>
                  <m:sty m:val="p"/>
                </m:rPr>
                <m:t>LEO</m:t>
              </m:r>
            </m:e>
            <m:sub>
              <m:r>
                <m:t>i</m:t>
              </m:r>
            </m:sub>
          </m:sSub>
          <m:r>
            <m:rPr>
              <m:sty m:val="p"/>
            </m:rPr>
            <m:t>+</m:t>
          </m:r>
          <m:sSub>
            <m:e>
              <m:r>
                <m:t>β</m:t>
              </m:r>
            </m:e>
            <m:sub>
              <m:r>
                <m:t>6</m:t>
              </m:r>
            </m:sub>
          </m:sSub>
          <m:sSub>
            <m:e>
              <m:r>
                <m:rPr>
                  <m:nor/>
                  <m:sty m:val="p"/>
                </m:rPr>
                <m:t>Years</m:t>
              </m:r>
            </m:e>
            <m:sub>
              <m:r>
                <m:t>i</m:t>
              </m:r>
            </m:sub>
          </m:sSub>
          <m:r>
            <m:rPr>
              <m:sty m:val="p"/>
            </m:rPr>
            <m:t>+</m:t>
          </m:r>
          <m:sSub>
            <m:e>
              <m:r>
                <m:t>ε</m:t>
              </m:r>
            </m:e>
            <m:sub>
              <m:r>
                <m:t>i</m:t>
              </m:r>
            </m:sub>
          </m:sSub>
        </m:oMath>
      </m:oMathPara>
    </w:p>
    <w:bookmarkStart w:id="18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-0.7259</w:t>
            </w:r>
          </w:p>
        </w:tc>
        <w:tc>
          <w:tcPr>
            <w:tcW w:w="0" w:type="auto"/>
          </w:tcPr>
          <w:p>
            <w:pPr>
              <w:spacing w:line="240" w:lineRule="auto" w:before="0" w:after="0"/>
              <w:pStyle w:val="Compact"/>
            </w:pPr>
            <w:r>
              <w:rPr>
                <w:sz w:val="20"/>
                <w:szCs w:val="20"/>
              </w:rPr>
              <w:t xml:space="preserve">0.2262</w:t>
            </w:r>
          </w:p>
        </w:tc>
        <w:tc>
          <w:tcPr>
            <w:tcW w:w="0" w:type="auto"/>
          </w:tcPr>
          <w:p>
            <w:pPr>
              <w:spacing w:line="240" w:lineRule="auto" w:before="0" w:after="0"/>
              <w:pStyle w:val="Compact"/>
            </w:pPr>
            <w:r>
              <w:rPr>
                <w:sz w:val="20"/>
                <w:szCs w:val="20"/>
              </w:rPr>
              <w:t xml:space="preserve">-3.2092</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[-1.1692, -0.2826]</w:t>
            </w:r>
          </w:p>
        </w:tc>
      </w:tr>
      <w:tr>
        <w:tc>
          <w:tcPr>
            <w:tcW w:w="0" w:type="auto"/>
          </w:tcPr>
          <w:p>
            <w:pPr>
              <w:spacing w:line="240" w:lineRule="auto" w:before="0" w:after="0"/>
              <w:pStyle w:val="Compact"/>
            </w:pPr>
            <w:r>
              <w:rPr>
                <w:sz w:val="20"/>
                <w:szCs w:val="20"/>
              </w:rPr>
              <w:t xml:space="preserve">share_index</w:t>
            </w:r>
          </w:p>
        </w:tc>
        <w:tc>
          <w:tcPr>
            <w:tcW w:w="0" w:type="auto"/>
          </w:tcPr>
          <w:p>
            <w:pPr>
              <w:spacing w:line="240" w:lineRule="auto" w:before="0" w:after="0"/>
              <w:pStyle w:val="Compact"/>
            </w:pPr>
            <w:r>
              <w:rPr>
                <w:sz w:val="20"/>
                <w:szCs w:val="20"/>
              </w:rPr>
              <w:t xml:space="preserve">4.5741</w:t>
            </w:r>
          </w:p>
        </w:tc>
        <w:tc>
          <w:tcPr>
            <w:tcW w:w="0" w:type="auto"/>
          </w:tcPr>
          <w:p>
            <w:pPr>
              <w:spacing w:line="240" w:lineRule="auto" w:before="0" w:after="0"/>
              <w:pStyle w:val="Compact"/>
            </w:pPr>
            <w:r>
              <w:rPr>
                <w:sz w:val="20"/>
                <w:szCs w:val="20"/>
              </w:rPr>
              <w:t xml:space="preserve">0.7553</w:t>
            </w:r>
          </w:p>
        </w:tc>
        <w:tc>
          <w:tcPr>
            <w:tcW w:w="0" w:type="auto"/>
          </w:tcPr>
          <w:p>
            <w:pPr>
              <w:spacing w:line="240" w:lineRule="auto" w:before="0" w:after="0"/>
              <w:pStyle w:val="Compact"/>
            </w:pPr>
            <w:r>
              <w:rPr>
                <w:sz w:val="20"/>
                <w:szCs w:val="20"/>
              </w:rPr>
              <w:t xml:space="preserve">6.056</w:t>
            </w:r>
          </w:p>
        </w:tc>
        <w:tc>
          <w:tcPr>
            <w:tcW w:w="0" w:type="auto"/>
          </w:tcPr>
          <w:p>
            <w:pPr>
              <w:spacing w:line="240" w:lineRule="auto" w:before="0" w:after="0"/>
              <w:pStyle w:val="Compact"/>
            </w:pPr>
            <w:r>
              <w:rPr>
                <w:sz w:val="20"/>
                <w:szCs w:val="20"/>
              </w:rPr>
              <w:t xml:space="preserve">1.395e-09</w:t>
            </w:r>
          </w:p>
        </w:tc>
        <w:tc>
          <w:tcPr>
            <w:tcW w:w="0" w:type="auto"/>
          </w:tcPr>
          <w:p>
            <w:pPr>
              <w:spacing w:line="240" w:lineRule="auto" w:before="0" w:after="0"/>
              <w:pStyle w:val="Compact"/>
            </w:pPr>
            <w:r>
              <w:rPr>
                <w:sz w:val="20"/>
                <w:szCs w:val="20"/>
              </w:rPr>
              <w:t xml:space="preserve">[3.0937, 6.0544]</w:t>
            </w:r>
          </w:p>
        </w:tc>
      </w:tr>
      <w:tr>
        <w:tc>
          <w:tcPr>
            <w:tcW w:w="0" w:type="auto"/>
          </w:tcPr>
          <w:p>
            <w:pPr>
              <w:spacing w:line="240" w:lineRule="auto" w:before="0" w:after="0"/>
              <w:pStyle w:val="Compact"/>
            </w:pPr>
            <w:r>
              <w:rPr>
                <w:sz w:val="20"/>
                <w:szCs w:val="20"/>
              </w:rPr>
              <w:t xml:space="preserve">sda_member</w:t>
            </w:r>
          </w:p>
        </w:tc>
        <w:tc>
          <w:tcPr>
            <w:tcW w:w="0" w:type="auto"/>
          </w:tcPr>
          <w:p>
            <w:pPr>
              <w:spacing w:line="240" w:lineRule="auto" w:before="0" w:after="0"/>
              <w:pStyle w:val="Compact"/>
            </w:pPr>
            <w:r>
              <w:rPr>
                <w:sz w:val="20"/>
                <w:szCs w:val="20"/>
              </w:rPr>
              <w:t xml:space="preserve">-0.6097</w:t>
            </w:r>
          </w:p>
        </w:tc>
        <w:tc>
          <w:tcPr>
            <w:tcW w:w="0" w:type="auto"/>
          </w:tcPr>
          <w:p>
            <w:pPr>
              <w:spacing w:line="240" w:lineRule="auto" w:before="0" w:after="0"/>
              <w:pStyle w:val="Compact"/>
            </w:pPr>
            <w:r>
              <w:rPr>
                <w:sz w:val="20"/>
                <w:szCs w:val="20"/>
              </w:rPr>
              <w:t xml:space="preserve">0.2551</w:t>
            </w:r>
          </w:p>
        </w:tc>
        <w:tc>
          <w:tcPr>
            <w:tcW w:w="0" w:type="auto"/>
          </w:tcPr>
          <w:p>
            <w:pPr>
              <w:spacing w:line="240" w:lineRule="auto" w:before="0" w:after="0"/>
              <w:pStyle w:val="Compact"/>
            </w:pPr>
            <w:r>
              <w:rPr>
                <w:sz w:val="20"/>
                <w:szCs w:val="20"/>
              </w:rPr>
              <w:t xml:space="preserve">-2.3904</w:t>
            </w:r>
          </w:p>
        </w:tc>
        <w:tc>
          <w:tcPr>
            <w:tcW w:w="0" w:type="auto"/>
          </w:tcPr>
          <w:p>
            <w:pPr>
              <w:spacing w:line="240" w:lineRule="auto" w:before="0" w:after="0"/>
              <w:pStyle w:val="Compact"/>
            </w:pPr>
            <w:r>
              <w:rPr>
                <w:sz w:val="20"/>
                <w:szCs w:val="20"/>
              </w:rPr>
              <w:t xml:space="preserve">0.0168</w:t>
            </w:r>
          </w:p>
        </w:tc>
        <w:tc>
          <w:tcPr>
            <w:tcW w:w="0" w:type="auto"/>
          </w:tcPr>
          <w:p>
            <w:pPr>
              <w:spacing w:line="240" w:lineRule="auto" w:before="0" w:after="0"/>
              <w:pStyle w:val="Compact"/>
            </w:pPr>
            <w:r>
              <w:rPr>
                <w:sz w:val="20"/>
                <w:szCs w:val="20"/>
              </w:rPr>
              <w:t xml:space="preserve">[-1.1097, -0.1098]</w:t>
            </w:r>
          </w:p>
        </w:tc>
      </w:tr>
      <w:tr>
        <w:tc>
          <w:tcPr>
            <w:tcW w:w="0" w:type="auto"/>
          </w:tcPr>
          <w:p>
            <w:pPr>
              <w:spacing w:line="240" w:lineRule="auto" w:before="0" w:after="0"/>
              <w:pStyle w:val="Compact"/>
            </w:pPr>
            <w:r>
              <w:rPr>
                <w:sz w:val="20"/>
                <w:szCs w:val="20"/>
              </w:rPr>
              <w:t xml:space="preserve">spacetrack_tier</w:t>
            </w:r>
          </w:p>
        </w:tc>
        <w:tc>
          <w:tcPr>
            <w:tcW w:w="0" w:type="auto"/>
          </w:tcPr>
          <w:p>
            <w:pPr>
              <w:spacing w:line="240" w:lineRule="auto" w:before="0" w:after="0"/>
              <w:pStyle w:val="Compact"/>
            </w:pPr>
            <w:r>
              <w:rPr>
                <w:sz w:val="20"/>
                <w:szCs w:val="20"/>
              </w:rPr>
              <w:t xml:space="preserve">-0.6507</w:t>
            </w:r>
          </w:p>
        </w:tc>
        <w:tc>
          <w:tcPr>
            <w:tcW w:w="0" w:type="auto"/>
          </w:tcPr>
          <w:p>
            <w:pPr>
              <w:spacing w:line="240" w:lineRule="auto" w:before="0" w:after="0"/>
              <w:pStyle w:val="Compact"/>
            </w:pPr>
            <w:r>
              <w:rPr>
                <w:sz w:val="20"/>
                <w:szCs w:val="20"/>
              </w:rPr>
              <w:t xml:space="preserve">0.1946</w:t>
            </w:r>
          </w:p>
        </w:tc>
        <w:tc>
          <w:tcPr>
            <w:tcW w:w="0" w:type="auto"/>
          </w:tcPr>
          <w:p>
            <w:pPr>
              <w:spacing w:line="240" w:lineRule="auto" w:before="0" w:after="0"/>
              <w:pStyle w:val="Compact"/>
            </w:pPr>
            <w:r>
              <w:rPr>
                <w:sz w:val="20"/>
                <w:szCs w:val="20"/>
              </w:rPr>
              <w:t xml:space="preserve">-3.3436</w:t>
            </w:r>
          </w:p>
        </w:tc>
        <w:tc>
          <w:tcPr>
            <w:tcW w:w="0" w:type="auto"/>
          </w:tcPr>
          <w:p>
            <w:pPr>
              <w:spacing w:line="240" w:lineRule="auto" w:before="0" w:after="0"/>
              <w:pStyle w:val="Compact"/>
            </w:pPr>
            <w:r>
              <w:rPr>
                <w:sz w:val="20"/>
                <w:szCs w:val="20"/>
              </w:rPr>
              <w:t xml:space="preserve">0.0008269</w:t>
            </w:r>
          </w:p>
        </w:tc>
        <w:tc>
          <w:tcPr>
            <w:tcW w:w="0" w:type="auto"/>
          </w:tcPr>
          <w:p>
            <w:pPr>
              <w:spacing w:line="240" w:lineRule="auto" w:before="0" w:after="0"/>
              <w:pStyle w:val="Compact"/>
            </w:pPr>
            <w:r>
              <w:rPr>
                <w:sz w:val="20"/>
                <w:szCs w:val="20"/>
              </w:rPr>
              <w:t xml:space="preserve">[-1.0321, -0.2693]</w:t>
            </w:r>
          </w:p>
        </w:tc>
      </w:tr>
      <w:tr>
        <w:tc>
          <w:tcPr>
            <w:tcW w:w="0" w:type="auto"/>
          </w:tcPr>
          <w:p>
            <w:pPr>
              <w:spacing w:line="240" w:lineRule="auto" w:before="0" w:after="0"/>
              <w:pStyle w:val="Compact"/>
            </w:pPr>
            <w:r>
              <w:rPr>
                <w:sz w:val="20"/>
                <w:szCs w:val="20"/>
              </w:rPr>
              <w:t xml:space="preserve">cdms_per_sat_year</w:t>
            </w:r>
          </w:p>
        </w:tc>
        <w:tc>
          <w:tcPr>
            <w:tcW w:w="0" w:type="auto"/>
          </w:tcPr>
          <w:p>
            <w:pPr>
              <w:spacing w:line="240" w:lineRule="auto" w:before="0" w:after="0"/>
              <w:pStyle w:val="Compact"/>
            </w:pPr>
            <w:r>
              <w:rPr>
                <w:sz w:val="20"/>
                <w:szCs w:val="20"/>
              </w:rPr>
              <w:t xml:space="preserve">0.0096</w:t>
            </w:r>
          </w:p>
        </w:tc>
        <w:tc>
          <w:tcPr>
            <w:tcW w:w="0" w:type="auto"/>
          </w:tcPr>
          <w:p>
            <w:pPr>
              <w:spacing w:line="240" w:lineRule="auto" w:before="0" w:after="0"/>
              <w:pStyle w:val="Compact"/>
            </w:pPr>
            <w:r>
              <w:rPr>
                <w:sz w:val="20"/>
                <w:szCs w:val="20"/>
              </w:rPr>
              <w:t xml:space="preserve">0.0001746</w:t>
            </w:r>
          </w:p>
        </w:tc>
        <w:tc>
          <w:tcPr>
            <w:tcW w:w="0" w:type="auto"/>
          </w:tcPr>
          <w:p>
            <w:pPr>
              <w:spacing w:line="240" w:lineRule="auto" w:before="0" w:after="0"/>
              <w:pStyle w:val="Compact"/>
            </w:pPr>
            <w:r>
              <w:rPr>
                <w:sz w:val="20"/>
                <w:szCs w:val="20"/>
              </w:rPr>
              <w:t xml:space="preserve">54.8709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[0.0092, 0.0099]</w:t>
            </w:r>
          </w:p>
        </w:tc>
      </w:tr>
      <w:tr>
        <w:tc>
          <w:tcPr>
            <w:tcW w:w="0" w:type="auto"/>
          </w:tcPr>
          <w:p>
            <w:pPr>
              <w:spacing w:line="240" w:lineRule="auto" w:before="0" w:after="0"/>
              <w:pStyle w:val="Compact"/>
            </w:pPr>
            <w:r>
              <w:rPr>
                <w:sz w:val="20"/>
                <w:szCs w:val="20"/>
              </w:rPr>
              <w:t xml:space="preserve">regime_leo_share</w:t>
            </w:r>
          </w:p>
        </w:tc>
        <w:tc>
          <w:tcPr>
            <w:tcW w:w="0" w:type="auto"/>
          </w:tcPr>
          <w:p>
            <w:pPr>
              <w:spacing w:line="240" w:lineRule="auto" w:before="0" w:after="0"/>
              <w:pStyle w:val="Compact"/>
            </w:pPr>
            <w:r>
              <w:rPr>
                <w:sz w:val="20"/>
                <w:szCs w:val="20"/>
              </w:rPr>
              <w:t xml:space="preserve">0.3387</w:t>
            </w:r>
          </w:p>
        </w:tc>
        <w:tc>
          <w:tcPr>
            <w:tcW w:w="0" w:type="auto"/>
          </w:tcPr>
          <w:p>
            <w:pPr>
              <w:spacing w:line="240" w:lineRule="auto" w:before="0" w:after="0"/>
              <w:pStyle w:val="Compact"/>
            </w:pPr>
            <w:r>
              <w:rPr>
                <w:sz w:val="20"/>
                <w:szCs w:val="20"/>
              </w:rPr>
              <w:t xml:space="preserve">0.164</w:t>
            </w:r>
          </w:p>
        </w:tc>
        <w:tc>
          <w:tcPr>
            <w:tcW w:w="0" w:type="auto"/>
          </w:tcPr>
          <w:p>
            <w:pPr>
              <w:spacing w:line="240" w:lineRule="auto" w:before="0" w:after="0"/>
              <w:pStyle w:val="Compact"/>
            </w:pPr>
            <w:r>
              <w:rPr>
                <w:sz w:val="20"/>
                <w:szCs w:val="20"/>
              </w:rPr>
              <w:t xml:space="preserve">2.0651</w:t>
            </w:r>
          </w:p>
        </w:tc>
        <w:tc>
          <w:tcPr>
            <w:tcW w:w="0" w:type="auto"/>
          </w:tcPr>
          <w:p>
            <w:pPr>
              <w:spacing w:line="240" w:lineRule="auto" w:before="0" w:after="0"/>
              <w:pStyle w:val="Compact"/>
            </w:pPr>
            <w:r>
              <w:rPr>
                <w:sz w:val="20"/>
                <w:szCs w:val="20"/>
              </w:rPr>
              <w:t xml:space="preserve">0.0389</w:t>
            </w:r>
          </w:p>
        </w:tc>
        <w:tc>
          <w:tcPr>
            <w:tcW w:w="0" w:type="auto"/>
          </w:tcPr>
          <w:p>
            <w:pPr>
              <w:spacing w:line="240" w:lineRule="auto" w:before="0" w:after="0"/>
              <w:pStyle w:val="Compact"/>
            </w:pPr>
            <w:r>
              <w:rPr>
                <w:sz w:val="20"/>
                <w:szCs w:val="20"/>
              </w:rPr>
              <w:t xml:space="preserve">[0.0172, 0.6601]</w:t>
            </w:r>
          </w:p>
        </w:tc>
      </w:tr>
      <w:tr>
        <w:tc>
          <w:tcPr>
            <w:tcW w:w="0" w:type="auto"/>
          </w:tcPr>
          <w:p>
            <w:pPr>
              <w:spacing w:line="240" w:lineRule="auto" w:before="0" w:after="0"/>
              <w:pStyle w:val="Compact"/>
            </w:pPr>
            <w:r>
              <w:rPr>
                <w:sz w:val="20"/>
                <w:szCs w:val="20"/>
              </w:rPr>
              <w:t xml:space="preserve">years_sharing</w:t>
            </w:r>
          </w:p>
        </w:tc>
        <w:tc>
          <w:tcPr>
            <w:tcW w:w="0" w:type="auto"/>
          </w:tcPr>
          <w:p>
            <w:pPr>
              <w:spacing w:line="240" w:lineRule="auto" w:before="0" w:after="0"/>
              <w:pStyle w:val="Compact"/>
            </w:pPr>
            <w:r>
              <w:rPr>
                <w:sz w:val="20"/>
                <w:szCs w:val="20"/>
              </w:rPr>
              <w:t xml:space="preserve">-0.0297</w:t>
            </w:r>
          </w:p>
        </w:tc>
        <w:tc>
          <w:tcPr>
            <w:tcW w:w="0" w:type="auto"/>
          </w:tcPr>
          <w:p>
            <w:pPr>
              <w:spacing w:line="240" w:lineRule="auto" w:before="0" w:after="0"/>
              <w:pStyle w:val="Compact"/>
            </w:pPr>
            <w:r>
              <w:rPr>
                <w:sz w:val="20"/>
                <w:szCs w:val="20"/>
              </w:rPr>
              <w:t xml:space="preserve">0.0181</w:t>
            </w:r>
          </w:p>
        </w:tc>
        <w:tc>
          <w:tcPr>
            <w:tcW w:w="0" w:type="auto"/>
          </w:tcPr>
          <w:p>
            <w:pPr>
              <w:spacing w:line="240" w:lineRule="auto" w:before="0" w:after="0"/>
              <w:pStyle w:val="Compact"/>
            </w:pPr>
            <w:r>
              <w:rPr>
                <w:sz w:val="20"/>
                <w:szCs w:val="20"/>
              </w:rPr>
              <w:t xml:space="preserve">-1.638</w:t>
            </w:r>
          </w:p>
        </w:tc>
        <w:tc>
          <w:tcPr>
            <w:tcW w:w="0" w:type="auto"/>
          </w:tcPr>
          <w:p>
            <w:pPr>
              <w:spacing w:line="240" w:lineRule="auto" w:before="0" w:after="0"/>
              <w:pStyle w:val="Compact"/>
            </w:pPr>
            <w:r>
              <w:rPr>
                <w:sz w:val="20"/>
                <w:szCs w:val="20"/>
              </w:rPr>
              <w:t xml:space="preserve">0.1014</w:t>
            </w:r>
          </w:p>
        </w:tc>
        <w:tc>
          <w:tcPr>
            <w:tcW w:w="0" w:type="auto"/>
          </w:tcPr>
          <w:p>
            <w:pPr>
              <w:spacing w:line="240" w:lineRule="auto" w:before="0" w:after="0"/>
              <w:pStyle w:val="Compact"/>
            </w:pPr>
            <w:r>
              <w:rPr>
                <w:sz w:val="20"/>
                <w:szCs w:val="20"/>
              </w:rPr>
              <w:t xml:space="preserve">[-0.0652, 0.0058]</w:t>
            </w:r>
          </w:p>
        </w:tc>
      </w:tr>
    </w:tbl>
    <w:p>
      <w:pPr>
        <w:pStyle w:val="BodyText"/>
        <w:spacing w:line="480" w:lineRule="auto"/>
        <w:ind w:firstLine="720"/>
      </w:pPr>
      <w:r>
        <w:t xml:space="preserve">Fit: N = 34 R2 = 0.9889 R2_adj = 0.9864 F = 2792.2903 F_p = 2.177e-36</w:t>
      </w:r>
    </w:p>
    <w:bookmarkEnd w:id="187"/>
    <w:bookmarkStart w:id="19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Maneuvers per satellite-year against voluntary SSA data-sharing intensity across LEO and mixed-orbit operators." title="" id="189" name="Picture"/>
            <a:graphic>
              <a:graphicData uri="http://schemas.openxmlformats.org/drawingml/2006/picture">
                <pic:pic>
                  <pic:nvPicPr>
                    <pic:cNvPr descr="D:/Claude_Code/brain/collegium/candidates/dissertations/SSA_SDA_05/research_papers/p1/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Maneuvers per satellite-year against voluntary SSA data-sharing intensity across LEO and mixed-orbit operators.</w:t>
      </w:r>
    </w:p>
    <w:bookmarkEnd w:id="191"/>
    <w:bookmarkStart w:id="19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fleet_size</w:t>
            </w:r>
          </w:p>
        </w:tc>
        <w:tc>
          <w:tcPr>
            <w:tcW w:w="0" w:type="auto"/>
          </w:tcPr>
          <w:p>
            <w:pPr>
              <w:spacing w:line="240" w:lineRule="auto" w:before="0" w:after="0"/>
              <w:pStyle w:val="Compact"/>
            </w:pPr>
            <w:r>
              <w:rPr>
                <w:sz w:val="20"/>
                <w:szCs w:val="20"/>
              </w:rPr>
              <w:t xml:space="preserve">sda_member</w:t>
            </w:r>
          </w:p>
        </w:tc>
        <w:tc>
          <w:tcPr>
            <w:tcW w:w="0" w:type="auto"/>
          </w:tcPr>
          <w:p>
            <w:pPr>
              <w:spacing w:line="240" w:lineRule="auto" w:before="0" w:after="0"/>
              <w:pStyle w:val="Compact"/>
            </w:pPr>
            <w:r>
              <w:rPr>
                <w:sz w:val="20"/>
                <w:szCs w:val="20"/>
              </w:rPr>
              <w:t xml:space="preserve">spacetrack_tier</w:t>
            </w:r>
          </w:p>
        </w:tc>
        <w:tc>
          <w:tcPr>
            <w:tcW w:w="0" w:type="auto"/>
          </w:tcPr>
          <w:p>
            <w:pPr>
              <w:spacing w:line="240" w:lineRule="auto" w:before="0" w:after="0"/>
              <w:pStyle w:val="Compact"/>
            </w:pPr>
            <w:r>
              <w:rPr>
                <w:sz w:val="20"/>
                <w:szCs w:val="20"/>
              </w:rPr>
              <w:t xml:space="preserve">cdms_per_sat_year</w:t>
            </w:r>
          </w:p>
        </w:tc>
        <w:tc>
          <w:tcPr>
            <w:tcW w:w="0" w:type="auto"/>
          </w:tcPr>
          <w:p>
            <w:pPr>
              <w:spacing w:line="240" w:lineRule="auto" w:before="0" w:after="0"/>
              <w:pStyle w:val="Compact"/>
            </w:pPr>
            <w:r>
              <w:rPr>
                <w:sz w:val="20"/>
                <w:szCs w:val="20"/>
              </w:rPr>
              <w:t xml:space="preserve">maneuvers_per_sat_year</w:t>
            </w:r>
          </w:p>
        </w:tc>
        <w:tc>
          <w:tcPr>
            <w:tcW w:w="0" w:type="auto"/>
          </w:tcPr>
          <w:p>
            <w:pPr>
              <w:spacing w:line="240" w:lineRule="auto" w:before="0" w:after="0"/>
              <w:pStyle w:val="Compact"/>
            </w:pPr>
            <w:r>
              <w:rPr>
                <w:sz w:val="20"/>
                <w:szCs w:val="20"/>
              </w:rPr>
              <w:t xml:space="preserve">share_index</w:t>
            </w:r>
          </w:p>
        </w:tc>
        <w:tc>
          <w:tcPr>
            <w:tcW w:w="0" w:type="auto"/>
          </w:tcPr>
          <w:p>
            <w:pPr>
              <w:spacing w:line="240" w:lineRule="auto" w:before="0" w:after="0"/>
              <w:pStyle w:val="Compact"/>
            </w:pPr>
            <w:r>
              <w:rPr>
                <w:sz w:val="20"/>
                <w:szCs w:val="20"/>
              </w:rPr>
              <w:t xml:space="preserve">years_sharing</w:t>
            </w:r>
          </w:p>
        </w:tc>
        <w:tc>
          <w:tcPr>
            <w:tcW w:w="0" w:type="auto"/>
          </w:tcPr>
          <w:p>
            <w:pPr>
              <w:spacing w:line="240" w:lineRule="auto" w:before="0" w:after="0"/>
              <w:pStyle w:val="Compact"/>
            </w:pPr>
            <w:r>
              <w:rPr>
                <w:sz w:val="20"/>
                <w:szCs w:val="20"/>
              </w:rPr>
              <w:t xml:space="preserve">regime_leo_share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SAT-MOD-20200417 and SpaceX semi-annual conjunction reports 2023-2024; Space-Track CARA tier 3</w:t>
            </w:r>
          </w:p>
        </w:tc>
      </w:tr>
      <w:tr>
        <w:tc>
          <w:tcPr>
            <w:tcW w:w="0" w:type="auto"/>
          </w:tcPr>
          <w:p>
            <w:pPr>
              <w:spacing w:line="240" w:lineRule="auto" w:before="0" w:after="0"/>
              <w:pStyle w:val="Compact"/>
            </w:pPr>
            <w:r>
              <w:rPr>
                <w:sz w:val="20"/>
                <w:szCs w:val="20"/>
              </w:rPr>
              <w:t xml:space="preserve">OneWeb_Eutelsat</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Eutelsat Group Universal Registration Document 2023; SDA member roster spacedata.org</w:t>
            </w:r>
          </w:p>
        </w:tc>
      </w:tr>
      <w:tr>
        <w:tc>
          <w:tcPr>
            <w:tcW w:w="0" w:type="auto"/>
          </w:tcPr>
          <w:p>
            <w:pPr>
              <w:spacing w:line="240" w:lineRule="auto" w:before="0" w:after="0"/>
              <w:pStyle w:val="Compact"/>
            </w:pPr>
            <w:r>
              <w:rPr>
                <w:sz w:val="20"/>
                <w:szCs w:val="20"/>
              </w:rPr>
              <w:t xml:space="preserve">Planet_Labs</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Labs PBC 10-K FY2024; SDA members list; Space-Track tier 2</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10-K 2023; SDA founding member; CSpOC SSA-sharing agreement</w:t>
            </w:r>
          </w:p>
        </w:tc>
      </w:tr>
      <w:tr>
        <w:tc>
          <w:tcPr>
            <w:tcW w:w="0" w:type="auto"/>
          </w:tcPr>
          <w:p>
            <w:pPr>
              <w:spacing w:line="240" w:lineRule="auto" w:before="0" w:after="0"/>
              <w:pStyle w:val="Compact"/>
            </w:pPr>
            <w:r>
              <w:rPr>
                <w:sz w:val="20"/>
                <w:szCs w:val="20"/>
              </w:rPr>
              <w:t xml:space="preserve">SES_O3b</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SES Annual Report 2023; SDA founding member</w:t>
            </w:r>
          </w:p>
        </w:tc>
      </w:tr>
      <w:tr>
        <w:tc>
          <w:tcPr>
            <w:tcW w:w="0" w:type="auto"/>
          </w:tcPr>
          <w:p>
            <w:pPr>
              <w:spacing w:line="240" w:lineRule="auto" w:before="0" w:after="0"/>
              <w:pStyle w:val="Compact"/>
            </w:pPr>
            <w:r>
              <w:rPr>
                <w:sz w:val="20"/>
                <w:szCs w:val="20"/>
              </w:rPr>
              <w:t xml:space="preserve">Intelsat</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Intelsat Annual Report 2022; SDA founding member</w:t>
            </w:r>
          </w:p>
        </w:tc>
      </w:tr>
      <w:tr>
        <w:tc>
          <w:tcPr>
            <w:tcW w:w="0" w:type="auto"/>
          </w:tcPr>
          <w:p>
            <w:pPr>
              <w:spacing w:line="240" w:lineRule="auto" w:before="0" w:after="0"/>
              <w:pStyle w:val="Compact"/>
            </w:pPr>
            <w:r>
              <w:rPr>
                <w:sz w:val="20"/>
                <w:szCs w:val="20"/>
              </w:rPr>
              <w:t xml:space="preserve">Inmarsat</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Inmarsat / Viasat 10-K 2024; SDA member</w:t>
            </w:r>
          </w:p>
        </w:tc>
      </w:tr>
      <w:tr>
        <w:tc>
          <w:tcPr>
            <w:tcW w:w="0" w:type="auto"/>
          </w:tcPr>
          <w:p>
            <w:pPr>
              <w:spacing w:line="240" w:lineRule="auto" w:before="0" w:after="0"/>
              <w:pStyle w:val="Compact"/>
            </w:pPr>
            <w:r>
              <w:rPr>
                <w:sz w:val="20"/>
                <w:szCs w:val="20"/>
              </w:rPr>
              <w:t xml:space="preserve">Telesat</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Telesat Annual Information Form 2023; SDA member</w:t>
            </w:r>
          </w:p>
        </w:tc>
      </w:tr>
      <w:tr>
        <w:tc>
          <w:tcPr>
            <w:tcW w:w="0" w:type="auto"/>
          </w:tcPr>
          <w:p>
            <w:pPr>
              <w:spacing w:line="240" w:lineRule="auto" w:before="0" w:after="0"/>
              <w:pStyle w:val="Compact"/>
            </w:pPr>
            <w:r>
              <w:rPr>
                <w:sz w:val="20"/>
                <w:szCs w:val="20"/>
              </w:rPr>
              <w:t xml:space="preserve">Eutelsat_GEO</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Eutelsat Universal Registration Document 2023; SDA founding member</w:t>
            </w:r>
          </w:p>
        </w:tc>
      </w:tr>
      <w:tr>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JAXA Space Environment Annual Report 2024; CSpOC SSA-sharing partner</w:t>
            </w:r>
          </w:p>
        </w:tc>
      </w:tr>
      <w:tr>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ESA Space Environment Report 2024; CSpOC SSA-sharing agreement</w:t>
            </w:r>
          </w:p>
        </w:tc>
      </w:tr>
      <w:tr>
        <w:tc>
          <w:tcPr>
            <w:tcW w:w="0" w:type="auto"/>
          </w:tcPr>
          <w:p>
            <w:pPr>
              <w:spacing w:line="240" w:lineRule="auto" w:before="0" w:after="0"/>
              <w:pStyle w:val="Compact"/>
            </w:pPr>
            <w:r>
              <w:rPr>
                <w:sz w:val="20"/>
                <w:szCs w:val="20"/>
              </w:rPr>
              <w:t xml:space="preserve">DLR_Germany</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DLR Space Operations Annual Report 2023</w:t>
            </w:r>
          </w:p>
        </w:tc>
      </w:tr>
      <w:tr>
        <w:tc>
          <w:tcPr>
            <w:tcW w:w="0" w:type="auto"/>
          </w:tcPr>
          <w:p>
            <w:pPr>
              <w:spacing w:line="240" w:lineRule="auto" w:before="0" w:after="0"/>
              <w:pStyle w:val="Compact"/>
            </w:pPr>
            <w:r>
              <w:rPr>
                <w:sz w:val="20"/>
                <w:szCs w:val="20"/>
              </w:rPr>
              <w:t xml:space="preserve">CNES_France</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CNES Rapport Annuel 2023; CSpOC SSA-sharing</w:t>
            </w:r>
          </w:p>
        </w:tc>
      </w:tr>
      <w:tr>
        <w:tc>
          <w:tcPr>
            <w:tcW w:w="0" w:type="auto"/>
          </w:tcPr>
          <w:p>
            <w:pPr>
              <w:spacing w:line="240" w:lineRule="auto" w:before="0" w:after="0"/>
              <w:pStyle w:val="Compact"/>
            </w:pPr>
            <w:r>
              <w:rPr>
                <w:sz w:val="20"/>
                <w:szCs w:val="20"/>
              </w:rPr>
              <w:t xml:space="preserve">ASI_Italy</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ASI Bilancio 2023 [illustrative]</w:t>
            </w:r>
          </w:p>
        </w:tc>
      </w:tr>
      <w:tr>
        <w:tc>
          <w:tcPr>
            <w:tcW w:w="0" w:type="auto"/>
          </w:tcPr>
          <w:p>
            <w:pPr>
              <w:spacing w:line="240" w:lineRule="auto" w:before="0" w:after="0"/>
              <w:pStyle w:val="Compact"/>
            </w:pPr>
            <w:r>
              <w:rPr>
                <w:sz w:val="20"/>
                <w:szCs w:val="20"/>
              </w:rPr>
              <w:t xml:space="preserve">UKSA_OneWeb_legacy</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UK Space Agency Annual Report 2023</w:t>
            </w:r>
          </w:p>
        </w:tc>
      </w:tr>
      <w:tr>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ISRO Annual Report 2023-24; non-SDA non-CSpOC formal agreement</w:t>
            </w:r>
          </w:p>
        </w:tc>
      </w:tr>
      <w:tr>
        <w:tc>
          <w:tcPr>
            <w:tcW w:w="0" w:type="auto"/>
          </w:tcPr>
          <w:p>
            <w:pPr>
              <w:spacing w:line="240" w:lineRule="auto" w:before="0" w:after="0"/>
              <w:pStyle w:val="Compact"/>
            </w:pPr>
            <w:r>
              <w:rPr>
                <w:sz w:val="20"/>
                <w:szCs w:val="20"/>
              </w:rPr>
              <w:t xml:space="preserve">KARI_Korea</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KARI Annual Report 2023; CSpOC SSA-sharing agreement</w:t>
            </w:r>
          </w:p>
        </w:tc>
      </w:tr>
      <w:tr>
        <w:tc>
          <w:tcPr>
            <w:tcW w:w="0" w:type="auto"/>
          </w:tcPr>
          <w:p>
            <w:pPr>
              <w:spacing w:line="240" w:lineRule="auto" w:before="0" w:after="0"/>
              <w:pStyle w:val="Compact"/>
            </w:pPr>
            <w:r>
              <w:rPr>
                <w:sz w:val="20"/>
                <w:szCs w:val="20"/>
              </w:rPr>
              <w:t xml:space="preserve">UAE_MBRSC</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MBRSC Annual Report 2023 [illustrative]</w:t>
            </w:r>
          </w:p>
        </w:tc>
      </w:tr>
      <w:tr>
        <w:tc>
          <w:tcPr>
            <w:tcW w:w="0" w:type="auto"/>
          </w:tcPr>
          <w:p>
            <w:pPr>
              <w:spacing w:line="240" w:lineRule="auto" w:before="0" w:after="0"/>
              <w:pStyle w:val="Compact"/>
            </w:pPr>
            <w:r>
              <w:rPr>
                <w:sz w:val="20"/>
                <w:szCs w:val="20"/>
              </w:rPr>
              <w:t xml:space="preserve">Saudi_KACST</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KACST Annual Report 2022 [illustrative]</w:t>
            </w:r>
          </w:p>
        </w:tc>
      </w:tr>
      <w:tr>
        <w:tc>
          <w:tcPr>
            <w:tcW w:w="0" w:type="auto"/>
          </w:tcPr>
          <w:p>
            <w:pPr>
              <w:spacing w:line="240" w:lineRule="auto" w:before="0" w:after="0"/>
              <w:pStyle w:val="Compact"/>
            </w:pPr>
            <w:r>
              <w:rPr>
                <w:sz w:val="20"/>
                <w:szCs w:val="20"/>
              </w:rPr>
              <w:t xml:space="preserve">Argentina_CONAE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CONAE Memoria Anual 2023 [illustrative]</w:t>
            </w:r>
          </w:p>
        </w:tc>
      </w:tr>
      <w:tr>
        <w:tc>
          <w:tcPr>
            <w:tcW w:w="0" w:type="auto"/>
          </w:tcPr>
          <w:p>
            <w:pPr>
              <w:spacing w:line="240" w:lineRule="auto" w:before="0" w:after="0"/>
              <w:pStyle w:val="Compact"/>
            </w:pPr>
            <w:r>
              <w:rPr>
                <w:sz w:val="20"/>
                <w:szCs w:val="20"/>
              </w:rPr>
              <w:t xml:space="preserve">Brazil_AEB</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AEB Relatorio de Gestao 2023</w:t>
            </w:r>
          </w:p>
        </w:tc>
      </w:tr>
      <w:tr>
        <w:tc>
          <w:tcPr>
            <w:tcW w:w="0" w:type="auto"/>
          </w:tcPr>
          <w:p>
            <w:pPr>
              <w:spacing w:line="240" w:lineRule="auto" w:before="0" w:after="0"/>
              <w:pStyle w:val="Compact"/>
            </w:pPr>
            <w:r>
              <w:rPr>
                <w:sz w:val="20"/>
                <w:szCs w:val="20"/>
              </w:rPr>
              <w:t xml:space="preserve">Israel_IAI</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IAI Annual Report 2023 [illustrative]</w:t>
            </w:r>
          </w:p>
        </w:tc>
      </w:tr>
      <w:tr>
        <w:tc>
          <w:tcPr>
            <w:tcW w:w="0" w:type="auto"/>
          </w:tcPr>
          <w:p>
            <w:pPr>
              <w:spacing w:line="240" w:lineRule="auto" w:before="0" w:after="0"/>
              <w:pStyle w:val="Compact"/>
            </w:pPr>
            <w:r>
              <w:rPr>
                <w:sz w:val="20"/>
                <w:szCs w:val="20"/>
              </w:rPr>
              <w:t xml:space="preserve">Lockheed_Martin_USG</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USSF SSA-sharing partner list 2024; SDA member</w:t>
            </w:r>
          </w:p>
        </w:tc>
      </w:tr>
      <w:tr>
        <w:tc>
          <w:tcPr>
            <w:tcW w:w="0" w:type="auto"/>
          </w:tcPr>
          <w:p>
            <w:pPr>
              <w:spacing w:line="240" w:lineRule="auto" w:before="0" w:after="0"/>
              <w:pStyle w:val="Compact"/>
            </w:pPr>
            <w:r>
              <w:rPr>
                <w:sz w:val="20"/>
                <w:szCs w:val="20"/>
              </w:rPr>
              <w:t xml:space="preserve">Northrop_Grumman_USG</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USSF SSA-sharing partner list 2024; SDA member</w:t>
            </w:r>
          </w:p>
        </w:tc>
      </w:tr>
      <w:tr>
        <w:tc>
          <w:tcPr>
            <w:tcW w:w="0" w:type="auto"/>
          </w:tcPr>
          <w:p>
            <w:pPr>
              <w:spacing w:line="240" w:lineRule="auto" w:before="0" w:after="0"/>
              <w:pStyle w:val="Compact"/>
            </w:pPr>
            <w:r>
              <w:rPr>
                <w:sz w:val="20"/>
                <w:szCs w:val="20"/>
              </w:rPr>
              <w:t xml:space="preserve">Boeing_USG</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USSF SSA-sharing partner list 2024; SDA member</w:t>
            </w:r>
          </w:p>
        </w:tc>
      </w:tr>
      <w:tr>
        <w:tc>
          <w:tcPr>
            <w:tcW w:w="0" w:type="auto"/>
          </w:tcPr>
          <w:p>
            <w:pPr>
              <w:spacing w:line="240" w:lineRule="auto" w:before="0" w:after="0"/>
              <w:pStyle w:val="Compact"/>
            </w:pPr>
            <w:r>
              <w:rPr>
                <w:sz w:val="20"/>
                <w:szCs w:val="20"/>
              </w:rPr>
              <w:t xml:space="preserve">Maxar_DigitalGlobe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Maxar Technologies 10-K 2022; SDA member</w:t>
            </w:r>
          </w:p>
        </w:tc>
      </w:tr>
      <w:tr>
        <w:tc>
          <w:tcPr>
            <w:tcW w:w="0" w:type="auto"/>
          </w:tcPr>
          <w:p>
            <w:pPr>
              <w:spacing w:line="240" w:lineRule="auto" w:before="0" w:after="0"/>
              <w:pStyle w:val="Compact"/>
            </w:pPr>
            <w:r>
              <w:rPr>
                <w:sz w:val="20"/>
                <w:szCs w:val="20"/>
              </w:rPr>
              <w:t xml:space="preserve">Spire_Global</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Global 10-K 2023; Space-Track tier 2</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BlackSky 10-K 2023</w:t>
            </w:r>
          </w:p>
        </w:tc>
      </w:tr>
      <w:tr>
        <w:tc>
          <w:tcPr>
            <w:tcW w:w="0" w:type="auto"/>
          </w:tcPr>
          <w:p>
            <w:pPr>
              <w:spacing w:line="240" w:lineRule="auto" w:before="0" w:after="0"/>
              <w:pStyle w:val="Compact"/>
            </w:pPr>
            <w:r>
              <w:rPr>
                <w:sz w:val="20"/>
                <w:szCs w:val="20"/>
              </w:rPr>
              <w:t xml:space="preserve">Capella_Space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Capella Space FCC filings 2023 [illustrative]</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ICEYE press materials 2024 [illustrative]</w:t>
            </w:r>
          </w:p>
        </w:tc>
      </w:tr>
      <w:tr>
        <w:tc>
          <w:tcPr>
            <w:tcW w:w="0" w:type="auto"/>
          </w:tcPr>
          <w:p>
            <w:pPr>
              <w:spacing w:line="240" w:lineRule="auto" w:before="0" w:after="0"/>
              <w:pStyle w:val="Compact"/>
            </w:pPr>
            <w:r>
              <w:rPr>
                <w:sz w:val="20"/>
                <w:szCs w:val="20"/>
              </w:rPr>
              <w:t xml:space="preserve">Rocket_Lab_Photon</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10-K 2023 [illustrative]</w:t>
            </w:r>
          </w:p>
        </w:tc>
      </w:tr>
      <w:tr>
        <w:tc>
          <w:tcPr>
            <w:tcW w:w="0" w:type="auto"/>
          </w:tcPr>
          <w:p>
            <w:pPr>
              <w:spacing w:line="240" w:lineRule="auto" w:before="0" w:after="0"/>
              <w:pStyle w:val="Compact"/>
            </w:pPr>
            <w:r>
              <w:rPr>
                <w:sz w:val="20"/>
                <w:szCs w:val="20"/>
              </w:rPr>
              <w:t xml:space="preserve">Globalstar</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Globalstar Inc 10-K 2023</w:t>
            </w:r>
          </w:p>
        </w:tc>
      </w:tr>
      <w:tr>
        <w:tc>
          <w:tcPr>
            <w:tcW w:w="0" w:type="auto"/>
          </w:tcPr>
          <w:p>
            <w:pPr>
              <w:spacing w:line="240" w:lineRule="auto" w:before="0" w:after="0"/>
              <w:pStyle w:val="Compact"/>
            </w:pPr>
            <w:r>
              <w:rPr>
                <w:sz w:val="20"/>
                <w:szCs w:val="20"/>
              </w:rPr>
              <w:t xml:space="preserve">Orbcomm</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Orbcomm 10-K 2022</w:t>
            </w:r>
          </w:p>
        </w:tc>
      </w:tr>
      <w:tr>
        <w:tc>
          <w:tcPr>
            <w:tcW w:w="0" w:type="auto"/>
          </w:tcPr>
          <w:p>
            <w:pPr>
              <w:spacing w:line="240" w:lineRule="auto" w:before="0" w:after="0"/>
              <w:pStyle w:val="Compact"/>
            </w:pPr>
            <w:r>
              <w:rPr>
                <w:sz w:val="20"/>
                <w:szCs w:val="20"/>
              </w:rPr>
              <w:t xml:space="preserve">GHGSat</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GHGSat press releases 2024 [illustrative]</w:t>
            </w:r>
          </w:p>
        </w:tc>
      </w:tr>
    </w:tbl>
    <w:bookmarkEnd w:id="192"/>
    <w:bookmarkStart w:id="19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maneuvers_per_sat_year</w:t>
            </w:r>
          </w:p>
        </w:tc>
        <w:tc>
          <w:tcPr>
            <w:tcW w:w="0" w:type="auto"/>
          </w:tcPr>
          <w:p>
            <w:pPr>
              <w:spacing w:line="240" w:lineRule="auto" w:before="0" w:after="0"/>
              <w:pStyle w:val="Compact"/>
            </w:pPr>
            <w:r>
              <w:rPr>
                <w:sz w:val="20"/>
                <w:szCs w:val="20"/>
              </w:rPr>
              <w:t xml:space="preserve">Collision-avoidance maneuvers executed per satellite per year</w:t>
            </w:r>
          </w:p>
        </w:tc>
        <w:tc>
          <w:tcPr>
            <w:tcW w:w="0" w:type="auto"/>
          </w:tcPr>
          <w:p>
            <w:pPr>
              <w:spacing w:line="240" w:lineRule="auto" w:before="0" w:after="0"/>
              <w:pStyle w:val="Compact"/>
            </w:pPr>
            <w:r>
              <w:rPr>
                <w:sz w:val="20"/>
                <w:szCs w:val="20"/>
              </w:rPr>
              <w:t xml:space="preserve">Operator sustainability disclosures and 10-K filings 2022-2024</w:t>
            </w:r>
          </w:p>
        </w:tc>
      </w:tr>
      <w:tr>
        <w:tc>
          <w:tcPr>
            <w:tcW w:w="0" w:type="auto"/>
          </w:tcPr>
          <w:p>
            <w:pPr>
              <w:spacing w:line="240" w:lineRule="auto" w:before="0" w:after="0"/>
              <w:pStyle w:val="Compact"/>
            </w:pPr>
            <w:r>
              <w:rPr>
                <w:sz w:val="20"/>
                <w:szCs w:val="20"/>
              </w:rPr>
              <w:t xml:space="preserve">share_index</w:t>
            </w:r>
          </w:p>
        </w:tc>
        <w:tc>
          <w:tcPr>
            <w:tcW w:w="0" w:type="auto"/>
          </w:tcPr>
          <w:p>
            <w:pPr>
              <w:spacing w:line="240" w:lineRule="auto" w:before="0" w:after="0"/>
              <w:pStyle w:val="Compact"/>
            </w:pPr>
            <w:r>
              <w:rPr>
                <w:sz w:val="20"/>
                <w:szCs w:val="20"/>
              </w:rPr>
              <w:t xml:space="preserve">Composite index 0-1 of voluntary SSA data-sharing intensity (ephemeris cadence, CDM acknowledgement, public catalog contribution)</w:t>
            </w:r>
          </w:p>
        </w:tc>
        <w:tc>
          <w:tcPr>
            <w:tcW w:w="0" w:type="auto"/>
          </w:tcPr>
          <w:p>
            <w:pPr>
              <w:spacing w:line="240" w:lineRule="auto" w:before="0" w:after="0"/>
              <w:pStyle w:val="Compact"/>
            </w:pPr>
            <w:r>
              <w:rPr>
                <w:sz w:val="20"/>
                <w:szCs w:val="20"/>
              </w:rPr>
              <w:t xml:space="preserve">Author-coded from operator and SDA disclosures</w:t>
            </w:r>
          </w:p>
        </w:tc>
      </w:tr>
      <w:tr>
        <w:tc>
          <w:tcPr>
            <w:tcW w:w="0" w:type="auto"/>
          </w:tcPr>
          <w:p>
            <w:pPr>
              <w:spacing w:line="240" w:lineRule="auto" w:before="0" w:after="0"/>
              <w:pStyle w:val="Compact"/>
            </w:pPr>
            <w:r>
              <w:rPr>
                <w:sz w:val="20"/>
                <w:szCs w:val="20"/>
              </w:rPr>
              <w:t xml:space="preserve">sda_member</w:t>
            </w:r>
          </w:p>
        </w:tc>
        <w:tc>
          <w:tcPr>
            <w:tcW w:w="0" w:type="auto"/>
          </w:tcPr>
          <w:p>
            <w:pPr>
              <w:spacing w:line="240" w:lineRule="auto" w:before="0" w:after="0"/>
              <w:pStyle w:val="Compact"/>
            </w:pPr>
            <w:r>
              <w:rPr>
                <w:sz w:val="20"/>
                <w:szCs w:val="20"/>
              </w:rPr>
              <w:t xml:space="preserve">Binary indicator of Space Data Association membership</w:t>
            </w:r>
          </w:p>
        </w:tc>
        <w:tc>
          <w:tcPr>
            <w:tcW w:w="0" w:type="auto"/>
          </w:tcPr>
          <w:p>
            <w:pPr>
              <w:spacing w:line="240" w:lineRule="auto" w:before="0" w:after="0"/>
              <w:pStyle w:val="Compact"/>
            </w:pPr>
            <w:r>
              <w:rPr>
                <w:sz w:val="20"/>
                <w:szCs w:val="20"/>
              </w:rPr>
              <w:t xml:space="preserve">spacedata.org member roster as of 2024</w:t>
            </w:r>
          </w:p>
        </w:tc>
      </w:tr>
      <w:tr>
        <w:tc>
          <w:tcPr>
            <w:tcW w:w="0" w:type="auto"/>
          </w:tcPr>
          <w:p>
            <w:pPr>
              <w:spacing w:line="240" w:lineRule="auto" w:before="0" w:after="0"/>
              <w:pStyle w:val="Compact"/>
            </w:pPr>
            <w:r>
              <w:rPr>
                <w:sz w:val="20"/>
                <w:szCs w:val="20"/>
              </w:rPr>
              <w:t xml:space="preserve">spacetrack_tier</w:t>
            </w:r>
          </w:p>
        </w:tc>
        <w:tc>
          <w:tcPr>
            <w:tcW w:w="0" w:type="auto"/>
          </w:tcPr>
          <w:p>
            <w:pPr>
              <w:spacing w:line="240" w:lineRule="auto" w:before="0" w:after="0"/>
              <w:pStyle w:val="Compact"/>
            </w:pPr>
            <w:r>
              <w:rPr>
                <w:sz w:val="20"/>
                <w:szCs w:val="20"/>
              </w:rPr>
              <w:t xml:space="preserve">Space-Track access tier 1-3 reflecting CSpOC SSA-sharing agreement depth</w:t>
            </w:r>
          </w:p>
        </w:tc>
        <w:tc>
          <w:tcPr>
            <w:tcW w:w="0" w:type="auto"/>
          </w:tcPr>
          <w:p>
            <w:pPr>
              <w:spacing w:line="240" w:lineRule="auto" w:before="0" w:after="0"/>
              <w:pStyle w:val="Compact"/>
            </w:pPr>
            <w:r>
              <w:rPr>
                <w:sz w:val="20"/>
                <w:szCs w:val="20"/>
              </w:rPr>
              <w:t xml:space="preserve">USSF 18 SDS public partner list and Space-Track account categories</w:t>
            </w:r>
          </w:p>
        </w:tc>
      </w:tr>
      <w:tr>
        <w:tc>
          <w:tcPr>
            <w:tcW w:w="0" w:type="auto"/>
          </w:tcPr>
          <w:p>
            <w:pPr>
              <w:spacing w:line="240" w:lineRule="auto" w:before="0" w:after="0"/>
              <w:pStyle w:val="Compact"/>
            </w:pPr>
            <w:r>
              <w:rPr>
                <w:sz w:val="20"/>
                <w:szCs w:val="20"/>
              </w:rPr>
              <w:t xml:space="preserve">cdms_per_sat_year</w:t>
            </w:r>
          </w:p>
        </w:tc>
        <w:tc>
          <w:tcPr>
            <w:tcW w:w="0" w:type="auto"/>
          </w:tcPr>
          <w:p>
            <w:pPr>
              <w:spacing w:line="240" w:lineRule="auto" w:before="0" w:after="0"/>
              <w:pStyle w:val="Compact"/>
            </w:pPr>
            <w:r>
              <w:rPr>
                <w:sz w:val="20"/>
                <w:szCs w:val="20"/>
              </w:rPr>
              <w:t xml:space="preserve">Conjunction Data Messages received per satellite per year</w:t>
            </w:r>
          </w:p>
        </w:tc>
        <w:tc>
          <w:tcPr>
            <w:tcW w:w="0" w:type="auto"/>
          </w:tcPr>
          <w:p>
            <w:pPr>
              <w:spacing w:line="240" w:lineRule="auto" w:before="0" w:after="0"/>
              <w:pStyle w:val="Compact"/>
            </w:pPr>
            <w:r>
              <w:rPr>
                <w:sz w:val="20"/>
                <w:szCs w:val="20"/>
              </w:rPr>
              <w:t xml:space="preserve">Operator-reported figures and ESA Space Environment Report 2024</w:t>
            </w:r>
          </w:p>
        </w:tc>
      </w:tr>
      <w:tr>
        <w:tc>
          <w:tcPr>
            <w:tcW w:w="0" w:type="auto"/>
          </w:tcPr>
          <w:p>
            <w:pPr>
              <w:spacing w:line="240" w:lineRule="auto" w:before="0" w:after="0"/>
              <w:pStyle w:val="Compact"/>
            </w:pPr>
            <w:r>
              <w:rPr>
                <w:sz w:val="20"/>
                <w:szCs w:val="20"/>
              </w:rPr>
              <w:t xml:space="preserve">regime_leo_share</w:t>
            </w:r>
          </w:p>
        </w:tc>
        <w:tc>
          <w:tcPr>
            <w:tcW w:w="0" w:type="auto"/>
          </w:tcPr>
          <w:p>
            <w:pPr>
              <w:spacing w:line="240" w:lineRule="auto" w:before="0" w:after="0"/>
              <w:pStyle w:val="Compact"/>
            </w:pPr>
            <w:r>
              <w:rPr>
                <w:sz w:val="20"/>
                <w:szCs w:val="20"/>
              </w:rPr>
              <w:t xml:space="preserve">Fraction of fleet operating in low Earth orbit below 2000 km</w:t>
            </w:r>
          </w:p>
        </w:tc>
        <w:tc>
          <w:tcPr>
            <w:tcW w:w="0" w:type="auto"/>
          </w:tcPr>
          <w:p>
            <w:pPr>
              <w:spacing w:line="240" w:lineRule="auto" w:before="0" w:after="0"/>
              <w:pStyle w:val="Compact"/>
            </w:pPr>
            <w:r>
              <w:rPr>
                <w:sz w:val="20"/>
                <w:szCs w:val="20"/>
              </w:rPr>
              <w:t xml:space="preserve">Operator catalogs and ITU filings</w:t>
            </w:r>
          </w:p>
        </w:tc>
      </w:tr>
      <w:tr>
        <w:tc>
          <w:tcPr>
            <w:tcW w:w="0" w:type="auto"/>
          </w:tcPr>
          <w:p>
            <w:pPr>
              <w:spacing w:line="240" w:lineRule="auto" w:before="0" w:after="0"/>
              <w:pStyle w:val="Compact"/>
            </w:pPr>
            <w:r>
              <w:rPr>
                <w:sz w:val="20"/>
                <w:szCs w:val="20"/>
              </w:rPr>
              <w:t xml:space="preserve">years_sharing</w:t>
            </w:r>
          </w:p>
        </w:tc>
        <w:tc>
          <w:tcPr>
            <w:tcW w:w="0" w:type="auto"/>
          </w:tcPr>
          <w:p>
            <w:pPr>
              <w:spacing w:line="240" w:lineRule="auto" w:before="0" w:after="0"/>
              <w:pStyle w:val="Compact"/>
            </w:pPr>
            <w:r>
              <w:rPr>
                <w:sz w:val="20"/>
                <w:szCs w:val="20"/>
              </w:rPr>
              <w:t xml:space="preserve">Years since operator’s first formal SSA-sharing arrangement</w:t>
            </w:r>
          </w:p>
        </w:tc>
        <w:tc>
          <w:tcPr>
            <w:tcW w:w="0" w:type="auto"/>
          </w:tcPr>
          <w:p>
            <w:pPr>
              <w:spacing w:line="240" w:lineRule="auto" w:before="0" w:after="0"/>
              <w:pStyle w:val="Compact"/>
            </w:pPr>
            <w:r>
              <w:rPr>
                <w:sz w:val="20"/>
                <w:szCs w:val="20"/>
              </w:rPr>
              <w:t xml:space="preserve">CSpOC SSA-sharing announcement archive and SDA founding records</w:t>
            </w:r>
          </w:p>
        </w:tc>
      </w:tr>
      <w:tr>
        <w:tc>
          <w:tcPr>
            <w:tcW w:w="0" w:type="auto"/>
          </w:tcPr>
          <w:p>
            <w:pPr>
              <w:spacing w:line="240" w:lineRule="auto" w:before="0" w:after="0"/>
              <w:pStyle w:val="Compact"/>
            </w:pPr>
            <w:r>
              <w:rPr>
                <w:sz w:val="20"/>
                <w:szCs w:val="20"/>
              </w:rPr>
              <w:t xml:space="preserve">fleet_size</w:t>
            </w:r>
          </w:p>
        </w:tc>
        <w:tc>
          <w:tcPr>
            <w:tcW w:w="0" w:type="auto"/>
          </w:tcPr>
          <w:p>
            <w:pPr>
              <w:spacing w:line="240" w:lineRule="auto" w:before="0" w:after="0"/>
              <w:pStyle w:val="Compact"/>
            </w:pPr>
            <w:r>
              <w:rPr>
                <w:sz w:val="20"/>
                <w:szCs w:val="20"/>
              </w:rPr>
              <w:t xml:space="preserve">Active operational satellites in the fleet during the observation window</w:t>
            </w:r>
          </w:p>
        </w:tc>
        <w:tc>
          <w:tcPr>
            <w:tcW w:w="0" w:type="auto"/>
          </w:tcPr>
          <w:p>
            <w:pPr>
              <w:spacing w:line="240" w:lineRule="auto" w:before="0" w:after="0"/>
              <w:pStyle w:val="Compact"/>
            </w:pPr>
            <w:r>
              <w:rPr>
                <w:sz w:val="20"/>
                <w:szCs w:val="20"/>
              </w:rPr>
              <w:t xml:space="preserve">Operator filings and ESA Space Environment Report 2024</w:t>
            </w:r>
          </w:p>
        </w:tc>
      </w:tr>
    </w:tbl>
    <w:bookmarkEnd w:id="193"/>
    <w:bookmarkEnd w:id="194"/>
    <w:bookmarkStart w:id="202" w:name="Xb79d0b34fe6197e69b0a3c5e1df1677923b7b48"/>
    <w:p>
      <w:pPr>
        <w:pStyle w:val="Heading2"/>
        <w:spacing w:line="480" w:lineRule="auto"/>
      </w:pPr>
      <w:r>
        <w:t xml:space="preserve">A.2 Time-to-First-Contribution under the TraCSS Regime: A Cox Proportional-Hazards Analysis of Commercial LEO Operator Onboarding</w:t>
      </w:r>
    </w:p>
    <w:p>
      <w:pPr>
        <w:pStyle w:val="FirstParagraph"/>
        <w:spacing w:line="480" w:lineRule="auto"/>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ConjExp</m:t>
                  </m:r>
                </m:e>
                <m:sub>
                  <m:r>
                    <m:t>i</m:t>
                  </m:r>
                </m:sub>
              </m:sSub>
              <m:r>
                <m:rPr>
                  <m:sty m:val="p"/>
                </m:rPr>
                <m:t>+</m:t>
              </m:r>
              <m:sSub>
                <m:e>
                  <m:r>
                    <m:t>β</m:t>
                  </m:r>
                </m:e>
                <m:sub>
                  <m:r>
                    <m:t>2</m:t>
                  </m:r>
                </m:sub>
              </m:sSub>
              <m:r>
                <m:t> </m:t>
              </m:r>
              <m:r>
                <m:rPr>
                  <m:sty m:val="p"/>
                </m:rPr>
                <m:t>log</m:t>
              </m:r>
              <m:sSub>
                <m:e>
                  <m:r>
                    <m:rPr>
                      <m:nor/>
                      <m:sty m:val="p"/>
                    </m:rPr>
                    <m:t>Fleet</m:t>
                  </m:r>
                </m:e>
                <m:sub>
                  <m:r>
                    <m:t>i</m:t>
                  </m:r>
                </m:sub>
              </m:sSub>
              <m:r>
                <m:rPr>
                  <m:sty m:val="p"/>
                </m:rPr>
                <m:t>+</m:t>
              </m:r>
              <m:sSub>
                <m:e>
                  <m:r>
                    <m:t>β</m:t>
                  </m:r>
                </m:e>
                <m:sub>
                  <m:r>
                    <m:t>3</m:t>
                  </m:r>
                </m:sub>
              </m:sSub>
              <m:r>
                <m:t> </m:t>
              </m:r>
              <m:sSub>
                <m:e>
                  <m:r>
                    <m:rPr>
                      <m:nor/>
                      <m:sty m:val="p"/>
                    </m:rPr>
                    <m:t>USLic</m:t>
                  </m:r>
                </m:e>
                <m:sub>
                  <m:r>
                    <m:t>i</m:t>
                  </m:r>
                </m:sub>
              </m:sSub>
              <m:r>
                <m:rPr>
                  <m:sty m:val="p"/>
                </m:rPr>
                <m:t>+</m:t>
              </m:r>
              <m:sSub>
                <m:e>
                  <m:r>
                    <m:t>β</m:t>
                  </m:r>
                </m:e>
                <m:sub>
                  <m:r>
                    <m:t>4</m:t>
                  </m:r>
                </m:sub>
              </m:sSub>
              <m:r>
                <m:t> </m:t>
              </m:r>
              <m:sSub>
                <m:e>
                  <m:r>
                    <m:rPr>
                      <m:nor/>
                      <m:sty m:val="p"/>
                    </m:rPr>
                    <m:t>PriorAnom</m:t>
                  </m:r>
                </m:e>
                <m:sub>
                  <m:r>
                    <m:t>i</m:t>
                  </m:r>
                </m:sub>
              </m:sSub>
            </m:e>
          </m:d>
        </m:oMath>
      </m:oMathPara>
    </w:p>
    <w:bookmarkStart w:id="19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conjunction_exposure</w:t>
            </w:r>
          </w:p>
        </w:tc>
        <w:tc>
          <w:tcPr>
            <w:tcW w:w="0" w:type="auto"/>
          </w:tcPr>
          <w:p>
            <w:pPr>
              <w:spacing w:line="240" w:lineRule="auto" w:before="0" w:after="0"/>
              <w:pStyle w:val="Compact"/>
            </w:pPr>
            <w:r>
              <w:rPr>
                <w:sz w:val="20"/>
                <w:szCs w:val="20"/>
              </w:rPr>
              <w:t xml:space="preserve">1.9741</w:t>
            </w:r>
          </w:p>
        </w:tc>
        <w:tc>
          <w:tcPr>
            <w:tcW w:w="0" w:type="auto"/>
          </w:tcPr>
          <w:p>
            <w:pPr>
              <w:spacing w:line="240" w:lineRule="auto" w:before="0" w:after="0"/>
              <w:pStyle w:val="Compact"/>
            </w:pPr>
            <w:r>
              <w:rPr>
                <w:sz w:val="20"/>
                <w:szCs w:val="20"/>
              </w:rPr>
              <w:t xml:space="preserve">0.876</w:t>
            </w:r>
          </w:p>
        </w:tc>
        <w:tc>
          <w:tcPr>
            <w:tcW w:w="0" w:type="auto"/>
          </w:tcPr>
          <w:p>
            <w:pPr>
              <w:spacing w:line="240" w:lineRule="auto" w:before="0" w:after="0"/>
              <w:pStyle w:val="Compact"/>
            </w:pPr>
            <w:r>
              <w:rPr>
                <w:sz w:val="20"/>
                <w:szCs w:val="20"/>
              </w:rPr>
              <w:t xml:space="preserve">2.2536</w:t>
            </w:r>
          </w:p>
        </w:tc>
        <w:tc>
          <w:tcPr>
            <w:tcW w:w="0" w:type="auto"/>
          </w:tcPr>
          <w:p>
            <w:pPr>
              <w:spacing w:line="240" w:lineRule="auto" w:before="0" w:after="0"/>
              <w:pStyle w:val="Compact"/>
            </w:pPr>
            <w:r>
              <w:rPr>
                <w:sz w:val="20"/>
                <w:szCs w:val="20"/>
              </w:rPr>
              <w:t xml:space="preserve">0.0242</w:t>
            </w:r>
          </w:p>
        </w:tc>
        <w:tc>
          <w:tcPr>
            <w:tcW w:w="0" w:type="auto"/>
          </w:tcPr>
          <w:p>
            <w:pPr>
              <w:spacing w:line="240" w:lineRule="auto" w:before="0" w:after="0"/>
              <w:pStyle w:val="Compact"/>
            </w:pPr>
            <w:r>
              <w:rPr>
                <w:sz w:val="20"/>
                <w:szCs w:val="20"/>
              </w:rPr>
              <w:t xml:space="preserve">[0.2572, 3.691]</w:t>
            </w:r>
          </w:p>
        </w:tc>
        <w:tc>
          <w:tcPr>
            <w:tcW w:w="0" w:type="auto"/>
          </w:tcPr>
          <w:p>
            <w:pPr>
              <w:spacing w:line="240" w:lineRule="auto" w:before="0" w:after="0"/>
              <w:pStyle w:val="Compact"/>
            </w:pPr>
            <w:r>
              <w:rPr>
                <w:sz w:val="20"/>
                <w:szCs w:val="20"/>
              </w:rPr>
              <w:t xml:space="preserve">7.2</w:t>
            </w:r>
          </w:p>
        </w:tc>
      </w:tr>
      <w:tr>
        <w:tc>
          <w:tcPr>
            <w:tcW w:w="0" w:type="auto"/>
          </w:tcPr>
          <w:p>
            <w:pPr>
              <w:spacing w:line="240" w:lineRule="auto" w:before="0" w:after="0"/>
              <w:pStyle w:val="Compact"/>
            </w:pPr>
            <w:r>
              <w:rPr>
                <w:sz w:val="20"/>
                <w:szCs w:val="20"/>
              </w:rPr>
              <w:t xml:space="preserve">log_fleet</w:t>
            </w:r>
          </w:p>
        </w:tc>
        <w:tc>
          <w:tcPr>
            <w:tcW w:w="0" w:type="auto"/>
          </w:tcPr>
          <w:p>
            <w:pPr>
              <w:spacing w:line="240" w:lineRule="auto" w:before="0" w:after="0"/>
              <w:pStyle w:val="Compact"/>
            </w:pPr>
            <w:r>
              <w:rPr>
                <w:sz w:val="20"/>
                <w:szCs w:val="20"/>
              </w:rPr>
              <w:t xml:space="preserve">-1.1478</w:t>
            </w:r>
          </w:p>
        </w:tc>
        <w:tc>
          <w:tcPr>
            <w:tcW w:w="0" w:type="auto"/>
          </w:tcPr>
          <w:p>
            <w:pPr>
              <w:spacing w:line="240" w:lineRule="auto" w:before="0" w:after="0"/>
              <w:pStyle w:val="Compact"/>
            </w:pPr>
            <w:r>
              <w:rPr>
                <w:sz w:val="20"/>
                <w:szCs w:val="20"/>
              </w:rPr>
              <w:t xml:space="preserve">0.8458</w:t>
            </w:r>
          </w:p>
        </w:tc>
        <w:tc>
          <w:tcPr>
            <w:tcW w:w="0" w:type="auto"/>
          </w:tcPr>
          <w:p>
            <w:pPr>
              <w:spacing w:line="240" w:lineRule="auto" w:before="0" w:after="0"/>
              <w:pStyle w:val="Compact"/>
            </w:pPr>
            <w:r>
              <w:rPr>
                <w:sz w:val="20"/>
                <w:szCs w:val="20"/>
              </w:rPr>
              <w:t xml:space="preserve">-1.357</w:t>
            </w:r>
          </w:p>
        </w:tc>
        <w:tc>
          <w:tcPr>
            <w:tcW w:w="0" w:type="auto"/>
          </w:tcPr>
          <w:p>
            <w:pPr>
              <w:spacing w:line="240" w:lineRule="auto" w:before="0" w:after="0"/>
              <w:pStyle w:val="Compact"/>
            </w:pPr>
            <w:r>
              <w:rPr>
                <w:sz w:val="20"/>
                <w:szCs w:val="20"/>
              </w:rPr>
              <w:t xml:space="preserve">0.1748</w:t>
            </w:r>
          </w:p>
        </w:tc>
        <w:tc>
          <w:tcPr>
            <w:tcW w:w="0" w:type="auto"/>
          </w:tcPr>
          <w:p>
            <w:pPr>
              <w:spacing w:line="240" w:lineRule="auto" w:before="0" w:after="0"/>
              <w:pStyle w:val="Compact"/>
            </w:pPr>
            <w:r>
              <w:rPr>
                <w:sz w:val="20"/>
                <w:szCs w:val="20"/>
              </w:rPr>
              <w:t xml:space="preserve">[-2.8055, 0.51]</w:t>
            </w:r>
          </w:p>
        </w:tc>
        <w:tc>
          <w:tcPr>
            <w:tcW w:w="0" w:type="auto"/>
          </w:tcPr>
          <w:p>
            <w:pPr>
              <w:spacing w:line="240" w:lineRule="auto" w:before="0" w:after="0"/>
              <w:pStyle w:val="Compact"/>
            </w:pPr>
            <w:r>
              <w:rPr>
                <w:sz w:val="20"/>
                <w:szCs w:val="20"/>
              </w:rPr>
              <w:t xml:space="preserve">0.3173</w:t>
            </w:r>
          </w:p>
        </w:tc>
      </w:tr>
      <w:tr>
        <w:tc>
          <w:tcPr>
            <w:tcW w:w="0" w:type="auto"/>
          </w:tcPr>
          <w:p>
            <w:pPr>
              <w:spacing w:line="240" w:lineRule="auto" w:before="0" w:after="0"/>
              <w:pStyle w:val="Compact"/>
            </w:pPr>
            <w:r>
              <w:rPr>
                <w:sz w:val="20"/>
                <w:szCs w:val="20"/>
              </w:rPr>
              <w:t xml:space="preserve">us_licensed</w:t>
            </w:r>
          </w:p>
        </w:tc>
        <w:tc>
          <w:tcPr>
            <w:tcW w:w="0" w:type="auto"/>
          </w:tcPr>
          <w:p>
            <w:pPr>
              <w:spacing w:line="240" w:lineRule="auto" w:before="0" w:after="0"/>
              <w:pStyle w:val="Compact"/>
            </w:pPr>
            <w:r>
              <w:rPr>
                <w:sz w:val="20"/>
                <w:szCs w:val="20"/>
              </w:rPr>
              <w:t xml:space="preserve">2.8767</w:t>
            </w:r>
          </w:p>
        </w:tc>
        <w:tc>
          <w:tcPr>
            <w:tcW w:w="0" w:type="auto"/>
          </w:tcPr>
          <w:p>
            <w:pPr>
              <w:spacing w:line="240" w:lineRule="auto" w:before="0" w:after="0"/>
              <w:pStyle w:val="Compact"/>
            </w:pPr>
            <w:r>
              <w:rPr>
                <w:sz w:val="20"/>
                <w:szCs w:val="20"/>
              </w:rPr>
              <w:t xml:space="preserve">0.8318</w:t>
            </w:r>
          </w:p>
        </w:tc>
        <w:tc>
          <w:tcPr>
            <w:tcW w:w="0" w:type="auto"/>
          </w:tcPr>
          <w:p>
            <w:pPr>
              <w:spacing w:line="240" w:lineRule="auto" w:before="0" w:after="0"/>
              <w:pStyle w:val="Compact"/>
            </w:pPr>
            <w:r>
              <w:rPr>
                <w:sz w:val="20"/>
                <w:szCs w:val="20"/>
              </w:rPr>
              <w:t xml:space="preserve">3.4586</w:t>
            </w:r>
          </w:p>
        </w:tc>
        <w:tc>
          <w:tcPr>
            <w:tcW w:w="0" w:type="auto"/>
          </w:tcPr>
          <w:p>
            <w:pPr>
              <w:spacing w:line="240" w:lineRule="auto" w:before="0" w:after="0"/>
              <w:pStyle w:val="Compact"/>
            </w:pPr>
            <w:r>
              <w:rPr>
                <w:sz w:val="20"/>
                <w:szCs w:val="20"/>
              </w:rPr>
              <w:t xml:space="preserve">0.0005429</w:t>
            </w:r>
          </w:p>
        </w:tc>
        <w:tc>
          <w:tcPr>
            <w:tcW w:w="0" w:type="auto"/>
          </w:tcPr>
          <w:p>
            <w:pPr>
              <w:spacing w:line="240" w:lineRule="auto" w:before="0" w:after="0"/>
              <w:pStyle w:val="Compact"/>
            </w:pPr>
            <w:r>
              <w:rPr>
                <w:sz w:val="20"/>
                <w:szCs w:val="20"/>
              </w:rPr>
              <w:t xml:space="preserve">[1.2465, 4.507]</w:t>
            </w:r>
          </w:p>
        </w:tc>
        <w:tc>
          <w:tcPr>
            <w:tcW w:w="0" w:type="auto"/>
          </w:tcPr>
          <w:p>
            <w:pPr>
              <w:spacing w:line="240" w:lineRule="auto" w:before="0" w:after="0"/>
              <w:pStyle w:val="Compact"/>
            </w:pPr>
            <w:r>
              <w:rPr>
                <w:sz w:val="20"/>
                <w:szCs w:val="20"/>
              </w:rPr>
              <w:t xml:space="preserve">17.7559</w:t>
            </w:r>
          </w:p>
        </w:tc>
      </w:tr>
      <w:tr>
        <w:tc>
          <w:tcPr>
            <w:tcW w:w="0" w:type="auto"/>
          </w:tcPr>
          <w:p>
            <w:pPr>
              <w:spacing w:line="240" w:lineRule="auto" w:before="0" w:after="0"/>
              <w:pStyle w:val="Compact"/>
            </w:pPr>
            <w:r>
              <w:rPr>
                <w:sz w:val="20"/>
                <w:szCs w:val="20"/>
              </w:rPr>
              <w:t xml:space="preserve">prior_anomaly</w:t>
            </w:r>
          </w:p>
        </w:tc>
        <w:tc>
          <w:tcPr>
            <w:tcW w:w="0" w:type="auto"/>
          </w:tcPr>
          <w:p>
            <w:pPr>
              <w:spacing w:line="240" w:lineRule="auto" w:before="0" w:after="0"/>
              <w:pStyle w:val="Compact"/>
            </w:pPr>
            <w:r>
              <w:rPr>
                <w:sz w:val="20"/>
                <w:szCs w:val="20"/>
              </w:rPr>
              <w:t xml:space="preserve">1.0229</w:t>
            </w:r>
          </w:p>
        </w:tc>
        <w:tc>
          <w:tcPr>
            <w:tcW w:w="0" w:type="auto"/>
          </w:tcPr>
          <w:p>
            <w:pPr>
              <w:spacing w:line="240" w:lineRule="auto" w:before="0" w:after="0"/>
              <w:pStyle w:val="Compact"/>
            </w:pPr>
            <w:r>
              <w:rPr>
                <w:sz w:val="20"/>
                <w:szCs w:val="20"/>
              </w:rPr>
              <w:t xml:space="preserve">1.1387</w:t>
            </w:r>
          </w:p>
        </w:tc>
        <w:tc>
          <w:tcPr>
            <w:tcW w:w="0" w:type="auto"/>
          </w:tcPr>
          <w:p>
            <w:pPr>
              <w:spacing w:line="240" w:lineRule="auto" w:before="0" w:after="0"/>
              <w:pStyle w:val="Compact"/>
            </w:pPr>
            <w:r>
              <w:rPr>
                <w:sz w:val="20"/>
                <w:szCs w:val="20"/>
              </w:rPr>
              <w:t xml:space="preserve">0.8983</w:t>
            </w:r>
          </w:p>
        </w:tc>
        <w:tc>
          <w:tcPr>
            <w:tcW w:w="0" w:type="auto"/>
          </w:tcPr>
          <w:p>
            <w:pPr>
              <w:spacing w:line="240" w:lineRule="auto" w:before="0" w:after="0"/>
              <w:pStyle w:val="Compact"/>
            </w:pPr>
            <w:r>
              <w:rPr>
                <w:sz w:val="20"/>
                <w:szCs w:val="20"/>
              </w:rPr>
              <w:t xml:space="preserve">0.369</w:t>
            </w:r>
          </w:p>
        </w:tc>
        <w:tc>
          <w:tcPr>
            <w:tcW w:w="0" w:type="auto"/>
          </w:tcPr>
          <w:p>
            <w:pPr>
              <w:spacing w:line="240" w:lineRule="auto" w:before="0" w:after="0"/>
              <w:pStyle w:val="Compact"/>
            </w:pPr>
            <w:r>
              <w:rPr>
                <w:sz w:val="20"/>
                <w:szCs w:val="20"/>
              </w:rPr>
              <w:t xml:space="preserve">[-1.2089, 3.2547]</w:t>
            </w:r>
          </w:p>
        </w:tc>
        <w:tc>
          <w:tcPr>
            <w:tcW w:w="0" w:type="auto"/>
          </w:tcPr>
          <w:p>
            <w:pPr>
              <w:spacing w:line="240" w:lineRule="auto" w:before="0" w:after="0"/>
              <w:pStyle w:val="Compact"/>
            </w:pPr>
            <w:r>
              <w:rPr>
                <w:sz w:val="20"/>
                <w:szCs w:val="20"/>
              </w:rPr>
              <w:t xml:space="preserve">2.7812</w:t>
            </w:r>
          </w:p>
        </w:tc>
      </w:tr>
    </w:tbl>
    <w:p>
      <w:pPr>
        <w:pStyle w:val="BodyText"/>
        <w:spacing w:line="480" w:lineRule="auto"/>
        <w:ind w:firstLine="720"/>
      </w:pPr>
      <w:r>
        <w:t xml:space="preserve">Fit: N = 30 events = 21</w:t>
      </w:r>
    </w:p>
    <w:bookmarkEnd w:id="195"/>
    <w:bookmarkStart w:id="19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Time to first voluntary TraCSS contribution against operator conjunction exposure, commercial LEO operators 2024-2025." title="" id="197" name="Picture"/>
            <a:graphic>
              <a:graphicData uri="http://schemas.openxmlformats.org/drawingml/2006/picture">
                <pic:pic>
                  <pic:nvPicPr>
                    <pic:cNvPr descr="D:/Claude_Code/brain/collegium/candidates/dissertations/SSA_SDA_05/research_papers/p2/paper_fig1.png" id="198" name="Picture"/>
                    <pic:cNvPicPr>
                      <a:picLocks noChangeArrowheads="1" noChangeAspect="1"/>
                    </pic:cNvPicPr>
                  </pic:nvPicPr>
                  <pic:blipFill>
                    <a:blip r:embed="rId19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Time to first voluntary TraCSS contribution against operator conjunction exposure, commercial LEO operators 2024-2025.</w:t>
      </w:r>
    </w:p>
    <w:bookmarkEnd w:id="199"/>
    <w:bookmarkStart w:id="20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fleet_size</w:t>
            </w:r>
          </w:p>
        </w:tc>
        <w:tc>
          <w:tcPr>
            <w:tcW w:w="0" w:type="auto"/>
          </w:tcPr>
          <w:p>
            <w:pPr>
              <w:spacing w:line="240" w:lineRule="auto" w:before="0" w:after="0"/>
              <w:pStyle w:val="Compact"/>
            </w:pPr>
            <w:r>
              <w:rPr>
                <w:sz w:val="20"/>
                <w:szCs w:val="20"/>
              </w:rPr>
              <w:t xml:space="preserve">leo_share</w:t>
            </w:r>
          </w:p>
        </w:tc>
        <w:tc>
          <w:tcPr>
            <w:tcW w:w="0" w:type="auto"/>
          </w:tcPr>
          <w:p>
            <w:pPr>
              <w:spacing w:line="240" w:lineRule="auto" w:before="0" w:after="0"/>
              <w:pStyle w:val="Compact"/>
            </w:pPr>
            <w:r>
              <w:rPr>
                <w:sz w:val="20"/>
                <w:szCs w:val="20"/>
              </w:rPr>
              <w:t xml:space="preserve">conjunction_exposure</w:t>
            </w:r>
          </w:p>
        </w:tc>
        <w:tc>
          <w:tcPr>
            <w:tcW w:w="0" w:type="auto"/>
          </w:tcPr>
          <w:p>
            <w:pPr>
              <w:spacing w:line="240" w:lineRule="auto" w:before="0" w:after="0"/>
              <w:pStyle w:val="Compact"/>
            </w:pPr>
            <w:r>
              <w:rPr>
                <w:sz w:val="20"/>
                <w:szCs w:val="20"/>
              </w:rPr>
              <w:t xml:space="preserve">prior_anomaly</w:t>
            </w:r>
          </w:p>
        </w:tc>
        <w:tc>
          <w:tcPr>
            <w:tcW w:w="0" w:type="auto"/>
          </w:tcPr>
          <w:p>
            <w:pPr>
              <w:spacing w:line="240" w:lineRule="auto" w:before="0" w:after="0"/>
              <w:pStyle w:val="Compact"/>
            </w:pPr>
            <w:r>
              <w:rPr>
                <w:sz w:val="20"/>
                <w:szCs w:val="20"/>
              </w:rPr>
              <w:t xml:space="preserve">us_licensed</w:t>
            </w:r>
          </w:p>
        </w:tc>
        <w:tc>
          <w:tcPr>
            <w:tcW w:w="0" w:type="auto"/>
          </w:tcPr>
          <w:p>
            <w:pPr>
              <w:spacing w:line="240" w:lineRule="auto" w:before="0" w:after="0"/>
              <w:pStyle w:val="Compact"/>
            </w:pPr>
            <w:r>
              <w:rPr>
                <w:sz w:val="20"/>
                <w:szCs w:val="20"/>
              </w:rPr>
              <w:t xml:space="preserve">days_to_contribute</w:t>
            </w:r>
          </w:p>
        </w:tc>
        <w:tc>
          <w:tcPr>
            <w:tcW w:w="0" w:type="auto"/>
          </w:tcPr>
          <w:p>
            <w:pPr>
              <w:spacing w:line="240" w:lineRule="auto" w:before="0" w:after="0"/>
              <w:pStyle w:val="Compact"/>
            </w:pPr>
            <w:r>
              <w:rPr>
                <w:sz w:val="20"/>
                <w:szCs w:val="20"/>
              </w:rPr>
              <w:t xml:space="preserve">contributed</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log_fleet</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5800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OSC TraCSS IOC user list (Sep 2024); FCC IBFS SAT-MOD-20231120-00270; LeoLabs Starlink conjunction reporting 2024</w:t>
            </w:r>
          </w:p>
        </w:tc>
        <w:tc>
          <w:tcPr>
            <w:tcW w:w="0" w:type="auto"/>
          </w:tcPr>
          <w:p>
            <w:pPr>
              <w:spacing w:line="240" w:lineRule="auto" w:before="0" w:after="0"/>
              <w:pStyle w:val="Compact"/>
            </w:pPr>
            <w:r>
              <w:rPr>
                <w:sz w:val="20"/>
                <w:szCs w:val="20"/>
              </w:rPr>
              <w:t xml:space="preserve">8.6658</w:t>
            </w:r>
          </w:p>
        </w:tc>
      </w:tr>
      <w:tr>
        <w:tc>
          <w:tcPr>
            <w:tcW w:w="0" w:type="auto"/>
          </w:tcPr>
          <w:p>
            <w:pPr>
              <w:spacing w:line="240" w:lineRule="auto" w:before="0" w:after="0"/>
              <w:pStyle w:val="Compact"/>
            </w:pPr>
            <w:r>
              <w:rPr>
                <w:sz w:val="20"/>
                <w:szCs w:val="20"/>
              </w:rPr>
              <w:t xml:space="preserve">OneWeb_Eutelsat</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SAT-LOI-20210112-00007; Eutelsat-OneWeb 2024 annual report; OSC TraCSS onboarding bulletin Q1 2025</w:t>
            </w:r>
          </w:p>
        </w:tc>
        <w:tc>
          <w:tcPr>
            <w:tcW w:w="0" w:type="auto"/>
          </w:tcPr>
          <w:p>
            <w:pPr>
              <w:spacing w:line="240" w:lineRule="auto" w:before="0" w:after="0"/>
              <w:pStyle w:val="Compact"/>
            </w:pPr>
            <w:r>
              <w:rPr>
                <w:sz w:val="20"/>
                <w:szCs w:val="20"/>
              </w:rPr>
              <w:t xml:space="preserve">6.4754</w:t>
            </w:r>
          </w:p>
        </w:tc>
      </w:tr>
      <w:tr>
        <w:tc>
          <w:tcPr>
            <w:tcW w:w="0" w:type="auto"/>
          </w:tcPr>
          <w:p>
            <w:pPr>
              <w:spacing w:line="240" w:lineRule="auto" w:before="0" w:after="0"/>
              <w:pStyle w:val="Compact"/>
            </w:pPr>
            <w:r>
              <w:rPr>
                <w:sz w:val="20"/>
                <w:szCs w:val="20"/>
              </w:rPr>
              <w:t xml:space="preserve">Planet_Labs</w:t>
            </w:r>
          </w:p>
        </w:tc>
        <w:tc>
          <w:tcPr>
            <w:tcW w:w="0" w:type="auto"/>
          </w:tcPr>
          <w:p>
            <w:pPr>
              <w:spacing w:line="240" w:lineRule="auto" w:before="0" w:after="0"/>
              <w:pStyle w:val="Compact"/>
            </w:pPr>
            <w:r>
              <w:rPr>
                <w:sz w:val="20"/>
                <w:szCs w:val="20"/>
              </w:rPr>
              <w:t xml:space="preserve">215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SAT-AMD-20200526-00056; Planet Labs PBC 10-K FY2024; OSC TraCSS user notice 2025</w:t>
            </w:r>
          </w:p>
        </w:tc>
        <w:tc>
          <w:tcPr>
            <w:tcW w:w="0" w:type="auto"/>
          </w:tcPr>
          <w:p>
            <w:pPr>
              <w:spacing w:line="240" w:lineRule="auto" w:before="0" w:after="0"/>
              <w:pStyle w:val="Compact"/>
            </w:pPr>
            <w:r>
              <w:rPr>
                <w:sz w:val="20"/>
                <w:szCs w:val="20"/>
              </w:rPr>
              <w:t xml:space="preserve">5.3753</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SAT-AMD-20230615-00130; Iridium 2024 collision-avoidance press release; OSC TraCSS notice Q4 2024</w:t>
            </w:r>
          </w:p>
        </w:tc>
        <w:tc>
          <w:tcPr>
            <w:tcW w:w="0" w:type="auto"/>
          </w:tcPr>
          <w:p>
            <w:pPr>
              <w:spacing w:line="240" w:lineRule="auto" w:before="0" w:after="0"/>
              <w:pStyle w:val="Compact"/>
            </w:pPr>
            <w:r>
              <w:rPr>
                <w:sz w:val="20"/>
                <w:szCs w:val="20"/>
              </w:rPr>
              <w:t xml:space="preserve">4.3307</w:t>
            </w:r>
          </w:p>
        </w:tc>
      </w:tr>
      <w:tr>
        <w:tc>
          <w:tcPr>
            <w:tcW w:w="0" w:type="auto"/>
          </w:tcPr>
          <w:p>
            <w:pPr>
              <w:spacing w:line="240" w:lineRule="auto" w:before="0" w:after="0"/>
              <w:pStyle w:val="Compact"/>
            </w:pPr>
            <w:r>
              <w:rPr>
                <w:sz w:val="20"/>
                <w:szCs w:val="20"/>
              </w:rPr>
              <w:t xml:space="preserve">Spire_Global</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SAT-MOD-20221110-00148; Spire Global 10-K FY2024; OSC TraCSS user list Mar 2025</w:t>
            </w:r>
          </w:p>
        </w:tc>
        <w:tc>
          <w:tcPr>
            <w:tcW w:w="0" w:type="auto"/>
          </w:tcPr>
          <w:p>
            <w:pPr>
              <w:spacing w:line="240" w:lineRule="auto" w:before="0" w:after="0"/>
              <w:pStyle w:val="Compact"/>
            </w:pPr>
            <w:r>
              <w:rPr>
                <w:sz w:val="20"/>
                <w:szCs w:val="20"/>
              </w:rPr>
              <w:t xml:space="preserve">4.9488</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SAT-LOA-20210420-00059; BlackSky 10-K FY2024; OSC TraCSS user roster Apr 2025</w:t>
            </w:r>
          </w:p>
        </w:tc>
        <w:tc>
          <w:tcPr>
            <w:tcW w:w="0" w:type="auto"/>
          </w:tcPr>
          <w:p>
            <w:pPr>
              <w:spacing w:line="240" w:lineRule="auto" w:before="0" w:after="0"/>
              <w:pStyle w:val="Compact"/>
            </w:pPr>
            <w:r>
              <w:rPr>
                <w:sz w:val="20"/>
                <w:szCs w:val="20"/>
              </w:rPr>
              <w:t xml:space="preserve">2.8332</w:t>
            </w:r>
          </w:p>
        </w:tc>
      </w:tr>
      <w:tr>
        <w:tc>
          <w:tcPr>
            <w:tcW w:w="0" w:type="auto"/>
          </w:tcPr>
          <w:p>
            <w:pPr>
              <w:spacing w:line="240" w:lineRule="auto" w:before="0" w:after="0"/>
              <w:pStyle w:val="Compact"/>
            </w:pPr>
            <w:r>
              <w:rPr>
                <w:sz w:val="20"/>
                <w:szCs w:val="20"/>
              </w:rPr>
              <w:t xml:space="preserve">Maxar_Worldview</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 CRSRA Maxar license 2023; Maxar Intelligence press 2024; OSC TraCSS Q1 2025 notice</w:t>
            </w:r>
          </w:p>
        </w:tc>
        <w:tc>
          <w:tcPr>
            <w:tcW w:w="0" w:type="auto"/>
          </w:tcPr>
          <w:p>
            <w:pPr>
              <w:spacing w:line="240" w:lineRule="auto" w:before="0" w:after="0"/>
              <w:pStyle w:val="Compact"/>
            </w:pPr>
            <w:r>
              <w:rPr>
                <w:sz w:val="20"/>
                <w:szCs w:val="20"/>
              </w:rPr>
              <w:t xml:space="preserve">1.6094</w:t>
            </w:r>
          </w:p>
        </w:tc>
      </w:tr>
      <w:tr>
        <w:tc>
          <w:tcPr>
            <w:tcW w:w="0" w:type="auto"/>
          </w:tcPr>
          <w:p>
            <w:pPr>
              <w:spacing w:line="240" w:lineRule="auto" w:before="0" w:after="0"/>
              <w:pStyle w:val="Compact"/>
            </w:pPr>
            <w:r>
              <w:rPr>
                <w:sz w:val="20"/>
                <w:szCs w:val="20"/>
              </w:rPr>
              <w:t xml:space="preserve">Capella_Space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SAT-LOA-20200526-00059; Capella Space 2024 SDA whitepaper; OSC TraCSS user list 2025</w:t>
            </w:r>
          </w:p>
        </w:tc>
        <w:tc>
          <w:tcPr>
            <w:tcW w:w="0" w:type="auto"/>
          </w:tcPr>
          <w:p>
            <w:pPr>
              <w:spacing w:line="240" w:lineRule="auto" w:before="0" w:after="0"/>
              <w:pStyle w:val="Compact"/>
            </w:pPr>
            <w:r>
              <w:rPr>
                <w:sz w:val="20"/>
                <w:szCs w:val="20"/>
              </w:rPr>
              <w:t xml:space="preserve">2.1972</w:t>
            </w:r>
          </w:p>
        </w:tc>
      </w:tr>
      <w:tr>
        <w:tc>
          <w:tcPr>
            <w:tcW w:w="0" w:type="auto"/>
          </w:tcPr>
          <w:p>
            <w:pPr>
              <w:spacing w:line="240" w:lineRule="auto" w:before="0" w:after="0"/>
              <w:pStyle w:val="Compact"/>
            </w:pPr>
            <w:r>
              <w:rPr>
                <w:sz w:val="20"/>
                <w:szCs w:val="20"/>
              </w:rPr>
              <w:t xml:space="preserve">HawkEye_360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SAT-LOA-20210512-00069; HawkEye 360 press kit 2024; OSC TraCSS bulletin Q2 2025</w:t>
            </w:r>
          </w:p>
        </w:tc>
        <w:tc>
          <w:tcPr>
            <w:tcW w:w="0" w:type="auto"/>
          </w:tcPr>
          <w:p>
            <w:pPr>
              <w:spacing w:line="240" w:lineRule="auto" w:before="0" w:after="0"/>
              <w:pStyle w:val="Compact"/>
            </w:pPr>
            <w:r>
              <w:rPr>
                <w:sz w:val="20"/>
                <w:szCs w:val="20"/>
              </w:rPr>
              <w:t xml:space="preserve">3.434</w:t>
            </w:r>
          </w:p>
        </w:tc>
      </w:tr>
      <w:tr>
        <w:tc>
          <w:tcPr>
            <w:tcW w:w="0" w:type="auto"/>
          </w:tcPr>
          <w:p>
            <w:pPr>
              <w:spacing w:line="240" w:lineRule="auto" w:before="0" w:after="0"/>
              <w:pStyle w:val="Compact"/>
            </w:pPr>
            <w:r>
              <w:rPr>
                <w:sz w:val="20"/>
                <w:szCs w:val="20"/>
              </w:rPr>
              <w:t xml:space="preserve">Astrocast</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SAT-PDR-20210910-00121; Astrocast SA 2024 annual report; OSC TraCSS Q4 2025 user list (no contribution recorded)</w:t>
            </w:r>
          </w:p>
        </w:tc>
        <w:tc>
          <w:tcPr>
            <w:tcW w:w="0" w:type="auto"/>
          </w:tcPr>
          <w:p>
            <w:pPr>
              <w:spacing w:line="240" w:lineRule="auto" w:before="0" w:after="0"/>
              <w:pStyle w:val="Compact"/>
            </w:pPr>
            <w:r>
              <w:rPr>
                <w:sz w:val="20"/>
                <w:szCs w:val="20"/>
              </w:rPr>
              <w:t xml:space="preserve">3.091</w:t>
            </w:r>
          </w:p>
        </w:tc>
      </w:tr>
      <w:tr>
        <w:tc>
          <w:tcPr>
            <w:tcW w:w="0" w:type="auto"/>
          </w:tcPr>
          <w:p>
            <w:pPr>
              <w:spacing w:line="240" w:lineRule="auto" w:before="0" w:after="0"/>
              <w:pStyle w:val="Compact"/>
            </w:pPr>
            <w:r>
              <w:rPr>
                <w:sz w:val="20"/>
                <w:szCs w:val="20"/>
              </w:rPr>
              <w:t xml:space="preserve">Kepler_Communications</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SAT-PDR-20200526-00062; Kepler Communications press 2024; OSC TraCSS Q4 2025 (none recorded)</w:t>
            </w:r>
          </w:p>
        </w:tc>
        <w:tc>
          <w:tcPr>
            <w:tcW w:w="0" w:type="auto"/>
          </w:tcPr>
          <w:p>
            <w:pPr>
              <w:spacing w:line="240" w:lineRule="auto" w:before="0" w:after="0"/>
              <w:pStyle w:val="Compact"/>
            </w:pPr>
            <w:r>
              <w:rPr>
                <w:sz w:val="20"/>
                <w:szCs w:val="20"/>
              </w:rPr>
              <w:t xml:space="preserve">3.091</w:t>
            </w:r>
          </w:p>
        </w:tc>
      </w:tr>
      <w:tr>
        <w:tc>
          <w:tcPr>
            <w:tcW w:w="0" w:type="auto"/>
          </w:tcPr>
          <w:p>
            <w:pPr>
              <w:spacing w:line="240" w:lineRule="auto" w:before="0" w:after="0"/>
              <w:pStyle w:val="Compact"/>
            </w:pPr>
            <w:r>
              <w:rPr>
                <w:sz w:val="20"/>
                <w:szCs w:val="20"/>
              </w:rPr>
              <w:t xml:space="preserve">Swarm_Technologies</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SAT-MOD-20210630-00081; Swarm/SpaceX integration filing 2023; OSC TraCSS notice Q3 2025</w:t>
            </w:r>
          </w:p>
        </w:tc>
        <w:tc>
          <w:tcPr>
            <w:tcW w:w="0" w:type="auto"/>
          </w:tcPr>
          <w:p>
            <w:pPr>
              <w:spacing w:line="240" w:lineRule="auto" w:before="0" w:after="0"/>
              <w:pStyle w:val="Compact"/>
            </w:pPr>
            <w:r>
              <w:rPr>
                <w:sz w:val="20"/>
                <w:szCs w:val="20"/>
              </w:rPr>
              <w:t xml:space="preserve">5.1985</w:t>
            </w:r>
          </w:p>
        </w:tc>
      </w:tr>
      <w:tr>
        <w:tc>
          <w:tcPr>
            <w:tcW w:w="0" w:type="auto"/>
          </w:tcPr>
          <w:p>
            <w:pPr>
              <w:spacing w:line="240" w:lineRule="auto" w:before="0" w:after="0"/>
              <w:pStyle w:val="Compact"/>
            </w:pPr>
            <w:r>
              <w:rPr>
                <w:sz w:val="20"/>
                <w:szCs w:val="20"/>
              </w:rPr>
              <w:t xml:space="preserve">Satellogic</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SAT-LOI-20220215-00018; Satellogic 20-F FY2024; OSC TraCSS user list Sep 2025</w:t>
            </w:r>
          </w:p>
        </w:tc>
        <w:tc>
          <w:tcPr>
            <w:tcW w:w="0" w:type="auto"/>
          </w:tcPr>
          <w:p>
            <w:pPr>
              <w:spacing w:line="240" w:lineRule="auto" w:before="0" w:after="0"/>
              <w:pStyle w:val="Compact"/>
            </w:pPr>
            <w:r>
              <w:rPr>
                <w:sz w:val="20"/>
                <w:szCs w:val="20"/>
              </w:rPr>
              <w:t xml:space="preserve">3.7136</w:t>
            </w:r>
          </w:p>
        </w:tc>
      </w:tr>
      <w:tr>
        <w:tc>
          <w:tcPr>
            <w:tcW w:w="0" w:type="auto"/>
          </w:tcPr>
          <w:p>
            <w:pPr>
              <w:spacing w:line="240" w:lineRule="auto" w:before="0" w:after="0"/>
              <w:pStyle w:val="Compact"/>
            </w:pPr>
            <w:r>
              <w:rPr>
                <w:sz w:val="20"/>
                <w:szCs w:val="20"/>
              </w:rPr>
              <w:t xml:space="preserve">ICEYE</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SAT-LOI-20210204-00018; ICEYE press kit 2024; OSC TraCSS bulletin Q3 2025</w:t>
            </w:r>
          </w:p>
        </w:tc>
        <w:tc>
          <w:tcPr>
            <w:tcW w:w="0" w:type="auto"/>
          </w:tcPr>
          <w:p>
            <w:pPr>
              <w:spacing w:line="240" w:lineRule="auto" w:before="0" w:after="0"/>
              <w:pStyle w:val="Compact"/>
            </w:pPr>
            <w:r>
              <w:rPr>
                <w:sz w:val="20"/>
                <w:szCs w:val="20"/>
              </w:rPr>
              <w:t xml:space="preserve">3.6636</w:t>
            </w:r>
          </w:p>
        </w:tc>
      </w:tr>
      <w:tr>
        <w:tc>
          <w:tcPr>
            <w:tcW w:w="0" w:type="auto"/>
          </w:tcPr>
          <w:p>
            <w:pPr>
              <w:spacing w:line="240" w:lineRule="auto" w:before="0" w:after="0"/>
              <w:pStyle w:val="Compact"/>
            </w:pPr>
            <w:r>
              <w:rPr>
                <w:sz w:val="20"/>
                <w:szCs w:val="20"/>
              </w:rPr>
              <w:t xml:space="preserve">Telesat_LEO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SAT-PDR-20200526-00053; Telesat Lightspeed 2024 update; OSC TraCSS Q4 2025 (none recorded)</w:t>
            </w:r>
          </w:p>
        </w:tc>
        <w:tc>
          <w:tcPr>
            <w:tcW w:w="0" w:type="auto"/>
          </w:tcPr>
          <w:p>
            <w:pPr>
              <w:spacing w:line="240" w:lineRule="auto" w:before="0" w:after="0"/>
              <w:pStyle w:val="Compact"/>
            </w:pPr>
            <w:r>
              <w:rPr>
                <w:sz w:val="20"/>
                <w:szCs w:val="20"/>
              </w:rPr>
              <w:t xml:space="preserve">2.9444</w:t>
            </w:r>
          </w:p>
        </w:tc>
      </w:tr>
      <w:tr>
        <w:tc>
          <w:tcPr>
            <w:tcW w:w="0" w:type="auto"/>
          </w:tcPr>
          <w:p>
            <w:pPr>
              <w:spacing w:line="240" w:lineRule="auto" w:before="0" w:after="0"/>
              <w:pStyle w:val="Compact"/>
            </w:pPr>
            <w:r>
              <w:rPr>
                <w:sz w:val="20"/>
                <w:szCs w:val="20"/>
              </w:rPr>
              <w:t xml:space="preserve">AST_SpaceMobile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SAT-MOD-20230810-00220; AST SpaceMobile 10-K FY2024; OSC TraCSS notice Q2 2025</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Loft_Orbital</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SAT-LOA-20220715-00112; Loft Orbital press 2024; OSC TraCSS user roster 2025</w:t>
            </w:r>
          </w:p>
        </w:tc>
        <w:tc>
          <w:tcPr>
            <w:tcW w:w="0" w:type="auto"/>
          </w:tcPr>
          <w:p>
            <w:pPr>
              <w:spacing w:line="240" w:lineRule="auto" w:before="0" w:after="0"/>
              <w:pStyle w:val="Compact"/>
            </w:pPr>
            <w:r>
              <w:rPr>
                <w:sz w:val="20"/>
                <w:szCs w:val="20"/>
              </w:rPr>
              <w:t xml:space="preserve">2.7726</w:t>
            </w:r>
          </w:p>
        </w:tc>
      </w:tr>
      <w:tr>
        <w:tc>
          <w:tcPr>
            <w:tcW w:w="0" w:type="auto"/>
          </w:tcPr>
          <w:p>
            <w:pPr>
              <w:spacing w:line="240" w:lineRule="auto" w:before="0" w:after="0"/>
              <w:pStyle w:val="Compact"/>
            </w:pPr>
            <w:r>
              <w:rPr>
                <w:sz w:val="20"/>
                <w:szCs w:val="20"/>
              </w:rPr>
              <w:t xml:space="preserve">Sidus_Space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SAT-LOI-20220825-00131; Sidus Space 10-Q Q3 2024; OSC TraCSS bulletin Q3 2025</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Rocket_Lab_Photon</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SAT-LOA-20230116-00010; Rocket Lab 10-K FY2024; OSC TraCSS notice Q2 2025</w:t>
            </w:r>
          </w:p>
        </w:tc>
        <w:tc>
          <w:tcPr>
            <w:tcW w:w="0" w:type="auto"/>
          </w:tcPr>
          <w:p>
            <w:pPr>
              <w:spacing w:line="240" w:lineRule="auto" w:before="0" w:after="0"/>
              <w:pStyle w:val="Compact"/>
            </w:pPr>
            <w:r>
              <w:rPr>
                <w:sz w:val="20"/>
                <w:szCs w:val="20"/>
              </w:rPr>
              <w:t xml:space="preserve">2.5649</w:t>
            </w:r>
          </w:p>
        </w:tc>
      </w:tr>
      <w:tr>
        <w:tc>
          <w:tcPr>
            <w:tcW w:w="0" w:type="auto"/>
          </w:tcPr>
          <w:p>
            <w:pPr>
              <w:spacing w:line="240" w:lineRule="auto" w:before="0" w:after="0"/>
              <w:pStyle w:val="Compact"/>
            </w:pPr>
            <w:r>
              <w:rPr>
                <w:sz w:val="20"/>
                <w:szCs w:val="20"/>
              </w:rPr>
              <w:t xml:space="preserve">Astranis</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SAT-LOA-20210712-00089; Astranis press 2024; OSC TraCSS Q4 2025 (GEO mostly, no contribution recorded)</w:t>
            </w:r>
          </w:p>
        </w:tc>
        <w:tc>
          <w:tcPr>
            <w:tcW w:w="0" w:type="auto"/>
          </w:tcPr>
          <w:p>
            <w:pPr>
              <w:spacing w:line="240" w:lineRule="auto" w:before="0" w:after="0"/>
              <w:pStyle w:val="Compact"/>
            </w:pPr>
            <w:r>
              <w:rPr>
                <w:sz w:val="20"/>
                <w:szCs w:val="20"/>
              </w:rPr>
              <w:t xml:space="preserve">1.6094</w:t>
            </w:r>
          </w:p>
        </w:tc>
      </w:tr>
      <w:tr>
        <w:tc>
          <w:tcPr>
            <w:tcW w:w="0" w:type="auto"/>
          </w:tcPr>
          <w:p>
            <w:pPr>
              <w:spacing w:line="240" w:lineRule="auto" w:before="0" w:after="0"/>
              <w:pStyle w:val="Compact"/>
            </w:pPr>
            <w:r>
              <w:rPr>
                <w:sz w:val="20"/>
                <w:szCs w:val="20"/>
              </w:rPr>
              <w:t xml:space="preserve">Lynk_Global</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SAT-MOD-20220920-00132; Lynk Global press 2024; OSC TraCSS user list Sep 2025</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Vast_Haven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SAT-LOA-20240115-00012; Vast Space press 2024; OSC TraCSS Q4 2025 (none recorded) [illustrative]</w:t>
            </w:r>
          </w:p>
        </w:tc>
        <w:tc>
          <w:tcPr>
            <w:tcW w:w="0" w:type="auto"/>
          </w:tcPr>
          <w:p>
            <w:pPr>
              <w:spacing w:line="240" w:lineRule="auto" w:before="0" w:after="0"/>
              <w:pStyle w:val="Compact"/>
            </w:pPr>
            <w:r>
              <w:rPr>
                <w:sz w:val="20"/>
                <w:szCs w:val="20"/>
              </w:rPr>
              <w:t xml:space="preserve">0.6931</w:t>
            </w:r>
          </w:p>
        </w:tc>
      </w:tr>
      <w:tr>
        <w:tc>
          <w:tcPr>
            <w:tcW w:w="0" w:type="auto"/>
          </w:tcPr>
          <w:p>
            <w:pPr>
              <w:spacing w:line="240" w:lineRule="auto" w:before="0" w:after="0"/>
              <w:pStyle w:val="Compact"/>
            </w:pPr>
            <w:r>
              <w:rPr>
                <w:sz w:val="20"/>
                <w:szCs w:val="20"/>
              </w:rPr>
              <w:t xml:space="preserve">Apex_Space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Apex Space 2024 press kit; OSC TraCSS Q4 2025 (none recorded) [illustrative]</w:t>
            </w:r>
          </w:p>
        </w:tc>
        <w:tc>
          <w:tcPr>
            <w:tcW w:w="0" w:type="auto"/>
          </w:tcPr>
          <w:p>
            <w:pPr>
              <w:spacing w:line="240" w:lineRule="auto" w:before="0" w:after="0"/>
              <w:pStyle w:val="Compact"/>
            </w:pPr>
            <w:r>
              <w:rPr>
                <w:sz w:val="20"/>
                <w:szCs w:val="20"/>
              </w:rPr>
              <w:t xml:space="preserve">1.3863</w:t>
            </w:r>
          </w:p>
        </w:tc>
      </w:tr>
      <w:tr>
        <w:tc>
          <w:tcPr>
            <w:tcW w:w="0" w:type="auto"/>
          </w:tcPr>
          <w:p>
            <w:pPr>
              <w:spacing w:line="240" w:lineRule="auto" w:before="0" w:after="0"/>
              <w:pStyle w:val="Compact"/>
            </w:pPr>
            <w:r>
              <w:rPr>
                <w:sz w:val="20"/>
                <w:szCs w:val="20"/>
              </w:rPr>
              <w:t xml:space="preserve">Muon_Space</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SAT-LOA-20230510-00074; Muon Space press 2024; OSC TraCSS bulletin Q3 2025</w:t>
            </w:r>
          </w:p>
        </w:tc>
        <w:tc>
          <w:tcPr>
            <w:tcW w:w="0" w:type="auto"/>
          </w:tcPr>
          <w:p>
            <w:pPr>
              <w:spacing w:line="240" w:lineRule="auto" w:before="0" w:after="0"/>
              <w:pStyle w:val="Compact"/>
            </w:pPr>
            <w:r>
              <w:rPr>
                <w:sz w:val="20"/>
                <w:szCs w:val="20"/>
              </w:rPr>
              <w:t xml:space="preserve">1.6094</w:t>
            </w:r>
          </w:p>
        </w:tc>
      </w:tr>
      <w:tr>
        <w:tc>
          <w:tcPr>
            <w:tcW w:w="0" w:type="auto"/>
          </w:tcPr>
          <w:p>
            <w:pPr>
              <w:spacing w:line="240" w:lineRule="auto" w:before="0" w:after="0"/>
              <w:pStyle w:val="Compact"/>
            </w:pPr>
            <w:r>
              <w:rPr>
                <w:sz w:val="20"/>
                <w:szCs w:val="20"/>
              </w:rPr>
              <w:t xml:space="preserve">Tomorrow_io</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SAT-LOA-20220318-00038; Tomorrow.io press 2024; OSC TraCSS user roster 2025</w:t>
            </w:r>
          </w:p>
        </w:tc>
        <w:tc>
          <w:tcPr>
            <w:tcW w:w="0" w:type="auto"/>
          </w:tcPr>
          <w:p>
            <w:pPr>
              <w:spacing w:line="240" w:lineRule="auto" w:before="0" w:after="0"/>
              <w:pStyle w:val="Compact"/>
            </w:pPr>
            <w:r>
              <w:rPr>
                <w:sz w:val="20"/>
                <w:szCs w:val="20"/>
              </w:rPr>
              <w:t xml:space="preserve">1.9459</w:t>
            </w:r>
          </w:p>
        </w:tc>
      </w:tr>
      <w:tr>
        <w:tc>
          <w:tcPr>
            <w:tcW w:w="0" w:type="auto"/>
          </w:tcPr>
          <w:p>
            <w:pPr>
              <w:spacing w:line="240" w:lineRule="auto" w:before="0" w:after="0"/>
              <w:pStyle w:val="Compact"/>
            </w:pPr>
            <w:r>
              <w:rPr>
                <w:sz w:val="20"/>
                <w:szCs w:val="20"/>
              </w:rPr>
              <w:t xml:space="preserve">Umbra</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FCC IBFS SAT-LOA-20210212-00018; Umbra Lab press 2024; OSC TraCSS notice Q2 2025</w:t>
            </w:r>
          </w:p>
        </w:tc>
        <w:tc>
          <w:tcPr>
            <w:tcW w:w="0" w:type="auto"/>
          </w:tcPr>
          <w:p>
            <w:pPr>
              <w:spacing w:line="240" w:lineRule="auto" w:before="0" w:after="0"/>
              <w:pStyle w:val="Compact"/>
            </w:pPr>
            <w:r>
              <w:rPr>
                <w:sz w:val="20"/>
                <w:szCs w:val="20"/>
              </w:rPr>
              <w:t xml:space="preserve">2.1972</w:t>
            </w:r>
          </w:p>
        </w:tc>
      </w:tr>
      <w:tr>
        <w:tc>
          <w:tcPr>
            <w:tcW w:w="0" w:type="auto"/>
          </w:tcPr>
          <w:p>
            <w:pPr>
              <w:spacing w:line="240" w:lineRule="auto" w:before="0" w:after="0"/>
              <w:pStyle w:val="Compact"/>
            </w:pPr>
            <w:r>
              <w:rPr>
                <w:sz w:val="20"/>
                <w:szCs w:val="20"/>
              </w:rPr>
              <w:t xml:space="preserve">Sateliot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Sateliot SL 2024 press kit; ESA DISCOS catalog 2025; OSC TraCSS Q4 2025 (none recorded)</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Skykraft</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Skykraft press 2024; ESA DISCOS catalog 2025; OSC TraCSS Q4 2025 (none recorded) [illustrative]</w:t>
            </w:r>
          </w:p>
        </w:tc>
        <w:tc>
          <w:tcPr>
            <w:tcW w:w="0" w:type="auto"/>
          </w:tcPr>
          <w:p>
            <w:pPr>
              <w:spacing w:line="240" w:lineRule="auto" w:before="0" w:after="0"/>
              <w:pStyle w:val="Compact"/>
            </w:pPr>
            <w:r>
              <w:rPr>
                <w:sz w:val="20"/>
                <w:szCs w:val="20"/>
              </w:rPr>
              <w:t xml:space="preserve">1.7918</w:t>
            </w:r>
          </w:p>
        </w:tc>
      </w:tr>
      <w:tr>
        <w:tc>
          <w:tcPr>
            <w:tcW w:w="0" w:type="auto"/>
          </w:tcPr>
          <w:p>
            <w:pPr>
              <w:spacing w:line="240" w:lineRule="auto" w:before="0" w:after="0"/>
              <w:pStyle w:val="Compact"/>
            </w:pPr>
            <w:r>
              <w:rPr>
                <w:sz w:val="20"/>
                <w:szCs w:val="20"/>
              </w:rPr>
              <w:t xml:space="preserve">GHGSat</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GHGSat 2024 annual review; ESA DISCOS catalog 2025; OSC TraCSS bulletin Q3 2025</w:t>
            </w:r>
          </w:p>
        </w:tc>
        <w:tc>
          <w:tcPr>
            <w:tcW w:w="0" w:type="auto"/>
          </w:tcPr>
          <w:p>
            <w:pPr>
              <w:spacing w:line="240" w:lineRule="auto" w:before="0" w:after="0"/>
              <w:pStyle w:val="Compact"/>
            </w:pPr>
            <w:r>
              <w:rPr>
                <w:sz w:val="20"/>
                <w:szCs w:val="20"/>
              </w:rPr>
              <w:t xml:space="preserve">2.5649</w:t>
            </w:r>
          </w:p>
        </w:tc>
      </w:tr>
      <w:tr>
        <w:tc>
          <w:tcPr>
            <w:tcW w:w="0" w:type="auto"/>
          </w:tcPr>
          <w:p>
            <w:pPr>
              <w:spacing w:line="240" w:lineRule="auto" w:before="0" w:after="0"/>
              <w:pStyle w:val="Compact"/>
            </w:pPr>
            <w:r>
              <w:rPr>
                <w:sz w:val="20"/>
                <w:szCs w:val="20"/>
              </w:rPr>
              <w:t xml:space="preserve">EOS_Data_Analytics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EOS Data Analytics press 2024; ESA DISCOS catalog 2025; OSC TraCSS Q4 2025 (none recorded) [illustrative]</w:t>
            </w:r>
          </w:p>
        </w:tc>
        <w:tc>
          <w:tcPr>
            <w:tcW w:w="0" w:type="auto"/>
          </w:tcPr>
          <w:p>
            <w:pPr>
              <w:spacing w:line="240" w:lineRule="auto" w:before="0" w:after="0"/>
              <w:pStyle w:val="Compact"/>
            </w:pPr>
            <w:r>
              <w:rPr>
                <w:sz w:val="20"/>
                <w:szCs w:val="20"/>
              </w:rPr>
              <w:t xml:space="preserve">2.0794</w:t>
            </w:r>
          </w:p>
        </w:tc>
      </w:tr>
    </w:tbl>
    <w:bookmarkEnd w:id="200"/>
    <w:bookmarkStart w:id="201"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days_to_contribute</w:t>
            </w:r>
          </w:p>
        </w:tc>
        <w:tc>
          <w:tcPr>
            <w:tcW w:w="0" w:type="auto"/>
          </w:tcPr>
          <w:p>
            <w:pPr>
              <w:spacing w:line="240" w:lineRule="auto" w:before="0" w:after="0"/>
              <w:pStyle w:val="Compact"/>
            </w:pPr>
            <w:r>
              <w:rPr>
                <w:sz w:val="20"/>
                <w:szCs w:val="20"/>
              </w:rPr>
              <w:t xml:space="preserve">Days from TraCSS IOC eligibility (2024-09-30) to first observed voluntary high-fidelity ephemeris contribution; right-censored at 365 days if no contribution recorded</w:t>
            </w:r>
          </w:p>
        </w:tc>
        <w:tc>
          <w:tcPr>
            <w:tcW w:w="0" w:type="auto"/>
          </w:tcPr>
          <w:p>
            <w:pPr>
              <w:spacing w:line="240" w:lineRule="auto" w:before="0" w:after="0"/>
              <w:pStyle w:val="Compact"/>
            </w:pPr>
            <w:r>
              <w:rPr>
                <w:sz w:val="20"/>
                <w:szCs w:val="20"/>
              </w:rPr>
              <w:t xml:space="preserve">OSC TraCSS user roster bulletins Q4 2024 to Q4 2025</w:t>
            </w:r>
          </w:p>
        </w:tc>
      </w:tr>
      <w:tr>
        <w:tc>
          <w:tcPr>
            <w:tcW w:w="0" w:type="auto"/>
          </w:tcPr>
          <w:p>
            <w:pPr>
              <w:spacing w:line="240" w:lineRule="auto" w:before="0" w:after="0"/>
              <w:pStyle w:val="Compact"/>
            </w:pPr>
            <w:r>
              <w:rPr>
                <w:sz w:val="20"/>
                <w:szCs w:val="20"/>
              </w:rPr>
              <w:t xml:space="preserve">contributed</w:t>
            </w:r>
          </w:p>
        </w:tc>
        <w:tc>
          <w:tcPr>
            <w:tcW w:w="0" w:type="auto"/>
          </w:tcPr>
          <w:p>
            <w:pPr>
              <w:spacing w:line="240" w:lineRule="auto" w:before="0" w:after="0"/>
              <w:pStyle w:val="Compact"/>
            </w:pPr>
            <w:r>
              <w:rPr>
                <w:sz w:val="20"/>
                <w:szCs w:val="20"/>
              </w:rPr>
              <w:t xml:space="preserve">Indicator equal to 1 if operator contributed within the 365-day window, 0 if right-censored</w:t>
            </w:r>
          </w:p>
        </w:tc>
        <w:tc>
          <w:tcPr>
            <w:tcW w:w="0" w:type="auto"/>
          </w:tcPr>
          <w:p>
            <w:pPr>
              <w:spacing w:line="240" w:lineRule="auto" w:before="0" w:after="0"/>
              <w:pStyle w:val="Compact"/>
            </w:pPr>
            <w:r>
              <w:rPr>
                <w:sz w:val="20"/>
                <w:szCs w:val="20"/>
              </w:rPr>
              <w:t xml:space="preserve">OSC TraCSS user roster bulletins</w:t>
            </w:r>
          </w:p>
        </w:tc>
      </w:tr>
      <w:tr>
        <w:tc>
          <w:tcPr>
            <w:tcW w:w="0" w:type="auto"/>
          </w:tcPr>
          <w:p>
            <w:pPr>
              <w:spacing w:line="240" w:lineRule="auto" w:before="0" w:after="0"/>
              <w:pStyle w:val="Compact"/>
            </w:pPr>
            <w:r>
              <w:rPr>
                <w:sz w:val="20"/>
                <w:szCs w:val="20"/>
              </w:rPr>
              <w:t xml:space="preserve">conjunction_exposure</w:t>
            </w:r>
          </w:p>
        </w:tc>
        <w:tc>
          <w:tcPr>
            <w:tcW w:w="0" w:type="auto"/>
          </w:tcPr>
          <w:p>
            <w:pPr>
              <w:spacing w:line="240" w:lineRule="auto" w:before="0" w:after="0"/>
              <w:pStyle w:val="Compact"/>
            </w:pPr>
            <w:r>
              <w:rPr>
                <w:sz w:val="20"/>
                <w:szCs w:val="20"/>
              </w:rPr>
              <w:t xml:space="preserve">Operator-month mean of conjunction data messages issued against operator’s fleet in calendar year 2024, in CDMs per operational satellite</w:t>
            </w:r>
          </w:p>
        </w:tc>
        <w:tc>
          <w:tcPr>
            <w:tcW w:w="0" w:type="auto"/>
          </w:tcPr>
          <w:p>
            <w:pPr>
              <w:spacing w:line="240" w:lineRule="auto" w:before="0" w:after="0"/>
              <w:pStyle w:val="Compact"/>
            </w:pPr>
            <w:r>
              <w:rPr>
                <w:sz w:val="20"/>
                <w:szCs w:val="20"/>
              </w:rPr>
              <w:t xml:space="preserve">18 SDS / 19 SDS CDM logs mirrored into TraCSS; LeoLabs commercial catalog 2024</w:t>
            </w:r>
          </w:p>
        </w:tc>
      </w:tr>
      <w:tr>
        <w:tc>
          <w:tcPr>
            <w:tcW w:w="0" w:type="auto"/>
          </w:tcPr>
          <w:p>
            <w:pPr>
              <w:spacing w:line="240" w:lineRule="auto" w:before="0" w:after="0"/>
              <w:pStyle w:val="Compact"/>
            </w:pPr>
            <w:r>
              <w:rPr>
                <w:sz w:val="20"/>
                <w:szCs w:val="20"/>
              </w:rPr>
              <w:t xml:space="preserve">fleet_size</w:t>
            </w:r>
          </w:p>
        </w:tc>
        <w:tc>
          <w:tcPr>
            <w:tcW w:w="0" w:type="auto"/>
          </w:tcPr>
          <w:p>
            <w:pPr>
              <w:spacing w:line="240" w:lineRule="auto" w:before="0" w:after="0"/>
              <w:pStyle w:val="Compact"/>
            </w:pPr>
            <w:r>
              <w:rPr>
                <w:sz w:val="20"/>
                <w:szCs w:val="20"/>
              </w:rPr>
              <w:t xml:space="preserve">Count of active operational satellites in LEO as of 2024-09-30</w:t>
            </w:r>
          </w:p>
        </w:tc>
        <w:tc>
          <w:tcPr>
            <w:tcW w:w="0" w:type="auto"/>
          </w:tcPr>
          <w:p>
            <w:pPr>
              <w:spacing w:line="240" w:lineRule="auto" w:before="0" w:after="0"/>
              <w:pStyle w:val="Compact"/>
            </w:pPr>
            <w:r>
              <w:rPr>
                <w:sz w:val="20"/>
                <w:szCs w:val="20"/>
              </w:rPr>
              <w:t xml:space="preserve">FCC IBFS license records; ESA DISCOS catalog; operator 10-K and 20-F filings FY2024</w:t>
            </w:r>
          </w:p>
        </w:tc>
      </w:tr>
      <w:tr>
        <w:tc>
          <w:tcPr>
            <w:tcW w:w="0" w:type="auto"/>
          </w:tcPr>
          <w:p>
            <w:pPr>
              <w:spacing w:line="240" w:lineRule="auto" w:before="0" w:after="0"/>
              <w:pStyle w:val="Compact"/>
            </w:pPr>
            <w:r>
              <w:rPr>
                <w:sz w:val="20"/>
                <w:szCs w:val="20"/>
              </w:rPr>
              <w:t xml:space="preserve">us_licensed</w:t>
            </w:r>
          </w:p>
        </w:tc>
        <w:tc>
          <w:tcPr>
            <w:tcW w:w="0" w:type="auto"/>
          </w:tcPr>
          <w:p>
            <w:pPr>
              <w:spacing w:line="240" w:lineRule="auto" w:before="0" w:after="0"/>
              <w:pStyle w:val="Compact"/>
            </w:pPr>
            <w:r>
              <w:rPr>
                <w:sz w:val="20"/>
                <w:szCs w:val="20"/>
              </w:rPr>
              <w:t xml:space="preserve">Indicator equal to 1 if operator holds a primary US FCC or NOAA CRSRA license, 0 otherwise</w:t>
            </w:r>
          </w:p>
        </w:tc>
        <w:tc>
          <w:tcPr>
            <w:tcW w:w="0" w:type="auto"/>
          </w:tcPr>
          <w:p>
            <w:pPr>
              <w:spacing w:line="240" w:lineRule="auto" w:before="0" w:after="0"/>
              <w:pStyle w:val="Compact"/>
            </w:pPr>
            <w:r>
              <w:rPr>
                <w:sz w:val="20"/>
                <w:szCs w:val="20"/>
              </w:rPr>
              <w:t xml:space="preserve">FCC IBFS; NOAA CRSRA registries</w:t>
            </w:r>
          </w:p>
        </w:tc>
      </w:tr>
      <w:tr>
        <w:tc>
          <w:tcPr>
            <w:tcW w:w="0" w:type="auto"/>
          </w:tcPr>
          <w:p>
            <w:pPr>
              <w:spacing w:line="240" w:lineRule="auto" w:before="0" w:after="0"/>
              <w:pStyle w:val="Compact"/>
            </w:pPr>
            <w:r>
              <w:rPr>
                <w:sz w:val="20"/>
                <w:szCs w:val="20"/>
              </w:rPr>
              <w:t xml:space="preserve">prior_anomaly</w:t>
            </w:r>
          </w:p>
        </w:tc>
        <w:tc>
          <w:tcPr>
            <w:tcW w:w="0" w:type="auto"/>
          </w:tcPr>
          <w:p>
            <w:pPr>
              <w:spacing w:line="240" w:lineRule="auto" w:before="0" w:after="0"/>
              <w:pStyle w:val="Compact"/>
            </w:pPr>
            <w:r>
              <w:rPr>
                <w:sz w:val="20"/>
                <w:szCs w:val="20"/>
              </w:rPr>
              <w:t xml:space="preserve">Indicator equal to 1 if operator had a publicly reported on-orbit collision or near-miss anomaly between 2019 and 2024, 0 otherwise</w:t>
            </w:r>
          </w:p>
        </w:tc>
        <w:tc>
          <w:tcPr>
            <w:tcW w:w="0" w:type="auto"/>
          </w:tcPr>
          <w:p>
            <w:pPr>
              <w:spacing w:line="240" w:lineRule="auto" w:before="0" w:after="0"/>
              <w:pStyle w:val="Compact"/>
            </w:pPr>
            <w:r>
              <w:rPr>
                <w:sz w:val="20"/>
                <w:szCs w:val="20"/>
              </w:rPr>
              <w:t xml:space="preserve">Public press; Alfano et al. (2021); operator anomaly disclosures in SEC filings</w:t>
            </w:r>
          </w:p>
        </w:tc>
      </w:tr>
    </w:tbl>
    <w:bookmarkEnd w:id="201"/>
    <w:bookmarkEnd w:id="202"/>
    <w:bookmarkEnd w:id="20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8" Type="http://schemas.openxmlformats.org/officeDocument/2006/relationships/image" Target="media/rId188.png"/><Relationship Id="rId196" Type="http://schemas.openxmlformats.org/officeDocument/2006/relationships/image" Target="media/rId196.png"/><Relationship Id="rId154" Type="http://schemas.openxmlformats.org/officeDocument/2006/relationships/hyperlink" Target="https://doi.org/10.1016/j.actaastro.2018.03.017" TargetMode="External"/><Relationship Id="rId182" Type="http://schemas.openxmlformats.org/officeDocument/2006/relationships/hyperlink" Target="https://doi.org/10.1016/j.actaastro.2020.11.008" TargetMode="External"/><Relationship Id="rId159" Type="http://schemas.openxmlformats.org/officeDocument/2006/relationships/hyperlink" Target="https://doi.org/10.1016/j.actaastro.2021.04.009" TargetMode="External"/><Relationship Id="rId174" Type="http://schemas.openxmlformats.org/officeDocument/2006/relationships/hyperlink" Target="https://doi.org/10.1016/j.actaastro.2023.04.032" TargetMode="External"/><Relationship Id="rId180" Type="http://schemas.openxmlformats.org/officeDocument/2006/relationships/hyperlink" Target="https://doi.org/10.1016/j.actaastro.2024.12.056" TargetMode="External"/><Relationship Id="rId178" Type="http://schemas.openxmlformats.org/officeDocument/2006/relationships/hyperlink" Target="https://doi.org/10.1016/j.actaastro.2024.12.060" TargetMode="External"/><Relationship Id="rId144" Type="http://schemas.openxmlformats.org/officeDocument/2006/relationships/hyperlink" Target="https://doi.org/10.1016/j.actaastro.2025.01.031" TargetMode="External"/><Relationship Id="rId152" Type="http://schemas.openxmlformats.org/officeDocument/2006/relationships/hyperlink" Target="https://doi.org/10.1016/j.actaastro.2025.01.042" TargetMode="External"/><Relationship Id="rId150" Type="http://schemas.openxmlformats.org/officeDocument/2006/relationships/hyperlink" Target="https://doi.org/10.1016/j.actaastro.2025.03.034" TargetMode="External"/><Relationship Id="rId140" Type="http://schemas.openxmlformats.org/officeDocument/2006/relationships/hyperlink" Target="https://doi.org/10.1016/j.actaastro.2025.05.036" TargetMode="External"/><Relationship Id="rId184" Type="http://schemas.openxmlformats.org/officeDocument/2006/relationships/hyperlink" Target="https://doi.org/10.1016/j.actaastro.2025.11.006" TargetMode="External"/><Relationship Id="rId138" Type="http://schemas.openxmlformats.org/officeDocument/2006/relationships/hyperlink" Target="https://doi.org/10.64861/DDNM3393" TargetMode="External"/><Relationship Id="rId142" Type="http://schemas.openxmlformats.org/officeDocument/2006/relationships/hyperlink" Target="https://doi.org/10.64861/JKDR9240" TargetMode="External"/><Relationship Id="rId171" Type="http://schemas.openxmlformats.org/officeDocument/2006/relationships/hyperlink" Target="https://doi.org/10.64861/LCET1122" TargetMode="External"/><Relationship Id="rId136" Type="http://schemas.openxmlformats.org/officeDocument/2006/relationships/hyperlink" Target="https://doi.org/10.64861/TRSQ4124" TargetMode="External"/></Relationships>
</file>

<file path=word/_rels/footnotes.xml.rels><?xml version='1.0' encoding='UTF-8' standalone='yes'?>
<Relationships xmlns="http://schemas.openxmlformats.org/package/2006/relationships"><Relationship Id="rId154" Type="http://schemas.openxmlformats.org/officeDocument/2006/relationships/hyperlink" Target="https://doi.org/10.1016/j.actaastro.2018.03.017" TargetMode="External"/><Relationship Id="rId182" Type="http://schemas.openxmlformats.org/officeDocument/2006/relationships/hyperlink" Target="https://doi.org/10.1016/j.actaastro.2020.11.008" TargetMode="External"/><Relationship Id="rId159" Type="http://schemas.openxmlformats.org/officeDocument/2006/relationships/hyperlink" Target="https://doi.org/10.1016/j.actaastro.2021.04.009" TargetMode="External"/><Relationship Id="rId174" Type="http://schemas.openxmlformats.org/officeDocument/2006/relationships/hyperlink" Target="https://doi.org/10.1016/j.actaastro.2023.04.032" TargetMode="External"/><Relationship Id="rId180" Type="http://schemas.openxmlformats.org/officeDocument/2006/relationships/hyperlink" Target="https://doi.org/10.1016/j.actaastro.2024.12.056" TargetMode="External"/><Relationship Id="rId178" Type="http://schemas.openxmlformats.org/officeDocument/2006/relationships/hyperlink" Target="https://doi.org/10.1016/j.actaastro.2024.12.060" TargetMode="External"/><Relationship Id="rId144" Type="http://schemas.openxmlformats.org/officeDocument/2006/relationships/hyperlink" Target="https://doi.org/10.1016/j.actaastro.2025.01.031" TargetMode="External"/><Relationship Id="rId152" Type="http://schemas.openxmlformats.org/officeDocument/2006/relationships/hyperlink" Target="https://doi.org/10.1016/j.actaastro.2025.01.042" TargetMode="External"/><Relationship Id="rId150" Type="http://schemas.openxmlformats.org/officeDocument/2006/relationships/hyperlink" Target="https://doi.org/10.1016/j.actaastro.2025.03.034" TargetMode="External"/><Relationship Id="rId140" Type="http://schemas.openxmlformats.org/officeDocument/2006/relationships/hyperlink" Target="https://doi.org/10.1016/j.actaastro.2025.05.036" TargetMode="External"/><Relationship Id="rId184" Type="http://schemas.openxmlformats.org/officeDocument/2006/relationships/hyperlink" Target="https://doi.org/10.1016/j.actaastro.2025.11.006" TargetMode="External"/><Relationship Id="rId138" Type="http://schemas.openxmlformats.org/officeDocument/2006/relationships/hyperlink" Target="https://doi.org/10.64861/DDNM3393" TargetMode="External"/><Relationship Id="rId142" Type="http://schemas.openxmlformats.org/officeDocument/2006/relationships/hyperlink" Target="https://doi.org/10.64861/JKDR9240" TargetMode="External"/><Relationship Id="rId171" Type="http://schemas.openxmlformats.org/officeDocument/2006/relationships/hyperlink" Target="https://doi.org/10.64861/LCET1122" TargetMode="External"/><Relationship Id="rId136" Type="http://schemas.openxmlformats.org/officeDocument/2006/relationships/hyperlink" Target="https://doi.org/10.64861/TRSQ41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Economics of Voluntary SSA Data-Sharing: A Revealed-Preference Analysis of Commercial Operator Participation</dc:title>
  <dc:creator>Omar Yates (1B-SDA-120)</dc:creator>
  <cp:keywords/>
  <dcterms:created xsi:type="dcterms:W3CDTF">2026-07-02T16:34:08Z</dcterms:created>
  <dcterms:modified xsi:type="dcterms:W3CDTF">2026-07-02T16:34:08Z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