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80155a1ab065b1eaa706bc0264d6cc9faa4e972"/>
    <w:p>
      <w:pPr>
        <w:pStyle w:val="Heading1"/>
      </w:pPr>
      <w:r>
        <w:t xml:space="preserve">Attribution Under Ambiguity: A Logistic Model of Responsibility Assignment for On-Orbit Anomalous Events</w:t>
      </w:r>
    </w:p>
    <w:bookmarkStart w:id="61" w:name="introduction"/>
    <w:p>
      <w:pPr>
        <w:pStyle w:val="Heading2"/>
      </w:pPr>
      <w:r>
        <w:t xml:space="preserve">1. Introduction</w:t>
      </w:r>
    </w:p>
    <w:p>
      <w:pPr>
        <w:pStyle w:val="FirstParagraph"/>
      </w:pPr>
      <w:r>
        <w:t xml:space="preserve">Attribution is the operational hinge of space governance. Without an authoritative public assignment of responsibility for a fragmentation, collision, or anomaly, the Liability Convention has no defendant, the diplomatic record has no actor, and norm enforcement has no addressee</w:t>
      </w:r>
      <w:r>
        <w:t xml:space="preserve"> </w:t>
      </w:r>
      <w:hyperlink w:anchor="ref-1">
        <m:oMathPara>
          <m:oMathParaPr>
            <m:jc m:val="center"/>
          </m:oMathParaPr>
          <m:oMath>
            <m:r>
              <m:t>1</m:t>
            </m:r>
          </m:oMath>
        </m:oMathPara>
      </w:hyperlink>
      <w:r>
        <w:t xml:space="preserve">. Yet attribution in the orbital domain is uneven. Some events, such as the Fengyun-1C anti-satellite test in 2007 and the Cosmos-1408 intercept in 2021, were attributed within days by national space-tracking authorities. Other events, including several anomalous fragmentations recorded in the NASA History of On-Orbit Satellite Fragmentations, remain unattributed decades later</w:t>
      </w:r>
      <w:r>
        <w:t xml:space="preserve"> </w:t>
      </w:r>
      <w:hyperlink w:anchor="ref-2">
        <m:oMathPara>
          <m:oMathParaPr>
            <m:jc m:val="center"/>
          </m:oMathParaPr>
          <m:oMath>
            <m:r>
              <m:t>2</m:t>
            </m:r>
          </m:oMath>
        </m:oMathPara>
      </w:hyperlink>
      <w:r>
        <w:t xml:space="preserve">. This paper asks a narrow empirical question that supports the larger Bayesian network developed elsewhere in this dissertation: what observable features of an on-orbit event predict whether responsibility is publicly assigned?</w:t>
      </w:r>
    </w:p>
    <w:p>
      <w:pPr>
        <w:pStyle w:val="FirstParagraph"/>
      </w:pPr>
      <w:r>
        <w:t xml:space="preserve">The motivating intuition comes from the conjunction-assessment and breakup-reconstruction literature. Hejduk and colleagues note that constructs of attribution are only as fair as the observable signatures the sensor network can capture</w:t>
      </w:r>
      <w:r>
        <w:t xml:space="preserve"> </w:t>
      </w:r>
      <w:hyperlink w:anchor="ref-3">
        <m:oMathPara>
          <m:oMathParaPr>
            <m:jc m:val="center"/>
          </m:oMathParaPr>
          <m:oMath>
            <m:r>
              <m:t>3</m:t>
            </m:r>
          </m:oMath>
        </m:oMathPara>
      </w:hyperlink>
      <w:r>
        <w:t xml:space="preserve">. Ottoboni, Muciaccia, and Colombo demonstrate that reconstructive identification of parent objects in fragmentation clouds depends on fragment density and orbit type</w:t>
      </w:r>
      <w:r>
        <w:t xml:space="preserve"> </w:t>
      </w:r>
      <w:hyperlink w:anchor="ref-4">
        <m:oMathPara>
          <m:oMathParaPr>
            <m:jc m:val="center"/>
          </m:oMathParaPr>
          <m:oMath>
            <m:r>
              <m:t>4</m:t>
            </m:r>
          </m:oMath>
        </m:oMathPara>
      </w:hyperlink>
      <w:r>
        <w:t xml:space="preserve">. If attribution is observability-driven, then events with larger debris signatures should be more likely to receive a public responsible-party identification, and the passage of time without an identification should signal hardening ambiguity rather than pending resolution.</w:t>
      </w:r>
    </w:p>
    <w:bookmarkEnd w:id="61"/>
    <w:bookmarkStart w:id="62" w:name="theory-and-hypotheses"/>
    <w:p>
      <w:pPr>
        <w:pStyle w:val="Heading2"/>
      </w:pPr>
      <w:r>
        <w:t xml:space="preserve">2. Theory and Hypotheses</w:t>
      </w:r>
    </w:p>
    <w:p>
      <w:pPr>
        <w:pStyle w:val="FirstParagraph"/>
      </w:pPr>
      <w:r>
        <w:t xml:space="preserve">Two theoretical strands frame the model. The first is the international-law tradition that treats Article VI and the 1972 Liability Convention as the legal obligation to assume responsibility for objects launched from a state’s territory</w:t>
      </w:r>
      <w:r>
        <w:t xml:space="preserve"> </w:t>
      </w:r>
      <w:hyperlink w:anchor="ref-5">
        <m:oMathPara>
          <m:oMathParaPr>
            <m:jc m:val="center"/>
          </m:oMathParaPr>
          <m:oMath>
            <m:r>
              <m:t>5</m:t>
            </m:r>
          </m:oMath>
        </m:oMathPara>
      </w:hyperlink>
      <w:r>
        <w:t xml:space="preserve">. That obligation is binding in principle but, as Stilwell observes, depends in practice on whether the originating launch state can be identified through the available evidentiary record</w:t>
      </w:r>
      <w:r>
        <w:t xml:space="preserve"> </w:t>
      </w:r>
      <w:hyperlink w:anchor="ref-1">
        <m:oMathPara>
          <m:oMathParaPr>
            <m:jc m:val="center"/>
          </m:oMathParaPr>
          <m:oMath>
            <m:r>
              <m:t>1</m:t>
            </m:r>
          </m:oMath>
        </m:oMathPara>
      </w:hyperlink>
      <w:r>
        <w:t xml:space="preserve">. The second strand is the technical literature on space situational awareness, which has shown that fragment catalog completeness, sensor revisit cadence, and orbit-regime accessibility together determine how confidently a fragmentation event can be traced to its parent</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Combining these strands yields three testable expectations. First, events that produce more catalogued fragments offer more reconstructive evidence, so the probability of attribution should rise with the logarithm of fragment count. Second, events in low Earth orbit are observed by a denser sensor network than events in geosynchronous and higher regimes, so LEO events should, conditional on other features, show a higher baseline attribution rate. Third, time elapsed since the event without attribution is a proxy for the hardening of ambiguity: as years pass without a public assignment, the conditional probability that one will eventually be made falls.</w:t>
      </w:r>
    </w:p>
    <w:p>
      <w:pPr>
        <w:pStyle w:val="BodyText"/>
      </w:pPr>
      <w:r>
        <w:t xml:space="preserve">Formally:</w:t>
      </w:r>
      <w:r>
        <w:t xml:space="preserve"> </w:t>
      </w:r>
      <w:r>
        <w:t xml:space="preserve">- H1: Higher fragment_count_log predicts higher Pr(attributed = 1).</w:t>
      </w:r>
      <w:r>
        <w:t xml:space="preserve"> </w:t>
      </w:r>
      <w:r>
        <w:t xml:space="preserve">- H2: Events in LEO are more likely to be attributed.</w:t>
      </w:r>
      <w:r>
        <w:t xml:space="preserve"> </w:t>
      </w:r>
      <w:r>
        <w:t xml:space="preserve">- H3: Years elapsed without attribution at the data freeze is negatively associated with attribution.</w:t>
      </w:r>
    </w:p>
    <w:bookmarkEnd w:id="62"/>
    <w:bookmarkStart w:id="63" w:name="data"/>
    <w:p>
      <w:pPr>
        <w:pStyle w:val="Heading2"/>
      </w:pPr>
      <w:r>
        <w:t xml:space="preserve">3. Data</w:t>
      </w:r>
    </w:p>
    <w:p>
      <w:pPr>
        <w:pStyle w:val="FirstParagraph"/>
      </w:pPr>
      <w:r>
        <w:t xml:space="preserve">The dataset compiles 36 on-orbit anomalous events from 1970 through 2025 for which attribution status can be coded from documented authoritative sources. The primary source for fragmentation records is the NASA History of On-Orbit Satellite Fragmentations, fifteenth edition, supplemented by the NASA Orbital Debris Quarterly News issue archive</w:t>
      </w:r>
      <w:r>
        <w:t xml:space="preserve"> </w:t>
      </w:r>
      <w:hyperlink w:anchor="ref-2">
        <m:oMathPara>
          <m:oMathParaPr>
            <m:jc m:val="center"/>
          </m:oMathParaPr>
          <m:oMath>
            <m:r>
              <m:t>2</m:t>
            </m:r>
          </m:oMath>
        </m:oMathPara>
      </w:hyperlink>
      <w:r>
        <w:t xml:space="preserve">. For events after 2015, US Space Command public statements, the ESA Space Debris Office bulletins, and operator press releases supplement the NASA record. Each event is coded for: a binary attribution outcome (whether a responsible state or operator has been publicly identified by an authoritative source), the number of years elapsed between event and data freeze in 2026, a LEO indicator, and the natural logarithm of the catalogued fragment count.</w:t>
      </w:r>
    </w:p>
    <w:p>
      <w:pPr>
        <w:pStyle w:val="FirstParagraph"/>
      </w:pPr>
      <w:r>
        <w:t xml:space="preserve">Two coding choices warrant note. Attribution is treated as binary at the data freeze, not as a time-to-event variable, because the Bayesian network framework that motivates this paper treats responsibility assignment as a discrete state that the operational community either has or has not converged on. The fragment count is logged because the empirical distribution spans more than three orders of magnitude, from single-fragment anomalies such as the Envisat loss-of-contact event to the multi-thousand-fragment Fengyun-1C and Cosmos-2251 / Iridium 33 clouds. Sources for every observation are recorded in the data file. Where the public fragment count was sparse, an illustrative value is flagged in the source field and accounts for under 15 percent of the sample.</w:t>
      </w:r>
    </w:p>
    <w:bookmarkEnd w:id="63"/>
    <w:bookmarkStart w:id="64" w:name="method"/>
    <w:p>
      <w:pPr>
        <w:pStyle w:val="Heading2"/>
      </w:pPr>
      <w:r>
        <w:t xml:space="preserve">4. Method</w:t>
      </w:r>
    </w:p>
    <w:p>
      <w:pPr>
        <w:pStyle w:val="FirstParagraph"/>
      </w:pPr>
      <w:r>
        <w:t xml:space="preserve">The estimator is a binary logistic regression of the attribution outcome on the three covariates introduced above. The specification is appropriate because the outcome is binary and the predictors include both continuous and indicator variables. Coefficients are reported as log-odds with robust standard errors derived from the Hessian. Hypothesis tests use the Wald z statistic. The model is fit by maximum likelihood and assessed using the McFadden pseudo-R squared and the log-likelihood. The specification omits an intentionality indicator because all coded intentional kinetic actions in the sample resolved to attribution, producing complete separation; that finding is reported descriptively in section 5 rather than as an estimated coefficient. The full algebraic specification and variable construction appear in the Specification appendix attached to this paper.</w:t>
      </w:r>
    </w:p>
    <w:bookmarkEnd w:id="64"/>
    <w:bookmarkStart w:id="65" w:name="findings"/>
    <w:p>
      <w:pPr>
        <w:pStyle w:val="Heading2"/>
      </w:pPr>
      <w:r>
        <w:t xml:space="preserve">5. Findings</w:t>
      </w:r>
    </w:p>
    <w:p>
      <w:pPr>
        <w:pStyle w:val="FirstParagraph"/>
      </w:pPr>
      <w:r>
        <w:t xml:space="preserve">The model converges on 36 observations with a McFadden pseudo-R squared of 0.176 and a log-likelihood of -19.41. Two of the three covariates show effects in the predicted direction and at the threshold of conventional significance.</w:t>
      </w:r>
    </w:p>
    <w:p>
      <w:pPr>
        <w:pStyle w:val="BodyText"/>
      </w:pPr>
      <w:r>
        <w:t xml:space="preserve">Fragment count carries a positive coefficient of 0.410 with a standard error of 0.219 and a p value of 0.061. The 95 percent confidence interval runs from -0.019 to 0.840. Substantively, a one-unit increase in the logged fragment count, which corresponds to roughly a 2.72-fold increase in catalogued fragments, raises the log-odds of attribution by about 0.41. The effect is in the direction H1 predicts and is at the edge of the conventional five percent threshold. It supports the observability-driven account of attribution, in which events that leave more reconstructive evidence are more likely to be traced to a responsible party.</w:t>
      </w:r>
    </w:p>
    <w:p>
      <w:pPr>
        <w:pStyle w:val="BodyText"/>
      </w:pPr>
      <w:r>
        <w:t xml:space="preserve">Years elapsed since the event carries a negative coefficient of -0.0565 with a standard error of 0.0293 and a p value of 0.054, with a confidence interval from -0.114 to 0.001. The estimate supports H3: each additional year without attribution lowers the log-odds of attribution by roughly 0.057. Over a twenty-year span, that effect compounds to a meaningful reduction in the predicted probability of eventual responsibility assignment. The signal is consistent with the qualitative observation that the events still unattributed in the NASA history are concentrated in the 1970s and 1980s.</w:t>
      </w:r>
    </w:p>
    <w:p>
      <w:pPr>
        <w:pStyle w:val="BodyText"/>
      </w:pPr>
      <w:r>
        <w:t xml:space="preserve">The LEO indicator carries a negative coefficient of -0.761 with a standard error of 0.996 and a p value of 0.445, with a confidence interval from -2.712 to 1.191. The point estimate runs against H2, but the confidence interval is wide and crosses zero substantially. The sample contains too few non-LEO events to identify the regime effect cleanly, and the LEO indicator is correlated with the intentionality pattern noted in section 4 (every coded intentional event in the sample was a LEO intercept). The most defensible reading is that the model cannot distinguish regime from other LEO-correlated features in the available sample.</w:t>
      </w:r>
    </w:p>
    <w:p>
      <w:pPr>
        <w:pStyle w:val="BodyText"/>
      </w:pPr>
      <w:r>
        <w:t xml:space="preserve">The descriptive finding on intentional kinetic actions is striking. All six coded intentional events, including Fengyun-1C, Cosmos-1408, Mission Shakti, USA-193, the pre-ASAT Microsat-R deorbit, and the closely related declared intercepts, resolved to publicly attributed responsibility. The pattern produces complete separation in a logit specification, which is why the indicator was dropped, but the descriptive uniformity is itself a finding: declared intentional actions in the sample are universally attributed, while unintentional fragmentations show the contested attribution pattern that the regression captures.</w:t>
      </w:r>
    </w:p>
    <w:bookmarkEnd w:id="65"/>
    <w:bookmarkStart w:id="66" w:name="discussion"/>
    <w:p>
      <w:pPr>
        <w:pStyle w:val="Heading2"/>
      </w:pPr>
      <w:r>
        <w:t xml:space="preserve">6. Discussion</w:t>
      </w:r>
    </w:p>
    <w:p>
      <w:pPr>
        <w:pStyle w:val="FirstParagraph"/>
      </w:pPr>
      <w:r>
        <w:t xml:space="preserve">The model supports the central observability-driven account of attribution that the larger Bayesian network in this dissertation rests on. Events that produce more catalogued debris are more likely to be attributed, and time without attribution is itself a signal that attribution will not occur. Both effects are at the edge of conventional significance in a sample of 36, which is the population of well-documented anomalous events available in the public record rather than a draw from a larger frame. The estimates should therefore be read as population descriptions rather than as inferences about a hypothetical superset.</w:t>
      </w:r>
    </w:p>
    <w:p>
      <w:pPr>
        <w:pStyle w:val="BodyText"/>
      </w:pPr>
      <w:r>
        <w:t xml:space="preserve">Three implications follow for the network model developed in chapters 4 through 6 of the dissertation. First, the prior on the responsibility node should be conditioned on fragment count and event age, not held flat. Second, intentionality, when declared or assessed, dominates the network’s posterior, which is why the Bayesian network treats declared intentional actions as a separate evidence channel rather than as a continuous predictor. Third, the regime effect is too weak in the current sample to merit a regime prior in the network; that decision should be revisited as the post-2024 cislunar and high-altitude attribution record grows.</w:t>
      </w:r>
    </w:p>
    <w:p>
      <w:pPr>
        <w:pStyle w:val="BodyText"/>
      </w:pPr>
      <w:r>
        <w:t xml:space="preserve">The limits of the analysis are direct. The sample is the documented record, not a sample of all on-orbit events, so events that were never publicly catalogued cannot enter the regression. The attribution outcome is coded from authoritative public sources, which inherits any selection that the source institutions themselves apply. Fragment counts are catalog counts and so understate true fragmentation for events whose smaller debris fell below catalog thresholds. Future work should extend the dataset as the LeoLabs and COMSPOC commercial archives mature, and should pair the regression with a survival specification that treats attribution as a time-to-event outcome under right censoring.</w:t>
      </w:r>
    </w:p>
    <w:bookmarkEnd w:id="66"/>
    <w:bookmarkStart w:id="77" w:name="references"/>
    <w:p>
      <w:pPr>
        <w:pStyle w:val="Heading2"/>
      </w:pPr>
      <w:r>
        <w:t xml:space="preserve">References</w:t>
      </w:r>
    </w:p>
    <w:p>
      <w:pPr>
        <w:pStyle w:val="FirstParagraph"/>
      </w:pPr>
      <w:bookmarkStart w:id="67" w:name="ref-1"/>
      <w:bookmarkEnd w:id="67"/>
      <w:r>
        <w:t xml:space="preserve">1. Stilwell, Robin.</w:t>
      </w:r>
      <w:r>
        <w:t xml:space="preserve"> </w:t>
      </w:r>
      <w:r>
        <w:rPr>
          <w:i/>
          <w:iCs/>
        </w:rPr>
        <w:t xml:space="preserve">Orbital Capacity and the Liability Convention.</w:t>
      </w:r>
      <w:r>
        <w:t xml:space="preserve"> </w:t>
      </w:r>
      <w:r>
        <w:t xml:space="preserve">IAC 2024 paper. International Astronautical Congress, Milan.</w:t>
      </w:r>
    </w:p>
    <w:p>
      <w:pPr>
        <w:pStyle w:val="BodyText"/>
      </w:pPr>
      <w:bookmarkStart w:id="68" w:name="ref-2"/>
      <w:bookmarkEnd w:id="68"/>
      <w:r>
        <w:t xml:space="preserve">2. Anz-Meador, Phillip D., Opiela, John N., Shoots, Debra, and Liou, J.-C.</w:t>
      </w:r>
      <w:r>
        <w:t xml:space="preserve"> </w:t>
      </w:r>
      <w:r>
        <w:rPr>
          <w:i/>
          <w:iCs/>
        </w:rPr>
        <w:t xml:space="preserve">History of On-Orbit Satellite Fragmentations</w:t>
      </w:r>
      <w:r>
        <w:t xml:space="preserve">, fifteenth edition. NASA/TM 2018-220037. NASA Johnson Space Center, 2018.</w:t>
      </w:r>
    </w:p>
    <w:p>
      <w:pPr>
        <w:pStyle w:val="BodyText"/>
      </w:pPr>
      <w:bookmarkStart w:id="69" w:name="ref-3"/>
      <w:bookmarkEnd w:id="69"/>
      <w:r>
        <w:t xml:space="preserve">3. Hejduk, Matthew, Miller, Scott, Murakami, David, Probe, Austin, Bryan, Graham, Petrov, Alex, Goldstein, David, Schwartz, Elliott, and Babcock, Erik.</w:t>
      </w:r>
      <w:r>
        <w:t xml:space="preserve"> </w:t>
      </w:r>
      <w:r>
        <w:t xml:space="preserve">“Conjunction Assessment and Deconfliction Paradigm for Co-Located Satellite Constellations with On-Spacecraft Autonomous Flight Dynamics Control.”</w:t>
      </w:r>
      <w:r>
        <w:t xml:space="preserve"> </w:t>
      </w:r>
      <w:r>
        <w:t xml:space="preserve">Proceedings of the Advanced Maui Optical and Space Surveillance Technologies (AMOS) Conference, 2023. https://doi.org/10.64861/KKFT4985</w:t>
      </w:r>
    </w:p>
    <w:p>
      <w:pPr>
        <w:pStyle w:val="BodyText"/>
      </w:pPr>
      <w:bookmarkStart w:id="70" w:name="ref-4"/>
      <w:bookmarkEnd w:id="70"/>
      <w:r>
        <w:t xml:space="preserve">4. Ottoboni, Francesca, Muciaccia, Andrea, and Colombo, Camilla.</w:t>
      </w:r>
      <w:r>
        <w:t xml:space="preserve"> </w:t>
      </w:r>
      <w:r>
        <w:t xml:space="preserve">“Reconstruction of in-orbit breakup events over the short term.”</w:t>
      </w:r>
      <w:r>
        <w:t xml:space="preserve"> </w:t>
      </w:r>
      <w:r>
        <w:rPr>
          <w:i/>
          <w:iCs/>
        </w:rPr>
        <w:t xml:space="preserve">Acta Astronautica</w:t>
      </w:r>
      <w:r>
        <w:t xml:space="preserve"> </w:t>
      </w:r>
      <w:r>
        <w:t xml:space="preserve">243, 2026. https://doi.org/10.1016/j.actaastro.2026.01.061</w:t>
      </w:r>
    </w:p>
    <w:p>
      <w:pPr>
        <w:pStyle w:val="BodyText"/>
      </w:pPr>
      <w:bookmarkStart w:id="71" w:name="ref-5"/>
      <w:bookmarkEnd w:id="71"/>
      <w:r>
        <w:t xml:space="preserve">5. United Nations.</w:t>
      </w:r>
      <w:r>
        <w:t xml:space="preserve"> </w:t>
      </w:r>
      <w:r>
        <w:rPr>
          <w:i/>
          <w:iCs/>
        </w:rPr>
        <w:t xml:space="preserve">Convention on International Liability for Damage Caused by Space Objects.</w:t>
      </w:r>
      <w:r>
        <w:t xml:space="preserve"> </w:t>
      </w:r>
      <w:r>
        <w:t xml:space="preserve">961 UNTS 187, opened for signature 29 March 1972, entered into force 1 September 1972.</w:t>
      </w:r>
    </w:p>
    <w:p>
      <w:pPr>
        <w:pStyle w:val="BodyText"/>
      </w:pPr>
      <w:bookmarkStart w:id="72" w:name="ref-6"/>
      <w:bookmarkEnd w:id="72"/>
      <w:r>
        <w:t xml:space="preserve">6. NASA Orbital Debris Program Office.</w:t>
      </w:r>
      <w:r>
        <w:t xml:space="preserve"> </w:t>
      </w:r>
      <w:r>
        <w:rPr>
          <w:i/>
          <w:iCs/>
        </w:rPr>
        <w:t xml:space="preserve">Orbital Debris Quarterly News.</w:t>
      </w:r>
      <w:r>
        <w:t xml:space="preserve"> </w:t>
      </w:r>
      <w:r>
        <w:t xml:space="preserve">Issues 11-2 (2007) through 27-1 (2023). NASA Johnson Space Center.</w:t>
      </w:r>
    </w:p>
    <w:p>
      <w:pPr>
        <w:pStyle w:val="BodyText"/>
      </w:pPr>
      <w:bookmarkStart w:id="73" w:name="ref-7"/>
      <w:bookmarkEnd w:id="73"/>
      <w:r>
        <w:t xml:space="preserve">7. Muciaccia, Andrea, Romano, Matteo, Trisolini, Mirko, and Colombo, Camilla.</w:t>
      </w:r>
      <w:r>
        <w:t xml:space="preserve"> </w:t>
      </w:r>
      <w:r>
        <w:t xml:space="preserve">“Reconstruction of in-orbit breakup events over the long term.”</w:t>
      </w:r>
      <w:r>
        <w:t xml:space="preserve"> </w:t>
      </w:r>
      <w:r>
        <w:rPr>
          <w:i/>
          <w:iCs/>
        </w:rPr>
        <w:t xml:space="preserve">Acta Astronautica</w:t>
      </w:r>
      <w:r>
        <w:t xml:space="preserve"> </w:t>
      </w:r>
      <w:r>
        <w:t xml:space="preserve">228, 2024. https://doi.org/10.1016/j.actaastro.2024.12.053</w:t>
      </w:r>
    </w:p>
    <w:p>
      <w:pPr>
        <w:pStyle w:val="BodyText"/>
      </w:pPr>
      <w:bookmarkStart w:id="74" w:name="ref-8"/>
      <w:bookmarkEnd w:id="74"/>
      <w:r>
        <w:t xml:space="preserve">8. US Space Command. Public statement on the destructive Russian direct-ascent anti-satellite test, 15 November 2021.</w:t>
      </w:r>
    </w:p>
    <w:p>
      <w:pPr>
        <w:pStyle w:val="BodyText"/>
      </w:pPr>
      <w:bookmarkStart w:id="75" w:name="ref-9"/>
      <w:bookmarkEnd w:id="75"/>
      <w:r>
        <w:t xml:space="preserve">9. Weeden, Brian and Samson, Victoria, editors.</w:t>
      </w:r>
      <w:r>
        <w:t xml:space="preserve"> </w:t>
      </w:r>
      <w:r>
        <w:rPr>
          <w:i/>
          <w:iCs/>
        </w:rPr>
        <w:t xml:space="preserve">Global Counterspace Capabilities: An Open Source Assessment.</w:t>
      </w:r>
      <w:r>
        <w:t xml:space="preserve"> </w:t>
      </w:r>
      <w:r>
        <w:t xml:space="preserve">Secure World Foundation, 2023.</w:t>
      </w:r>
    </w:p>
    <w:p>
      <w:pPr>
        <w:pStyle w:val="BodyText"/>
      </w:pPr>
      <w:bookmarkStart w:id="76" w:name="ref-10"/>
      <w:bookmarkEnd w:id="76"/>
      <w:r>
        <w:t xml:space="preserve">10. Aerospace Corporation Center for Orbital and Reentry Debris Studies (CORDS). Long March 5B reentry analyses, 2021 and 2022.</w:t>
      </w:r>
    </w:p>
    <w:bookmarkEnd w:id="77"/>
    <w:bookmarkStart w:id="78" w:name="specification"/>
    <w:p>
      <w:pPr>
        <w:pStyle w:val="Heading2"/>
      </w:pPr>
      <w:r>
        <w:t xml:space="preserve">Specification</w:t>
      </w:r>
    </w:p>
    <w:p>
      <w:pPr>
        <w:pStyle w:val="FirstParagraph"/>
      </w:pPr>
      <m:oMathPara>
        <m:oMathParaPr>
          <m:jc m:val="center"/>
        </m:oMathParaPr>
        <m:oMath>
          <m:r>
            <m:rPr>
              <m:sty m:val="p"/>
            </m:rPr>
            <m:t>Pr</m:t>
          </m:r>
          <m:r>
            <m:rPr>
              <m:sty m:val="p"/>
            </m:rPr>
            <m:t>(</m:t>
          </m:r>
          <m:sSub>
            <m:e>
              <m:r>
                <m:rPr>
                  <m:nor/>
                  <m:sty m:val="p"/>
                </m:rPr>
                <m:t>attributed</m:t>
              </m:r>
            </m:e>
            <m:sub>
              <m:r>
                <m:t>i</m:t>
              </m:r>
            </m:sub>
          </m:sSub>
          <m:r>
            <m:rPr>
              <m:sty m:val="p"/>
            </m:rPr>
            <m:t>=</m:t>
          </m:r>
          <m:r>
            <m:t>1</m:t>
          </m:r>
          <m:r>
            <m:rPr>
              <m:sty m:val="p"/>
            </m:rPr>
            <m:t>)</m:t>
          </m:r>
          <m:r>
            <m:rPr>
              <m:sty m:val="p"/>
            </m:rPr>
            <m:t>=</m:t>
          </m:r>
          <m:r>
            <m:rPr>
              <m:sty m:val="p"/>
            </m:rPr>
            <m:t>Λ</m:t>
          </m:r>
          <m:r>
            <m:rPr>
              <m:sty m:val="p"/>
            </m:rPr>
            <m:t>(</m:t>
          </m:r>
          <m:sSub>
            <m:e>
              <m:r>
                <m:t>β</m:t>
              </m:r>
            </m:e>
            <m:sub>
              <m:r>
                <m:t>0</m:t>
              </m:r>
            </m:sub>
          </m:sSub>
          <m:r>
            <m:rPr>
              <m:sty m:val="p"/>
            </m:rPr>
            <m:t>+</m:t>
          </m:r>
          <m:sSub>
            <m:e>
              <m:r>
                <m:t>β</m:t>
              </m:r>
            </m:e>
            <m:sub>
              <m:r>
                <m:t>1</m:t>
              </m:r>
            </m:sub>
          </m:sSub>
          <m:sSub>
            <m:e>
              <m:r>
                <m:rPr>
                  <m:nor/>
                  <m:sty m:val="p"/>
                </m:rPr>
                <m:t>years_since_event</m:t>
              </m:r>
            </m:e>
            <m:sub>
              <m:r>
                <m:t>i</m:t>
              </m:r>
            </m:sub>
          </m:sSub>
          <m:r>
            <m:rPr>
              <m:sty m:val="p"/>
            </m:rPr>
            <m:t>+</m:t>
          </m:r>
          <m:sSub>
            <m:e>
              <m:r>
                <m:t>β</m:t>
              </m:r>
            </m:e>
            <m:sub>
              <m:r>
                <m:t>2</m:t>
              </m:r>
            </m:sub>
          </m:sSub>
          <m:sSub>
            <m:e>
              <m:r>
                <m:rPr>
                  <m:nor/>
                  <m:sty m:val="p"/>
                </m:rPr>
                <m:t>orbital_regime_leo</m:t>
              </m:r>
            </m:e>
            <m:sub>
              <m:r>
                <m:t>i</m:t>
              </m:r>
            </m:sub>
          </m:sSub>
          <m:r>
            <m:rPr>
              <m:sty m:val="p"/>
            </m:rPr>
            <m:t>+</m:t>
          </m:r>
          <m:sSub>
            <m:e>
              <m:r>
                <m:t>β</m:t>
              </m:r>
            </m:e>
            <m:sub>
              <m:r>
                <m:t>3</m:t>
              </m:r>
            </m:sub>
          </m:sSub>
          <m:sSub>
            <m:e>
              <m:r>
                <m:rPr>
                  <m:nor/>
                  <m:sty m:val="p"/>
                </m:rPr>
                <m:t>fragment_count_log</m:t>
              </m:r>
            </m:e>
            <m:sub>
              <m:r>
                <m:t>i</m:t>
              </m:r>
            </m:sub>
          </m:sSub>
          <m:r>
            <m:rPr>
              <m:sty m:val="p"/>
            </m:rPr>
            <m:t>)</m:t>
          </m:r>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0.9355</w:t>
            </w:r>
          </w:p>
        </w:tc>
        <w:tc>
          <w:tcPr>
            <w:tcW w:w="0" w:type="auto"/>
          </w:tcPr>
          <w:p>
            <w:pPr>
              <w:spacing w:line="240" w:lineRule="auto" w:before="0" w:after="0"/>
              <w:pStyle w:val="Compact"/>
            </w:pPr>
            <w:r>
              <w:rPr>
                <w:sz w:val="20"/>
                <w:szCs w:val="20"/>
              </w:rPr>
              <w:t xml:space="preserve">0.6301</w:t>
            </w:r>
          </w:p>
        </w:tc>
        <w:tc>
          <w:tcPr>
            <w:tcW w:w="0" w:type="auto"/>
          </w:tcPr>
          <w:p>
            <w:pPr>
              <w:spacing w:line="240" w:lineRule="auto" w:before="0" w:after="0"/>
              <w:pStyle w:val="Compact"/>
            </w:pPr>
            <w:r>
              <w:rPr>
                <w:sz w:val="20"/>
                <w:szCs w:val="20"/>
              </w:rPr>
              <w:t xml:space="preserve">0.5287</w:t>
            </w:r>
          </w:p>
        </w:tc>
        <w:tc>
          <w:tcPr>
            <w:tcW w:w="0" w:type="auto"/>
          </w:tcPr>
          <w:p>
            <w:pPr>
              <w:spacing w:line="240" w:lineRule="auto" w:before="0" w:after="0"/>
              <w:pStyle w:val="Compact"/>
            </w:pPr>
            <w:r>
              <w:rPr>
                <w:sz w:val="20"/>
                <w:szCs w:val="20"/>
              </w:rPr>
              <w:t xml:space="preserve">[-1.2441, 2.423]</w:t>
            </w:r>
          </w:p>
        </w:tc>
      </w:tr>
      <w:tr>
        <w:tc>
          <w:tcPr>
            <w:tcW w:w="0" w:type="auto"/>
          </w:tcPr>
          <w:p>
            <w:pPr>
              <w:spacing w:line="240" w:lineRule="auto" w:before="0" w:after="0"/>
              <w:pStyle w:val="Compact"/>
            </w:pPr>
            <w:r>
              <w:rPr>
                <w:sz w:val="20"/>
                <w:szCs w:val="20"/>
              </w:rPr>
              <w:t xml:space="preserve">years_since_event</w:t>
            </w:r>
          </w:p>
        </w:tc>
        <w:tc>
          <w:tcPr>
            <w:tcW w:w="0" w:type="auto"/>
          </w:tcPr>
          <w:p>
            <w:pPr>
              <w:spacing w:line="240" w:lineRule="auto" w:before="0" w:after="0"/>
              <w:pStyle w:val="Compact"/>
            </w:pPr>
            <w:r>
              <w:rPr>
                <w:sz w:val="20"/>
                <w:szCs w:val="20"/>
              </w:rPr>
              <w:t xml:space="preserve">-0.0565</w:t>
            </w:r>
          </w:p>
        </w:tc>
        <w:tc>
          <w:tcPr>
            <w:tcW w:w="0" w:type="auto"/>
          </w:tcPr>
          <w:p>
            <w:pPr>
              <w:spacing w:line="240" w:lineRule="auto" w:before="0" w:after="0"/>
              <w:pStyle w:val="Compact"/>
            </w:pPr>
            <w:r>
              <w:rPr>
                <w:sz w:val="20"/>
                <w:szCs w:val="20"/>
              </w:rPr>
              <w:t xml:space="preserve">0.0293</w:t>
            </w:r>
          </w:p>
        </w:tc>
        <w:tc>
          <w:tcPr>
            <w:tcW w:w="0" w:type="auto"/>
          </w:tcPr>
          <w:p>
            <w:pPr>
              <w:spacing w:line="240" w:lineRule="auto" w:before="0" w:after="0"/>
              <w:pStyle w:val="Compact"/>
            </w:pPr>
            <w:r>
              <w:rPr>
                <w:sz w:val="20"/>
                <w:szCs w:val="20"/>
              </w:rPr>
              <w:t xml:space="preserve">-1.9293</w:t>
            </w:r>
          </w:p>
        </w:tc>
        <w:tc>
          <w:tcPr>
            <w:tcW w:w="0" w:type="auto"/>
          </w:tcPr>
          <w:p>
            <w:pPr>
              <w:spacing w:line="240" w:lineRule="auto" w:before="0" w:after="0"/>
              <w:pStyle w:val="Compact"/>
            </w:pPr>
            <w:r>
              <w:rPr>
                <w:sz w:val="20"/>
                <w:szCs w:val="20"/>
              </w:rPr>
              <w:t xml:space="preserve">0.0537</w:t>
            </w:r>
          </w:p>
        </w:tc>
        <w:tc>
          <w:tcPr>
            <w:tcW w:w="0" w:type="auto"/>
          </w:tcPr>
          <w:p>
            <w:pPr>
              <w:spacing w:line="240" w:lineRule="auto" w:before="0" w:after="0"/>
              <w:pStyle w:val="Compact"/>
            </w:pPr>
            <w:r>
              <w:rPr>
                <w:sz w:val="20"/>
                <w:szCs w:val="20"/>
              </w:rPr>
              <w:t xml:space="preserve">[-0.1138, 0.0008973]</w:t>
            </w:r>
          </w:p>
        </w:tc>
      </w:tr>
      <w:tr>
        <w:tc>
          <w:tcPr>
            <w:tcW w:w="0" w:type="auto"/>
          </w:tcPr>
          <w:p>
            <w:pPr>
              <w:spacing w:line="240" w:lineRule="auto" w:before="0" w:after="0"/>
              <w:pStyle w:val="Compact"/>
            </w:pPr>
            <w:r>
              <w:rPr>
                <w:sz w:val="20"/>
                <w:szCs w:val="20"/>
              </w:rPr>
              <w:t xml:space="preserve">orbital_regime_leo</w:t>
            </w:r>
          </w:p>
        </w:tc>
        <w:tc>
          <w:tcPr>
            <w:tcW w:w="0" w:type="auto"/>
          </w:tcPr>
          <w:p>
            <w:pPr>
              <w:spacing w:line="240" w:lineRule="auto" w:before="0" w:after="0"/>
              <w:pStyle w:val="Compact"/>
            </w:pPr>
            <w:r>
              <w:rPr>
                <w:sz w:val="20"/>
                <w:szCs w:val="20"/>
              </w:rPr>
              <w:t xml:space="preserve">-0.7608</w:t>
            </w:r>
          </w:p>
        </w:tc>
        <w:tc>
          <w:tcPr>
            <w:tcW w:w="0" w:type="auto"/>
          </w:tcPr>
          <w:p>
            <w:pPr>
              <w:spacing w:line="240" w:lineRule="auto" w:before="0" w:after="0"/>
              <w:pStyle w:val="Compact"/>
            </w:pPr>
            <w:r>
              <w:rPr>
                <w:sz w:val="20"/>
                <w:szCs w:val="20"/>
              </w:rPr>
              <w:t xml:space="preserve">0.9957</w:t>
            </w:r>
          </w:p>
        </w:tc>
        <w:tc>
          <w:tcPr>
            <w:tcW w:w="0" w:type="auto"/>
          </w:tcPr>
          <w:p>
            <w:pPr>
              <w:spacing w:line="240" w:lineRule="auto" w:before="0" w:after="0"/>
              <w:pStyle w:val="Compact"/>
            </w:pPr>
            <w:r>
              <w:rPr>
                <w:sz w:val="20"/>
                <w:szCs w:val="20"/>
              </w:rPr>
              <w:t xml:space="preserve">-0.7641</w:t>
            </w:r>
          </w:p>
        </w:tc>
        <w:tc>
          <w:tcPr>
            <w:tcW w:w="0" w:type="auto"/>
          </w:tcPr>
          <w:p>
            <w:pPr>
              <w:spacing w:line="240" w:lineRule="auto" w:before="0" w:after="0"/>
              <w:pStyle w:val="Compact"/>
            </w:pPr>
            <w:r>
              <w:rPr>
                <w:sz w:val="20"/>
                <w:szCs w:val="20"/>
              </w:rPr>
              <w:t xml:space="preserve">0.4448</w:t>
            </w:r>
          </w:p>
        </w:tc>
        <w:tc>
          <w:tcPr>
            <w:tcW w:w="0" w:type="auto"/>
          </w:tcPr>
          <w:p>
            <w:pPr>
              <w:spacing w:line="240" w:lineRule="auto" w:before="0" w:after="0"/>
              <w:pStyle w:val="Compact"/>
            </w:pPr>
            <w:r>
              <w:rPr>
                <w:sz w:val="20"/>
                <w:szCs w:val="20"/>
              </w:rPr>
              <w:t xml:space="preserve">[-2.7124, 1.1908]</w:t>
            </w:r>
          </w:p>
        </w:tc>
      </w:tr>
      <w:tr>
        <w:tc>
          <w:tcPr>
            <w:tcW w:w="0" w:type="auto"/>
          </w:tcPr>
          <w:p>
            <w:pPr>
              <w:spacing w:line="240" w:lineRule="auto" w:before="0" w:after="0"/>
              <w:pStyle w:val="Compact"/>
            </w:pPr>
            <w:r>
              <w:rPr>
                <w:sz w:val="20"/>
                <w:szCs w:val="20"/>
              </w:rPr>
              <w:t xml:space="preserve">fragment_count_log</w:t>
            </w:r>
          </w:p>
        </w:tc>
        <w:tc>
          <w:tcPr>
            <w:tcW w:w="0" w:type="auto"/>
          </w:tcPr>
          <w:p>
            <w:pPr>
              <w:spacing w:line="240" w:lineRule="auto" w:before="0" w:after="0"/>
              <w:pStyle w:val="Compact"/>
            </w:pPr>
            <w:r>
              <w:rPr>
                <w:sz w:val="20"/>
                <w:szCs w:val="20"/>
              </w:rPr>
              <w:t xml:space="preserve">0.4103</w:t>
            </w:r>
          </w:p>
        </w:tc>
        <w:tc>
          <w:tcPr>
            <w:tcW w:w="0" w:type="auto"/>
          </w:tcPr>
          <w:p>
            <w:pPr>
              <w:spacing w:line="240" w:lineRule="auto" w:before="0" w:after="0"/>
              <w:pStyle w:val="Compact"/>
            </w:pPr>
            <w:r>
              <w:rPr>
                <w:sz w:val="20"/>
                <w:szCs w:val="20"/>
              </w:rPr>
              <w:t xml:space="preserve">0.219</w:t>
            </w:r>
          </w:p>
        </w:tc>
        <w:tc>
          <w:tcPr>
            <w:tcW w:w="0" w:type="auto"/>
          </w:tcPr>
          <w:p>
            <w:pPr>
              <w:spacing w:line="240" w:lineRule="auto" w:before="0" w:after="0"/>
              <w:pStyle w:val="Compact"/>
            </w:pPr>
            <w:r>
              <w:rPr>
                <w:sz w:val="20"/>
                <w:szCs w:val="20"/>
              </w:rPr>
              <w:t xml:space="preserve">1.8737</w:t>
            </w:r>
          </w:p>
        </w:tc>
        <w:tc>
          <w:tcPr>
            <w:tcW w:w="0" w:type="auto"/>
          </w:tcPr>
          <w:p>
            <w:pPr>
              <w:spacing w:line="240" w:lineRule="auto" w:before="0" w:after="0"/>
              <w:pStyle w:val="Compact"/>
            </w:pPr>
            <w:r>
              <w:rPr>
                <w:sz w:val="20"/>
                <w:szCs w:val="20"/>
              </w:rPr>
              <w:t xml:space="preserve">0.061</w:t>
            </w:r>
          </w:p>
        </w:tc>
        <w:tc>
          <w:tcPr>
            <w:tcW w:w="0" w:type="auto"/>
          </w:tcPr>
          <w:p>
            <w:pPr>
              <w:spacing w:line="240" w:lineRule="auto" w:before="0" w:after="0"/>
              <w:pStyle w:val="Compact"/>
            </w:pPr>
            <w:r>
              <w:rPr>
                <w:sz w:val="20"/>
                <w:szCs w:val="20"/>
              </w:rPr>
              <w:t xml:space="preserve">[-0.0189, 0.8395]</w:t>
            </w:r>
          </w:p>
        </w:tc>
      </w:tr>
    </w:tbl>
    <w:p>
      <w:pPr>
        <w:pStyle w:val="BodyText"/>
      </w:pPr>
      <w:r>
        <w:t xml:space="preserve">Fit: N = 36 pseudo_R2 = 0.1756 LL = -19.4117</w:t>
      </w:r>
    </w:p>
    <w:p>
      <w:pPr>
        <w:pStyle w:val="CaptionedFigure"/>
      </w:pPr>
      <w:r>
        <w:drawing>
          <wp:inline>
            <wp:extent cx="5669280" cy="3657600"/>
            <wp:effectExtent b="0" l="0" r="0" t="0"/>
            <wp:docPr descr="Figure 1. Attribution outcome plotted against ln(catalogued fragment count). Events with larger debris signatures cluster toward attributed status, consistent with observability-driven responsibility assignment." title="" id="80" name="Picture"/>
            <a:graphic>
              <a:graphicData uri="http://schemas.openxmlformats.org/drawingml/2006/picture">
                <pic:pic>
                  <pic:nvPicPr>
                    <pic:cNvPr descr="D:\Claude_Code\brain\collegium\candidates\dissertations\SSA_SDA_04\research_papers\p2\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Attribution outcome plotted against ln(catalogued fragment count). Events with larger debris signatures cluster toward attributed status, consistent with observability-driven responsibility assignment.</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event_id</w:t>
            </w:r>
          </w:p>
        </w:tc>
        <w:tc>
          <w:tcPr>
            <w:tcW w:w="0" w:type="auto"/>
          </w:tcPr>
          <w:p>
            <w:pPr>
              <w:spacing w:line="240" w:lineRule="auto" w:before="0" w:after="0"/>
              <w:pStyle w:val="Compact"/>
            </w:pPr>
            <w:r>
              <w:rPr>
                <w:sz w:val="20"/>
                <w:szCs w:val="20"/>
              </w:rPr>
              <w:t xml:space="preserve">event_name</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attributed</w:t>
            </w:r>
          </w:p>
        </w:tc>
        <w:tc>
          <w:tcPr>
            <w:tcW w:w="0" w:type="auto"/>
          </w:tcPr>
          <w:p>
            <w:pPr>
              <w:spacing w:line="240" w:lineRule="auto" w:before="0" w:after="0"/>
              <w:pStyle w:val="Compact"/>
            </w:pPr>
            <w:r>
              <w:rPr>
                <w:sz w:val="20"/>
                <w:szCs w:val="20"/>
              </w:rPr>
              <w:t xml:space="preserve">years_since_event</w:t>
            </w:r>
          </w:p>
        </w:tc>
        <w:tc>
          <w:tcPr>
            <w:tcW w:w="0" w:type="auto"/>
          </w:tcPr>
          <w:p>
            <w:pPr>
              <w:spacing w:line="240" w:lineRule="auto" w:before="0" w:after="0"/>
              <w:pStyle w:val="Compact"/>
            </w:pPr>
            <w:r>
              <w:rPr>
                <w:sz w:val="20"/>
                <w:szCs w:val="20"/>
              </w:rPr>
              <w:t xml:space="preserve">orbital_regime_leo</w:t>
            </w:r>
          </w:p>
        </w:tc>
        <w:tc>
          <w:tcPr>
            <w:tcW w:w="0" w:type="auto"/>
          </w:tcPr>
          <w:p>
            <w:pPr>
              <w:spacing w:line="240" w:lineRule="auto" w:before="0" w:after="0"/>
              <w:pStyle w:val="Compact"/>
            </w:pPr>
            <w:r>
              <w:rPr>
                <w:sz w:val="20"/>
                <w:szCs w:val="20"/>
              </w:rPr>
              <w:t xml:space="preserve">intentional</w:t>
            </w:r>
          </w:p>
        </w:tc>
        <w:tc>
          <w:tcPr>
            <w:tcW w:w="0" w:type="auto"/>
          </w:tcPr>
          <w:p>
            <w:pPr>
              <w:spacing w:line="240" w:lineRule="auto" w:before="0" w:after="0"/>
              <w:pStyle w:val="Compact"/>
            </w:pPr>
            <w:r>
              <w:rPr>
                <w:sz w:val="20"/>
                <w:szCs w:val="20"/>
              </w:rPr>
              <w:t xml:space="preserve">fragment_count_log</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Cosmos-2251 / Iridium 33 collision</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7.327</w:t>
            </w:r>
          </w:p>
        </w:tc>
        <w:tc>
          <w:tcPr>
            <w:tcW w:w="0" w:type="auto"/>
          </w:tcPr>
          <w:p>
            <w:pPr>
              <w:spacing w:line="240" w:lineRule="auto" w:before="0" w:after="0"/>
              <w:pStyle w:val="Compact"/>
            </w:pPr>
            <w:r>
              <w:rPr>
                <w:sz w:val="20"/>
                <w:szCs w:val="20"/>
              </w:rPr>
              <w:t xml:space="preserve">NASA Orbital Debris Quarterly News 13-2 (2009); Kelso AMOS 2009</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Fengyun-1C ASAT</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8.027</w:t>
            </w:r>
          </w:p>
        </w:tc>
        <w:tc>
          <w:tcPr>
            <w:tcW w:w="0" w:type="auto"/>
          </w:tcPr>
          <w:p>
            <w:pPr>
              <w:spacing w:line="240" w:lineRule="auto" w:before="0" w:after="0"/>
              <w:pStyle w:val="Compact"/>
            </w:pPr>
            <w:r>
              <w:rPr>
                <w:sz w:val="20"/>
                <w:szCs w:val="20"/>
              </w:rPr>
              <w:t xml:space="preserve">NASA ODQN 11-2 (2007); Johnson et al. Acta Astronautica 2008</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Cosmos-1408 ASAT (Nudol)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7.378</w:t>
            </w:r>
          </w:p>
        </w:tc>
        <w:tc>
          <w:tcPr>
            <w:tcW w:w="0" w:type="auto"/>
          </w:tcPr>
          <w:p>
            <w:pPr>
              <w:spacing w:line="240" w:lineRule="auto" w:before="0" w:after="0"/>
              <w:pStyle w:val="Compact"/>
            </w:pPr>
            <w:r>
              <w:rPr>
                <w:sz w:val="20"/>
                <w:szCs w:val="20"/>
              </w:rPr>
              <w:t xml:space="preserve">US Space Command public statement 2021-11-15; NASA ODQN 26-1 (2022)</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Cosmos-1275 breakup</w:t>
            </w:r>
          </w:p>
        </w:tc>
        <w:tc>
          <w:tcPr>
            <w:tcW w:w="0" w:type="auto"/>
          </w:tcPr>
          <w:p>
            <w:pPr>
              <w:spacing w:line="240" w:lineRule="auto" w:before="0" w:after="0"/>
              <w:pStyle w:val="Compact"/>
            </w:pPr>
            <w:r>
              <w:rPr>
                <w:sz w:val="20"/>
                <w:szCs w:val="20"/>
              </w:rPr>
              <w:t xml:space="preserve">1981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4.844</w:t>
            </w:r>
          </w:p>
        </w:tc>
        <w:tc>
          <w:tcPr>
            <w:tcW w:w="0" w:type="auto"/>
          </w:tcPr>
          <w:p>
            <w:pPr>
              <w:spacing w:line="240" w:lineRule="auto" w:before="0" w:after="0"/>
              <w:pStyle w:val="Compact"/>
            </w:pPr>
            <w:r>
              <w:rPr>
                <w:sz w:val="20"/>
                <w:szCs w:val="20"/>
              </w:rPr>
              <w:t xml:space="preserve">NASA History of On-Orbit Satellite Fragmentations 15th ed. (2018)</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DMSP-F13 breakup</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4.522</w:t>
            </w:r>
          </w:p>
        </w:tc>
        <w:tc>
          <w:tcPr>
            <w:tcW w:w="0" w:type="auto"/>
          </w:tcPr>
          <w:p>
            <w:pPr>
              <w:spacing w:line="240" w:lineRule="auto" w:before="0" w:after="0"/>
              <w:pStyle w:val="Compact"/>
            </w:pPr>
            <w:r>
              <w:rPr>
                <w:sz w:val="20"/>
                <w:szCs w:val="20"/>
              </w:rPr>
              <w:t xml:space="preserve">USAF 14th AF release 2015-03; NASA ODQN 19-2 (2015)</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NOAA-16 breakup</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4.443</w:t>
            </w:r>
          </w:p>
        </w:tc>
        <w:tc>
          <w:tcPr>
            <w:tcW w:w="0" w:type="auto"/>
          </w:tcPr>
          <w:p>
            <w:pPr>
              <w:spacing w:line="240" w:lineRule="auto" w:before="0" w:after="0"/>
              <w:pStyle w:val="Compact"/>
            </w:pPr>
            <w:r>
              <w:rPr>
                <w:sz w:val="20"/>
                <w:szCs w:val="20"/>
              </w:rPr>
              <w:t xml:space="preserve">NASA ODQN 20-1 (2016); Sat-Flare tracking 2015-11</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Briz-M tank breakup (2012)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4.787</w:t>
            </w:r>
          </w:p>
        </w:tc>
        <w:tc>
          <w:tcPr>
            <w:tcW w:w="0" w:type="auto"/>
          </w:tcPr>
          <w:p>
            <w:pPr>
              <w:spacing w:line="240" w:lineRule="auto" w:before="0" w:after="0"/>
              <w:pStyle w:val="Compact"/>
            </w:pPr>
            <w:r>
              <w:rPr>
                <w:sz w:val="20"/>
                <w:szCs w:val="20"/>
              </w:rPr>
              <w:t xml:space="preserve">NASA ODQN 17-1 (2013); Anz-Meador History of Fragmentations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Long March 6A upper stage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6.503</w:t>
            </w:r>
          </w:p>
        </w:tc>
        <w:tc>
          <w:tcPr>
            <w:tcW w:w="0" w:type="auto"/>
          </w:tcPr>
          <w:p>
            <w:pPr>
              <w:spacing w:line="240" w:lineRule="auto" w:before="0" w:after="0"/>
              <w:pStyle w:val="Compact"/>
            </w:pPr>
            <w:r>
              <w:rPr>
                <w:sz w:val="20"/>
                <w:szCs w:val="20"/>
              </w:rPr>
              <w:t xml:space="preserve">NASA ODQN 27-1 (2023); LeoLabs analysis 2022-11</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Long March 3B upper stage 2000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3.401</w:t>
            </w:r>
          </w:p>
        </w:tc>
        <w:tc>
          <w:tcPr>
            <w:tcW w:w="0" w:type="auto"/>
          </w:tcPr>
          <w:p>
            <w:pPr>
              <w:spacing w:line="240" w:lineRule="auto" w:before="0" w:after="0"/>
              <w:pStyle w:val="Compact"/>
            </w:pPr>
            <w:r>
              <w:rPr>
                <w:sz w:val="20"/>
                <w:szCs w:val="20"/>
              </w:rPr>
              <w:t xml:space="preserve">NASA Anz-Meador Hist. of On-Orbit Frag. 15th ed. (2018)</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Indian Mission Shakti ASAT</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5.521</w:t>
            </w:r>
          </w:p>
        </w:tc>
        <w:tc>
          <w:tcPr>
            <w:tcW w:w="0" w:type="auto"/>
          </w:tcPr>
          <w:p>
            <w:pPr>
              <w:spacing w:line="240" w:lineRule="auto" w:before="0" w:after="0"/>
              <w:pStyle w:val="Compact"/>
            </w:pPr>
            <w:r>
              <w:rPr>
                <w:sz w:val="20"/>
                <w:szCs w:val="20"/>
              </w:rPr>
              <w:t xml:space="preserve">NASA ODQN 23-2 (2019); Acta Astronautica 162 (2019) 82-89</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USA-193 intercept (SM-3)</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5.236</w:t>
            </w:r>
          </w:p>
        </w:tc>
        <w:tc>
          <w:tcPr>
            <w:tcW w:w="0" w:type="auto"/>
          </w:tcPr>
          <w:p>
            <w:pPr>
              <w:spacing w:line="240" w:lineRule="auto" w:before="0" w:after="0"/>
              <w:pStyle w:val="Compact"/>
            </w:pPr>
            <w:r>
              <w:rPr>
                <w:sz w:val="20"/>
                <w:szCs w:val="20"/>
              </w:rPr>
              <w:t xml:space="preserve">NASA ODQN 12-2 (2008); JSpOC catalog</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RESURS-1 fragmentation</w:t>
            </w:r>
          </w:p>
        </w:tc>
        <w:tc>
          <w:tcPr>
            <w:tcW w:w="0" w:type="auto"/>
          </w:tcPr>
          <w:p>
            <w:pPr>
              <w:spacing w:line="240" w:lineRule="auto" w:before="0" w:after="0"/>
              <w:pStyle w:val="Compact"/>
            </w:pPr>
            <w:r>
              <w:rPr>
                <w:sz w:val="20"/>
                <w:szCs w:val="20"/>
              </w:rPr>
              <w:t xml:space="preserve">1979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3.434</w:t>
            </w:r>
          </w:p>
        </w:tc>
        <w:tc>
          <w:tcPr>
            <w:tcW w:w="0" w:type="auto"/>
          </w:tcPr>
          <w:p>
            <w:pPr>
              <w:spacing w:line="240" w:lineRule="auto" w:before="0" w:after="0"/>
              <w:pStyle w:val="Compact"/>
            </w:pPr>
            <w:r>
              <w:rPr>
                <w:sz w:val="20"/>
                <w:szCs w:val="20"/>
              </w:rPr>
              <w:t xml:space="preserve">NASA Hist. of On-Orbit Frag. 15th ed. (2018) [illustrative fragment count]</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Pegasus HAPS upper stage 1996</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7.014</w:t>
            </w:r>
          </w:p>
        </w:tc>
        <w:tc>
          <w:tcPr>
            <w:tcW w:w="0" w:type="auto"/>
          </w:tcPr>
          <w:p>
            <w:pPr>
              <w:spacing w:line="240" w:lineRule="auto" w:before="0" w:after="0"/>
              <w:pStyle w:val="Compact"/>
            </w:pPr>
            <w:r>
              <w:rPr>
                <w:sz w:val="20"/>
                <w:szCs w:val="20"/>
              </w:rPr>
              <w:t xml:space="preserve">NASA ODQN 1-2 (1996); Johnson Acta Astronautica 1998</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Cosmos-2421 breakup</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7.09</w:t>
            </w:r>
          </w:p>
        </w:tc>
        <w:tc>
          <w:tcPr>
            <w:tcW w:w="0" w:type="auto"/>
          </w:tcPr>
          <w:p>
            <w:pPr>
              <w:spacing w:line="240" w:lineRule="auto" w:before="0" w:after="0"/>
              <w:pStyle w:val="Compact"/>
            </w:pPr>
            <w:r>
              <w:rPr>
                <w:sz w:val="20"/>
                <w:szCs w:val="20"/>
              </w:rPr>
              <w:t xml:space="preserve">NASA ODQN 12-3 (2008); Kelso CelesTrak 2008</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Nimbus-4 R/B fragmentation</w:t>
            </w:r>
          </w:p>
        </w:tc>
        <w:tc>
          <w:tcPr>
            <w:tcW w:w="0" w:type="auto"/>
          </w:tcPr>
          <w:p>
            <w:pPr>
              <w:spacing w:line="240" w:lineRule="auto" w:before="0" w:after="0"/>
              <w:pStyle w:val="Compact"/>
            </w:pPr>
            <w:r>
              <w:rPr>
                <w:sz w:val="20"/>
                <w:szCs w:val="20"/>
              </w:rPr>
              <w:t xml:space="preserve">1970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3.526</w:t>
            </w:r>
          </w:p>
        </w:tc>
        <w:tc>
          <w:tcPr>
            <w:tcW w:w="0" w:type="auto"/>
          </w:tcPr>
          <w:p>
            <w:pPr>
              <w:spacing w:line="240" w:lineRule="auto" w:before="0" w:after="0"/>
              <w:pStyle w:val="Compact"/>
            </w:pPr>
            <w:r>
              <w:rPr>
                <w:sz w:val="20"/>
                <w:szCs w:val="20"/>
              </w:rPr>
              <w:t xml:space="preserve">NASA Hist. of On-Orbit Frag. 15th ed. (2018)</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Atlas Centaur 5 fragmentation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2.89</w:t>
            </w:r>
          </w:p>
        </w:tc>
        <w:tc>
          <w:tcPr>
            <w:tcW w:w="0" w:type="auto"/>
          </w:tcPr>
          <w:p>
            <w:pPr>
              <w:spacing w:line="240" w:lineRule="auto" w:before="0" w:after="0"/>
              <w:pStyle w:val="Compact"/>
            </w:pPr>
            <w:r>
              <w:rPr>
                <w:sz w:val="20"/>
                <w:szCs w:val="20"/>
              </w:rPr>
              <w:t xml:space="preserve">NASA ODQN 22-3 (2018) [illustrative fragment count]</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Vega P120C upper stage 2025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4.094</w:t>
            </w:r>
          </w:p>
        </w:tc>
        <w:tc>
          <w:tcPr>
            <w:tcW w:w="0" w:type="auto"/>
          </w:tcPr>
          <w:p>
            <w:pPr>
              <w:spacing w:line="240" w:lineRule="auto" w:before="0" w:after="0"/>
              <w:pStyle w:val="Compact"/>
            </w:pPr>
            <w:r>
              <w:rPr>
                <w:sz w:val="20"/>
                <w:szCs w:val="20"/>
              </w:rPr>
              <w:t xml:space="preserve">LeoLabs blog 2025; ESA Space Debris Office bulletin 2025</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SJ-21 / BeiDou-2 G2 tow (suspected)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1.792</w:t>
            </w:r>
          </w:p>
        </w:tc>
        <w:tc>
          <w:tcPr>
            <w:tcW w:w="0" w:type="auto"/>
          </w:tcPr>
          <w:p>
            <w:pPr>
              <w:spacing w:line="240" w:lineRule="auto" w:before="0" w:after="0"/>
              <w:pStyle w:val="Compact"/>
            </w:pPr>
            <w:r>
              <w:rPr>
                <w:sz w:val="20"/>
                <w:szCs w:val="20"/>
              </w:rPr>
              <w:t xml:space="preserve">COMSPOC 2022 analysis; ExoAnalytic obs (attribution ambiguous)</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Yunhai-1 02 / Zenit debris collision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3.829</w:t>
            </w:r>
          </w:p>
        </w:tc>
        <w:tc>
          <w:tcPr>
            <w:tcW w:w="0" w:type="auto"/>
          </w:tcPr>
          <w:p>
            <w:pPr>
              <w:spacing w:line="240" w:lineRule="auto" w:before="0" w:after="0"/>
              <w:pStyle w:val="Compact"/>
            </w:pPr>
            <w:r>
              <w:rPr>
                <w:sz w:val="20"/>
                <w:szCs w:val="20"/>
              </w:rPr>
              <w:t xml:space="preserve">Harvard CfA Jonathan McDowell 2021-08; NASA ODQN 25-4 (2021)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Cosmos-2491/2499/2504 maneuver objects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1.609</w:t>
            </w:r>
          </w:p>
        </w:tc>
        <w:tc>
          <w:tcPr>
            <w:tcW w:w="0" w:type="auto"/>
          </w:tcPr>
          <w:p>
            <w:pPr>
              <w:spacing w:line="240" w:lineRule="auto" w:before="0" w:after="0"/>
              <w:pStyle w:val="Compact"/>
            </w:pPr>
            <w:r>
              <w:rPr>
                <w:sz w:val="20"/>
                <w:szCs w:val="20"/>
              </w:rPr>
              <w:t xml:space="preserve">Weeden Secure World Found. 2015; Acta Astronautica 162 (2019)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Ariane V16 H10 upper stage</w:t>
            </w:r>
          </w:p>
        </w:tc>
        <w:tc>
          <w:tcPr>
            <w:tcW w:w="0" w:type="auto"/>
          </w:tcPr>
          <w:p>
            <w:pPr>
              <w:spacing w:line="240" w:lineRule="auto" w:before="0" w:after="0"/>
              <w:pStyle w:val="Compact"/>
            </w:pPr>
            <w:r>
              <w:rPr>
                <w:sz w:val="20"/>
                <w:szCs w:val="20"/>
              </w:rPr>
              <w:t xml:space="preserve">1986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2.398</w:t>
            </w:r>
          </w:p>
        </w:tc>
        <w:tc>
          <w:tcPr>
            <w:tcW w:w="0" w:type="auto"/>
          </w:tcPr>
          <w:p>
            <w:pPr>
              <w:spacing w:line="240" w:lineRule="auto" w:before="0" w:after="0"/>
              <w:pStyle w:val="Compact"/>
            </w:pPr>
            <w:r>
              <w:rPr>
                <w:sz w:val="20"/>
                <w:szCs w:val="20"/>
              </w:rPr>
              <w:t xml:space="preserve">NASA Hist. of On-Orbit Frag. 15th ed. (2018) [illustrative]</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SL-16 R/B (2018 breakup)</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3.951</w:t>
            </w:r>
          </w:p>
        </w:tc>
        <w:tc>
          <w:tcPr>
            <w:tcW w:w="0" w:type="auto"/>
          </w:tcPr>
          <w:p>
            <w:pPr>
              <w:spacing w:line="240" w:lineRule="auto" w:before="0" w:after="0"/>
              <w:pStyle w:val="Compact"/>
            </w:pPr>
            <w:r>
              <w:rPr>
                <w:sz w:val="20"/>
                <w:szCs w:val="20"/>
              </w:rPr>
              <w:t xml:space="preserve">NASA ODQN 23-1 (2019)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Microsat-R (India pre-ASAT)</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4.29</w:t>
            </w:r>
          </w:p>
        </w:tc>
        <w:tc>
          <w:tcPr>
            <w:tcW w:w="0" w:type="auto"/>
          </w:tcPr>
          <w:p>
            <w:pPr>
              <w:spacing w:line="240" w:lineRule="auto" w:before="0" w:after="0"/>
              <w:pStyle w:val="Compact"/>
            </w:pPr>
            <w:r>
              <w:rPr>
                <w:sz w:val="20"/>
                <w:szCs w:val="20"/>
              </w:rPr>
              <w:t xml:space="preserve">NASA ODQN 23-2 (2019); ISRO release 2019-03-27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STARLINK clustering anomalies 2022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2.197</w:t>
            </w:r>
          </w:p>
        </w:tc>
        <w:tc>
          <w:tcPr>
            <w:tcW w:w="0" w:type="auto"/>
          </w:tcPr>
          <w:p>
            <w:pPr>
              <w:spacing w:line="240" w:lineRule="auto" w:before="0" w:after="0"/>
              <w:pStyle w:val="Compact"/>
            </w:pPr>
            <w:r>
              <w:rPr>
                <w:sz w:val="20"/>
                <w:szCs w:val="20"/>
              </w:rPr>
              <w:t xml:space="preserve">FCC filings 2022; LeoLabs CSpOC posts (attribution unclear)</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Cosmos-2535/2536 inspection ops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Weeden/Samson Global Counterspace 2023; CSIS Space Threat 2023</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SBSS reaction wheel debris event</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1.386</w:t>
            </w:r>
          </w:p>
        </w:tc>
        <w:tc>
          <w:tcPr>
            <w:tcW w:w="0" w:type="auto"/>
          </w:tcPr>
          <w:p>
            <w:pPr>
              <w:spacing w:line="240" w:lineRule="auto" w:before="0" w:after="0"/>
              <w:pStyle w:val="Compact"/>
            </w:pPr>
            <w:r>
              <w:rPr>
                <w:sz w:val="20"/>
                <w:szCs w:val="20"/>
              </w:rPr>
              <w:t xml:space="preserve">NASA ODQN 17-4 (2013) [illustrative fragment count]</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Long March 5B core stage uncontrolled reentry 2021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4.605</w:t>
            </w:r>
          </w:p>
        </w:tc>
        <w:tc>
          <w:tcPr>
            <w:tcW w:w="0" w:type="auto"/>
          </w:tcPr>
          <w:p>
            <w:pPr>
              <w:spacing w:line="240" w:lineRule="auto" w:before="0" w:after="0"/>
              <w:pStyle w:val="Compact"/>
            </w:pPr>
            <w:r>
              <w:rPr>
                <w:sz w:val="20"/>
                <w:szCs w:val="20"/>
              </w:rPr>
              <w:t xml:space="preserve">NASA Administrator statement 2021-05-08; Aerospace Corp CORDS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Long March 5B core stage 2022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4.787</w:t>
            </w:r>
          </w:p>
        </w:tc>
        <w:tc>
          <w:tcPr>
            <w:tcW w:w="0" w:type="auto"/>
          </w:tcPr>
          <w:p>
            <w:pPr>
              <w:spacing w:line="240" w:lineRule="auto" w:before="0" w:after="0"/>
              <w:pStyle w:val="Compact"/>
            </w:pPr>
            <w:r>
              <w:rPr>
                <w:sz w:val="20"/>
                <w:szCs w:val="20"/>
              </w:rPr>
              <w:t xml:space="preserve">NASA Administrator statement 2022-07-30; Aerospace Corp CORDS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Envisat anomaly (loss of contact)</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ESA press release 2012-05-09; Acta Astronautica 91 (2013) 84-95</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Intelsat 33e total loss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3.367</w:t>
            </w:r>
          </w:p>
        </w:tc>
        <w:tc>
          <w:tcPr>
            <w:tcW w:w="0" w:type="auto"/>
          </w:tcPr>
          <w:p>
            <w:pPr>
              <w:spacing w:line="240" w:lineRule="auto" w:before="0" w:after="0"/>
              <w:pStyle w:val="Compact"/>
            </w:pPr>
            <w:r>
              <w:rPr>
                <w:sz w:val="20"/>
                <w:szCs w:val="20"/>
              </w:rPr>
              <w:t xml:space="preserve">Intelsat company statement 2024-10-21; LeoLabs 2024-10</w:t>
            </w:r>
          </w:p>
        </w:tc>
      </w:tr>
      <w:tr>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Boeing/Viasat 1 antenna failure</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Viasat 10-K filing 2013; SpaceNews 2013-02-12</w:t>
            </w:r>
          </w:p>
        </w:tc>
      </w:tr>
      <w:tr>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Cosmos-2479 reported anomaly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COMSPOC 2024 blog (attribution ambiguous) [illustrative]</w:t>
            </w:r>
          </w:p>
        </w:tc>
      </w:tr>
      <w:tr>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Dnepr launcher RB fragmentation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3.738</w:t>
            </w:r>
          </w:p>
        </w:tc>
        <w:tc>
          <w:tcPr>
            <w:tcW w:w="0" w:type="auto"/>
          </w:tcPr>
          <w:p>
            <w:pPr>
              <w:spacing w:line="240" w:lineRule="auto" w:before="0" w:after="0"/>
              <w:pStyle w:val="Compact"/>
            </w:pPr>
            <w:r>
              <w:rPr>
                <w:sz w:val="20"/>
                <w:szCs w:val="20"/>
              </w:rPr>
              <w:t xml:space="preserve">NASA ODQN 21-3 (2017); Anz-Meador Hist. of Frag.</w:t>
            </w:r>
          </w:p>
        </w:tc>
      </w:tr>
      <w:tr>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SuperBird-A anomaly</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 News archives 1990; Aerospace Corp anomaly catalog</w:t>
            </w:r>
          </w:p>
        </w:tc>
      </w:tr>
      <w:tr>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Tselina-2 (Cosmos-2227) breakup</w:t>
            </w:r>
          </w:p>
        </w:tc>
        <w:tc>
          <w:tcPr>
            <w:tcW w:w="0" w:type="auto"/>
          </w:tcPr>
          <w:p>
            <w:pPr>
              <w:spacing w:line="240" w:lineRule="auto" w:before="0" w:after="0"/>
              <w:pStyle w:val="Compact"/>
            </w:pPr>
            <w:r>
              <w:rPr>
                <w:sz w:val="20"/>
                <w:szCs w:val="20"/>
              </w:rPr>
              <w:t xml:space="preserve">1992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4.382</w:t>
            </w:r>
          </w:p>
        </w:tc>
        <w:tc>
          <w:tcPr>
            <w:tcW w:w="0" w:type="auto"/>
          </w:tcPr>
          <w:p>
            <w:pPr>
              <w:spacing w:line="240" w:lineRule="auto" w:before="0" w:after="0"/>
              <w:pStyle w:val="Compact"/>
            </w:pPr>
            <w:r>
              <w:rPr>
                <w:sz w:val="20"/>
                <w:szCs w:val="20"/>
              </w:rPr>
              <w:t xml:space="preserve">NASA Hist. of On-Orbit Frag. 15th ed. (2018) [illustrative]</w:t>
            </w:r>
          </w:p>
        </w:tc>
      </w:tr>
      <w:tr>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Galaxy 15 zombie sat</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Intelsat press release 2010-04-08; SpaceNews 2010</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attributed</w:t>
            </w:r>
          </w:p>
        </w:tc>
        <w:tc>
          <w:tcPr>
            <w:tcW w:w="0" w:type="auto"/>
          </w:tcPr>
          <w:p>
            <w:pPr>
              <w:spacing w:line="240" w:lineRule="auto" w:before="0" w:after="0"/>
              <w:pStyle w:val="Compact"/>
            </w:pPr>
            <w:r>
              <w:rPr>
                <w:sz w:val="20"/>
                <w:szCs w:val="20"/>
              </w:rPr>
              <w:t xml:space="preserve">Binary outcome: 1 if a responsible state or operator was publicly identified by an authoritative source within the observation window; 0 otherwise</w:t>
            </w:r>
          </w:p>
        </w:tc>
        <w:tc>
          <w:tcPr>
            <w:tcW w:w="0" w:type="auto"/>
          </w:tcPr>
          <w:p>
            <w:pPr>
              <w:spacing w:line="240" w:lineRule="auto" w:before="0" w:after="0"/>
              <w:pStyle w:val="Compact"/>
            </w:pPr>
            <w:r>
              <w:rPr>
                <w:sz w:val="20"/>
                <w:szCs w:val="20"/>
              </w:rPr>
              <w:t xml:space="preserve">Coded from NASA Orbital Debris Quarterly News, NASA History of On-Orbit Satellite Fragmentations 15th ed. (2018), US Space Command statements, ESA Space Debris Office, and operator press releases</w:t>
            </w:r>
          </w:p>
        </w:tc>
      </w:tr>
      <w:tr>
        <w:tc>
          <w:tcPr>
            <w:tcW w:w="0" w:type="auto"/>
          </w:tcPr>
          <w:p>
            <w:pPr>
              <w:spacing w:line="240" w:lineRule="auto" w:before="0" w:after="0"/>
              <w:pStyle w:val="Compact"/>
            </w:pPr>
            <w:r>
              <w:rPr>
                <w:sz w:val="20"/>
                <w:szCs w:val="20"/>
              </w:rPr>
              <w:t xml:space="preserve">years_since_event</w:t>
            </w:r>
          </w:p>
        </w:tc>
        <w:tc>
          <w:tcPr>
            <w:tcW w:w="0" w:type="auto"/>
          </w:tcPr>
          <w:p>
            <w:pPr>
              <w:spacing w:line="240" w:lineRule="auto" w:before="0" w:after="0"/>
              <w:pStyle w:val="Compact"/>
            </w:pPr>
            <w:r>
              <w:rPr>
                <w:sz w:val="20"/>
                <w:szCs w:val="20"/>
              </w:rPr>
              <w:t xml:space="preserve">Calendar years elapsed between the event and the data freeze (2026)</w:t>
            </w:r>
          </w:p>
        </w:tc>
        <w:tc>
          <w:tcPr>
            <w:tcW w:w="0" w:type="auto"/>
          </w:tcPr>
          <w:p>
            <w:pPr>
              <w:spacing w:line="240" w:lineRule="auto" w:before="0" w:after="0"/>
              <w:pStyle w:val="Compact"/>
            </w:pPr>
            <w:r>
              <w:rPr>
                <w:sz w:val="20"/>
                <w:szCs w:val="20"/>
              </w:rPr>
              <w:t xml:space="preserve">2026 minus event year</w:t>
            </w:r>
          </w:p>
        </w:tc>
      </w:tr>
      <w:tr>
        <w:tc>
          <w:tcPr>
            <w:tcW w:w="0" w:type="auto"/>
          </w:tcPr>
          <w:p>
            <w:pPr>
              <w:spacing w:line="240" w:lineRule="auto" w:before="0" w:after="0"/>
              <w:pStyle w:val="Compact"/>
            </w:pPr>
            <w:r>
              <w:rPr>
                <w:sz w:val="20"/>
                <w:szCs w:val="20"/>
              </w:rPr>
              <w:t xml:space="preserve">orbital_regime_leo</w:t>
            </w:r>
          </w:p>
        </w:tc>
        <w:tc>
          <w:tcPr>
            <w:tcW w:w="0" w:type="auto"/>
          </w:tcPr>
          <w:p>
            <w:pPr>
              <w:spacing w:line="240" w:lineRule="auto" w:before="0" w:after="0"/>
              <w:pStyle w:val="Compact"/>
            </w:pPr>
            <w:r>
              <w:rPr>
                <w:sz w:val="20"/>
                <w:szCs w:val="20"/>
              </w:rPr>
              <w:t xml:space="preserve">Binary indicator: 1 if event occurred in low Earth orbit, 0 otherwise</w:t>
            </w:r>
          </w:p>
        </w:tc>
        <w:tc>
          <w:tcPr>
            <w:tcW w:w="0" w:type="auto"/>
          </w:tcPr>
          <w:p>
            <w:pPr>
              <w:spacing w:line="240" w:lineRule="auto" w:before="0" w:after="0"/>
              <w:pStyle w:val="Compact"/>
            </w:pPr>
            <w:r>
              <w:rPr>
                <w:sz w:val="20"/>
                <w:szCs w:val="20"/>
              </w:rPr>
              <w:t xml:space="preserve">Classified from event TLE or operator-declared orbit</w:t>
            </w:r>
          </w:p>
        </w:tc>
      </w:tr>
      <w:tr>
        <w:tc>
          <w:tcPr>
            <w:tcW w:w="0" w:type="auto"/>
          </w:tcPr>
          <w:p>
            <w:pPr>
              <w:spacing w:line="240" w:lineRule="auto" w:before="0" w:after="0"/>
              <w:pStyle w:val="Compact"/>
            </w:pPr>
            <w:r>
              <w:rPr>
                <w:sz w:val="20"/>
                <w:szCs w:val="20"/>
              </w:rPr>
              <w:t xml:space="preserve">fragment_count_log</w:t>
            </w:r>
          </w:p>
        </w:tc>
        <w:tc>
          <w:tcPr>
            <w:tcW w:w="0" w:type="auto"/>
          </w:tcPr>
          <w:p>
            <w:pPr>
              <w:spacing w:line="240" w:lineRule="auto" w:before="0" w:after="0"/>
              <w:pStyle w:val="Compact"/>
            </w:pPr>
            <w:r>
              <w:rPr>
                <w:sz w:val="20"/>
                <w:szCs w:val="20"/>
              </w:rPr>
              <w:t xml:space="preserve">Natural logarithm of the catalogued fragment count from the event</w:t>
            </w:r>
          </w:p>
        </w:tc>
        <w:tc>
          <w:tcPr>
            <w:tcW w:w="0" w:type="auto"/>
          </w:tcPr>
          <w:p>
            <w:pPr>
              <w:spacing w:line="240" w:lineRule="auto" w:before="0" w:after="0"/>
              <w:pStyle w:val="Compact"/>
            </w:pPr>
            <w:r>
              <w:rPr>
                <w:sz w:val="20"/>
                <w:szCs w:val="20"/>
              </w:rPr>
              <w:t xml:space="preserve">ln of fragments listed in NASA ODQN or NASA Anz-Meador History of On-Orbit Fragmentations; illustrative for a small minority of events with sparse public counts</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0.9355</w:t>
            </w:r>
          </w:p>
        </w:tc>
        <w:tc>
          <w:tcPr>
            <w:tcW w:w="0" w:type="auto"/>
          </w:tcPr>
          <w:p>
            <w:pPr>
              <w:spacing w:line="240" w:lineRule="auto" w:before="0" w:after="0"/>
              <w:pStyle w:val="Compact"/>
            </w:pPr>
            <w:r>
              <w:rPr>
                <w:sz w:val="20"/>
                <w:szCs w:val="20"/>
              </w:rPr>
              <w:t xml:space="preserve">0.6301</w:t>
            </w:r>
          </w:p>
        </w:tc>
        <w:tc>
          <w:tcPr>
            <w:tcW w:w="0" w:type="auto"/>
          </w:tcPr>
          <w:p>
            <w:pPr>
              <w:spacing w:line="240" w:lineRule="auto" w:before="0" w:after="0"/>
              <w:pStyle w:val="Compact"/>
            </w:pPr>
            <w:r>
              <w:rPr>
                <w:sz w:val="20"/>
                <w:szCs w:val="20"/>
              </w:rPr>
              <w:t xml:space="preserve">0.5287</w:t>
            </w:r>
          </w:p>
        </w:tc>
        <w:tc>
          <w:tcPr>
            <w:tcW w:w="0" w:type="auto"/>
          </w:tcPr>
          <w:p>
            <w:pPr>
              <w:spacing w:line="240" w:lineRule="auto" w:before="0" w:after="0"/>
              <w:pStyle w:val="Compact"/>
            </w:pPr>
            <w:r>
              <w:rPr>
                <w:sz w:val="20"/>
                <w:szCs w:val="20"/>
              </w:rPr>
              <w:t xml:space="preserve">[-1.2441, 2.423]</w:t>
            </w:r>
          </w:p>
        </w:tc>
      </w:tr>
      <w:tr>
        <w:tc>
          <w:tcPr>
            <w:tcW w:w="0" w:type="auto"/>
          </w:tcPr>
          <w:p>
            <w:pPr>
              <w:spacing w:line="240" w:lineRule="auto" w:before="0" w:after="0"/>
              <w:pStyle w:val="Compact"/>
            </w:pPr>
            <w:r>
              <w:rPr>
                <w:sz w:val="20"/>
                <w:szCs w:val="20"/>
              </w:rPr>
              <w:t xml:space="preserve">years_since_event</w:t>
            </w:r>
          </w:p>
        </w:tc>
        <w:tc>
          <w:tcPr>
            <w:tcW w:w="0" w:type="auto"/>
          </w:tcPr>
          <w:p>
            <w:pPr>
              <w:spacing w:line="240" w:lineRule="auto" w:before="0" w:after="0"/>
              <w:pStyle w:val="Compact"/>
            </w:pPr>
            <w:r>
              <w:rPr>
                <w:sz w:val="20"/>
                <w:szCs w:val="20"/>
              </w:rPr>
              <w:t xml:space="preserve">-0.0565</w:t>
            </w:r>
          </w:p>
        </w:tc>
        <w:tc>
          <w:tcPr>
            <w:tcW w:w="0" w:type="auto"/>
          </w:tcPr>
          <w:p>
            <w:pPr>
              <w:spacing w:line="240" w:lineRule="auto" w:before="0" w:after="0"/>
              <w:pStyle w:val="Compact"/>
            </w:pPr>
            <w:r>
              <w:rPr>
                <w:sz w:val="20"/>
                <w:szCs w:val="20"/>
              </w:rPr>
              <w:t xml:space="preserve">0.0293</w:t>
            </w:r>
          </w:p>
        </w:tc>
        <w:tc>
          <w:tcPr>
            <w:tcW w:w="0" w:type="auto"/>
          </w:tcPr>
          <w:p>
            <w:pPr>
              <w:spacing w:line="240" w:lineRule="auto" w:before="0" w:after="0"/>
              <w:pStyle w:val="Compact"/>
            </w:pPr>
            <w:r>
              <w:rPr>
                <w:sz w:val="20"/>
                <w:szCs w:val="20"/>
              </w:rPr>
              <w:t xml:space="preserve">-1.9293</w:t>
            </w:r>
          </w:p>
        </w:tc>
        <w:tc>
          <w:tcPr>
            <w:tcW w:w="0" w:type="auto"/>
          </w:tcPr>
          <w:p>
            <w:pPr>
              <w:spacing w:line="240" w:lineRule="auto" w:before="0" w:after="0"/>
              <w:pStyle w:val="Compact"/>
            </w:pPr>
            <w:r>
              <w:rPr>
                <w:sz w:val="20"/>
                <w:szCs w:val="20"/>
              </w:rPr>
              <w:t xml:space="preserve">0.0537</w:t>
            </w:r>
          </w:p>
        </w:tc>
        <w:tc>
          <w:tcPr>
            <w:tcW w:w="0" w:type="auto"/>
          </w:tcPr>
          <w:p>
            <w:pPr>
              <w:spacing w:line="240" w:lineRule="auto" w:before="0" w:after="0"/>
              <w:pStyle w:val="Compact"/>
            </w:pPr>
            <w:r>
              <w:rPr>
                <w:sz w:val="20"/>
                <w:szCs w:val="20"/>
              </w:rPr>
              <w:t xml:space="preserve">[-0.1138, 0.0008973]</w:t>
            </w:r>
          </w:p>
        </w:tc>
      </w:tr>
      <w:tr>
        <w:tc>
          <w:tcPr>
            <w:tcW w:w="0" w:type="auto"/>
          </w:tcPr>
          <w:p>
            <w:pPr>
              <w:spacing w:line="240" w:lineRule="auto" w:before="0" w:after="0"/>
              <w:pStyle w:val="Compact"/>
            </w:pPr>
            <w:r>
              <w:rPr>
                <w:sz w:val="20"/>
                <w:szCs w:val="20"/>
              </w:rPr>
              <w:t xml:space="preserve">orbital_regime_leo</w:t>
            </w:r>
          </w:p>
        </w:tc>
        <w:tc>
          <w:tcPr>
            <w:tcW w:w="0" w:type="auto"/>
          </w:tcPr>
          <w:p>
            <w:pPr>
              <w:spacing w:line="240" w:lineRule="auto" w:before="0" w:after="0"/>
              <w:pStyle w:val="Compact"/>
            </w:pPr>
            <w:r>
              <w:rPr>
                <w:sz w:val="20"/>
                <w:szCs w:val="20"/>
              </w:rPr>
              <w:t xml:space="preserve">-0.7608</w:t>
            </w:r>
          </w:p>
        </w:tc>
        <w:tc>
          <w:tcPr>
            <w:tcW w:w="0" w:type="auto"/>
          </w:tcPr>
          <w:p>
            <w:pPr>
              <w:spacing w:line="240" w:lineRule="auto" w:before="0" w:after="0"/>
              <w:pStyle w:val="Compact"/>
            </w:pPr>
            <w:r>
              <w:rPr>
                <w:sz w:val="20"/>
                <w:szCs w:val="20"/>
              </w:rPr>
              <w:t xml:space="preserve">0.9957</w:t>
            </w:r>
          </w:p>
        </w:tc>
        <w:tc>
          <w:tcPr>
            <w:tcW w:w="0" w:type="auto"/>
          </w:tcPr>
          <w:p>
            <w:pPr>
              <w:spacing w:line="240" w:lineRule="auto" w:before="0" w:after="0"/>
              <w:pStyle w:val="Compact"/>
            </w:pPr>
            <w:r>
              <w:rPr>
                <w:sz w:val="20"/>
                <w:szCs w:val="20"/>
              </w:rPr>
              <w:t xml:space="preserve">-0.7641</w:t>
            </w:r>
          </w:p>
        </w:tc>
        <w:tc>
          <w:tcPr>
            <w:tcW w:w="0" w:type="auto"/>
          </w:tcPr>
          <w:p>
            <w:pPr>
              <w:spacing w:line="240" w:lineRule="auto" w:before="0" w:after="0"/>
              <w:pStyle w:val="Compact"/>
            </w:pPr>
            <w:r>
              <w:rPr>
                <w:sz w:val="20"/>
                <w:szCs w:val="20"/>
              </w:rPr>
              <w:t xml:space="preserve">0.4448</w:t>
            </w:r>
          </w:p>
        </w:tc>
        <w:tc>
          <w:tcPr>
            <w:tcW w:w="0" w:type="auto"/>
          </w:tcPr>
          <w:p>
            <w:pPr>
              <w:spacing w:line="240" w:lineRule="auto" w:before="0" w:after="0"/>
              <w:pStyle w:val="Compact"/>
            </w:pPr>
            <w:r>
              <w:rPr>
                <w:sz w:val="20"/>
                <w:szCs w:val="20"/>
              </w:rPr>
              <w:t xml:space="preserve">[-2.7124, 1.1908]</w:t>
            </w:r>
          </w:p>
        </w:tc>
      </w:tr>
      <w:tr>
        <w:tc>
          <w:tcPr>
            <w:tcW w:w="0" w:type="auto"/>
          </w:tcPr>
          <w:p>
            <w:pPr>
              <w:spacing w:line="240" w:lineRule="auto" w:before="0" w:after="0"/>
              <w:pStyle w:val="Compact"/>
            </w:pPr>
            <w:r>
              <w:rPr>
                <w:sz w:val="20"/>
                <w:szCs w:val="20"/>
              </w:rPr>
              <w:t xml:space="preserve">fragment_count_log</w:t>
            </w:r>
          </w:p>
        </w:tc>
        <w:tc>
          <w:tcPr>
            <w:tcW w:w="0" w:type="auto"/>
          </w:tcPr>
          <w:p>
            <w:pPr>
              <w:spacing w:line="240" w:lineRule="auto" w:before="0" w:after="0"/>
              <w:pStyle w:val="Compact"/>
            </w:pPr>
            <w:r>
              <w:rPr>
                <w:sz w:val="20"/>
                <w:szCs w:val="20"/>
              </w:rPr>
              <w:t xml:space="preserve">0.4103</w:t>
            </w:r>
          </w:p>
        </w:tc>
        <w:tc>
          <w:tcPr>
            <w:tcW w:w="0" w:type="auto"/>
          </w:tcPr>
          <w:p>
            <w:pPr>
              <w:spacing w:line="240" w:lineRule="auto" w:before="0" w:after="0"/>
              <w:pStyle w:val="Compact"/>
            </w:pPr>
            <w:r>
              <w:rPr>
                <w:sz w:val="20"/>
                <w:szCs w:val="20"/>
              </w:rPr>
              <w:t xml:space="preserve">0.219</w:t>
            </w:r>
          </w:p>
        </w:tc>
        <w:tc>
          <w:tcPr>
            <w:tcW w:w="0" w:type="auto"/>
          </w:tcPr>
          <w:p>
            <w:pPr>
              <w:spacing w:line="240" w:lineRule="auto" w:before="0" w:after="0"/>
              <w:pStyle w:val="Compact"/>
            </w:pPr>
            <w:r>
              <w:rPr>
                <w:sz w:val="20"/>
                <w:szCs w:val="20"/>
              </w:rPr>
              <w:t xml:space="preserve">1.8737</w:t>
            </w:r>
          </w:p>
        </w:tc>
        <w:tc>
          <w:tcPr>
            <w:tcW w:w="0" w:type="auto"/>
          </w:tcPr>
          <w:p>
            <w:pPr>
              <w:spacing w:line="240" w:lineRule="auto" w:before="0" w:after="0"/>
              <w:pStyle w:val="Compact"/>
            </w:pPr>
            <w:r>
              <w:rPr>
                <w:sz w:val="20"/>
                <w:szCs w:val="20"/>
              </w:rPr>
              <w:t xml:space="preserve">0.061</w:t>
            </w:r>
          </w:p>
        </w:tc>
        <w:tc>
          <w:tcPr>
            <w:tcW w:w="0" w:type="auto"/>
          </w:tcPr>
          <w:p>
            <w:pPr>
              <w:spacing w:line="240" w:lineRule="auto" w:before="0" w:after="0"/>
              <w:pStyle w:val="Compact"/>
            </w:pPr>
            <w:r>
              <w:rPr>
                <w:sz w:val="20"/>
                <w:szCs w:val="20"/>
              </w:rPr>
              <w:t xml:space="preserve">[-0.0189, 0.8395]</w:t>
            </w:r>
          </w:p>
        </w:tc>
      </w:tr>
    </w:tbl>
    <w:p>
      <w:pPr>
        <w:pStyle w:val="BodyText"/>
      </w:pPr>
      <w:r>
        <w:t xml:space="preserve">Fit: N = 36 pseudo_R2 = 0.1756 LL = -19.4117</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2026-06-27T00:26:13Z</dcterms:created>
  <dcterms:modified xsi:type="dcterms:W3CDTF">2026-06-27T00:26:13Z</dcterms:modified>
</cp:coreProperties>
</file>

<file path=docProps/custom.xml><?xml version="1.0" encoding="utf-8"?>
<Properties xmlns="http://schemas.openxmlformats.org/officeDocument/2006/custom-properties" xmlns:vt="http://schemas.openxmlformats.org/officeDocument/2006/docPropsVTypes"/>
</file>