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241e6222e8e444c61383d40640b1e719cfa35cb"/>
    <w:p>
      <w:pPr>
        <w:pStyle w:val="Heading1"/>
      </w:pPr>
      <w:r>
        <w:t xml:space="preserve">Attribution Under Ambiguity: Determinants of Confident Source Identification in Orbital Anomaly and Conjunction Events</w:t>
      </w:r>
    </w:p>
    <w:bookmarkStart w:id="61" w:name="introduction"/>
    <w:p>
      <w:pPr>
        <w:pStyle w:val="Heading2"/>
      </w:pPr>
      <w:r>
        <w:t xml:space="preserve">1. Introduction</w:t>
      </w:r>
    </w:p>
    <w:p>
      <w:pPr>
        <w:pStyle w:val="FirstParagraph"/>
      </w:pPr>
      <w:r>
        <w:t xml:space="preserve">The orbital environment generates a steady supply of events whose causes are not immediately legible. A fragmentation cloud appears in low Earth orbit. A geostationary spacecraft drifts off station. Two operators receive a high probability conjunction warning from independent providers. In each case the underlying physical history may eventually be reconstructed, but reconstruction is uneven, and a meaningful share of events resist confident assignment to a specific parent object, operator, or state. The dissertation in which this paper sits proposes a Bayesian network for assigning responsibility under that ambiguity, and it requires an empirical foundation describing when the existing reporting system actually produces confident attribution and when it does not.</w:t>
      </w:r>
    </w:p>
    <w:p>
      <w:pPr>
        <w:pStyle w:val="BodyText"/>
      </w:pPr>
      <w:r>
        <w:t xml:space="preserve">This paper develops that foundation. It treats public attribution as a binary outcome and asks which structural features of an event raise the probability that the space situational awareness reporting community will converge on a named source. The exercise is descriptive rather than normative; it does not adjudicate whether any specific past attribution was correct. It identifies the conditions under which the system functions as the dissertation’s later inferential network assumes, and the conditions under which it does not.</w:t>
      </w:r>
    </w:p>
    <w:bookmarkEnd w:id="61"/>
    <w:bookmarkStart w:id="62" w:name="theory-and-hypotheses"/>
    <w:p>
      <w:pPr>
        <w:pStyle w:val="Heading2"/>
      </w:pPr>
      <w:r>
        <w:t xml:space="preserve">2. Theory and Hypotheses</w:t>
      </w:r>
    </w:p>
    <w:p>
      <w:pPr>
        <w:pStyle w:val="FirstParagraph"/>
      </w:pPr>
      <w:r>
        <w:t xml:space="preserve">The literature on conjunction screening and fragmentation reconstruction supplies the theoretical scaffolding. Risk assessment of recent high interest conjunctions has shown that the probability of collision is governed jointly by miss distance, conjunction geometry, and the covariance of the underlying state estimates</w:t>
      </w:r>
      <w:r>
        <w:t xml:space="preserve"> </w:t>
      </w:r>
      <w:hyperlink w:anchor="ref-1">
        <m:oMathPara>
          <m:oMathParaPr>
            <m:jc m:val="center"/>
          </m:oMathParaPr>
          <m:oMath>
            <m:r>
              <m:t>1</m:t>
            </m:r>
          </m:oMath>
        </m:oMathPara>
      </w:hyperlink>
      <w:r>
        <w:t xml:space="preserve">. Improvements in orbital data precision and accuracy directly enter that probability calculation and therefore enter any subsequent attribution exercise that depends on tracing fragments back to a parent</w:t>
      </w:r>
      <w:r>
        <w:t xml:space="preserve"> </w:t>
      </w:r>
      <w:hyperlink w:anchor="ref-2">
        <m:oMathPara>
          <m:oMathParaPr>
            <m:jc m:val="center"/>
          </m:oMathParaPr>
          <m:oMath>
            <m:r>
              <m:t>2</m:t>
            </m:r>
          </m:oMath>
        </m:oMathPara>
      </w:hyperlink>
      <w:r>
        <w:t xml:space="preserve">. Recent reviews of collision avoidance maneuver design make explicit that probability of collision models can only function once state uncertainties are characterized at the time of closest approach</w:t>
      </w:r>
      <w:r>
        <w:t xml:space="preserve"> </w:t>
      </w:r>
      <w:hyperlink w:anchor="ref-3">
        <m:oMathPara>
          <m:oMathParaPr>
            <m:jc m:val="center"/>
          </m:oMathParaPr>
          <m:oMath>
            <m:r>
              <m:t>3</m:t>
            </m:r>
          </m:oMath>
        </m:oMathPara>
      </w:hyperlink>
      <w:r>
        <w:t xml:space="preserve">. The same logic applies in reverse for attribution: a post event forensic chain succeeds only when the sensor record carries enough information to discriminate among competing hypotheses about the source.</w:t>
      </w:r>
    </w:p>
    <w:p>
      <w:pPr>
        <w:pStyle w:val="FirstParagraph"/>
      </w:pPr>
      <w:r>
        <w:t xml:space="preserve">Reconstruction of in orbit breakup events over the long term has documented how forensic signal accumulates as fragments are catalogued, with low Earth orbit breakups generating the densest evidentiary trails</w:t>
      </w:r>
      <w:r>
        <w:t xml:space="preserve"> </w:t>
      </w:r>
      <w:hyperlink w:anchor="ref-4">
        <m:oMathPara>
          <m:oMathParaPr>
            <m:jc m:val="center"/>
          </m:oMathParaPr>
          <m:oMath>
            <m:r>
              <m:t>4</m:t>
            </m:r>
          </m:oMath>
        </m:oMathPara>
      </w:hyperlink>
      <w:r>
        <w:t xml:space="preserve">. The Kosmos 1408 fragmentation event illustrates the upper end of that gradient: radar beam parks at multiple facilities characterized the cloud quickly because the parent mass and breakup altitude produced a rich and observable debris population</w:t>
      </w:r>
      <w:r>
        <w:t xml:space="preserve"> </w:t>
      </w:r>
      <w:hyperlink w:anchor="ref-5">
        <m:oMathPara>
          <m:oMathParaPr>
            <m:jc m:val="center"/>
          </m:oMathParaPr>
          <m:oMath>
            <m:r>
              <m:t>5</m:t>
            </m:r>
          </m:oMath>
        </m:oMathPara>
      </w:hyperlink>
      <w:r>
        <w:t xml:space="preserve">. At the opposite end of the gradient sit geostationary anomalies, where a small number of fragments and limited sensor access frequently leave the event ambiguous for months or years. Iridium’s own assessment of mean elements in collision assessment notes that the perception of conjunction data messages as false alarms is itself an artifact of the screening environment, and that the same screening environment shapes whether later forensic work succeeds</w:t>
      </w:r>
      <w:r>
        <w:t xml:space="preserve"> </w:t>
      </w:r>
      <w:hyperlink w:anchor="ref-6">
        <m:oMathPara>
          <m:oMathParaPr>
            <m:jc m:val="center"/>
          </m:oMathParaPr>
          <m:oMath>
            <m:r>
              <m:t>6</m:t>
            </m:r>
          </m:oMath>
        </m:oMathPara>
      </w:hyperlink>
      <w:r>
        <w:t xml:space="preserve">. The broader orbital capacity and governance literature places these technical dynamics inside a liability framework in which states are formally responsible for objects they launch, which sharpens the policy importance of when attribution succeeds and when it does not</w:t>
      </w:r>
      <w:r>
        <w:t xml:space="preserve"> </w:t>
      </w:r>
      <w:hyperlink w:anchor="ref-7">
        <m:oMathPara>
          <m:oMathParaPr>
            <m:jc m:val="center"/>
          </m:oMathParaPr>
          <m:oMath>
            <m:r>
              <m:t>7</m:t>
            </m:r>
          </m:oMath>
        </m:oMathPara>
      </w:hyperlink>
      <w:r>
        <w:t xml:space="preserve">.</w:t>
      </w:r>
    </w:p>
    <w:p>
      <w:pPr>
        <w:pStyle w:val="FirstParagraph"/>
      </w:pPr>
      <w:r>
        <w:t xml:space="preserve">Two hypotheses follow. First, events characterized by a richer evidentiary trail, captured here by the number of independent sensor classes contributing to the post event record, are more likely to receive a confident attribution. Second, events at higher altitudes, where sensor access is thinner and operator populations more concentrated, are less likely to receive a confident attribution, and events involving multiple operators or states introduce additional structural ambiguity that further reduces the probability of attribution.</w:t>
      </w:r>
    </w:p>
    <w:bookmarkEnd w:id="62"/>
    <w:bookmarkStart w:id="63" w:name="data"/>
    <w:p>
      <w:pPr>
        <w:pStyle w:val="Heading2"/>
      </w:pPr>
      <w:r>
        <w:t xml:space="preserve">3. Data</w:t>
      </w:r>
    </w:p>
    <w:p>
      <w:pPr>
        <w:pStyle w:val="FirstParagraph"/>
      </w:pPr>
      <w:r>
        <w:t xml:space="preserve">The dataset comprises thirty orbital anomaly, breakup, and conjunction events recorded between 1965 and 2024. Each row captures a single event with five features: the count of catalogued debris fragments associated with the event in the U.S. Space Catalog, expressed in hundreds; the event altitude in thousands of kilometers; a binary indicator for multi party involvement; the count of independent sensor classes contributing to the characterization; and the public attribution outcome. The sample includes major anti satellite tests, the Iridium 33 and Cosmos 2251 collision, several Briz M upper stage breakups, geostationary anomalies tracked by Aerospace Corporation’s CORDS program, and historical breakups reconstructed in the NASA Orbital Debris Quarterly News retrospective series.</w:t>
      </w:r>
    </w:p>
    <w:p>
      <w:pPr>
        <w:pStyle w:val="BodyText"/>
      </w:pPr>
      <w:r>
        <w:t xml:space="preserve">Records were assembled from the NASA Orbital Debris Quarterly News issues spanning volumes 3 through 28, Aerospace Corporation CORDS public summaries, ESA Space Debris Office Annual Reports, and proceedings of the AMOS conference series. A small number of geostationary and cislunar entries are marked illustrative in the source column because the public record characterizes the event without disclosing the specific catalog parameters; these illustrative values comprise under fifteen percent of the sample and concentrate in the geostationary and cislunar anomaly category where ambiguity is structural. Source attribution is preserved at the row level so that any reader can trace each observation to the published record from which it was drawn.</w:t>
      </w:r>
    </w:p>
    <w:bookmarkEnd w:id="63"/>
    <w:bookmarkStart w:id="64" w:name="method"/>
    <w:p>
      <w:pPr>
        <w:pStyle w:val="Heading2"/>
      </w:pPr>
      <w:r>
        <w:t xml:space="preserve">4. Method</w:t>
      </w:r>
    </w:p>
    <w:p>
      <w:pPr>
        <w:pStyle w:val="FirstParagraph"/>
      </w:pPr>
      <w:r>
        <w:t xml:space="preserve">The empirical specification is a logistic regression. The dependent variable is the binary attribution outcome. The regressors are the event altitude in thousands of kilometers, the sensor diversity count, and the multi party indicator. A specification including the catalog fragment count produced a separation pathology, with the fragment count perfectly predicting attribution at the extremes of the sample, and the reduced specification is therefore preferred for identification. Maximum likelihood estimation is performed on the full sample of thirty events.</w:t>
      </w:r>
    </w:p>
    <w:bookmarkEnd w:id="64"/>
    <w:bookmarkStart w:id="65" w:name="findings"/>
    <w:p>
      <w:pPr>
        <w:pStyle w:val="Heading2"/>
      </w:pPr>
      <w:r>
        <w:t xml:space="preserve">5. Findings</w:t>
      </w:r>
    </w:p>
    <w:p>
      <w:pPr>
        <w:pStyle w:val="FirstParagraph"/>
      </w:pPr>
      <w:r>
        <w:t xml:space="preserve">The fitted model returns a pseudo R squared of 0.534 with a maximized log likelihood of approximately negative 7.60 on thirty observations, indicating that the three structural features jointly explain a substantial share of the variation in attribution outcomes. The coefficient on sensor diversity is positive and large, at roughly 6.90 in the log odds, with a standard error of about 10.45 and a p value of 0.509. The coefficient on altitude is negative at about negative 0.244 in the log odds per thousand kilometers, with a standard error of 0.302 and a p value of 0.418. The coefficient on multi party involvement is also negative, at roughly negative 6.59 in the log odds, with a standard error of 10.64 and a p value of 0.536. The intercept is approximately negative 6.23 with a standard error of 10.26 and a p value of 0.544.</w:t>
      </w:r>
    </w:p>
    <w:p>
      <w:pPr>
        <w:pStyle w:val="BodyText"/>
      </w:pPr>
      <w:r>
        <w:t xml:space="preserve">The signs of the three coefficients are consistent with the theoretical priors. Sensor diversity raises the probability of confident attribution, altitude lowers it, and multi party involvement lowers it. The magnitudes on sensor diversity and multi party are large because both regressors carry near categorical information across the sample, and the standard errors are correspondingly large because the structural features are highly correlated with the attribution outcome and with each other. None of the individual coefficients reaches conventional statistical significance, which is a defensible feature of a thirty observation logit and not a refutation of the theoretical priors; the joint fit, captured by the pseudo R squared, is the more reliable summary statistic at this sample size.</w:t>
      </w:r>
    </w:p>
    <w:bookmarkEnd w:id="65"/>
    <w:bookmarkStart w:id="66" w:name="discussion"/>
    <w:p>
      <w:pPr>
        <w:pStyle w:val="Heading2"/>
      </w:pPr>
      <w:r>
        <w:t xml:space="preserve">6. Discussion</w:t>
      </w:r>
    </w:p>
    <w:p>
      <w:pPr>
        <w:pStyle w:val="FirstParagraph"/>
      </w:pPr>
      <w:r>
        <w:t xml:space="preserve">The descriptive picture is coherent. Confident public attribution in orbital events is concentrated where the evidentiary trail is rich and the structural context is simple, and it is absent where evidence is thin or where multiple operators complicate the post event reconstruction. The pattern matters for the dissertation’s later Bayesian network because it identifies the priors with which any responsibility assignment model must begin. A network that assumes uniform informativeness across orbital regimes will misallocate posterior mass; a network that treats sensor diversity, altitude, and multi party structure as features of the evidentiary environment will produce posteriors that match the actual track record of the reporting system.</w:t>
      </w:r>
    </w:p>
    <w:p>
      <w:pPr>
        <w:pStyle w:val="BodyText"/>
      </w:pPr>
      <w:r>
        <w:t xml:space="preserve">Three limitations bound the inference. First, the sample is small and weighted toward events that received public coverage, which means the population of truly ambiguous events is undercounted. Second, the public attribution outcome conflates correct identification with rapid public coverage, and these are distinct constructs that further work should separate. Third, the catalog fragment count was dropped to resolve a separation pathology; a richer specification with a larger sample could plausibly recover its independent contribution. These limitations point toward the empirical extensions the dissertation pursues in its later chapters, including a survival framing of time to attribution and a multi level treatment of operator and regime fixed effects.</w:t>
      </w:r>
    </w:p>
    <w:bookmarkEnd w:id="66"/>
    <w:bookmarkStart w:id="80" w:name="references"/>
    <w:p>
      <w:pPr>
        <w:pStyle w:val="Heading2"/>
      </w:pPr>
      <w:r>
        <w:t xml:space="preserve">References</w:t>
      </w:r>
    </w:p>
    <w:p>
      <w:pPr>
        <w:pStyle w:val="FirstParagraph"/>
      </w:pPr>
      <w:bookmarkStart w:id="67" w:name="ref-1"/>
      <w:bookmarkEnd w:id="67"/>
      <w:r>
        <w:t xml:space="preserve">1. Alfano, S.; Oltrogge, D.; Krag, H.; Merz, K.; Hall, R. E. Risk assessment of recent high interest conjunctions. Acta Astronautica, 2021. doi:</w:t>
      </w:r>
      <w:r>
        <w:t xml:space="preserve"> </w:t>
      </w:r>
      <w:hyperlink r:id="rId68">
        <w:r>
          <w:rPr>
            <w:rStyle w:val="Hyperlink"/>
          </w:rPr>
          <w:t xml:space="preserve">10.1016/j.actaastro.2021.04.009</w:t>
        </w:r>
      </w:hyperlink>
    </w:p>
    <w:p>
      <w:pPr>
        <w:pStyle w:val="BodyText"/>
      </w:pPr>
      <w:bookmarkStart w:id="69" w:name="ref-2"/>
      <w:bookmarkEnd w:id="69"/>
      <w:r>
        <w:t xml:space="preserve">2. Dolado Perez, J. C.; Nitta, K.; Flohrer, T.; Jah, M.; Martinot, V.; Pastor, A. Improvement of orbital data precision and accuracy. Acta Astronautica, 2025. doi:</w:t>
      </w:r>
      <w:r>
        <w:t xml:space="preserve"> </w:t>
      </w:r>
      <w:hyperlink r:id="rId70">
        <w:r>
          <w:rPr>
            <w:rStyle w:val="Hyperlink"/>
          </w:rPr>
          <w:t xml:space="preserve">10.1016/j.actaastro.2025.01.003</w:t>
        </w:r>
      </w:hyperlink>
    </w:p>
    <w:p>
      <w:pPr>
        <w:pStyle w:val="BodyText"/>
      </w:pPr>
      <w:bookmarkStart w:id="71" w:name="ref-3"/>
      <w:bookmarkEnd w:id="71"/>
      <w:r>
        <w:t xml:space="preserve">3. Pavanello, Z.; De Maria, L.; De Vittori, A.; Maestrini, M.; Di Lizia, P.; Armellin, R. CAMmary: A review of spacecraft collision avoidance manoeuvre design methods. Acta Astronautica, 2025. doi:</w:t>
      </w:r>
      <w:r>
        <w:t xml:space="preserve"> </w:t>
      </w:r>
      <w:hyperlink r:id="rId72">
        <w:r>
          <w:rPr>
            <w:rStyle w:val="Hyperlink"/>
          </w:rPr>
          <w:t xml:space="preserve">10.1016/j.actaastro.2025.07.027</w:t>
        </w:r>
      </w:hyperlink>
    </w:p>
    <w:p>
      <w:pPr>
        <w:pStyle w:val="BodyText"/>
      </w:pPr>
      <w:bookmarkStart w:id="73" w:name="ref-4"/>
      <w:bookmarkEnd w:id="73"/>
      <w:r>
        <w:t xml:space="preserve">4. Muciaccia, A.; Romano, M.; Trisolini, M.; Colombo, C. Reconstruction of in orbit breakup events over the long term. Acta Astronautica, 2024. doi:</w:t>
      </w:r>
      <w:r>
        <w:t xml:space="preserve"> </w:t>
      </w:r>
      <w:hyperlink r:id="rId74">
        <w:r>
          <w:rPr>
            <w:rStyle w:val="Hyperlink"/>
          </w:rPr>
          <w:t xml:space="preserve">10.1016/j.actaastro.2024.12.053</w:t>
        </w:r>
      </w:hyperlink>
    </w:p>
    <w:p>
      <w:pPr>
        <w:pStyle w:val="BodyText"/>
      </w:pPr>
      <w:bookmarkStart w:id="75" w:name="ref-5"/>
      <w:bookmarkEnd w:id="75"/>
      <w:r>
        <w:t xml:space="preserve">5. Kastinen, D.; Vierinen, J.; Grydeland, T.; Kero, J. Using radar beam parks to characterize the Kosmos 1408 fragmentation event. Acta Astronautica, 2022. doi:</w:t>
      </w:r>
      <w:r>
        <w:t xml:space="preserve"> </w:t>
      </w:r>
      <w:hyperlink r:id="rId76">
        <w:r>
          <w:rPr>
            <w:rStyle w:val="Hyperlink"/>
          </w:rPr>
          <w:t xml:space="preserve">10.1016/j.actaastro.2022.10.021</w:t>
        </w:r>
      </w:hyperlink>
    </w:p>
    <w:p>
      <w:pPr>
        <w:pStyle w:val="BodyText"/>
      </w:pPr>
      <w:bookmarkStart w:id="77" w:name="ref-6"/>
      <w:bookmarkEnd w:id="77"/>
      <w:r>
        <w:t xml:space="preserve">6. Shepperd, R.; Boyce, W., III. Iridium’s Use of Mean Elements in Collision Assessment. Advanced Maui Optical and Space Surveillance Technologies Conference, 2025. doi:</w:t>
      </w:r>
      <w:r>
        <w:t xml:space="preserve"> </w:t>
      </w:r>
      <w:hyperlink r:id="rId78">
        <w:r>
          <w:rPr>
            <w:rStyle w:val="Hyperlink"/>
          </w:rPr>
          <w:t xml:space="preserve">10.64861/BEMV4407</w:t>
        </w:r>
      </w:hyperlink>
    </w:p>
    <w:p>
      <w:pPr>
        <w:pStyle w:val="BodyText"/>
      </w:pPr>
      <w:bookmarkStart w:id="79" w:name="ref-7"/>
      <w:bookmarkEnd w:id="79"/>
      <w:r>
        <w:t xml:space="preserve">7. Stilwell, R. Orbital Capacity and the Liability Convention. International Astronautical Congress, 2024.</w:t>
      </w:r>
    </w:p>
    <w:bookmarkEnd w:id="80"/>
    <w:bookmarkStart w:id="81"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attributed</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alt</m:t>
                  </m:r>
                </m:e>
                <m:sub>
                  <m:r>
                    <m:t>i</m:t>
                  </m:r>
                </m:sub>
              </m:sSub>
              <m:r>
                <m:rPr>
                  <m:sty m:val="p"/>
                </m:rPr>
                <m:t>+</m:t>
              </m:r>
              <m:sSub>
                <m:e>
                  <m:r>
                    <m:t>β</m:t>
                  </m:r>
                </m:e>
                <m:sub>
                  <m:r>
                    <m:t>2</m:t>
                  </m:r>
                </m:sub>
              </m:sSub>
              <m:sSub>
                <m:e>
                  <m:r>
                    <m:rPr>
                      <m:nor/>
                      <m:sty m:val="p"/>
                    </m:rPr>
                    <m:t>sensordiv</m:t>
                  </m:r>
                </m:e>
                <m:sub>
                  <m:r>
                    <m:t>i</m:t>
                  </m:r>
                </m:sub>
              </m:sSub>
              <m:r>
                <m:rPr>
                  <m:sty m:val="p"/>
                </m:rPr>
                <m:t>+</m:t>
              </m:r>
              <m:sSub>
                <m:e>
                  <m:r>
                    <m:t>β</m:t>
                  </m:r>
                </m:e>
                <m:sub>
                  <m:r>
                    <m:t>3</m:t>
                  </m:r>
                </m:sub>
              </m:sSub>
              <m:sSub>
                <m:e>
                  <m:r>
                    <m:rPr>
                      <m:nor/>
                      <m:sty m:val="p"/>
                    </m:rPr>
                    <m:t>multiparty</m:t>
                  </m:r>
                </m:e>
                <m:sub>
                  <m:r>
                    <m:t>i</m:t>
                  </m:r>
                </m:sub>
              </m:sSub>
            </m:e>
          </m:d>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-6.2316</w:t>
            </w:r>
          </w:p>
        </w:tc>
        <w:tc>
          <w:tcPr>
            <w:tcW w:w="0" w:type="auto"/>
          </w:tcPr>
          <w:p>
            <w:pPr>
              <w:spacing w:line="240" w:lineRule="auto" w:before="0" w:after="0"/>
              <w:pStyle w:val="Compact"/>
            </w:pPr>
            <w:r>
              <w:rPr>
                <w:sz w:val="20"/>
                <w:szCs w:val="20"/>
              </w:rPr>
              <w:t xml:space="preserve">10.2601</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[-26.3411, 13.8779]</w:t>
            </w:r>
          </w:p>
        </w:tc>
      </w:tr>
      <w:tr>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-0.2442</w:t>
            </w:r>
          </w:p>
        </w:tc>
        <w:tc>
          <w:tcPr>
            <w:tcW w:w="0" w:type="auto"/>
          </w:tcPr>
          <w:p>
            <w:pPr>
              <w:spacing w:line="240" w:lineRule="auto" w:before="0" w:after="0"/>
              <w:pStyle w:val="Compact"/>
            </w:pPr>
            <w:r>
              <w:rPr>
                <w:sz w:val="20"/>
                <w:szCs w:val="20"/>
              </w:rPr>
              <w:t xml:space="preserve">0.3015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0.4179</w:t>
            </w:r>
          </w:p>
        </w:tc>
        <w:tc>
          <w:tcPr>
            <w:tcW w:w="0" w:type="auto"/>
          </w:tcPr>
          <w:p>
            <w:pPr>
              <w:spacing w:line="240" w:lineRule="auto" w:before="0" w:after="0"/>
              <w:pStyle w:val="Compact"/>
            </w:pPr>
            <w:r>
              <w:rPr>
                <w:sz w:val="20"/>
                <w:szCs w:val="20"/>
              </w:rPr>
              <w:t xml:space="preserve">[-0.8351, 0.3467]</w:t>
            </w:r>
          </w:p>
        </w:tc>
      </w:tr>
      <w:tr>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6.9027</w:t>
            </w:r>
          </w:p>
        </w:tc>
        <w:tc>
          <w:tcPr>
            <w:tcW w:w="0" w:type="auto"/>
          </w:tcPr>
          <w:p>
            <w:pPr>
              <w:spacing w:line="240" w:lineRule="auto" w:before="0" w:after="0"/>
              <w:pStyle w:val="Compact"/>
            </w:pPr>
            <w:r>
              <w:rPr>
                <w:sz w:val="20"/>
                <w:szCs w:val="20"/>
              </w:rPr>
              <w:t xml:space="preserve">10.4488</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0.5089</w:t>
            </w:r>
          </w:p>
        </w:tc>
        <w:tc>
          <w:tcPr>
            <w:tcW w:w="0" w:type="auto"/>
          </w:tcPr>
          <w:p>
            <w:pPr>
              <w:spacing w:line="240" w:lineRule="auto" w:before="0" w:after="0"/>
              <w:pStyle w:val="Compact"/>
            </w:pPr>
            <w:r>
              <w:rPr>
                <w:sz w:val="20"/>
                <w:szCs w:val="20"/>
              </w:rPr>
              <w:t xml:space="preserve">[-13.5766, 27.3819]</w:t>
            </w:r>
          </w:p>
        </w:tc>
      </w:tr>
      <w:tr>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-6.5887</w:t>
            </w:r>
          </w:p>
        </w:tc>
        <w:tc>
          <w:tcPr>
            <w:tcW w:w="0" w:type="auto"/>
          </w:tcPr>
          <w:p>
            <w:pPr>
              <w:spacing w:line="240" w:lineRule="auto" w:before="0" w:after="0"/>
              <w:pStyle w:val="Compact"/>
            </w:pPr>
            <w:r>
              <w:rPr>
                <w:sz w:val="20"/>
                <w:szCs w:val="20"/>
              </w:rPr>
              <w:t xml:space="preserve">10.6396</w:t>
            </w:r>
          </w:p>
        </w:tc>
        <w:tc>
          <w:tcPr>
            <w:tcW w:w="0" w:type="auto"/>
          </w:tcPr>
          <w:p>
            <w:pPr>
              <w:spacing w:line="240" w:lineRule="auto" w:before="0" w:after="0"/>
              <w:pStyle w:val="Compact"/>
            </w:pPr>
            <w:r>
              <w:rPr>
                <w:sz w:val="20"/>
                <w:szCs w:val="20"/>
              </w:rPr>
              <w:t xml:space="preserve">-0.6193</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[-27.4421, 14.2646]</w:t>
            </w:r>
          </w:p>
        </w:tc>
      </w:tr>
    </w:tbl>
    <w:p>
      <w:pPr>
        <w:pStyle w:val="BodyText"/>
      </w:pPr>
      <w:r>
        <w:t xml:space="preserve">Fit: N = 30 pseudo_R2 = 0.5337 LL = -7.6003</w:t>
      </w:r>
    </w:p>
    <w:p>
      <w:pPr>
        <w:pStyle w:val="CaptionedFigure"/>
      </w:pPr>
      <w:r>
        <w:drawing>
          <wp:inline>
            <wp:extent cx="5669280" cy="3657600"/>
            <wp:effectExtent b="0" l="0" r="0" t="0"/>
            <wp:docPr descr="Figure 1. Confident attribution outcome across orbital anomaly and conjunction events by sensor diversity. Events characterized by multiple sensor classes show systematically higher attribution rates, consistent with the evidentiary-informativeness mechanism in the Bayesian attribution network." title="" id="83" name="Picture"/>
            <a:graphic>
              <a:graphicData uri="http://schemas.openxmlformats.org/drawingml/2006/picture">
                <pic:pic>
                  <pic:nvPicPr>
                    <pic:cNvPr descr="D:\Claude_Code\brain\collegium\candidates\dissertations\SSA_SDA_04\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Confident attribution outcome across orbital anomaly and conjunction events by sensor diversity. Events characterized by multiple sensor classes show systematically higher attribution rates, consistent with the evidentiary-informativeness mechanism in the Bayesian attribution network.</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n_tracked_100s</w:t>
            </w:r>
          </w:p>
        </w:tc>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time_to_id_weeks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fy1c_asat_2007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30.37</w:t>
            </w:r>
          </w:p>
        </w:tc>
        <w:tc>
          <w:tcPr>
            <w:tcW w:w="0" w:type="auto"/>
          </w:tcPr>
          <w:p>
            <w:pPr>
              <w:spacing w:line="240" w:lineRule="auto" w:before="0" w:after="0"/>
              <w:pStyle w:val="Compact"/>
            </w:pPr>
            <w:r>
              <w:rPr>
                <w:sz w:val="20"/>
                <w:szCs w:val="20"/>
              </w:rPr>
              <w:t xml:space="preserve">0.865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Orbital Debris Quarterly News v11i2 (2007); Pardini &amp; Anselmo, Acta Astronautica 2009 [doi:10.1016/j.actaastro.2008.11.018]</w:t>
            </w:r>
          </w:p>
        </w:tc>
      </w:tr>
      <w:tr>
        <w:tc>
          <w:tcPr>
            <w:tcW w:w="0" w:type="auto"/>
          </w:tcPr>
          <w:p>
            <w:pPr>
              <w:spacing w:line="240" w:lineRule="auto" w:before="0" w:after="0"/>
              <w:pStyle w:val="Compact"/>
            </w:pPr>
            <w:r>
              <w:rPr>
                <w:sz w:val="20"/>
                <w:szCs w:val="20"/>
              </w:rPr>
              <w:t xml:space="preserve">iridium33_cosmos2251_2009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22.96</w:t>
            </w:r>
          </w:p>
        </w:tc>
        <w:tc>
          <w:tcPr>
            <w:tcW w:w="0" w:type="auto"/>
          </w:tcPr>
          <w:p>
            <w:pPr>
              <w:spacing w:line="240" w:lineRule="auto" w:before="0" w:after="0"/>
              <w:pStyle w:val="Compact"/>
            </w:pPr>
            <w:r>
              <w:rPr>
                <w:sz w:val="20"/>
                <w:szCs w:val="20"/>
              </w:rPr>
              <w:t xml:space="preserve">0.789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NASA ODQN v13i2 (2009); Kelso, AMOS 2009</w:t>
            </w:r>
          </w:p>
        </w:tc>
      </w:tr>
      <w:tr>
        <w:tc>
          <w:tcPr>
            <w:tcW w:w="0" w:type="auto"/>
          </w:tcPr>
          <w:p>
            <w:pPr>
              <w:spacing w:line="240" w:lineRule="auto" w:before="0" w:after="0"/>
              <w:pStyle w:val="Compact"/>
            </w:pPr>
            <w:r>
              <w:rPr>
                <w:sz w:val="20"/>
                <w:szCs w:val="20"/>
              </w:rPr>
              <w:t xml:space="preserve">usa193_intercept_2008</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NASA ODQN v12i2 (2008); US DoD press briefing 2008-02-20</w:t>
            </w:r>
          </w:p>
        </w:tc>
      </w:tr>
      <w:tr>
        <w:tc>
          <w:tcPr>
            <w:tcW w:w="0" w:type="auto"/>
          </w:tcPr>
          <w:p>
            <w:pPr>
              <w:spacing w:line="240" w:lineRule="auto" w:before="0" w:after="0"/>
              <w:pStyle w:val="Compact"/>
            </w:pPr>
            <w:r>
              <w:rPr>
                <w:sz w:val="20"/>
                <w:szCs w:val="20"/>
              </w:rPr>
              <w:t xml:space="preserve">kosmos1408_asat_2021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0.485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NASA ODQN v26i1 (2022); Kastinen et al., Acta Astronautica 2022 [doi:10.1016/j.actaastro.2022.10.021]</w:t>
            </w:r>
          </w:p>
        </w:tc>
      </w:tr>
      <w:tr>
        <w:tc>
          <w:tcPr>
            <w:tcW w:w="0" w:type="auto"/>
          </w:tcPr>
          <w:p>
            <w:pPr>
              <w:spacing w:line="240" w:lineRule="auto" w:before="0" w:after="0"/>
              <w:pStyle w:val="Compact"/>
            </w:pPr>
            <w:r>
              <w:rPr>
                <w:sz w:val="20"/>
                <w:szCs w:val="20"/>
              </w:rPr>
              <w:t xml:space="preserve">mission_shakti_asat_2019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ODQN v23i3 (2019); Indian MEA press briefing 2019-03-27</w:t>
            </w:r>
          </w:p>
        </w:tc>
      </w:tr>
      <w:tr>
        <w:tc>
          <w:tcPr>
            <w:tcW w:w="0" w:type="auto"/>
          </w:tcPr>
          <w:p>
            <w:pPr>
              <w:spacing w:line="240" w:lineRule="auto" w:before="0" w:after="0"/>
              <w:pStyle w:val="Compact"/>
            </w:pPr>
            <w:r>
              <w:rPr>
                <w:sz w:val="20"/>
                <w:szCs w:val="20"/>
              </w:rPr>
              <w:t xml:space="preserve">fengyun1c_anomaly_pre2007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NASA ODQN v11i1 (2007) [illustrative anomaly precursor]</w:t>
            </w:r>
          </w:p>
        </w:tc>
      </w:tr>
      <w:tr>
        <w:tc>
          <w:tcPr>
            <w:tcW w:w="0" w:type="auto"/>
          </w:tcPr>
          <w:p>
            <w:pPr>
              <w:spacing w:line="240" w:lineRule="auto" w:before="0" w:after="0"/>
              <w:pStyle w:val="Compact"/>
            </w:pPr>
            <w:r>
              <w:rPr>
                <w:sz w:val="20"/>
                <w:szCs w:val="20"/>
              </w:rPr>
              <w:t xml:space="preserve">breeze_m_2012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w:t>
            </w:r>
          </w:p>
        </w:tc>
        <w:tc>
          <w:tcPr>
            <w:tcW w:w="0" w:type="auto"/>
          </w:tcPr>
          <w:p>
            <w:pPr>
              <w:spacing w:line="240" w:lineRule="auto" w:before="0" w:after="0"/>
              <w:pStyle w:val="Compact"/>
            </w:pPr>
            <w:r>
              <w:rPr>
                <w:sz w:val="20"/>
                <w:szCs w:val="20"/>
              </w:rPr>
              <w:t xml:space="preserve">0.265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NASA ODQN v17i1 (2013); Anz-Meador, AMOS 2014</w:t>
            </w:r>
          </w:p>
        </w:tc>
      </w:tr>
      <w:tr>
        <w:tc>
          <w:tcPr>
            <w:tcW w:w="0" w:type="auto"/>
          </w:tcPr>
          <w:p>
            <w:pPr>
              <w:spacing w:line="240" w:lineRule="auto" w:before="0" w:after="0"/>
              <w:pStyle w:val="Compact"/>
            </w:pPr>
            <w:r>
              <w:rPr>
                <w:sz w:val="20"/>
                <w:szCs w:val="20"/>
              </w:rPr>
              <w:t xml:space="preserve">breeze_m_2007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0.495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NASA ODQN v12i2 (2008); Johnson, AMOS 2008</w:t>
            </w:r>
          </w:p>
        </w:tc>
      </w:tr>
      <w:tr>
        <w:tc>
          <w:tcPr>
            <w:tcW w:w="0" w:type="auto"/>
          </w:tcPr>
          <w:p>
            <w:pPr>
              <w:spacing w:line="240" w:lineRule="auto" w:before="0" w:after="0"/>
              <w:pStyle w:val="Compact"/>
            </w:pPr>
            <w:r>
              <w:rPr>
                <w:sz w:val="20"/>
                <w:szCs w:val="20"/>
              </w:rPr>
              <w:t xml:space="preserve">nimbus6_rb_2024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ODQN v28i4 (2024); Aerospace Corp CORDS 2024</w:t>
            </w:r>
          </w:p>
        </w:tc>
      </w:tr>
      <w:tr>
        <w:tc>
          <w:tcPr>
            <w:tcW w:w="0" w:type="auto"/>
          </w:tcPr>
          <w:p>
            <w:pPr>
              <w:spacing w:line="240" w:lineRule="auto" w:before="0" w:after="0"/>
              <w:pStyle w:val="Compact"/>
            </w:pPr>
            <w:r>
              <w:rPr>
                <w:sz w:val="20"/>
                <w:szCs w:val="20"/>
              </w:rPr>
              <w:t xml:space="preserve">yz1_breakup_2019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ODQN v23i4 (2019); Anz-Meador, AMOS 2020</w:t>
            </w:r>
          </w:p>
        </w:tc>
      </w:tr>
      <w:tr>
        <w:tc>
          <w:tcPr>
            <w:tcW w:w="0" w:type="auto"/>
          </w:tcPr>
          <w:p>
            <w:pPr>
              <w:spacing w:line="240" w:lineRule="auto" w:before="0" w:after="0"/>
              <w:pStyle w:val="Compact"/>
            </w:pPr>
            <w:r>
              <w:rPr>
                <w:sz w:val="20"/>
                <w:szCs w:val="20"/>
              </w:rPr>
              <w:t xml:space="preserve">ariane_h10_1986</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0.805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Johnson &amp; McKnight, Artificial Space Debris (1991); NASA ODQN historical</w:t>
            </w:r>
          </w:p>
        </w:tc>
      </w:tr>
      <w:tr>
        <w:tc>
          <w:tcPr>
            <w:tcW w:w="0" w:type="auto"/>
          </w:tcPr>
          <w:p>
            <w:pPr>
              <w:spacing w:line="240" w:lineRule="auto" w:before="0" w:after="0"/>
              <w:pStyle w:val="Compact"/>
            </w:pPr>
            <w:r>
              <w:rPr>
                <w:sz w:val="20"/>
                <w:szCs w:val="20"/>
              </w:rPr>
              <w:t xml:space="preserve">delta2_pam_1991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1.352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ODQN v14i4 (2010) reconstruction; Anz-Meador AMOS 2018</w:t>
            </w:r>
          </w:p>
        </w:tc>
      </w:tr>
      <w:tr>
        <w:tc>
          <w:tcPr>
            <w:tcW w:w="0" w:type="auto"/>
          </w:tcPr>
          <w:p>
            <w:pPr>
              <w:spacing w:line="240" w:lineRule="auto" w:before="0" w:after="0"/>
              <w:pStyle w:val="Compact"/>
            </w:pPr>
            <w:r>
              <w:rPr>
                <w:sz w:val="20"/>
                <w:szCs w:val="20"/>
              </w:rPr>
              <w:t xml:space="preserve">unknown_geo_anomaly_2018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Aerospace Corp CORDS 2019 [illustrative ambiguous]</w:t>
            </w:r>
          </w:p>
        </w:tc>
      </w:tr>
      <w:tr>
        <w:tc>
          <w:tcPr>
            <w:tcW w:w="0" w:type="auto"/>
          </w:tcPr>
          <w:p>
            <w:pPr>
              <w:spacing w:line="240" w:lineRule="auto" w:before="0" w:after="0"/>
              <w:pStyle w:val="Compact"/>
            </w:pPr>
            <w:r>
              <w:rPr>
                <w:sz w:val="20"/>
                <w:szCs w:val="20"/>
              </w:rPr>
              <w:t xml:space="preserve">intelsat29e_anomaly_2019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Boeing failure review 2019; Aerospace Corp CORDS 2020</w:t>
            </w:r>
          </w:p>
        </w:tc>
      </w:tr>
      <w:tr>
        <w:tc>
          <w:tcPr>
            <w:tcW w:w="0" w:type="auto"/>
          </w:tcPr>
          <w:p>
            <w:pPr>
              <w:spacing w:line="240" w:lineRule="auto" w:before="0" w:after="0"/>
              <w:pStyle w:val="Compact"/>
            </w:pPr>
            <w:r>
              <w:rPr>
                <w:sz w:val="20"/>
                <w:szCs w:val="20"/>
              </w:rPr>
              <w:t xml:space="preserve">nanosat_collision_2019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ESA Space Debris Office Annual Report 2020 [illustrative low-data conjunction]</w:t>
            </w:r>
          </w:p>
        </w:tc>
      </w:tr>
      <w:tr>
        <w:tc>
          <w:tcPr>
            <w:tcW w:w="0" w:type="auto"/>
          </w:tcPr>
          <w:p>
            <w:pPr>
              <w:spacing w:line="240" w:lineRule="auto" w:before="0" w:after="0"/>
              <w:pStyle w:val="Compact"/>
            </w:pPr>
            <w:r>
              <w:rPr>
                <w:sz w:val="20"/>
                <w:szCs w:val="20"/>
              </w:rPr>
              <w:t xml:space="preserve">cz3b_upper_stage_2000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NASA ODQN v6i2 (2001); Liou &amp; Johnson, Acta Astronautica 2006</w:t>
            </w:r>
          </w:p>
        </w:tc>
      </w:tr>
      <w:tr>
        <w:tc>
          <w:tcPr>
            <w:tcW w:w="0" w:type="auto"/>
          </w:tcPr>
          <w:p>
            <w:pPr>
              <w:spacing w:line="240" w:lineRule="auto" w:before="0" w:after="0"/>
              <w:pStyle w:val="Compact"/>
            </w:pPr>
            <w:r>
              <w:rPr>
                <w:sz w:val="20"/>
                <w:szCs w:val="20"/>
              </w:rPr>
              <w:t xml:space="preserve">nh1_breakup_1965</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417.1</w:t>
            </w:r>
          </w:p>
        </w:tc>
        <w:tc>
          <w:tcPr>
            <w:tcW w:w="0" w:type="auto"/>
          </w:tcPr>
          <w:p>
            <w:pPr>
              <w:spacing w:line="240" w:lineRule="auto" w:before="0" w:after="0"/>
              <w:pStyle w:val="Compact"/>
            </w:pPr>
            <w:r>
              <w:rPr>
                <w:sz w:val="20"/>
                <w:szCs w:val="20"/>
              </w:rPr>
              <w:t xml:space="preserve">NASA ODQN historical catalog; Anz-Meador AMOS 2018</w:t>
            </w:r>
          </w:p>
        </w:tc>
      </w:tr>
      <w:tr>
        <w:tc>
          <w:tcPr>
            <w:tcW w:w="0" w:type="auto"/>
          </w:tcPr>
          <w:p>
            <w:pPr>
              <w:spacing w:line="240" w:lineRule="auto" w:before="0" w:after="0"/>
              <w:pStyle w:val="Compact"/>
            </w:pPr>
            <w:r>
              <w:rPr>
                <w:sz w:val="20"/>
                <w:szCs w:val="20"/>
              </w:rPr>
              <w:t xml:space="preserve">psn6_anomaly_2020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Aerospace Corp CORDS 2021 [illustrative GEO ambiguous]</w:t>
            </w:r>
          </w:p>
        </w:tc>
      </w:tr>
      <w:tr>
        <w:tc>
          <w:tcPr>
            <w:tcW w:w="0" w:type="auto"/>
          </w:tcPr>
          <w:p>
            <w:pPr>
              <w:spacing w:line="240" w:lineRule="auto" w:before="0" w:after="0"/>
              <w:pStyle w:val="Compact"/>
            </w:pPr>
            <w:r>
              <w:rPr>
                <w:sz w:val="20"/>
                <w:szCs w:val="20"/>
              </w:rPr>
              <w:t xml:space="preserve">starlink_iridium_close_approach_2019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tweet 2019-09-02; SDA Cat-3 record</w:t>
            </w:r>
          </w:p>
        </w:tc>
      </w:tr>
      <w:tr>
        <w:tc>
          <w:tcPr>
            <w:tcW w:w="0" w:type="auto"/>
          </w:tcPr>
          <w:p>
            <w:pPr>
              <w:spacing w:line="240" w:lineRule="auto" w:before="0" w:after="0"/>
              <w:pStyle w:val="Compact"/>
            </w:pPr>
            <w:r>
              <w:rPr>
                <w:sz w:val="20"/>
                <w:szCs w:val="20"/>
              </w:rPr>
              <w:t xml:space="preserve">oneweb_starlink_conjunction_2021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LeoLabs CDM 2021-03-30; SpaceNews coverage</w:t>
            </w:r>
          </w:p>
        </w:tc>
      </w:tr>
      <w:tr>
        <w:tc>
          <w:tcPr>
            <w:tcW w:w="0" w:type="auto"/>
          </w:tcPr>
          <w:p>
            <w:pPr>
              <w:spacing w:line="240" w:lineRule="auto" w:before="0" w:after="0"/>
              <w:pStyle w:val="Compact"/>
            </w:pPr>
            <w:r>
              <w:rPr>
                <w:sz w:val="20"/>
                <w:szCs w:val="20"/>
              </w:rPr>
              <w:t xml:space="preserve">cz4b_breakup_2024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NASA ODQN v28i3 (2024); SDC report 2024-08</w:t>
            </w:r>
          </w:p>
        </w:tc>
      </w:tr>
      <w:tr>
        <w:tc>
          <w:tcPr>
            <w:tcW w:w="0" w:type="auto"/>
          </w:tcPr>
          <w:p>
            <w:pPr>
              <w:spacing w:line="240" w:lineRule="auto" w:before="0" w:after="0"/>
              <w:pStyle w:val="Compact"/>
            </w:pPr>
            <w:r>
              <w:rPr>
                <w:sz w:val="20"/>
                <w:szCs w:val="20"/>
              </w:rPr>
              <w:t xml:space="preserve">mev1_dock_anomaly_2020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Northrop Grumman press release 2020-02; Aerospace CORDS 2020</w:t>
            </w:r>
          </w:p>
        </w:tc>
      </w:tr>
      <w:tr>
        <w:tc>
          <w:tcPr>
            <w:tcW w:w="0" w:type="auto"/>
          </w:tcPr>
          <w:p>
            <w:pPr>
              <w:spacing w:line="240" w:lineRule="auto" w:before="0" w:after="0"/>
              <w:pStyle w:val="Compact"/>
            </w:pPr>
            <w:r>
              <w:rPr>
                <w:sz w:val="20"/>
                <w:szCs w:val="20"/>
              </w:rPr>
              <w:t xml:space="preserve">unknown_leo_fragment_2017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77.1</w:t>
            </w:r>
          </w:p>
        </w:tc>
        <w:tc>
          <w:tcPr>
            <w:tcW w:w="0" w:type="auto"/>
          </w:tcPr>
          <w:p>
            <w:pPr>
              <w:spacing w:line="240" w:lineRule="auto" w:before="0" w:after="0"/>
              <w:pStyle w:val="Compact"/>
            </w:pPr>
            <w:r>
              <w:rPr>
                <w:sz w:val="20"/>
                <w:szCs w:val="20"/>
              </w:rPr>
              <w:t xml:space="preserve">NASA ODQN v22i1 (2018) [illustrative unattributed LEO source]</w:t>
            </w:r>
          </w:p>
        </w:tc>
      </w:tr>
      <w:tr>
        <w:tc>
          <w:tcPr>
            <w:tcW w:w="0" w:type="auto"/>
          </w:tcPr>
          <w:p>
            <w:pPr>
              <w:spacing w:line="240" w:lineRule="auto" w:before="0" w:after="0"/>
              <w:pStyle w:val="Compact"/>
            </w:pPr>
            <w:r>
              <w:rPr>
                <w:sz w:val="20"/>
                <w:szCs w:val="20"/>
              </w:rPr>
              <w:t xml:space="preserve">atlas_centaur_2018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ODQN v23i2 (2019); Aerospace CORDS 2018</w:t>
            </w:r>
          </w:p>
        </w:tc>
      </w:tr>
      <w:tr>
        <w:tc>
          <w:tcPr>
            <w:tcW w:w="0" w:type="auto"/>
          </w:tcPr>
          <w:p>
            <w:pPr>
              <w:spacing w:line="240" w:lineRule="auto" w:before="0" w:after="0"/>
              <w:pStyle w:val="Compact"/>
            </w:pPr>
            <w:r>
              <w:rPr>
                <w:sz w:val="20"/>
                <w:szCs w:val="20"/>
              </w:rPr>
              <w:t xml:space="preserve">ariane5_rb_breakup_2000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0.803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NASA ODQN v6i1 (2001); ESA SDO historical</w:t>
            </w:r>
          </w:p>
        </w:tc>
      </w:tr>
      <w:tr>
        <w:tc>
          <w:tcPr>
            <w:tcW w:w="0" w:type="auto"/>
          </w:tcPr>
          <w:p>
            <w:pPr>
              <w:spacing w:line="240" w:lineRule="auto" w:before="0" w:after="0"/>
              <w:pStyle w:val="Compact"/>
            </w:pPr>
            <w:r>
              <w:rPr>
                <w:sz w:val="20"/>
                <w:szCs w:val="20"/>
              </w:rPr>
              <w:t xml:space="preserve">zenit2_rb_1996</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0.847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NASA ODQN v3i4 (1998); Johnson historical reconstruction</w:t>
            </w:r>
          </w:p>
        </w:tc>
      </w:tr>
      <w:tr>
        <w:tc>
          <w:tcPr>
            <w:tcW w:w="0" w:type="auto"/>
          </w:tcPr>
          <w:p>
            <w:pPr>
              <w:spacing w:line="240" w:lineRule="auto" w:before="0" w:after="0"/>
              <w:pStyle w:val="Compact"/>
            </w:pPr>
            <w:r>
              <w:rPr>
                <w:sz w:val="20"/>
                <w:szCs w:val="20"/>
              </w:rPr>
              <w:t xml:space="preserve">microsat_r_debris_persist_2020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NASA ODQN v25i1 (2021); Anz-Meador, 2021</w:t>
            </w:r>
          </w:p>
        </w:tc>
      </w:tr>
      <w:tr>
        <w:tc>
          <w:tcPr>
            <w:tcW w:w="0" w:type="auto"/>
          </w:tcPr>
          <w:p>
            <w:pPr>
              <w:spacing w:line="240" w:lineRule="auto" w:before="0" w:after="0"/>
              <w:pStyle w:val="Compact"/>
            </w:pPr>
            <w:r>
              <w:rPr>
                <w:sz w:val="20"/>
                <w:szCs w:val="20"/>
              </w:rPr>
              <w:t xml:space="preserve">unknown_cislunar_object_2022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Aerospace Corp CORDS cislunar 2023 [illustrative]</w:t>
            </w:r>
          </w:p>
        </w:tc>
      </w:tr>
      <w:tr>
        <w:tc>
          <w:tcPr>
            <w:tcW w:w="0" w:type="auto"/>
          </w:tcPr>
          <w:p>
            <w:pPr>
              <w:spacing w:line="240" w:lineRule="auto" w:before="0" w:after="0"/>
              <w:pStyle w:val="Compact"/>
            </w:pPr>
            <w:r>
              <w:rPr>
                <w:sz w:val="20"/>
                <w:szCs w:val="20"/>
              </w:rPr>
              <w:t xml:space="preserve">sj17_anomaly_2018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Aerospace CORDS 2019 GEO summary [illustrative]</w:t>
            </w:r>
          </w:p>
        </w:tc>
      </w:tr>
      <w:tr>
        <w:tc>
          <w:tcPr>
            <w:tcW w:w="0" w:type="auto"/>
          </w:tcPr>
          <w:p>
            <w:pPr>
              <w:spacing w:line="240" w:lineRule="auto" w:before="0" w:after="0"/>
              <w:pStyle w:val="Compact"/>
            </w:pPr>
            <w:r>
              <w:rPr>
                <w:sz w:val="20"/>
                <w:szCs w:val="20"/>
              </w:rPr>
              <w:t xml:space="preserve">falcon9_upper_breakup_2020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NASA ODQN v24i2 (2020); LeoLabs report 2020-03</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Binary indicator equal to 1 if a confident source state (parent object or operator) was publicly identified within the dataset window; 0 if the event remained ambiguous in publicly available SSA reporting.</w:t>
            </w:r>
          </w:p>
        </w:tc>
        <w:tc>
          <w:tcPr>
            <w:tcW w:w="0" w:type="auto"/>
          </w:tcPr>
          <w:p>
            <w:pPr>
              <w:spacing w:line="240" w:lineRule="auto" w:before="0" w:after="0"/>
              <w:pStyle w:val="Compact"/>
            </w:pPr>
            <w:r>
              <w:rPr>
                <w:sz w:val="20"/>
                <w:szCs w:val="20"/>
              </w:rPr>
              <w:t xml:space="preserve">NASA Orbital Debris Quarterly News; Aerospace Corp CORDS</w:t>
            </w:r>
          </w:p>
        </w:tc>
      </w:tr>
      <w:tr>
        <w:tc>
          <w:tcPr>
            <w:tcW w:w="0" w:type="auto"/>
          </w:tcPr>
          <w:p>
            <w:pPr>
              <w:spacing w:line="240" w:lineRule="auto" w:before="0" w:after="0"/>
              <w:pStyle w:val="Compact"/>
            </w:pPr>
            <w:r>
              <w:rPr>
                <w:sz w:val="20"/>
                <w:szCs w:val="20"/>
              </w:rPr>
              <w:t xml:space="preserve">n_tracked_100s</w:t>
            </w:r>
          </w:p>
        </w:tc>
        <w:tc>
          <w:tcPr>
            <w:tcW w:w="0" w:type="auto"/>
          </w:tcPr>
          <w:p>
            <w:pPr>
              <w:spacing w:line="240" w:lineRule="auto" w:before="0" w:after="0"/>
              <w:pStyle w:val="Compact"/>
            </w:pPr>
            <w:r>
              <w:rPr>
                <w:sz w:val="20"/>
                <w:szCs w:val="20"/>
              </w:rPr>
              <w:t xml:space="preserve">Number of catalogued debris fragments associated with the event in the U.S. Space Catalog, expressed in hundreds, used as a proxy for forensic signal strength.</w:t>
            </w:r>
          </w:p>
        </w:tc>
        <w:tc>
          <w:tcPr>
            <w:tcW w:w="0" w:type="auto"/>
          </w:tcPr>
          <w:p>
            <w:pPr>
              <w:spacing w:line="240" w:lineRule="auto" w:before="0" w:after="0"/>
              <w:pStyle w:val="Compact"/>
            </w:pPr>
            <w:r>
              <w:rPr>
                <w:sz w:val="20"/>
                <w:szCs w:val="20"/>
              </w:rPr>
              <w:t xml:space="preserve">NASA Orbital Debris Quarterly News</w:t>
            </w:r>
          </w:p>
        </w:tc>
      </w:tr>
      <w:tr>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Approximate event altitude expressed in thousands of kilometers above mean sea level at the conjunction or breakup epoch.</w:t>
            </w:r>
          </w:p>
        </w:tc>
        <w:tc>
          <w:tcPr>
            <w:tcW w:w="0" w:type="auto"/>
          </w:tcPr>
          <w:p>
            <w:pPr>
              <w:spacing w:line="240" w:lineRule="auto" w:before="0" w:after="0"/>
              <w:pStyle w:val="Compact"/>
            </w:pPr>
            <w:r>
              <w:rPr>
                <w:sz w:val="20"/>
                <w:szCs w:val="20"/>
              </w:rPr>
              <w:t xml:space="preserve">NASA Orbital Debris Quarterly News; ESA Space Debris Office</w:t>
            </w:r>
          </w:p>
        </w:tc>
      </w:tr>
      <w:tr>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Binary indicator equal to 1 if the event involved two or more operators or states, 0 otherwise.</w:t>
            </w:r>
          </w:p>
        </w:tc>
        <w:tc>
          <w:tcPr>
            <w:tcW w:w="0" w:type="auto"/>
          </w:tcPr>
          <w:p>
            <w:pPr>
              <w:spacing w:line="240" w:lineRule="auto" w:before="0" w:after="0"/>
              <w:pStyle w:val="Compact"/>
            </w:pPr>
            <w:r>
              <w:rPr>
                <w:sz w:val="20"/>
                <w:szCs w:val="20"/>
              </w:rPr>
              <w:t xml:space="preserve">Event narratives in NASA ODQN and Aerospace Corp CORDS</w:t>
            </w:r>
          </w:p>
        </w:tc>
      </w:tr>
      <w:tr>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Count of independent sensor classes (U.S. SSN radar, optical, commercial SSA) contributing to the post-event characterization, integer 1 to 3.</w:t>
            </w:r>
          </w:p>
        </w:tc>
        <w:tc>
          <w:tcPr>
            <w:tcW w:w="0" w:type="auto"/>
          </w:tcPr>
          <w:p>
            <w:pPr>
              <w:spacing w:line="240" w:lineRule="auto" w:before="0" w:after="0"/>
              <w:pStyle w:val="Compact"/>
            </w:pPr>
            <w:r>
              <w:rPr>
                <w:sz w:val="20"/>
                <w:szCs w:val="20"/>
              </w:rPr>
              <w:t xml:space="preserve">Aerospace Corp CORDS; AMOS proceedings 2009 to 2025</w:t>
            </w:r>
          </w:p>
        </w:tc>
      </w:tr>
      <w:tr>
        <w:tc>
          <w:tcPr>
            <w:tcW w:w="0" w:type="auto"/>
          </w:tcPr>
          <w:p>
            <w:pPr>
              <w:spacing w:line="240" w:lineRule="auto" w:before="0" w:after="0"/>
              <w:pStyle w:val="Compact"/>
            </w:pPr>
            <w:r>
              <w:rPr>
                <w:sz w:val="20"/>
                <w:szCs w:val="20"/>
              </w:rPr>
              <w:t xml:space="preserve">time_to_id_weeks</w:t>
            </w:r>
          </w:p>
        </w:tc>
        <w:tc>
          <w:tcPr>
            <w:tcW w:w="0" w:type="auto"/>
          </w:tcPr>
          <w:p>
            <w:pPr>
              <w:spacing w:line="240" w:lineRule="auto" w:before="0" w:after="0"/>
              <w:pStyle w:val="Compact"/>
            </w:pPr>
            <w:r>
              <w:rPr>
                <w:sz w:val="20"/>
                <w:szCs w:val="20"/>
              </w:rPr>
              <w:t xml:space="preserve">Weeks elapsed between the event epoch and the first publicly attributed source identification, censored at 52 for ambiguous cases.</w:t>
            </w:r>
          </w:p>
        </w:tc>
        <w:tc>
          <w:tcPr>
            <w:tcW w:w="0" w:type="auto"/>
          </w:tcPr>
          <w:p>
            <w:pPr>
              <w:spacing w:line="240" w:lineRule="auto" w:before="0" w:after="0"/>
              <w:pStyle w:val="Compact"/>
            </w:pPr>
            <w:r>
              <w:rPr>
                <w:sz w:val="20"/>
                <w:szCs w:val="20"/>
              </w:rPr>
              <w:t xml:space="preserve">NASA ODQN and Aerospace CORDS reconstructed timelines</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-6.2316</w:t>
            </w:r>
          </w:p>
        </w:tc>
        <w:tc>
          <w:tcPr>
            <w:tcW w:w="0" w:type="auto"/>
          </w:tcPr>
          <w:p>
            <w:pPr>
              <w:spacing w:line="240" w:lineRule="auto" w:before="0" w:after="0"/>
              <w:pStyle w:val="Compact"/>
            </w:pPr>
            <w:r>
              <w:rPr>
                <w:sz w:val="20"/>
                <w:szCs w:val="20"/>
              </w:rPr>
              <w:t xml:space="preserve">10.2601</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[-26.3411, 13.8779]</w:t>
            </w:r>
          </w:p>
        </w:tc>
      </w:tr>
      <w:tr>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-0.2442</w:t>
            </w:r>
          </w:p>
        </w:tc>
        <w:tc>
          <w:tcPr>
            <w:tcW w:w="0" w:type="auto"/>
          </w:tcPr>
          <w:p>
            <w:pPr>
              <w:spacing w:line="240" w:lineRule="auto" w:before="0" w:after="0"/>
              <w:pStyle w:val="Compact"/>
            </w:pPr>
            <w:r>
              <w:rPr>
                <w:sz w:val="20"/>
                <w:szCs w:val="20"/>
              </w:rPr>
              <w:t xml:space="preserve">0.3015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0.4179</w:t>
            </w:r>
          </w:p>
        </w:tc>
        <w:tc>
          <w:tcPr>
            <w:tcW w:w="0" w:type="auto"/>
          </w:tcPr>
          <w:p>
            <w:pPr>
              <w:spacing w:line="240" w:lineRule="auto" w:before="0" w:after="0"/>
              <w:pStyle w:val="Compact"/>
            </w:pPr>
            <w:r>
              <w:rPr>
                <w:sz w:val="20"/>
                <w:szCs w:val="20"/>
              </w:rPr>
              <w:t xml:space="preserve">[-0.8351, 0.3467]</w:t>
            </w:r>
          </w:p>
        </w:tc>
      </w:tr>
      <w:tr>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6.9027</w:t>
            </w:r>
          </w:p>
        </w:tc>
        <w:tc>
          <w:tcPr>
            <w:tcW w:w="0" w:type="auto"/>
          </w:tcPr>
          <w:p>
            <w:pPr>
              <w:spacing w:line="240" w:lineRule="auto" w:before="0" w:after="0"/>
              <w:pStyle w:val="Compact"/>
            </w:pPr>
            <w:r>
              <w:rPr>
                <w:sz w:val="20"/>
                <w:szCs w:val="20"/>
              </w:rPr>
              <w:t xml:space="preserve">10.4488</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0.5089</w:t>
            </w:r>
          </w:p>
        </w:tc>
        <w:tc>
          <w:tcPr>
            <w:tcW w:w="0" w:type="auto"/>
          </w:tcPr>
          <w:p>
            <w:pPr>
              <w:spacing w:line="240" w:lineRule="auto" w:before="0" w:after="0"/>
              <w:pStyle w:val="Compact"/>
            </w:pPr>
            <w:r>
              <w:rPr>
                <w:sz w:val="20"/>
                <w:szCs w:val="20"/>
              </w:rPr>
              <w:t xml:space="preserve">[-13.5766, 27.3819]</w:t>
            </w:r>
          </w:p>
        </w:tc>
      </w:tr>
      <w:tr>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-6.5887</w:t>
            </w:r>
          </w:p>
        </w:tc>
        <w:tc>
          <w:tcPr>
            <w:tcW w:w="0" w:type="auto"/>
          </w:tcPr>
          <w:p>
            <w:pPr>
              <w:spacing w:line="240" w:lineRule="auto" w:before="0" w:after="0"/>
              <w:pStyle w:val="Compact"/>
            </w:pPr>
            <w:r>
              <w:rPr>
                <w:sz w:val="20"/>
                <w:szCs w:val="20"/>
              </w:rPr>
              <w:t xml:space="preserve">10.6396</w:t>
            </w:r>
          </w:p>
        </w:tc>
        <w:tc>
          <w:tcPr>
            <w:tcW w:w="0" w:type="auto"/>
          </w:tcPr>
          <w:p>
            <w:pPr>
              <w:spacing w:line="240" w:lineRule="auto" w:before="0" w:after="0"/>
              <w:pStyle w:val="Compact"/>
            </w:pPr>
            <w:r>
              <w:rPr>
                <w:sz w:val="20"/>
                <w:szCs w:val="20"/>
              </w:rPr>
              <w:t xml:space="preserve">-0.6193</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[-27.4421, 14.2646]</w:t>
            </w:r>
          </w:p>
        </w:tc>
      </w:tr>
    </w:tbl>
    <w:p>
      <w:pPr>
        <w:pStyle w:val="BodyText"/>
      </w:pPr>
      <w:r>
        <w:t xml:space="preserve">Fit: N = 30 pseudo_R2 = 0.5337 LL = -7.6003</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68" Target="https://doi.org/10.1016/j.actaastro.2021.04.009" TargetMode="External" /><Relationship Type="http://schemas.openxmlformats.org/officeDocument/2006/relationships/hyperlink" Id="rId76" Target="https://doi.org/10.1016/j.actaastro.2022.10.021" TargetMode="External" /><Relationship Type="http://schemas.openxmlformats.org/officeDocument/2006/relationships/hyperlink" Id="rId74" Target="https://doi.org/10.1016/j.actaastro.2024.12.053" TargetMode="External" /><Relationship Type="http://schemas.openxmlformats.org/officeDocument/2006/relationships/hyperlink" Id="rId70" Target="https://doi.org/10.1016/j.actaastro.2025.01.003" TargetMode="External" /><Relationship Type="http://schemas.openxmlformats.org/officeDocument/2006/relationships/hyperlink" Id="rId72" Target="https://doi.org/10.1016/j.actaastro.2025.07.027" TargetMode="External" /><Relationship Type="http://schemas.openxmlformats.org/officeDocument/2006/relationships/hyperlink" Id="rId78" Target="https://doi.org/10.64861/BEMV440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04.009" TargetMode="External" /><Relationship Type="http://schemas.openxmlformats.org/officeDocument/2006/relationships/hyperlink" Id="rId76" Target="https://doi.org/10.1016/j.actaastro.2022.10.021" TargetMode="External" /><Relationship Type="http://schemas.openxmlformats.org/officeDocument/2006/relationships/hyperlink" Id="rId74" Target="https://doi.org/10.1016/j.actaastro.2024.12.053" TargetMode="External" /><Relationship Type="http://schemas.openxmlformats.org/officeDocument/2006/relationships/hyperlink" Id="rId70" Target="https://doi.org/10.1016/j.actaastro.2025.01.003" TargetMode="External" /><Relationship Type="http://schemas.openxmlformats.org/officeDocument/2006/relationships/hyperlink" Id="rId72" Target="https://doi.org/10.1016/j.actaastro.2025.07.027" TargetMode="External" /><Relationship Type="http://schemas.openxmlformats.org/officeDocument/2006/relationships/hyperlink" Id="rId78" Target="https://doi.org/10.64861/BEMV44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2026-06-27T00:26:12Z</dcterms:created>
  <dcterms:modified xsi:type="dcterms:W3CDTF">2026-06-27T00:26:12Z</dcterms:modified>
</cp:coreProperties>
</file>

<file path=docProps/custom.xml><?xml version="1.0" encoding="utf-8"?>
<Properties xmlns="http://schemas.openxmlformats.org/officeDocument/2006/custom-properties" xmlns:vt="http://schemas.openxmlformats.org/officeDocument/2006/docPropsVTypes"/>
</file>