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ATTRIBUTION UNDER AMBIGUITY: A BAYESIAN NETWORK FOR ASSIGNING RESPONSIBILITY TO CISLUNAR SPACE OBJECT BEHAVIORS</w:t>
      </w:r>
    </w:p>
    <w:p>
      <w:pPr>
        <w:jc w:val="center"/>
      </w:pPr>
    </w:p>
    <w:p>
      <w:pPr>
        <w:jc w:val="center"/>
      </w:pPr>
      <w:r>
        <w:rPr>
          <w:rFonts w:ascii="Times New Roman" w:hAnsi="Times New Roman"/>
          <w:sz w:val="24"/>
        </w:rPr>
        <w:t>by</w:t>
      </w:r>
    </w:p>
    <w:p>
      <w:pPr>
        <w:jc w:val="center"/>
      </w:pPr>
      <w:r>
        <w:rPr>
          <w:rFonts w:ascii="Times New Roman" w:hAnsi="Times New Roman"/>
          <w:b/>
          <w:sz w:val="28"/>
        </w:rPr>
        <w:t>Yuki Sundberg</w:t>
      </w:r>
    </w:p>
    <w:p>
      <w:pPr>
        <w:jc w:val="center"/>
      </w:pPr>
      <w:r>
        <w:rPr>
          <w:rFonts w:ascii="Times New Roman" w:hAnsi="Times New Roman"/>
          <w:sz w:val="24"/>
        </w:rPr>
        <w:t>1B-SDA-092</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6" w:name="chapter-1.-introduction"/>
    <w:p>
      <w:pPr>
        <w:pStyle w:val="Heading1"/>
        <w:spacing w:line="480" w:lineRule="auto"/>
      </w:pPr>
      <w:r>
        <w:t xml:space="preserve">Chapter 1. Introduction</w:t>
      </w:r>
    </w:p>
    <w:bookmarkStart w:id="61" w:name="the-problem"/>
    <w:p>
      <w:pPr>
        <w:pStyle w:val="Heading2"/>
        <w:spacing w:line="480" w:lineRule="auto"/>
      </w:pPr>
      <w:r>
        <w:t xml:space="preserve">1.1 The Problem</w:t>
      </w:r>
    </w:p>
    <w:p>
      <w:pPr>
        <w:pStyle w:val="FirstParagraph"/>
        <w:spacing w:line="480" w:lineRule="auto"/>
      </w:pPr>
      <w:r>
        <w:t xml:space="preserve">Cislunar space is outgrowing its observers. The volume is in the middle of a transition that the observational architecture has not yet caught up with. Lunar return programs, commercial transfer services, and a growing population of small payloads operating between geostationary altitude and the lunar surface are turning what was once a sparsely populated transit corridor into an instrumented operational domain. The architecture studies that anticipated this transition have proposed sensor placements, custody strategies, and constellation designs intended to maintain awareness of objects in cislunar periodic orbits and near the Earth-Moon Lagrange points</w:t>
      </w:r>
      <w:r>
        <w:t xml:space="preserve"> </w:t>
      </w:r>
      <w:hyperlink w:anchor="ref-1">
        <w:r>
          <w:rPr>
            <w:rStyle w:val="Hyperlink"/>
          </w:rPr>
          <w:t xml:space="preserve">[1]</w:t>
        </w:r>
      </w:hyperlink>
      <w:r>
        <w:t xml:space="preserve">[3][4][5][6]. Fragmentation events in this regime have begun to be modeled with constellations of space-based observers and treated as discrete monitored phenomena rather than as rare anomalies</w:t>
      </w:r>
      <w:r>
        <w:t xml:space="preserve"> </w:t>
      </w:r>
      <w:hyperlink w:anchor="ref-7">
        <w:r>
          <w:rPr>
            <w:rStyle w:val="Hyperlink"/>
          </w:rPr>
          <w:t xml:space="preserve">[7]</w:t>
        </w:r>
      </w:hyperlink>
      <w:r>
        <w:t xml:space="preserve">. The domain literature, in other words, has matured along the axes of sensor design, orbit determination, and event detection.</w:t>
      </w:r>
    </w:p>
    <w:p>
      <w:pPr>
        <w:pStyle w:val="BodyText"/>
        <w:spacing w:line="480" w:lineRule="auto"/>
        <w:ind w:firstLine="720"/>
      </w:pPr>
      <w:r>
        <w:t xml:space="preserve">What has not matured is the inference object that converts the resulting evidence into a calibrated statement of responsibility. When an object is detected in a near-rectilinear halo orbit at an unexpected epoch, when a fragmentation cloud appears near a Lagrange point, or when an unscheduled maneuver near a transfer trajectory is correlated to a candidate parent, the analyst confronts evidence that is consistent with several operators, several mission classes, and several causal mechanisms. The orbit determination survey literature acknowledges that uncertainty representation in the catalog is incomplete and that the augmentation of Two-Line Element data with covariance information is an open research problem</w:t>
      </w:r>
      <w:r>
        <w:t xml:space="preserve"> </w:t>
      </w:r>
      <w:hyperlink w:anchor="ref-2">
        <w:r>
          <w:rPr>
            <w:rStyle w:val="Hyperlink"/>
          </w:rPr>
          <w:t xml:space="preserve">[2]</w:t>
        </w:r>
      </w:hyperlink>
      <w:r>
        <w:t xml:space="preserve">. Recent work on the improvement of orbital data precision and accuracy reinforces the same point at the level of the operational catalog</w:t>
      </w:r>
      <w:r>
        <w:t xml:space="preserve"> </w:t>
      </w:r>
      <w:hyperlink w:anchor="ref-14">
        <w:r>
          <w:rPr>
            <w:rStyle w:val="Hyperlink"/>
          </w:rPr>
          <w:t xml:space="preserve">[14]</w:t>
        </w:r>
      </w:hyperlink>
      <w:r>
        <w:t xml:space="preserve">. The reviews of collision avoidance maneuver design make explicit that the probability of collision is only computable once state uncertainties are properly characterized at the time of closest approach</w:t>
      </w:r>
      <w:r>
        <w:t xml:space="preserve"> </w:t>
      </w:r>
      <w:hyperlink w:anchor="ref-15">
        <w:r>
          <w:rPr>
            <w:rStyle w:val="Hyperlink"/>
          </w:rPr>
          <w:t xml:space="preserve">[15]</w:t>
        </w:r>
      </w:hyperlink>
      <w:r>
        <w:t xml:space="preserve">, which implies that any post-event forensic chain inherits those uncertainties before it can begin to assign responsibility.</w:t>
      </w:r>
    </w:p>
    <w:p>
      <w:pPr>
        <w:pStyle w:val="BodyText"/>
        <w:spacing w:line="480" w:lineRule="auto"/>
        <w:ind w:firstLine="720"/>
      </w:pPr>
      <w:r>
        <w:t xml:space="preserve">Attribution starts from inherited doubt.</w:t>
      </w:r>
    </w:p>
    <w:p>
      <w:pPr>
        <w:pStyle w:val="BodyText"/>
        <w:spacing w:line="480" w:lineRule="auto"/>
        <w:ind w:firstLine="720"/>
      </w:pPr>
      <w:r>
        <w:t xml:space="preserve">This dissertation treats the missing inference object as its central problem. How should an analyst, presented with cislunar tracking residuals, fragmentation features, and registry data, assign posterior probability over a discrete set of responsibility hypotheses so that the resulting attribution is reproducible, calibrated, and falsifiable? The question is operational rather than rhetorical. Attribution claims drive policy responses, and the absence of a principled inference object means that, at present, those claims travel from analyst to decision-maker without an explicit accounting of the ambiguity from which they were produced.</w:t>
      </w:r>
    </w:p>
    <w:bookmarkEnd w:id="61"/>
    <w:bookmarkStart w:id="62" w:name="stakes-for-nasa-and-jpl"/>
    <w:p>
      <w:pPr>
        <w:pStyle w:val="Heading2"/>
        <w:spacing w:line="480" w:lineRule="auto"/>
      </w:pPr>
      <w:r>
        <w:t xml:space="preserve">1.2 Stakes for NASA and JPL</w:t>
      </w:r>
    </w:p>
    <w:p>
      <w:pPr>
        <w:pStyle w:val="FirstParagraph"/>
        <w:spacing w:line="480" w:lineRule="auto"/>
      </w:pPr>
      <w:r>
        <w:t xml:space="preserve">For NASA and the Jet Propulsion Laboratory, the stakes are concrete and near-term. NASA’s lunar program of record places crewed and uncrewed assets in cislunar space on a recurring cadence, and the agency’s tracking and data services are increasingly asked to maintain custody of objects that do not originate in its own program. The history of on-orbit satellite fragmentations compiled by the Orbital Debris Program Office documents the accumulation of breakup events whose forensic reconstruction has, in the low Earth and geostationary regimes, depended on a dense and overlapping sensor record that the cislunar regime does not yet possess</w:t>
      </w:r>
      <w:r>
        <w:t xml:space="preserve"> </w:t>
      </w:r>
      <w:hyperlink w:anchor="ref-21">
        <w:r>
          <w:rPr>
            <w:rStyle w:val="Hyperlink"/>
          </w:rPr>
          <w:t xml:space="preserve">[21]</w:t>
        </w:r>
      </w:hyperlink>
      <w:r>
        <w:t xml:space="preserve">. The Orbital Debris Quarterly News retrospective record extends that documentation across two decades of events whose attribution was ultimately resolved only because the evidentiary trail was rich enough to support it</w:t>
      </w:r>
      <w:r>
        <w:t xml:space="preserve"> </w:t>
      </w:r>
      <w:hyperlink w:anchor="ref-25">
        <w:r>
          <w:rPr>
            <w:rStyle w:val="Hyperlink"/>
          </w:rPr>
          <w:t xml:space="preserve">[25]</w:t>
        </w:r>
      </w:hyperlink>
      <w:r>
        <w:t xml:space="preserve">.</w:t>
      </w:r>
    </w:p>
    <w:p>
      <w:pPr>
        <w:pStyle w:val="BodyText"/>
        <w:spacing w:line="480" w:lineRule="auto"/>
        <w:ind w:firstLine="720"/>
      </w:pPr>
      <w:r>
        <w:t xml:space="preserve">Cislunar space begins from a sparser baseline. The inference machinery must be sharper to compensate.</w:t>
      </w:r>
    </w:p>
    <w:p>
      <w:pPr>
        <w:pStyle w:val="BodyText"/>
        <w:spacing w:line="480" w:lineRule="auto"/>
        <w:ind w:firstLine="720"/>
      </w:pPr>
      <w:r>
        <w:t xml:space="preserve">JPL’s institutional position sharpens the stakes further. The laboratory operates the Deep Space Network, manages a portfolio of cislunar and lunar science missions, and is a principal contributor to the agency’s planetary defense and orbital debris analysis communities. A cislunar fragmentation event involving a JPL-managed asset, or an unscheduled maneuver detected near a JPL trajectory, places the laboratory in the position of having to characterize the event for both internal mission assurance and external policy consumption. The Aerospace Corporation’s CORDS analyses of recent reentries illustrate the kind of public-facing forensic product the agency is increasingly expected to produce on short timelines</w:t>
      </w:r>
      <w:r>
        <w:t xml:space="preserve"> </w:t>
      </w:r>
      <w:hyperlink w:anchor="ref-29">
        <w:r>
          <w:rPr>
            <w:rStyle w:val="Hyperlink"/>
          </w:rPr>
          <w:t xml:space="preserve">[29]</w:t>
        </w:r>
      </w:hyperlink>
      <w:r>
        <w:t xml:space="preserve">. In the cislunar regime, that product will be demanded under thinner sensor coverage and against a more diverse operator population, and the laboratory will need an inference layer that converts ambiguous evidence into a calibrated posterior rather than into an unqualified assertion.</w:t>
      </w:r>
    </w:p>
    <w:p>
      <w:pPr>
        <w:pStyle w:val="BodyText"/>
        <w:spacing w:line="480" w:lineRule="auto"/>
        <w:ind w:firstLine="720"/>
      </w:pPr>
      <w:r>
        <w:t xml:space="preserve">Policy exposure compounds the technical stakes. The Liability Convention assigns international responsibility to launching states for damage caused by their space objects</w:t>
      </w:r>
      <w:r>
        <w:t xml:space="preserve"> </w:t>
      </w:r>
      <w:hyperlink w:anchor="ref-24">
        <w:r>
          <w:rPr>
            <w:rStyle w:val="Hyperlink"/>
          </w:rPr>
          <w:t xml:space="preserve">[24]</w:t>
        </w:r>
      </w:hyperlink>
      <w:r>
        <w:t xml:space="preserve">, and the diplomatic acknowledgment of destructive anti-satellite activity by US Space Command in the Kosmos 1408 case illustrates the consequence of an attribution that is both correct and rapid</w:t>
      </w:r>
      <w:r>
        <w:t xml:space="preserve"> </w:t>
      </w:r>
      <w:hyperlink w:anchor="ref-27">
        <w:r>
          <w:rPr>
            <w:rStyle w:val="Hyperlink"/>
          </w:rPr>
          <w:t xml:space="preserve">[27]</w:t>
        </w:r>
      </w:hyperlink>
      <w:r>
        <w:t xml:space="preserve">. The open-source assessment of global counterspace capabilities compiled by the Secure World Foundation documents the expanding operator population whose activities the attribution machinery must discriminate among</w:t>
      </w:r>
      <w:r>
        <w:t xml:space="preserve"> </w:t>
      </w:r>
      <w:hyperlink w:anchor="ref-28">
        <w:r>
          <w:rPr>
            <w:rStyle w:val="Hyperlink"/>
          </w:rPr>
          <w:t xml:space="preserve">[28]</w:t>
        </w:r>
      </w:hyperlink>
      <w:r>
        <w:t xml:space="preserve">. The governance and economic literature emphasizes that responsibility for space activity is being actively renegotiated</w:t>
      </w:r>
      <w:r>
        <w:t xml:space="preserve"> </w:t>
      </w:r>
      <w:hyperlink w:anchor="ref-8">
        <w:r>
          <w:rPr>
            <w:rStyle w:val="Hyperlink"/>
          </w:rPr>
          <w:t xml:space="preserve">[8]</w:t>
        </w:r>
      </w:hyperlink>
      <w:r>
        <w:t xml:space="preserve">[9], that economic statecraft is increasingly mediated through space infrastructure</w:t>
      </w:r>
      <w:r>
        <w:t xml:space="preserve"> </w:t>
      </w:r>
      <w:hyperlink w:anchor="ref-11">
        <w:r>
          <w:rPr>
            <w:rStyle w:val="Hyperlink"/>
          </w:rPr>
          <w:t xml:space="preserve">[11]</w:t>
        </w:r>
      </w:hyperlink>
      <w:r>
        <w:t xml:space="preserve">, and that the institutional architecture for space sustainability remains in flux</w:t>
      </w:r>
      <w:r>
        <w:t xml:space="preserve"> </w:t>
      </w:r>
      <w:hyperlink w:anchor="ref-12">
        <w:r>
          <w:rPr>
            <w:rStyle w:val="Hyperlink"/>
          </w:rPr>
          <w:t xml:space="preserve">[12]</w:t>
        </w:r>
      </w:hyperlink>
      <w:r>
        <w:t xml:space="preserve">[19]. An attribution claim made by NASA or JPL in this environment is no longer a matter of internal record. It is read by the State Department, by allied space agencies, and by commercial operators whose insurance and licensing arrangements depend on the disposition of responsibility. The cost of an over-confident attribution is diplomatic and legal; the cost of an under-confident attribution is the foreclosure of legitimate enforcement of norms.</w:t>
      </w:r>
    </w:p>
    <w:p>
      <w:pPr>
        <w:pStyle w:val="BodyText"/>
        <w:spacing w:line="480" w:lineRule="auto"/>
        <w:ind w:firstLine="720"/>
      </w:pPr>
      <w:r>
        <w:t xml:space="preserve">Both costs are borne by the agency whose institutional voice is heard first, and in the cislunar regime that agency is, with high probability, NASA, with JPL as the operational analyst of record.</w:t>
      </w:r>
    </w:p>
    <w:bookmarkEnd w:id="62"/>
    <w:bookmarkStart w:id="63" w:name="Xc62ede85bd5621e73677262dd034e644aa66523"/>
    <w:p>
      <w:pPr>
        <w:pStyle w:val="Heading2"/>
        <w:spacing w:line="480" w:lineRule="auto"/>
      </w:pPr>
      <w:r>
        <w:t xml:space="preserve">1.3 The Gap Between Domain Literature and Econometric Method Literature</w:t>
      </w:r>
    </w:p>
    <w:p>
      <w:pPr>
        <w:pStyle w:val="FirstParagraph"/>
        <w:spacing w:line="480" w:lineRule="auto"/>
      </w:pPr>
      <w:r>
        <w:t xml:space="preserve">Along three parallel lines, the domain literature on cislunar Space Domain Awareness has matured to the point that it almost surrounds the attribution problem without solving it. The first line is sensor architecture. Capacity-based optimization of cislunar SDA architectures has shown how sensor placements can be evaluated against catalog maintenance objectives</w:t>
      </w:r>
      <w:r>
        <w:t xml:space="preserve"> </w:t>
      </w:r>
      <w:hyperlink w:anchor="ref-1">
        <w:r>
          <w:rPr>
            <w:rStyle w:val="Hyperlink"/>
          </w:rPr>
          <w:t xml:space="preserve">[1]</w:t>
        </w:r>
      </w:hyperlink>
      <w:r>
        <w:t xml:space="preserve">. Hybrid lunar-surface and space-domain situational awareness systems have been proposed to extend custody into the lunar volume</w:t>
      </w:r>
      <w:r>
        <w:t xml:space="preserve"> </w:t>
      </w:r>
      <w:hyperlink w:anchor="ref-3">
        <w:r>
          <w:rPr>
            <w:rStyle w:val="Hyperlink"/>
          </w:rPr>
          <w:t xml:space="preserve">[3]</w:t>
        </w:r>
      </w:hyperlink>
      <w:r>
        <w:t xml:space="preserve">. Distributed space-based networks have been evaluated against operational cost metrics</w:t>
      </w:r>
      <w:r>
        <w:t xml:space="preserve"> </w:t>
      </w:r>
      <w:hyperlink w:anchor="ref-5">
        <w:r>
          <w:rPr>
            <w:rStyle w:val="Hyperlink"/>
          </w:rPr>
          <w:t xml:space="preserve">[5]</w:t>
        </w:r>
      </w:hyperlink>
      <w:r>
        <w:t xml:space="preserve">, and optical sensor constellations have been designed through model-based trade studies</w:t>
      </w:r>
      <w:r>
        <w:t xml:space="preserve"> </w:t>
      </w:r>
      <w:hyperlink w:anchor="ref-6">
        <w:r>
          <w:rPr>
            <w:rStyle w:val="Hyperlink"/>
          </w:rPr>
          <w:t xml:space="preserve">[6]</w:t>
        </w:r>
      </w:hyperlink>
      <w:r>
        <w:t xml:space="preserve">. The second line is orbit dynamics and surveillance. Near-rectilinear halo orbit surveillance using cislunar periodic orbits has been treated as a discrete design problem</w:t>
      </w:r>
      <w:r>
        <w:t xml:space="preserve"> </w:t>
      </w:r>
      <w:hyperlink w:anchor="ref-4">
        <w:r>
          <w:rPr>
            <w:rStyle w:val="Hyperlink"/>
          </w:rPr>
          <w:t xml:space="preserve">[4]</w:t>
        </w:r>
      </w:hyperlink>
      <w:r>
        <w:t xml:space="preserve">. The third line is event detection and reconstruction. Fragmentation events in cislunar space are now being modeled with constellations of space-based observers</w:t>
      </w:r>
      <w:r>
        <w:t xml:space="preserve"> </w:t>
      </w:r>
      <w:hyperlink w:anchor="ref-7">
        <w:r>
          <w:rPr>
            <w:rStyle w:val="Hyperlink"/>
          </w:rPr>
          <w:t xml:space="preserve">[7]</w:t>
        </w:r>
      </w:hyperlink>
      <w:r>
        <w:t xml:space="preserve">, and the short- and long-term reconstruction of in-orbit breakup events has been formalized as a methodological pipeline</w:t>
      </w:r>
      <w:r>
        <w:t xml:space="preserve"> </w:t>
      </w:r>
      <w:hyperlink w:anchor="ref-16">
        <w:r>
          <w:rPr>
            <w:rStyle w:val="Hyperlink"/>
          </w:rPr>
          <w:t xml:space="preserve">[16]</w:t>
        </w:r>
      </w:hyperlink>
      <w:r>
        <w:t xml:space="preserve">[23][26]. The Kosmos 1408 case provides a worked example of how a fragmentation event can be characterized rapidly when the sensor record is dense</w:t>
      </w:r>
      <w:r>
        <w:t xml:space="preserve"> </w:t>
      </w:r>
      <w:hyperlink w:anchor="ref-17">
        <w:r>
          <w:rPr>
            <w:rStyle w:val="Hyperlink"/>
          </w:rPr>
          <w:t xml:space="preserve">[17]</w:t>
        </w:r>
      </w:hyperlink>
      <w:r>
        <w:t xml:space="preserve">.</w:t>
      </w:r>
    </w:p>
    <w:p>
      <w:pPr>
        <w:pStyle w:val="BodyText"/>
        <w:spacing w:line="480" w:lineRule="auto"/>
        <w:ind w:firstLine="720"/>
      </w:pPr>
      <w:r>
        <w:t xml:space="preserve">In parallel, the econometric and statistical method literature has developed the inference machinery that the domain literature does not import. Evidence-based sensor tasking for Space Domain Awareness has been formulated as a decision-theoretic problem</w:t>
      </w:r>
      <w:r>
        <w:t xml:space="preserve"> </w:t>
      </w:r>
      <w:hyperlink w:anchor="ref-30">
        <w:r>
          <w:rPr>
            <w:rStyle w:val="Hyperlink"/>
          </w:rPr>
          <w:t xml:space="preserve">[30]</w:t>
        </w:r>
      </w:hyperlink>
      <w:r>
        <w:t xml:space="preserve">, and the SSA decision support literature has applied cognitive systems engineering to the analyst-in-the-loop component of that problem</w:t>
      </w:r>
      <w:r>
        <w:t xml:space="preserve"> </w:t>
      </w:r>
      <w:hyperlink w:anchor="ref-31">
        <w:r>
          <w:rPr>
            <w:rStyle w:val="Hyperlink"/>
          </w:rPr>
          <w:t xml:space="preserve">[31]</w:t>
        </w:r>
      </w:hyperlink>
      <w:r>
        <w:t xml:space="preserve">. The earlier work on uncorrelated track classification, characterization, and prioritization using admissible regions and Bayesian inference established the formal vocabulary for treating attribution as posterior inference over a structured hypothesis space</w:t>
      </w:r>
      <w:r>
        <w:t xml:space="preserve"> </w:t>
      </w:r>
      <w:hyperlink w:anchor="ref-33">
        <w:r>
          <w:rPr>
            <w:rStyle w:val="Hyperlink"/>
          </w:rPr>
          <w:t xml:space="preserve">[33]</w:t>
        </w:r>
      </w:hyperlink>
      <w:r>
        <w:t xml:space="preserve">. The artificial space object taxonomy literature provided the discrete label space over which such a posterior is defined</w:t>
      </w:r>
      <w:r>
        <w:t xml:space="preserve"> </w:t>
      </w:r>
      <w:hyperlink w:anchor="ref-32">
        <w:r>
          <w:rPr>
            <w:rStyle w:val="Hyperlink"/>
          </w:rPr>
          <w:t xml:space="preserve">[32]</w:t>
        </w:r>
      </w:hyperlink>
      <w:r>
        <w:t xml:space="preserve">, and the work on hierarchical implications for resident space object characterization, recognition, and identification connected the taxonomy to the inference</w:t>
      </w:r>
      <w:r>
        <w:t xml:space="preserve"> </w:t>
      </w:r>
      <w:hyperlink w:anchor="ref-35">
        <w:r>
          <w:rPr>
            <w:rStyle w:val="Hyperlink"/>
          </w:rPr>
          <w:t xml:space="preserve">[35]</w:t>
        </w:r>
      </w:hyperlink>
      <w:r>
        <w:t xml:space="preserve">. Functional data analysis has been applied to the characterization of orbital debris attributes</w:t>
      </w:r>
      <w:r>
        <w:t xml:space="preserve"> </w:t>
      </w:r>
      <w:hyperlink w:anchor="ref-34">
        <w:r>
          <w:rPr>
            <w:rStyle w:val="Hyperlink"/>
          </w:rPr>
          <w:t xml:space="preserve">[34]</w:t>
        </w:r>
      </w:hyperlink>
      <w:r>
        <w:t xml:space="preserve">, and recent work on early classification of space objects based on astrometric time series has demonstrated the value of structured discriminative models in the operational regime</w:t>
      </w:r>
      <w:r>
        <w:t xml:space="preserve"> </w:t>
      </w:r>
      <w:hyperlink w:anchor="ref-36">
        <w:r>
          <w:rPr>
            <w:rStyle w:val="Hyperlink"/>
          </w:rPr>
          <w:t xml:space="preserve">[36]</w:t>
        </w:r>
      </w:hyperlink>
      <w:r>
        <w:t xml:space="preserve">. The machine learning in orbit estimation survey catalogs the data-driven methods that have entered the field</w:t>
      </w:r>
      <w:r>
        <w:t xml:space="preserve"> </w:t>
      </w:r>
      <w:hyperlink w:anchor="ref-42">
        <w:r>
          <w:rPr>
            <w:rStyle w:val="Hyperlink"/>
          </w:rPr>
          <w:t xml:space="preserve">[42]</w:t>
        </w:r>
      </w:hyperlink>
      <w:r>
        <w:t xml:space="preserve">, and the autonomous angles-only multitarget tracking literature provides the multi-target inference layer beneath any attribution claim</w:t>
      </w:r>
      <w:r>
        <w:t xml:space="preserve"> </w:t>
      </w:r>
      <w:hyperlink w:anchor="ref-41">
        <w:r>
          <w:rPr>
            <w:rStyle w:val="Hyperlink"/>
          </w:rPr>
          <w:t xml:space="preserve">[41]</w:t>
        </w:r>
      </w:hyperlink>
      <w:r>
        <w:t xml:space="preserve">. Bayesian methods have been applied to satellite telemetry anomaly detection</w:t>
      </w:r>
      <w:r>
        <w:t xml:space="preserve"> </w:t>
      </w:r>
      <w:hyperlink w:anchor="ref-39">
        <w:r>
          <w:rPr>
            <w:rStyle w:val="Hyperlink"/>
          </w:rPr>
          <w:t xml:space="preserve">[39]</w:t>
        </w:r>
      </w:hyperlink>
      <w:r>
        <w:t xml:space="preserve">, and Bayesian network classifiers have been used for terrestrial electromagnetic interference emitter detection, classification, and localization at AMOS</w:t>
      </w:r>
      <w:r>
        <w:t xml:space="preserve"> </w:t>
      </w:r>
      <w:hyperlink w:anchor="ref-10">
        <w:r>
          <w:rPr>
            <w:rStyle w:val="Hyperlink"/>
          </w:rPr>
          <w:t xml:space="preserve">[10]</w:t>
        </w:r>
      </w:hyperlink>
      <w:r>
        <w:t xml:space="preserve">.</w:t>
      </w:r>
    </w:p>
    <w:p>
      <w:pPr>
        <w:pStyle w:val="BodyText"/>
        <w:spacing w:line="480" w:lineRule="auto"/>
        <w:ind w:firstLine="720"/>
      </w:pPr>
      <w:r>
        <w:t xml:space="preserve">What is missing is a probabilistic attribution layer that sits above orbit determination and fragmentation analysis and below policy response, specifically targeted at the cislunar regime. The cislunar architecture literature does not specify how its sensor outputs should be combined into a posterior over responsibility hypotheses. The cislunar fragmentation literature does not specify how the labeled fragment-to-target attribution it produces should propagate into a calibrated statement about the operator or causal mechanism. The Bayesian and decision-theoretic methods literature has not been applied to cislunar attribution at all. The cyber operations literature in outer space underscores that responsibility assignment in the cislunar regime will increasingly involve cross-domain evidence whose inference requires explicit structured models</w:t>
      </w:r>
      <w:r>
        <w:t xml:space="preserve"> </w:t>
      </w:r>
      <w:hyperlink w:anchor="ref-38">
        <w:r>
          <w:rPr>
            <w:rStyle w:val="Hyperlink"/>
          </w:rPr>
          <w:t xml:space="preserve">[38]</w:t>
        </w:r>
      </w:hyperlink>
      <w:r>
        <w:t xml:space="preserve">. No retrieved source provides a Bayesian network whose nodes are explicitly the operator, the mission class, the causal mechanism, and the observed cislunar feature vector, and whose output is a posterior over responsibility hypotheses calibrated against a held-out test set. That is the gap.</w:t>
      </w:r>
    </w:p>
    <w:p>
      <w:pPr>
        <w:pStyle w:val="BodyText"/>
        <w:spacing w:line="480" w:lineRule="auto"/>
        <w:ind w:firstLine="720"/>
      </w:pPr>
      <w:r>
        <w:t xml:space="preserve">An empirical foundation paper accompanies this dissertation and establishes the descriptive priors that any such network must inherit. It treats public attribution as a binary outcome and shows, on a sample of thirty orbital anomaly, breakup, and conjunction events drawn from the NASA Orbital Debris Quarterly News and Aerospace Corporation CORDS public record</w:t>
      </w:r>
      <w:r>
        <w:t xml:space="preserve"> </w:t>
      </w:r>
      <w:hyperlink w:anchor="ref-21">
        <w:r>
          <w:rPr>
            <w:rStyle w:val="Hyperlink"/>
          </w:rPr>
          <w:t xml:space="preserve">[21]</w:t>
        </w:r>
      </w:hyperlink>
      <w:r>
        <w:t xml:space="preserve">[25][29], that sensor diversity raises the probability of confident attribution, that altitude lowers it, and that multi-party involvement lowers it. The pseudo R-squared of the logistic specification is 0.534 on thirty observations, a joint fit that identifies the structural features of the evidentiary environment without resolving the individual coefficients at conventional significance. The descriptive result motivates the structured inference object the dissertation builds.</w:t>
      </w:r>
    </w:p>
    <w:p>
      <w:pPr>
        <w:pStyle w:val="BodyText"/>
        <w:spacing w:line="480" w:lineRule="auto"/>
        <w:ind w:firstLine="720"/>
      </w:pPr>
      <w:r>
        <w:t xml:space="preserve">A network that ignores sensor diversity, altitude, and operator multiplicity will misallocate posterior mass relative to the actual track record of the reporting system; a network that treats those features as conditioning variables will produce posteriors that match it.</w:t>
      </w:r>
    </w:p>
    <w:bookmarkEnd w:id="63"/>
    <w:bookmarkStart w:id="64" w:name="the-single-falsifiable-contribution"/>
    <w:p>
      <w:pPr>
        <w:pStyle w:val="Heading2"/>
        <w:spacing w:line="480" w:lineRule="auto"/>
      </w:pPr>
      <w:r>
        <w:t xml:space="preserve">1.4 The Single Falsifiable Contribution</w:t>
      </w:r>
    </w:p>
    <w:p>
      <w:pPr>
        <w:pStyle w:val="FirstParagraph"/>
        <w:spacing w:line="480" w:lineRule="auto"/>
      </w:pPr>
      <w:r>
        <w:t xml:space="preserve">This dissertation advances one testable claim, stated here in the precise form in which it will be evaluated in Chapter 5.</w:t>
      </w:r>
    </w:p>
    <w:p>
      <w:pPr>
        <w:pStyle w:val="BodyText"/>
        <w:spacing w:line="480" w:lineRule="auto"/>
        <w:ind w:firstLine="720"/>
      </w:pPr>
      <w:r>
        <w:rPr>
          <w:b/>
          <w:bCs/>
        </w:rPr>
        <w:t xml:space="preserve">H1.</w:t>
      </w:r>
      <w:r>
        <w:t xml:space="preserve"> </w:t>
      </w:r>
      <w:r>
        <w:t xml:space="preserve">A structured Bayesian network whose latent variables are operator identity, mission class, and causal mechanism, and whose observed variables are cislunar tracking residuals derived from the orbit determination survey state estimates</w:t>
      </w:r>
      <w:r>
        <w:t xml:space="preserve"> </w:t>
      </w:r>
      <w:hyperlink w:anchor="ref-2">
        <w:r>
          <w:rPr>
            <w:rStyle w:val="Hyperlink"/>
          </w:rPr>
          <w:t xml:space="preserve">[2]</w:t>
        </w:r>
      </w:hyperlink>
      <w:r>
        <w:t xml:space="preserve">[14] and fragmentation features derived from the cislunar fragmentation monitoring constellation</w:t>
      </w:r>
      <w:r>
        <w:t xml:space="preserve"> </w:t>
      </w:r>
      <w:hyperlink w:anchor="ref-7">
        <w:r>
          <w:rPr>
            <w:rStyle w:val="Hyperlink"/>
          </w:rPr>
          <w:t xml:space="preserve">[7]</w:t>
        </w:r>
      </w:hyperlink>
      <w:r>
        <w:t xml:space="preserve">, produces attribution posteriors that achieve strictly proper scoring rule performance, measured by Brier score and log loss, superior to a likelihood-only baseline on a held-out cislunar evidence set.</w:t>
      </w:r>
    </w:p>
    <w:p>
      <w:pPr>
        <w:pStyle w:val="BodyText"/>
        <w:spacing w:line="480" w:lineRule="auto"/>
        <w:ind w:firstLine="720"/>
      </w:pPr>
      <w:r>
        <w:rPr>
          <w:b/>
          <w:bCs/>
        </w:rPr>
        <w:t xml:space="preserve">H0.</w:t>
      </w:r>
      <w:r>
        <w:t xml:space="preserve"> </w:t>
      </w:r>
      <w:r>
        <w:t xml:space="preserve">The same Bayesian network does not improve on the likelihood-only baseline, or improves on it only within a pre-registered noise margin attributable to sampling variation under a paired bootstrap test.</w:t>
      </w:r>
    </w:p>
    <w:p>
      <w:pPr>
        <w:pStyle w:val="BodyText"/>
        <w:spacing w:line="480" w:lineRule="auto"/>
        <w:ind w:firstLine="720"/>
      </w:pPr>
      <w:r>
        <w:t xml:space="preserve">Failure conditions are mechanical. H1 is rejected if, on the held-out partition, the Bayesian network either fails to improve the Brier score and log loss in the pre-registered direction, or improves them only within the pre-registered noise margin. The claim is a single inference object, not a family of related claims, and the pre-registration document, including the hypothesis statement, the test partition definition, the scoring rules, the bootstrap configuration, and the noise margin, is filed before any held-out evaluation is conducted. The likelihood-only baseline is a maximum-likelihood assignment over the same hypothesis space using only the orbit determination state estimate and its covariance, constructed from the methods cataloged in the orbit determination survey</w:t>
      </w:r>
      <w:r>
        <w:t xml:space="preserve"> </w:t>
      </w:r>
      <w:hyperlink w:anchor="ref-2">
        <w:r>
          <w:rPr>
            <w:rStyle w:val="Hyperlink"/>
          </w:rPr>
          <w:t xml:space="preserve">[2]</w:t>
        </w:r>
      </w:hyperlink>
      <w:r>
        <w:t xml:space="preserve"> </w:t>
      </w:r>
      <w:r>
        <w:t xml:space="preserve">and the precision and accuracy improvement work</w:t>
      </w:r>
      <w:r>
        <w:t xml:space="preserve"> </w:t>
      </w:r>
      <w:hyperlink w:anchor="ref-14">
        <w:r>
          <w:rPr>
            <w:rStyle w:val="Hyperlink"/>
          </w:rPr>
          <w:t xml:space="preserve">[14]</w:t>
        </w:r>
      </w:hyperlink>
      <w:r>
        <w:t xml:space="preserve">. The evaluation set anchors on the cislunar fragmentation monitoring observation reconstruction in</w:t>
      </w:r>
      <w:r>
        <w:t xml:space="preserve"> </w:t>
      </w:r>
      <w:hyperlink w:anchor="ref-7">
        <w:r>
          <w:rPr>
            <w:rStyle w:val="Hyperlink"/>
          </w:rPr>
          <w:t xml:space="preserve">[7]</w:t>
        </w:r>
      </w:hyperlink>
      <w:r>
        <w:t xml:space="preserve"> </w:t>
      </w:r>
      <w:r>
        <w:t xml:space="preserve">and uses the published cislunar SDA architectures</w:t>
      </w:r>
      <w:r>
        <w:t xml:space="preserve"> </w:t>
      </w:r>
      <w:hyperlink w:anchor="ref-1">
        <w:r>
          <w:rPr>
            <w:rStyle w:val="Hyperlink"/>
          </w:rPr>
          <w:t xml:space="preserve">[1]</w:t>
        </w:r>
      </w:hyperlink>
      <w:r>
        <w:t xml:space="preserve">[3][5][6] to generate the synthetic injection partition.</w:t>
      </w:r>
    </w:p>
    <w:p>
      <w:pPr>
        <w:pStyle w:val="BodyText"/>
        <w:spacing w:line="480" w:lineRule="auto"/>
        <w:ind w:firstLine="720"/>
      </w:pPr>
      <w:r>
        <w:t xml:space="preserve">This statement of the contribution is deliberately narrow. The dissertation does not claim that the Bayesian network is the optimal inference object for cislunar attribution, that it dominates all alternative structured classifiers, or that its priors are uniquely defensible. It claims only that, on the specified evaluation set, under the specified scoring rules, the structured network outperforms the likelihood-only baseline. The robustness program in Chapter 5 includes sensitivity analysis on the elicited conditional probability tables, leave-one-architecture-out evaluation across the constellation designs in</w:t>
      </w:r>
      <w:r>
        <w:t xml:space="preserve"> </w:t>
      </w:r>
      <w:hyperlink w:anchor="ref-3">
        <w:r>
          <w:rPr>
            <w:rStyle w:val="Hyperlink"/>
          </w:rPr>
          <w:t xml:space="preserve">[3]</w:t>
        </w:r>
      </w:hyperlink>
      <w:r>
        <w:t xml:space="preserve"> </w:t>
      </w:r>
      <w:r>
        <w:t xml:space="preserve">and</w:t>
      </w:r>
      <w:r>
        <w:t xml:space="preserve"> </w:t>
      </w:r>
      <w:hyperlink w:anchor="ref-6">
        <w:r>
          <w:rPr>
            <w:rStyle w:val="Hyperlink"/>
          </w:rPr>
          <w:t xml:space="preserve">[6]</w:t>
        </w:r>
      </w:hyperlink>
      <w:r>
        <w:t xml:space="preserve">, and an ablation that removes the causal mechanism node to confirm that the structured network is not reducible to a flat classifier. Each of these robustness checks is constructed so that its failure tightens rather than weakens the falsifiability of the central claim.</w:t>
      </w:r>
    </w:p>
    <w:bookmarkEnd w:id="64"/>
    <w:bookmarkStart w:id="65" w:name="roadmap"/>
    <w:p>
      <w:pPr>
        <w:pStyle w:val="Heading2"/>
        <w:spacing w:line="480" w:lineRule="auto"/>
      </w:pPr>
      <w:r>
        <w:t xml:space="preserve">1.5 Roadmap</w:t>
      </w:r>
    </w:p>
    <w:p>
      <w:pPr>
        <w:pStyle w:val="FirstParagraph"/>
        <w:spacing w:line="480" w:lineRule="auto"/>
      </w:pPr>
      <w:r>
        <w:t xml:space="preserve">Six chapters carry the argument.</w:t>
      </w:r>
    </w:p>
    <w:p>
      <w:pPr>
        <w:pStyle w:val="BodyText"/>
        <w:spacing w:line="480" w:lineRule="auto"/>
        <w:ind w:firstLine="720"/>
      </w:pPr>
      <w:r>
        <w:t xml:space="preserve">Chapter 2 develops the literature foundation in two layers. The first layer treats the cislunar SDA domain literature as a body of work that specifies the observational architecture within which any attribution claim must be made</w:t>
      </w:r>
      <w:r>
        <w:t xml:space="preserve"> </w:t>
      </w:r>
      <w:hyperlink w:anchor="ref-1">
        <w:r>
          <w:rPr>
            <w:rStyle w:val="Hyperlink"/>
          </w:rPr>
          <w:t xml:space="preserve">[1]</w:t>
        </w:r>
      </w:hyperlink>
      <w:r>
        <w:t xml:space="preserve">[3][4][5][6][7]. The second layer treats the Bayesian, decision-theoretic, and structured-classification literature as the method foundation within which the inference object is constructed</w:t>
      </w:r>
      <w:r>
        <w:t xml:space="preserve"> </w:t>
      </w:r>
      <w:hyperlink w:anchor="ref-10">
        <w:r>
          <w:rPr>
            <w:rStyle w:val="Hyperlink"/>
          </w:rPr>
          <w:t xml:space="preserve">[10]</w:t>
        </w:r>
      </w:hyperlink>
      <w:r>
        <w:t xml:space="preserve">[30][31][32][33][34][35][36][42]. The chapter situates the contribution at the intersection of the two layers and identifies the specific theoretical commitments the network inherits from each.</w:t>
      </w:r>
    </w:p>
    <w:p>
      <w:pPr>
        <w:pStyle w:val="BodyText"/>
        <w:spacing w:line="480" w:lineRule="auto"/>
        <w:ind w:firstLine="720"/>
      </w:pPr>
      <w:r>
        <w:t xml:space="preserve">Chapter 3 specifies the Bayesian network. The directed acyclic graph is defined with three latent nodes (operator, mission class, causal mechanism), one summary node (responsibility), and a set of observed nodes derived from orbit determination residuals</w:t>
      </w:r>
      <w:r>
        <w:t xml:space="preserve"> </w:t>
      </w:r>
      <w:hyperlink w:anchor="ref-2">
        <w:r>
          <w:rPr>
            <w:rStyle w:val="Hyperlink"/>
          </w:rPr>
          <w:t xml:space="preserve">[2]</w:t>
        </w:r>
      </w:hyperlink>
      <w:r>
        <w:t xml:space="preserve">[14], fragmentation cloud descriptors</w:t>
      </w:r>
      <w:r>
        <w:t xml:space="preserve"> </w:t>
      </w:r>
      <w:hyperlink w:anchor="ref-7">
        <w:r>
          <w:rPr>
            <w:rStyle w:val="Hyperlink"/>
          </w:rPr>
          <w:t xml:space="preserve">[7]</w:t>
        </w:r>
      </w:hyperlink>
      <w:r>
        <w:t xml:space="preserve">[16][17][23][26], and registry metadata. Conditional probability tables for the latent layer are elicited from published cislunar SDA architecture work</w:t>
      </w:r>
      <w:r>
        <w:t xml:space="preserve"> </w:t>
      </w:r>
      <w:hyperlink w:anchor="ref-1">
        <w:r>
          <w:rPr>
            <w:rStyle w:val="Hyperlink"/>
          </w:rPr>
          <w:t xml:space="preserve">[1]</w:t>
        </w:r>
      </w:hyperlink>
      <w:r>
        <w:t xml:space="preserve">[3][6] and from the cislunar fragmentation event taxonomy in</w:t>
      </w:r>
      <w:r>
        <w:t xml:space="preserve"> </w:t>
      </w:r>
      <w:hyperlink w:anchor="ref-7">
        <w:r>
          <w:rPr>
            <w:rStyle w:val="Hyperlink"/>
          </w:rPr>
          <w:t xml:space="preserve">[7]</w:t>
        </w:r>
      </w:hyperlink>
      <w:r>
        <w:t xml:space="preserve">. The observation model for tracking residuals is grounded in the orbit determination survey</w:t>
      </w:r>
      <w:r>
        <w:t xml:space="preserve"> </w:t>
      </w:r>
      <w:hyperlink w:anchor="ref-2">
        <w:r>
          <w:rPr>
            <w:rStyle w:val="Hyperlink"/>
          </w:rPr>
          <w:t xml:space="preserve">[2]</w:t>
        </w:r>
      </w:hyperlink>
      <w:r>
        <w:t xml:space="preserve"> </w:t>
      </w:r>
      <w:r>
        <w:t xml:space="preserve">and the precision and accuracy improvement literature</w:t>
      </w:r>
      <w:r>
        <w:t xml:space="preserve"> </w:t>
      </w:r>
      <w:hyperlink w:anchor="ref-14">
        <w:r>
          <w:rPr>
            <w:rStyle w:val="Hyperlink"/>
          </w:rPr>
          <w:t xml:space="preserve">[14]</w:t>
        </w:r>
      </w:hyperlink>
      <w:r>
        <w:t xml:space="preserve">.</w:t>
      </w:r>
    </w:p>
    <w:p>
      <w:pPr>
        <w:pStyle w:val="BodyText"/>
        <w:spacing w:line="480" w:lineRule="auto"/>
        <w:ind w:firstLine="720"/>
      </w:pPr>
      <w:r>
        <w:t xml:space="preserve">Chapter 4 specifies the data and the identification strategy. The primary evidence set is the cislunar fragmentation monitoring observation reconstruction from</w:t>
      </w:r>
      <w:r>
        <w:t xml:space="preserve"> </w:t>
      </w:r>
      <w:hyperlink w:anchor="ref-7">
        <w:r>
          <w:rPr>
            <w:rStyle w:val="Hyperlink"/>
          </w:rPr>
          <w:t xml:space="preserve">[7]</w:t>
        </w:r>
      </w:hyperlink>
      <w:r>
        <w:t xml:space="preserve">, and the synthetic injection set is constructed from the published cislunar SDA constellation architectures</w:t>
      </w:r>
      <w:r>
        <w:t xml:space="preserve"> </w:t>
      </w:r>
      <w:hyperlink w:anchor="ref-1">
        <w:r>
          <w:rPr>
            <w:rStyle w:val="Hyperlink"/>
          </w:rPr>
          <w:t xml:space="preserve">[1]</w:t>
        </w:r>
      </w:hyperlink>
      <w:r>
        <w:t xml:space="preserve">[3][5][6] using their reported sensor parameters and orbit families. The chapter also documents the descriptive empirical foundation drawn from the NASA Orbital Debris Quarterly News record</w:t>
      </w:r>
      <w:r>
        <w:t xml:space="preserve"> </w:t>
      </w:r>
      <w:hyperlink w:anchor="ref-25">
        <w:r>
          <w:rPr>
            <w:rStyle w:val="Hyperlink"/>
          </w:rPr>
          <w:t xml:space="preserve">[25]</w:t>
        </w:r>
      </w:hyperlink>
      <w:r>
        <w:t xml:space="preserve"> </w:t>
      </w:r>
      <w:r>
        <w:t xml:space="preserve">and the Aerospace Corporation CORDS public summaries</w:t>
      </w:r>
      <w:r>
        <w:t xml:space="preserve"> </w:t>
      </w:r>
      <w:hyperlink w:anchor="ref-29">
        <w:r>
          <w:rPr>
            <w:rStyle w:val="Hyperlink"/>
          </w:rPr>
          <w:t xml:space="preserve">[29]</w:t>
        </w:r>
      </w:hyperlink>
      <w:r>
        <w:t xml:space="preserve">, on which the prior structure of the network is anchored. The conjunction screening literature</w:t>
      </w:r>
      <w:r>
        <w:t xml:space="preserve"> </w:t>
      </w:r>
      <w:hyperlink w:anchor="ref-13">
        <w:r>
          <w:rPr>
            <w:rStyle w:val="Hyperlink"/>
          </w:rPr>
          <w:t xml:space="preserve">[13]</w:t>
        </w:r>
      </w:hyperlink>
      <w:r>
        <w:t xml:space="preserve">[18][22] enters the identification strategy as the source of the observation model for tracking residuals.</w:t>
      </w:r>
    </w:p>
    <w:p>
      <w:pPr>
        <w:pStyle w:val="BodyText"/>
        <w:spacing w:line="480" w:lineRule="auto"/>
        <w:ind w:firstLine="720"/>
      </w:pPr>
      <w:r>
        <w:t xml:space="preserve">Chapter 5 reports the empirical evaluation. The Bayesian network is trained by expectation maximization on the synthetic injection set and evaluated on the held-out partition. Performance is assessed using Brier score and log loss, with calibration diagnostics including reliability diagrams and expected calibration error. The likelihood-only baseline is reported alongside, and the paired bootstrap test on the held-out partition is conducted according to the pre-registration document.</w:t>
      </w:r>
    </w:p>
    <w:p>
      <w:pPr>
        <w:pStyle w:val="BodyText"/>
        <w:spacing w:line="480" w:lineRule="auto"/>
        <w:ind w:firstLine="720"/>
      </w:pPr>
      <w:r>
        <w:t xml:space="preserve">The robustness program described in Section 1.4 is executed in full.</w:t>
      </w:r>
    </w:p>
    <w:p>
      <w:pPr>
        <w:pStyle w:val="BodyText"/>
        <w:spacing w:line="480" w:lineRule="auto"/>
        <w:ind w:firstLine="720"/>
      </w:pPr>
      <w:r>
        <w:t xml:space="preserve">Chapter 6 returns to the stakes. The chapter discusses what the calibrated attribution posterior implies for NASA mission assurance, for JPL’s operational analyst position, and for the policy interface with the State Department and allied space agencies. It situates the contribution within the broader Liability Convention framework</w:t>
      </w:r>
      <w:r>
        <w:t xml:space="preserve"> </w:t>
      </w:r>
      <w:hyperlink w:anchor="ref-24">
        <w:r>
          <w:rPr>
            <w:rStyle w:val="Hyperlink"/>
          </w:rPr>
          <w:t xml:space="preserve">[24]</w:t>
        </w:r>
      </w:hyperlink>
      <w:r>
        <w:t xml:space="preserve"> </w:t>
      </w:r>
      <w:r>
        <w:t xml:space="preserve">and within the expanding counterspace operator population documented in the Secure World Foundation assessment</w:t>
      </w:r>
      <w:r>
        <w:t xml:space="preserve"> </w:t>
      </w:r>
      <w:hyperlink w:anchor="ref-28">
        <w:r>
          <w:rPr>
            <w:rStyle w:val="Hyperlink"/>
          </w:rPr>
          <w:t xml:space="preserve">[28]</w:t>
        </w:r>
      </w:hyperlink>
      <w:r>
        <w:t xml:space="preserve">. It identifies four threats to validity (construct validity of the responsibility variable, identification of the causal mechanism node, dataset realism, and prior elicitation), and it specifies the next-step research agenda that follows from the falsifiable claim of this dissertation.</w:t>
      </w:r>
    </w:p>
    <w:p>
      <w:pPr>
        <w:pStyle w:val="BodyText"/>
        <w:spacing w:line="480" w:lineRule="auto"/>
        <w:ind w:firstLine="720"/>
      </w:pPr>
      <w:r>
        <w:t xml:space="preserve">In summary, this dissertation attempts to construct a single, narrow, testable inference object for cislunar attribution, to evaluate it against a pre-registered baseline on a held-out evidence set, and to defend its calibration against an explicit set of robustness checks. Its value to NASA and JPL is that, if the claim survives the evaluation, the agency and the laboratory inherit an inference layer that converts the ambiguous evidence of the cislunar regime into a calibrated statement of responsibility on which mission assurance, policy response, and diplomatic communication can be grounded. Its value to the broader field is that, if the claim fails, the failure is recorded in a form that the next iteration of the attribution literature can build on. Either outcome moves the field forward. That standard is the one against which the contribution is offered.</w:t>
      </w:r>
    </w:p>
    <w:bookmarkEnd w:id="65"/>
    <w:bookmarkEnd w:id="66"/>
    <w:bookmarkStart w:id="73" w:name="chapter-2.-literature-review"/>
    <w:p>
      <w:pPr>
        <w:pStyle w:val="Heading1"/>
        <w:spacing w:line="480" w:lineRule="auto"/>
      </w:pPr>
      <w:r>
        <w:t xml:space="preserve">Chapter 2. Literature Review</w:t>
      </w:r>
    </w:p>
    <w:bookmarkStart w:id="67" w:name="orientation"/>
    <w:p>
      <w:pPr>
        <w:pStyle w:val="Heading2"/>
        <w:spacing w:line="480" w:lineRule="auto"/>
      </w:pPr>
      <w:r>
        <w:t xml:space="preserve">2.1 Orientation</w:t>
      </w:r>
    </w:p>
    <w:p>
      <w:pPr>
        <w:pStyle w:val="FirstParagraph"/>
        <w:spacing w:line="480" w:lineRule="auto"/>
      </w:pPr>
      <w:r>
        <w:t xml:space="preserve">This chapter reviews the two literatures on which the dissertation depends and demonstrates that they have not been joined in the manner the attribution problem requires. The first literature is the technical corpus on Space Domain Awareness (SDA), orbit determination, fragmentation reconstruction, conjunction screening, and the emerging cislunar surveillance architecture. The second literature is the methodological corpus on probabilistic inference under ambiguity, comprising Bayesian network construction, evidence-based sensor tasking, scoring rule evaluation, and the small set of cliometric and econometric treatments that have begun to take attribution outcomes as a dependent variable. Each literature is internally coherent and rapidly maturing. Neither produces the inference object the dissertation builds: a structured, falsifiable, calibration-tested attribution layer that sits above orbit determination and fragmentation analysis and below policy response. The chapter proceeds by reviewing each literature on its own terms, identifying the points at which their assumptions interlock, and locating the gap that the dissertation’s single falsifiable contribution is designed to close.</w:t>
      </w:r>
    </w:p>
    <w:p>
      <w:pPr>
        <w:pStyle w:val="BodyText"/>
        <w:spacing w:line="480" w:lineRule="auto"/>
        <w:ind w:firstLine="720"/>
      </w:pPr>
      <w:r>
        <w:t xml:space="preserve">Five clusters organize the review. Section 2.2 reviews the cislunar SDA architecture literature. Section 2.3 reviews the orbit determination and uncertainty quantification literature. Section 2.4 reviews the fragmentation reconstruction and conjunction assessment literature. Section 2.5 reviews the methodological literature on Bayesian inference, sensor tasking, and classification of resident space objects, together with the governance and cliometric work that places attribution in a policy frame. Section 2.6 synthesizes the two corpora and states the gap.</w:t>
      </w:r>
    </w:p>
    <w:bookmarkEnd w:id="67"/>
    <w:bookmarkStart w:id="68" w:name="the-cislunar-sda-architecture-literature"/>
    <w:p>
      <w:pPr>
        <w:pStyle w:val="Heading2"/>
        <w:spacing w:line="480" w:lineRule="auto"/>
      </w:pPr>
      <w:r>
        <w:t xml:space="preserve">2.2 The Cislunar SDA Architecture Literature</w:t>
      </w:r>
    </w:p>
    <w:p>
      <w:pPr>
        <w:pStyle w:val="FirstParagraph"/>
        <w:spacing w:line="480" w:lineRule="auto"/>
      </w:pPr>
      <w:r>
        <w:t xml:space="preserve">Technical work on cislunar SDA has matured along an architectural axis. Owens Fahrner, Correa, and Wysack frame the problem as one of capacity-based architecture optimization, asking how a constellation of sensors should be sized and positioned to maintain custody of resident objects across the full cislunar volume</w:t>
      </w:r>
      <w:r>
        <w:t xml:space="preserve"> </w:t>
      </w:r>
      <w:hyperlink w:anchor="ref-1">
        <w:r>
          <w:rPr>
            <w:rStyle w:val="Hyperlink"/>
          </w:rPr>
          <w:t xml:space="preserve">[1]</w:t>
        </w:r>
      </w:hyperlink>
      <w:r>
        <w:t xml:space="preserve">. Their capacity formulation is important for attribution because it provides a vocabulary for translating sensor coverage into the prior probability that a given operator’s activity would be observed at all. Silva and colleagues extend the architectural question to hybrid lunar-surface and space-based sensing, treating the cislunar volume as a regime in which terrestrial sensor catalogues are insufficient and surface and space-based assets must be co-tasked</w:t>
      </w:r>
      <w:r>
        <w:t xml:space="preserve"> </w:t>
      </w:r>
      <w:hyperlink w:anchor="ref-3">
        <w:r>
          <w:rPr>
            <w:rStyle w:val="Hyperlink"/>
          </w:rPr>
          <w:t xml:space="preserve">[3]</w:t>
        </w:r>
      </w:hyperlink>
      <w:r>
        <w:t xml:space="preserve">. Their hybrid framing is consequential for any later attribution model because the heterogeneity of sensor classes implies heterogeneity in the observation model.</w:t>
      </w:r>
    </w:p>
    <w:p>
      <w:pPr>
        <w:pStyle w:val="BodyText"/>
        <w:spacing w:line="480" w:lineRule="auto"/>
        <w:ind w:firstLine="720"/>
      </w:pPr>
      <w:r>
        <w:t xml:space="preserve">Orbit mechanics complicates the architectural picture. Wilmer and Bettinger demonstrate that cislunar periodic orbits can themselves be exploited as surveillance platforms for near-rectilinear halo orbits</w:t>
      </w:r>
      <w:r>
        <w:t xml:space="preserve"> </w:t>
      </w:r>
      <w:hyperlink w:anchor="ref-4">
        <w:r>
          <w:rPr>
            <w:rStyle w:val="Hyperlink"/>
          </w:rPr>
          <w:t xml:space="preserve">[4]</w:t>
        </w:r>
      </w:hyperlink>
      <w:r>
        <w:t xml:space="preserve">. The implication for attribution is that observation geometry in the cislunar volume is not a fixed property of the architecture but a function of the surveillance platform’s own dynamical state. Badura and colleagues continue this thread with a distributed space-based network analysis grounded in operational cost metrics, evaluating constellation designs against the joint objective of coverage and sustainment</w:t>
      </w:r>
      <w:r>
        <w:t xml:space="preserve"> </w:t>
      </w:r>
      <w:hyperlink w:anchor="ref-5">
        <w:r>
          <w:rPr>
            <w:rStyle w:val="Hyperlink"/>
          </w:rPr>
          <w:t xml:space="preserve">[5]</w:t>
        </w:r>
      </w:hyperlink>
      <w:r>
        <w:t xml:space="preserve">. Kirshner and Pearce complete the architectural quartet with a model-based trade study of optical sensor constellations, demonstrating that the trade space remains open and that the attribution question must inherit whichever architectural commitments the operational community ultimately makes</w:t>
      </w:r>
      <w:r>
        <w:t xml:space="preserve"> </w:t>
      </w:r>
      <w:hyperlink w:anchor="ref-6">
        <w:r>
          <w:rPr>
            <w:rStyle w:val="Hyperlink"/>
          </w:rPr>
          <w:t xml:space="preserve">[6]</w:t>
        </w:r>
      </w:hyperlink>
      <w:r>
        <w:t xml:space="preserve">.</w:t>
      </w:r>
    </w:p>
    <w:p>
      <w:pPr>
        <w:pStyle w:val="BodyText"/>
        <w:spacing w:line="480" w:lineRule="auto"/>
        <w:ind w:firstLine="720"/>
      </w:pPr>
      <w:r>
        <w:t xml:space="preserve">Read together, these five papers establish four facts on which the dissertation’s attribution model rests. First, the cislunar surveillance architecture is heterogeneous by design, mixing surface-based and space-based assets in geometries that vary with platform dynamics. Second, the trade space is governed by operational cost metrics that constrain which behaviors can be observed at all. Third, capacity-based formulations exist that translate sensor coverage into observation probability. Fourth, the architectural literature is silent on the inferential problem of assigning observed behaviors to specific operators.</w:t>
      </w:r>
    </w:p>
    <w:p>
      <w:pPr>
        <w:pStyle w:val="BodyText"/>
        <w:spacing w:line="480" w:lineRule="auto"/>
        <w:ind w:firstLine="720"/>
      </w:pPr>
      <w:r>
        <w:t xml:space="preserve">That silence matters. The papers describe what can be observed and at what cost; they do not specify what is to be inferred from the observations once captured.</w:t>
      </w:r>
    </w:p>
    <w:p>
      <w:pPr>
        <w:pStyle w:val="BodyText"/>
        <w:spacing w:line="480" w:lineRule="auto"/>
        <w:ind w:firstLine="720"/>
      </w:pPr>
      <w:r>
        <w:t xml:space="preserve">Gambarotto, Grattagliano, De Maria, and Montaruli extend this architectural literature into fragmentation, treating cislunar fragmentation monitoring as a constellation design problem and providing labeled fragment-to-target attributions within their simulation framework</w:t>
      </w:r>
      <w:r>
        <w:t xml:space="preserve"> </w:t>
      </w:r>
      <w:hyperlink w:anchor="ref-7">
        <w:r>
          <w:rPr>
            <w:rStyle w:val="Hyperlink"/>
          </w:rPr>
          <w:t xml:space="preserve">[7]</w:t>
        </w:r>
      </w:hyperlink>
      <w:r>
        <w:t xml:space="preserve">. Their study supplies the only open dataset in the corpus that has both the cislunar regime and labeled attribution structure required for the held-out evaluation partition that the dissertation’s pre-registration document defines. The paper does not, however, formulate fragment-to-target attribution as a probabilistic inference. Its assignments are deterministic in the simulation and treat the size threshold above which fragments are attributed to the target as a fixed parameter rather than as a node in a generative model.</w:t>
      </w:r>
    </w:p>
    <w:p>
      <w:pPr>
        <w:pStyle w:val="BodyText"/>
        <w:spacing w:line="480" w:lineRule="auto"/>
        <w:ind w:firstLine="720"/>
      </w:pPr>
      <w:r>
        <w:t xml:space="preserve">So the attribution layer the dissertation specifies is complementary to, not duplicative of, the Gambarotto framework: it accepts the same observational record but treats the attribution as a posterior to be computed and calibrated.</w:t>
      </w:r>
    </w:p>
    <w:bookmarkEnd w:id="68"/>
    <w:bookmarkStart w:id="69" w:name="Xfe14dd1a5c1aad57a22bffd738eda35c1ac63c6"/>
    <w:p>
      <w:pPr>
        <w:pStyle w:val="Heading2"/>
        <w:spacing w:line="480" w:lineRule="auto"/>
      </w:pPr>
      <w:r>
        <w:t xml:space="preserve">2.3 The Orbit Determination and Uncertainty Quantification Literature</w:t>
      </w:r>
    </w:p>
    <w:p>
      <w:pPr>
        <w:pStyle w:val="FirstParagraph"/>
        <w:spacing w:line="480" w:lineRule="auto"/>
      </w:pPr>
      <w:r>
        <w:t xml:space="preserve">Orbit determination (OD) literature provides the methodological backbone for state estimation under uncertainty and supplies the likelihood-only baseline against which the dissertation’s structured Bayesian network is tested. Kazemi and colleagues provide the field’s most current survey, cataloguing the available techniques and their uncertainty characterizations and noting that the augmentation of Two-Line Element data with uncertainty information remains an open research problem</w:t>
      </w:r>
      <w:r>
        <w:t xml:space="preserve"> </w:t>
      </w:r>
      <w:hyperlink w:anchor="ref-2">
        <w:r>
          <w:rPr>
            <w:rStyle w:val="Hyperlink"/>
          </w:rPr>
          <w:t xml:space="preserve">[2]</w:t>
        </w:r>
      </w:hyperlink>
      <w:r>
        <w:t xml:space="preserve">. The Kazemi survey is doubly important to this dissertation. First, it defines the baseline against which the structured Bayesian network is benchmarked: a maximum-likelihood assignment over the responsibility hypothesis space using only the OD state estimate and its covariance. Second, it makes explicit that the OD literature has not solved the assignment problem; it has solved the state-estimation problem and explicitly invites downstream inference to make use of state estimates whose uncertainty structure is at least partially characterized.</w:t>
      </w:r>
    </w:p>
    <w:p>
      <w:pPr>
        <w:pStyle w:val="BodyText"/>
        <w:spacing w:line="480" w:lineRule="auto"/>
        <w:ind w:firstLine="720"/>
      </w:pPr>
      <w:r>
        <w:t xml:space="preserve">Dolado Perez and colleagues sharpen this point by examining how improvements in orbital data precision and accuracy propagate into downstream probability calculations</w:t>
      </w:r>
      <w:r>
        <w:t xml:space="preserve"> </w:t>
      </w:r>
      <w:hyperlink w:anchor="ref-14">
        <w:r>
          <w:rPr>
            <w:rStyle w:val="Hyperlink"/>
          </w:rPr>
          <w:t xml:space="preserve">[14]</w:t>
        </w:r>
      </w:hyperlink>
      <w:r>
        <w:t xml:space="preserve">. Their analysis is consequential for attribution because the probability of collision, the probability that a fragment originated from a specific parent, and the probability that a maneuver was executed by a specific operator are all conditional on the precision and accuracy of the state estimate that enters the calculation. The cliometric companion papers to this chapter exploit exactly this logic: the empirical regularity that confident public attribution rises with the richness of the evidentiary trail (P1) and with the catalogued fragment count (P2) is the observational footprint of the Dolado Perez mechanism operating across decades of orbital events.</w:t>
      </w:r>
    </w:p>
    <w:p>
      <w:pPr>
        <w:pStyle w:val="BodyText"/>
        <w:spacing w:line="480" w:lineRule="auto"/>
        <w:ind w:firstLine="720"/>
      </w:pPr>
      <w:r>
        <w:t xml:space="preserve">Pavanello and colleagues complete the OD-adjacent triad with a review of collision avoidance maneuver design that makes explicit that probability of collision models function only once state uncertainties are characterized at the time of closest approach</w:t>
      </w:r>
      <w:r>
        <w:t xml:space="preserve"> </w:t>
      </w:r>
      <w:hyperlink w:anchor="ref-15">
        <w:r>
          <w:rPr>
            <w:rStyle w:val="Hyperlink"/>
          </w:rPr>
          <w:t xml:space="preserve">[15]</w:t>
        </w:r>
      </w:hyperlink>
      <w:r>
        <w:t xml:space="preserve">. The Pavanello review exposes a standard pattern. Across the OD literature, probability calculations are conditioned on state estimates whose uncertainty is treated as Gaussian and whose covariance is treated as known. The structured Bayesian network the dissertation builds inherits this assumption for its observation model on tracking residuals but departs from it at the latent layer, where operator identity, mission class, and causal mechanism are discrete categorical variables that no Gaussian residual model can recover.</w:t>
      </w:r>
    </w:p>
    <w:p>
      <w:pPr>
        <w:pStyle w:val="BodyText"/>
        <w:spacing w:line="480" w:lineRule="auto"/>
        <w:ind w:firstLine="720"/>
      </w:pPr>
      <w:r>
        <w:t xml:space="preserve">Machine learning deserves separate attention. Caldas and Soares survey the application of machine learning to orbit estimation and document a growing body of work that uses learned models to recover state estimates and their uncertainties from heterogeneous observation streams</w:t>
      </w:r>
      <w:r>
        <w:t xml:space="preserve"> </w:t>
      </w:r>
      <w:hyperlink w:anchor="ref-42">
        <w:r>
          <w:rPr>
            <w:rStyle w:val="Hyperlink"/>
          </w:rPr>
          <w:t xml:space="preserve">[42]</w:t>
        </w:r>
      </w:hyperlink>
      <w:r>
        <w:t xml:space="preserve">. Chen and colleagues demonstrate that Bayesian Long Short-Term Memory networks can detect anomalies in imbalanced satellite telemetry data</w:t>
      </w:r>
      <w:r>
        <w:t xml:space="preserve"> </w:t>
      </w:r>
      <w:hyperlink w:anchor="ref-39">
        <w:r>
          <w:rPr>
            <w:rStyle w:val="Hyperlink"/>
          </w:rPr>
          <w:t xml:space="preserve">[39]</w:t>
        </w:r>
      </w:hyperlink>
      <w:r>
        <w:t xml:space="preserve">. Shim and Kee apply analytic dilution-of-precision reasoning to integer-ambiguity resolution for CubeSat relative navigation</w:t>
      </w:r>
      <w:r>
        <w:t xml:space="preserve"> </w:t>
      </w:r>
      <w:hyperlink w:anchor="ref-40">
        <w:r>
          <w:rPr>
            <w:rStyle w:val="Hyperlink"/>
          </w:rPr>
          <w:t xml:space="preserve">[40]</w:t>
        </w:r>
      </w:hyperlink>
      <w:r>
        <w:t xml:space="preserve">. Kruger and D’Amico develop autonomous angles-only multitarget tracking for spacecraft swarms, demonstrating that multi-object inference under partial observability is tractable when the generative model is correctly specified</w:t>
      </w:r>
      <w:r>
        <w:t xml:space="preserve"> </w:t>
      </w:r>
      <w:hyperlink w:anchor="ref-41">
        <w:r>
          <w:rPr>
            <w:rStyle w:val="Hyperlink"/>
          </w:rPr>
          <w:t xml:space="preserve">[41]</w:t>
        </w:r>
      </w:hyperlink>
      <w:r>
        <w:t xml:space="preserve">. Herman, Pinon Fischer, and Mavris show that sparse submanifold convolutional neural networks can calibrate digital sun sensors with limited training data</w:t>
      </w:r>
      <w:r>
        <w:t xml:space="preserve"> </w:t>
      </w:r>
      <w:hyperlink w:anchor="ref-44">
        <w:r>
          <w:rPr>
            <w:rStyle w:val="Hyperlink"/>
          </w:rPr>
          <w:t xml:space="preserve">[44]</w:t>
        </w:r>
      </w:hyperlink>
      <w:r>
        <w:t xml:space="preserve">. These papers extend the OD literature in directions that are methodologically adjacent to the dissertation’s inferential framework. None of them treat attribution as the dependent variable.</w:t>
      </w:r>
    </w:p>
    <w:p>
      <w:pPr>
        <w:pStyle w:val="BodyText"/>
        <w:spacing w:line="480" w:lineRule="auto"/>
        <w:ind w:firstLine="720"/>
      </w:pPr>
      <w:r>
        <w:t xml:space="preserve">The Iridium operational perspective contributed by Shepperd and Boyce reinforces this last point</w:t>
      </w:r>
      <w:r>
        <w:t xml:space="preserve"> </w:t>
      </w:r>
      <w:hyperlink w:anchor="ref-18">
        <w:r>
          <w:rPr>
            <w:rStyle w:val="Hyperlink"/>
          </w:rPr>
          <w:t xml:space="preserve">[18]</w:t>
        </w:r>
      </w:hyperlink>
      <w:r>
        <w:t xml:space="preserve">. Their analysis of mean elements in collision assessment notes that the perception of conjunction data messages as false alarms is itself an artifact of the screening environment. That environment shapes what forensics can later recover. The OD literature thus contains, in implicit form, the priors that any attribution model must surface: that observability is heterogeneous across regimes, that the screening environment is itself a selection mechanism, and that the uncertainty of the state estimate at the point of inference is the binding constraint on what attribution claims can be defended.</w:t>
      </w:r>
    </w:p>
    <w:bookmarkEnd w:id="69"/>
    <w:bookmarkStart w:id="70" w:name="X8af8409ec36906beca6996ae58f5c6f4fc8d98b"/>
    <w:p>
      <w:pPr>
        <w:pStyle w:val="Heading2"/>
        <w:spacing w:line="480" w:lineRule="auto"/>
      </w:pPr>
      <w:r>
        <w:t xml:space="preserve">2.4 The Fragmentation Reconstruction and Conjunction Assessment Literature</w:t>
      </w:r>
    </w:p>
    <w:p>
      <w:pPr>
        <w:pStyle w:val="FirstParagraph"/>
        <w:spacing w:line="480" w:lineRule="auto"/>
      </w:pPr>
      <w:r>
        <w:t xml:space="preserve">A third strand of the technical literature treats the reconstruction of fragmentation events and the assessment of conjunctions as the empirical theatres in which attribution actually operates. Muciaccia, Romano, Trisolini, and Colombo reconstruct in-orbit breakup events over the long term and demonstrate that forensic signal accumulates as fragments are catalogued</w:t>
      </w:r>
      <w:r>
        <w:t xml:space="preserve"> </w:t>
      </w:r>
      <w:hyperlink w:anchor="ref-16">
        <w:r>
          <w:rPr>
            <w:rStyle w:val="Hyperlink"/>
          </w:rPr>
          <w:t xml:space="preserve">[16]</w:t>
        </w:r>
      </w:hyperlink>
      <w:r>
        <w:t xml:space="preserve">[26]. Ottoboni, Muciaccia, and Colombo perform the short-term reconstruction analysis, showing that reconstructive identification of parent objects depends on fragment density and orbit type</w:t>
      </w:r>
      <w:r>
        <w:t xml:space="preserve"> </w:t>
      </w:r>
      <w:hyperlink w:anchor="ref-23">
        <w:r>
          <w:rPr>
            <w:rStyle w:val="Hyperlink"/>
          </w:rPr>
          <w:t xml:space="preserve">[23]</w:t>
        </w:r>
      </w:hyperlink>
      <w:r>
        <w:t xml:space="preserve">. Time is the hidden variable here. Together these papers establish that the reconstructive trace is a non-trivial function of the orbital regime and that the time horizon of reconstruction is itself a covariate of interest.</w:t>
      </w:r>
    </w:p>
    <w:p>
      <w:pPr>
        <w:pStyle w:val="BodyText"/>
        <w:spacing w:line="480" w:lineRule="auto"/>
        <w:ind w:firstLine="720"/>
      </w:pPr>
      <w:r>
        <w:t xml:space="preserve">Kosmos 1408 supplies the reconstruction framework’s clearest empirical test. Kastinen, Vierinen, Grydeland, and Kero use radar beam parks at multiple facilities to characterize the cloud, exploiting the parent mass and breakup altitude to produce a rich observable debris population</w:t>
      </w:r>
      <w:r>
        <w:t xml:space="preserve"> </w:t>
      </w:r>
      <w:hyperlink w:anchor="ref-17">
        <w:r>
          <w:rPr>
            <w:rStyle w:val="Hyperlink"/>
          </w:rPr>
          <w:t xml:space="preserve">[17]</w:t>
        </w:r>
      </w:hyperlink>
      <w:r>
        <w:t xml:space="preserve">. The Kastinen analysis sits at the upper end of the reconstructive-evidence gradient that the cliometric companion paper (P1) operationalizes as sensor-class diversity. At the opposite end of this gradient sit geostationary anomalies, where the smaller number of fragments and the thinner sensor access produce ambiguous attribution outcomes that persist for months or years. The Aerospace Corporation CORDS analyses of Long March 5B reentries</w:t>
      </w:r>
      <w:r>
        <w:t xml:space="preserve"> </w:t>
      </w:r>
      <w:hyperlink w:anchor="ref-29">
        <w:r>
          <w:rPr>
            <w:rStyle w:val="Hyperlink"/>
          </w:rPr>
          <w:t xml:space="preserve">[29]</w:t>
        </w:r>
      </w:hyperlink>
      <w:r>
        <w:t xml:space="preserve"> </w:t>
      </w:r>
      <w:r>
        <w:t xml:space="preserve">and the NASA Orbital Debris Quarterly News retrospective record</w:t>
      </w:r>
      <w:r>
        <w:t xml:space="preserve"> </w:t>
      </w:r>
      <w:hyperlink w:anchor="ref-25">
        <w:r>
          <w:rPr>
            <w:rStyle w:val="Hyperlink"/>
          </w:rPr>
          <w:t xml:space="preserve">[25]</w:t>
        </w:r>
      </w:hyperlink>
      <w:r>
        <w:t xml:space="preserve"> </w:t>
      </w:r>
      <w:r>
        <w:t xml:space="preserve">together constitute the documentary spine of the cliometric corpus.</w:t>
      </w:r>
    </w:p>
    <w:p>
      <w:pPr>
        <w:pStyle w:val="BodyText"/>
        <w:spacing w:line="480" w:lineRule="auto"/>
        <w:ind w:firstLine="720"/>
      </w:pPr>
      <w:r>
        <w:t xml:space="preserve">Alfano and colleagues address the conjunction-assessment side of the same problem, showing that the probability of collision in high-interest conjunctions is governed jointly by miss distance, conjunction geometry, and the covariance of the underlying state estimates</w:t>
      </w:r>
      <w:r>
        <w:t xml:space="preserve"> </w:t>
      </w:r>
      <w:hyperlink w:anchor="ref-13">
        <w:r>
          <w:rPr>
            <w:rStyle w:val="Hyperlink"/>
          </w:rPr>
          <w:t xml:space="preserve">[13]</w:t>
        </w:r>
      </w:hyperlink>
      <w:r>
        <w:t xml:space="preserve">. Hejduk and colleagues extend the conjunction-assessment framework to co-located satellite constellations with on-spacecraft autonomous flight dynamics control, noting that constructs of attribution are only as fair as the observable signatures the sensor network can capture</w:t>
      </w:r>
      <w:r>
        <w:t xml:space="preserve"> </w:t>
      </w:r>
      <w:hyperlink w:anchor="ref-22">
        <w:r>
          <w:rPr>
            <w:rStyle w:val="Hyperlink"/>
          </w:rPr>
          <w:t xml:space="preserve">[22]</w:t>
        </w:r>
      </w:hyperlink>
      <w:r>
        <w:t xml:space="preserve">. The Hejduk constraint is structural. An attribution model cannot infer what the sensor architecture cannot observe, and the calibration of its posteriors must therefore be benchmarked against the sensor architecture actually fielded rather than against any idealized coverage assumption.</w:t>
      </w:r>
    </w:p>
    <w:p>
      <w:pPr>
        <w:pStyle w:val="BodyText"/>
        <w:spacing w:line="480" w:lineRule="auto"/>
        <w:ind w:firstLine="720"/>
      </w:pPr>
      <w:r>
        <w:t xml:space="preserve">The NASA History of On-Orbit Satellite Fragmentations, fifteenth edition, supplies the longitudinal record on which the cliometric paper (P2) is built</w:t>
      </w:r>
      <w:r>
        <w:t xml:space="preserve"> </w:t>
      </w:r>
      <w:hyperlink w:anchor="ref-21">
        <w:r>
          <w:rPr>
            <w:rStyle w:val="Hyperlink"/>
          </w:rPr>
          <w:t xml:space="preserve">[21]</w:t>
        </w:r>
      </w:hyperlink>
      <w:r>
        <w:t xml:space="preserve">. Anz-Meador, Opiela, Shoots, and Liou document the catalogue of breakups from the dawn of the space age, with sufficient consistency in coding to support the binary attribution outcome that P2 estimates. The record is old, and the coding is stable. The 1972 Liability Convention frames these reconstructive exercises as legally consequential, establishing the obligation of launching states to assume responsibility for objects launched from their territory</w:t>
      </w:r>
      <w:r>
        <w:t xml:space="preserve"> </w:t>
      </w:r>
      <w:hyperlink w:anchor="ref-24">
        <w:r>
          <w:rPr>
            <w:rStyle w:val="Hyperlink"/>
          </w:rPr>
          <w:t xml:space="preserve">[24]</w:t>
        </w:r>
      </w:hyperlink>
      <w:r>
        <w:t xml:space="preserve">.</w:t>
      </w:r>
    </w:p>
    <w:p>
      <w:pPr>
        <w:pStyle w:val="BodyText"/>
        <w:spacing w:line="480" w:lineRule="auto"/>
        <w:ind w:firstLine="720"/>
      </w:pPr>
      <w:r>
        <w:t xml:space="preserve">Here is the legal hinge on which attribution as a policy act turns: without an authoritative public assignment of responsibility, the Convention has no defendant.</w:t>
      </w:r>
    </w:p>
    <w:p>
      <w:pPr>
        <w:pStyle w:val="BodyText"/>
        <w:spacing w:line="480" w:lineRule="auto"/>
        <w:ind w:firstLine="720"/>
      </w:pPr>
      <w:r>
        <w:t xml:space="preserve">Weeden and Samson address the counterspace dimension of the same record; their open-source assessment of global counterspace capabilities documents the declared intentional kinetic actions that comprise one extreme of the attribution gradient</w:t>
      </w:r>
      <w:r>
        <w:t xml:space="preserve"> </w:t>
      </w:r>
      <w:hyperlink w:anchor="ref-28">
        <w:r>
          <w:rPr>
            <w:rStyle w:val="Hyperlink"/>
          </w:rPr>
          <w:t xml:space="preserve">[28]</w:t>
        </w:r>
      </w:hyperlink>
      <w:r>
        <w:t xml:space="preserve">. The U.S. Space Command public statement on the destructive Russian direct-ascent anti-satellite test of 15 November 2021 is a paradigm case of attribution succeeding within days when the intentional act is declared or publicly assessed</w:t>
      </w:r>
      <w:r>
        <w:t xml:space="preserve"> </w:t>
      </w:r>
      <w:hyperlink w:anchor="ref-27">
        <w:r>
          <w:rPr>
            <w:rStyle w:val="Hyperlink"/>
          </w:rPr>
          <w:t xml:space="preserve">[27]</w:t>
        </w:r>
      </w:hyperlink>
      <w:r>
        <w:t xml:space="preserve">. The P2 cliometric finding that declared intentional actions in the sample are universally attributed is the observational footprint of this regime.</w:t>
      </w:r>
    </w:p>
    <w:bookmarkEnd w:id="70"/>
    <w:bookmarkStart w:id="71" w:name="Xcf5bdfc33b382a36d39a740c69b3b545b6c4fcf"/>
    <w:p>
      <w:pPr>
        <w:pStyle w:val="Heading2"/>
        <w:spacing w:line="480" w:lineRule="auto"/>
      </w:pPr>
      <w:r>
        <w:t xml:space="preserve">2.5 The Methodological Literature on Bayesian Inference, Sensor Tasking, and Resident Space Object Classification</w:t>
      </w:r>
    </w:p>
    <w:p>
      <w:pPr>
        <w:pStyle w:val="FirstParagraph"/>
        <w:spacing w:line="480" w:lineRule="auto"/>
      </w:pPr>
      <w:r>
        <w:t xml:space="preserve">Methodological work on probabilistic inference in the space domain has developed in three intertwined branches. The first branch concerns Bayesian inference applied to uncorrelated tracks and resident space object characterization. Holzinger develops the use of admissible regions and Bayesian inference for uncorrelated track classification, characterization, and prioritization</w:t>
      </w:r>
      <w:r>
        <w:t xml:space="preserve"> </w:t>
      </w:r>
      <w:hyperlink w:anchor="ref-33">
        <w:r>
          <w:rPr>
            <w:rStyle w:val="Hyperlink"/>
          </w:rPr>
          <w:t xml:space="preserve">[33]</w:t>
        </w:r>
      </w:hyperlink>
      <w:r>
        <w:t xml:space="preserve">. Jaunzemis and Holzinger, joined later by Jah, develop evidence-based sensor tasking for SDA</w:t>
      </w:r>
      <w:r>
        <w:t xml:space="preserve"> </w:t>
      </w:r>
      <w:hyperlink w:anchor="ref-30">
        <w:r>
          <w:rPr>
            <w:rStyle w:val="Hyperlink"/>
          </w:rPr>
          <w:t xml:space="preserve">[30]</w:t>
        </w:r>
      </w:hyperlink>
      <w:r>
        <w:t xml:space="preserve">, and Jaunzemis, Minotra, Feigh, Holzinger, and Chan extend this work into a cognitive-systems-engineering treatment of an SSA decision-support system</w:t>
      </w:r>
      <w:r>
        <w:t xml:space="preserve"> </w:t>
      </w:r>
      <w:hyperlink w:anchor="ref-31">
        <w:r>
          <w:rPr>
            <w:rStyle w:val="Hyperlink"/>
          </w:rPr>
          <w:t xml:space="preserve">[31]</w:t>
        </w:r>
      </w:hyperlink>
      <w:r>
        <w:t xml:space="preserve">. The Holzinger-Jaunzemis line is the methodological closest neighbor to the dissertation: it treats inference under partial observability as the central problem, it represents uncertainty explicitly, and it ties sensor tasking decisions to inferential payoff. It stops short, though. It does not formulate attribution as a discrete categorical posterior over operator identity, mission class, and causal mechanism, and it does not benchmark its inference against strictly proper scoring rules on a held-out partition.</w:t>
      </w:r>
    </w:p>
    <w:p>
      <w:pPr>
        <w:pStyle w:val="BodyText"/>
        <w:spacing w:line="480" w:lineRule="auto"/>
        <w:ind w:firstLine="720"/>
      </w:pPr>
      <w:r>
        <w:t xml:space="preserve">Wilkins, Pfeffer, Schumacher, and Jah propose an artificial space object taxonomy that organizes resident space objects into a hierarchical type system</w:t>
      </w:r>
      <w:r>
        <w:t xml:space="preserve"> </w:t>
      </w:r>
      <w:hyperlink w:anchor="ref-32">
        <w:r>
          <w:rPr>
            <w:rStyle w:val="Hyperlink"/>
          </w:rPr>
          <w:t xml:space="preserve">[32]</w:t>
        </w:r>
      </w:hyperlink>
      <w:r>
        <w:t xml:space="preserve">. Wilkins, Ruttenberg, Pfeffer, Schumacher, and Jah extend the taxonomy through an analysis of hierarchies for RSO characterization, recognition, and identification</w:t>
      </w:r>
      <w:r>
        <w:t xml:space="preserve"> </w:t>
      </w:r>
      <w:hyperlink w:anchor="ref-35">
        <w:r>
          <w:rPr>
            <w:rStyle w:val="Hyperlink"/>
          </w:rPr>
          <w:t xml:space="preserve">[35]</w:t>
        </w:r>
      </w:hyperlink>
      <w:r>
        <w:t xml:space="preserve">. The Wilkins taxonomy is consequential for the dissertation because it supplies a vocabulary for the mission-class node in the structured Bayesian network. Gerber, Kelecy, and Balke add a complementary functional-data-analysis perspective on orbital-debris attribute characterization</w:t>
      </w:r>
      <w:r>
        <w:t xml:space="preserve"> </w:t>
      </w:r>
      <w:hyperlink w:anchor="ref-34">
        <w:r>
          <w:rPr>
            <w:rStyle w:val="Hyperlink"/>
          </w:rPr>
          <w:t xml:space="preserve">[34]</w:t>
        </w:r>
      </w:hyperlink>
      <w:r>
        <w:t xml:space="preserve">. Lavezzi, Siew, Wu, Folcik, Rodriguez-Fernandez, Price, and Linares apply astrometric time-series methods to early classification of space objects, demonstrating that classification posteriors can be produced from short observational arcs</w:t>
      </w:r>
      <w:r>
        <w:t xml:space="preserve"> </w:t>
      </w:r>
      <w:hyperlink w:anchor="ref-36">
        <w:r>
          <w:rPr>
            <w:rStyle w:val="Hyperlink"/>
          </w:rPr>
          <w:t xml:space="preserve">[36]</w:t>
        </w:r>
      </w:hyperlink>
      <w:r>
        <w:t xml:space="preserve">. None of these classification papers tie their inferential output to a downstream responsibility-assignment claim or to a strictly proper scoring rule.</w:t>
      </w:r>
    </w:p>
    <w:p>
      <w:pPr>
        <w:pStyle w:val="BodyText"/>
        <w:spacing w:line="480" w:lineRule="auto"/>
        <w:ind w:firstLine="720"/>
      </w:pPr>
      <w:r>
        <w:t xml:space="preserve">A second branch concerns Bayesian network construction itself. Stottler, Bowman, and Bhopale demonstrate the use of behavior transition networks for automated terrestrial electromagnetic interference emitter detection, classification, and localization</w:t>
      </w:r>
      <w:r>
        <w:t xml:space="preserve"> </w:t>
      </w:r>
      <w:hyperlink w:anchor="ref-10">
        <w:r>
          <w:rPr>
            <w:rStyle w:val="Hyperlink"/>
          </w:rPr>
          <w:t xml:space="preserve">[10]</w:t>
        </w:r>
      </w:hyperlink>
      <w:r>
        <w:t xml:space="preserve">. Their work is the closest published methodological analogue to the dissertation’s inferential architecture: a structured probabilistic network whose latent nodes encode emitter identity and behavior class and whose observed nodes encode sensor-side feature vectors. The Stottler architecture demonstrates that structured probabilistic networks can outperform flat classifiers on detection and classification tasks where the latent structure of the source population carries information. The dissertation transposes this architecture from the terrestrial electromagnetic-interference domain to the cislunar attribution domain and benchmarks it against the OD-only baseline that the Kazemi survey defines</w:t>
      </w:r>
      <w:r>
        <w:t xml:space="preserve"> </w:t>
      </w:r>
      <w:hyperlink w:anchor="ref-2">
        <w:r>
          <w:rPr>
            <w:rStyle w:val="Hyperlink"/>
          </w:rPr>
          <w:t xml:space="preserve">[2]</w:t>
        </w:r>
      </w:hyperlink>
      <w:r>
        <w:t xml:space="preserve">.</w:t>
      </w:r>
    </w:p>
    <w:p>
      <w:pPr>
        <w:pStyle w:val="BodyText"/>
        <w:spacing w:line="480" w:lineRule="auto"/>
        <w:ind w:firstLine="720"/>
      </w:pPr>
      <w:r>
        <w:t xml:space="preserve">A third branch concerns sensor tasking and the cognitive-systems framing of SSA decision support. Jaunzemis, Minotra, Feigh, Holzinger, and Chan develop the cognitive-systems-engineering treatment of SSA decision-support systems</w:t>
      </w:r>
      <w:r>
        <w:t xml:space="preserve"> </w:t>
      </w:r>
      <w:hyperlink w:anchor="ref-31">
        <w:r>
          <w:rPr>
            <w:rStyle w:val="Hyperlink"/>
          </w:rPr>
          <w:t xml:space="preserve">[31]</w:t>
        </w:r>
      </w:hyperlink>
      <w:r>
        <w:t xml:space="preserve">, and Tarantino’s policy memo on active debris removal places sensor tasking inside a budget-constrained policy frame</w:t>
      </w:r>
      <w:r>
        <w:t xml:space="preserve"> </w:t>
      </w:r>
      <w:hyperlink w:anchor="ref-37">
        <w:r>
          <w:rPr>
            <w:rStyle w:val="Hyperlink"/>
          </w:rPr>
          <w:t xml:space="preserve">[37]</w:t>
        </w:r>
      </w:hyperlink>
      <w:r>
        <w:t xml:space="preserve">.</w:t>
      </w:r>
    </w:p>
    <w:p>
      <w:pPr>
        <w:pStyle w:val="BodyText"/>
        <w:spacing w:line="480" w:lineRule="auto"/>
        <w:ind w:firstLine="720"/>
      </w:pPr>
      <w:r>
        <w:t xml:space="preserve">The cognitive-systems framing supplies the warrant for treating attribution posteriors as decision-relevant rather than as standalone scientific output: a posterior is useful to the operational community only if it can be reasoned about by analysts and decision makers operating under time pressure.</w:t>
      </w:r>
    </w:p>
    <w:p>
      <w:pPr>
        <w:pStyle w:val="BodyText"/>
        <w:spacing w:line="480" w:lineRule="auto"/>
        <w:ind w:firstLine="720"/>
      </w:pPr>
      <w:r>
        <w:t xml:space="preserve">Cliometric and governance work supplies the fourth methodological branch and is the literature against which the dissertation’s two empirical companion papers (P1 and P2) sit most directly. Stilwell’s analysis of orbital capacity in the IAC 2024 paper and its companion treatment of the Liability Convention develops the governance framing in which attribution is the operational hinge of liability</w:t>
      </w:r>
      <w:r>
        <w:t xml:space="preserve"> </w:t>
      </w:r>
      <w:hyperlink w:anchor="ref-8">
        <w:r>
          <w:rPr>
            <w:rStyle w:val="Hyperlink"/>
          </w:rPr>
          <w:t xml:space="preserve">[8]</w:t>
        </w:r>
      </w:hyperlink>
      <w:r>
        <w:t xml:space="preserve">[19][20]. The Space Economy Papers corpus extends this framing into the broader political-economy literature on space sustainability</w:t>
      </w:r>
      <w:r>
        <w:t xml:space="preserve"> </w:t>
      </w:r>
      <w:hyperlink w:anchor="ref-9">
        <w:r>
          <w:rPr>
            <w:rStyle w:val="Hyperlink"/>
          </w:rPr>
          <w:t xml:space="preserve">[9]</w:t>
        </w:r>
      </w:hyperlink>
      <w:r>
        <w:t xml:space="preserve">[11][12]. Poirier’s recent analysis of governance for cyber operations in outer space adds a parallel governance literature in which attribution is the binding constraint on enforcement</w:t>
      </w:r>
      <w:r>
        <w:t xml:space="preserve"> </w:t>
      </w:r>
      <w:hyperlink w:anchor="ref-38">
        <w:r>
          <w:rPr>
            <w:rStyle w:val="Hyperlink"/>
          </w:rPr>
          <w:t xml:space="preserve">[38]</w:t>
        </w:r>
      </w:hyperlink>
      <w:r>
        <w:t xml:space="preserve">. Tarantino’s memo on active debris removal places attribution inside the political economy of debris remediation</w:t>
      </w:r>
      <w:r>
        <w:t xml:space="preserve"> </w:t>
      </w:r>
      <w:hyperlink w:anchor="ref-37">
        <w:r>
          <w:rPr>
            <w:rStyle w:val="Hyperlink"/>
          </w:rPr>
          <w:t xml:space="preserve">[37]</w:t>
        </w:r>
      </w:hyperlink>
      <w:r>
        <w:t xml:space="preserve">. None of these governance treatments specifies the inference object that converts ambiguous evidence into a calibrated statement of responsibility.</w:t>
      </w:r>
    </w:p>
    <w:p>
      <w:pPr>
        <w:pStyle w:val="BodyText"/>
        <w:spacing w:line="480" w:lineRule="auto"/>
        <w:ind w:firstLine="720"/>
      </w:pPr>
      <w:r>
        <w:t xml:space="preserve">P1 and P2, the two cliometric companion papers to this dissertation, are the only published instances in the corpus of which the author is aware that take public attribution outcomes as the dependent variable and estimate the structural features that predict attribution. P1 estimates a logistic specification on thirty events drawn from the documentary record</w:t>
      </w:r>
      <w:r>
        <w:t xml:space="preserve"> </w:t>
      </w:r>
      <w:hyperlink w:anchor="ref-21">
        <w:r>
          <w:rPr>
            <w:rStyle w:val="Hyperlink"/>
          </w:rPr>
          <w:t xml:space="preserve">[21]</w:t>
        </w:r>
      </w:hyperlink>
      <w:r>
        <w:t xml:space="preserve">[25][27][28][29] and recovers point estimates consistent with the observability-driven account: sensor diversity raises the probability of confident attribution, altitude lowers it, and multi-party involvement lowers it. P2 estimates a parallel logistic specification on thirty-six events with covariates for logged fragment count, regime, and years elapsed without attribution, recovering effects at the edge of conventional significance and documenting that declared intentional kinetic actions are universally attributed. Both papers are descriptive rather than inferential: they identify the priors with which any responsibility-assignment model must begin, and they do not themselves produce a calibrated posterior over a discrete responsibility variable.</w:t>
      </w:r>
    </w:p>
    <w:p>
      <w:pPr>
        <w:pStyle w:val="BodyText"/>
        <w:spacing w:line="480" w:lineRule="auto"/>
        <w:ind w:firstLine="720"/>
      </w:pPr>
      <w:r>
        <w:t xml:space="preserve">Teale, Beeley, Baillet, and McInnes bring the femtosatellite mission-assurance literature into the methodological frame because it documents the structural ambiguity that the cislunar attribution problem inherits at the lower end of the size spectrum</w:t>
      </w:r>
      <w:r>
        <w:t xml:space="preserve"> </w:t>
      </w:r>
      <w:hyperlink w:anchor="ref-45">
        <w:r>
          <w:rPr>
            <w:rStyle w:val="Hyperlink"/>
          </w:rPr>
          <w:t xml:space="preserve">[45]</w:t>
        </w:r>
      </w:hyperlink>
      <w:r>
        <w:t xml:space="preserve">. Femtosatellite operations multiply the population of plausible operators and complicate the construction of the operator prior. The Kunakorn-ong, Soltani, and Santer analysis of tube flexure cut-out geometries for deployment performance is included as a representative entry in the engineering-design literature that the architectural studies depend on, demonstrating that the trade space is governed by mechanical as well as observational constraints</w:t>
      </w:r>
      <w:r>
        <w:t xml:space="preserve"> </w:t>
      </w:r>
      <w:hyperlink w:anchor="ref-43">
        <w:r>
          <w:rPr>
            <w:rStyle w:val="Hyperlink"/>
          </w:rPr>
          <w:t xml:space="preserve">[43]</w:t>
        </w:r>
      </w:hyperlink>
      <w:r>
        <w:t xml:space="preserve">.</w:t>
      </w:r>
    </w:p>
    <w:bookmarkEnd w:id="71"/>
    <w:bookmarkStart w:id="72" w:name="synthesis-and-the-gap"/>
    <w:p>
      <w:pPr>
        <w:pStyle w:val="Heading2"/>
        <w:spacing w:line="480" w:lineRule="auto"/>
      </w:pPr>
      <w:r>
        <w:t xml:space="preserve">2.6 Synthesis and the Gap</w:t>
      </w:r>
    </w:p>
    <w:p>
      <w:pPr>
        <w:pStyle w:val="FirstParagraph"/>
        <w:spacing w:line="480" w:lineRule="auto"/>
      </w:pPr>
      <w:r>
        <w:t xml:space="preserve">Reviewed side by side, the two literatures are internally coherent and mutually adjacent. They do not produce the inference object the dissertation requires. The cislunar SDA architecture literature</w:t>
      </w:r>
      <w:r>
        <w:t xml:space="preserve"> </w:t>
      </w:r>
      <w:hyperlink w:anchor="ref-1">
        <w:r>
          <w:rPr>
            <w:rStyle w:val="Hyperlink"/>
          </w:rPr>
          <w:t xml:space="preserve">[1]</w:t>
        </w:r>
      </w:hyperlink>
      <w:r>
        <w:t xml:space="preserve">[3][4][5][6] specifies what can be observed and at what cost, but does not formulate the assignment of observed behaviors to specific operators as a probabilistic inference. The orbit determination and uncertainty quantification literature</w:t>
      </w:r>
      <w:r>
        <w:t xml:space="preserve"> </w:t>
      </w:r>
      <w:hyperlink w:anchor="ref-2">
        <w:r>
          <w:rPr>
            <w:rStyle w:val="Hyperlink"/>
          </w:rPr>
          <w:t xml:space="preserve">[2]</w:t>
        </w:r>
      </w:hyperlink>
      <w:r>
        <w:t xml:space="preserve">[14][15][18][39][40][41][42][44] specifies how state estimates and their uncertainties are recovered from heterogeneous observation streams, but does not push the inference forward into a discrete categorical posterior over operator identity, mission class, and causal mechanism. The fragmentation reconstruction and conjunction assessment literature</w:t>
      </w:r>
      <w:r>
        <w:t xml:space="preserve"> </w:t>
      </w:r>
      <w:hyperlink w:anchor="ref-13">
        <w:r>
          <w:rPr>
            <w:rStyle w:val="Hyperlink"/>
          </w:rPr>
          <w:t xml:space="preserve">[13]</w:t>
        </w:r>
      </w:hyperlink>
      <w:r>
        <w:t xml:space="preserve">[16][17][22][23][26] specifies how forensic signal accumulates and how the probability of collision is computed, but treats attribution as either a deterministic byproduct of reconstruction or as a downstream policy act outside the scope of the technical analysis. The Bayesian-inference and sensor-tasking literature</w:t>
      </w:r>
      <w:r>
        <w:t xml:space="preserve"> </w:t>
      </w:r>
      <w:hyperlink w:anchor="ref-10">
        <w:r>
          <w:rPr>
            <w:rStyle w:val="Hyperlink"/>
          </w:rPr>
          <w:t xml:space="preserve">[10]</w:t>
        </w:r>
      </w:hyperlink>
      <w:r>
        <w:t xml:space="preserve">[30][31][32][33][34][35][36] specifies how structured probabilistic networks and admissible-region methods can support inference under partial observability, but has not been applied to the cislunar attribution problem with operator, mission class, and causal mechanism as latent nodes and with strictly proper scoring rule evaluation on a held-out partition. The governance and cliometric literature</w:t>
      </w:r>
      <w:r>
        <w:t xml:space="preserve"> </w:t>
      </w:r>
      <w:hyperlink w:anchor="ref-8">
        <w:r>
          <w:rPr>
            <w:rStyle w:val="Hyperlink"/>
          </w:rPr>
          <w:t xml:space="preserve">[8]</w:t>
        </w:r>
      </w:hyperlink>
      <w:r>
        <w:t xml:space="preserve">[9][11][12][19][20][21][24][25][27][28][29][37][38] specifies the legal and policy stakes of attribution and, in the two companion papers to this dissertation, documents the structural features that predict whether attribution succeeds in the public record.</w:t>
      </w:r>
    </w:p>
    <w:p>
      <w:pPr>
        <w:pStyle w:val="BodyText"/>
        <w:spacing w:line="480" w:lineRule="auto"/>
        <w:ind w:firstLine="720"/>
      </w:pPr>
      <w:r>
        <w:t xml:space="preserve">So the gap is precise. No paper in the corpus combines, in a single inference object, the following five elements. First, a structured Bayesian network whose latent nodes are explicitly operator identity, mission class, and causal mechanism, and whose observed nodes are derived from cislunar tracking residuals and fragmentation features. Second, an observation model for tracking residuals grounded in the OD survey literature</w:t>
      </w:r>
      <w:r>
        <w:t xml:space="preserve"> </w:t>
      </w:r>
      <w:hyperlink w:anchor="ref-2">
        <w:r>
          <w:rPr>
            <w:rStyle w:val="Hyperlink"/>
          </w:rPr>
          <w:t xml:space="preserve">[2]</w:t>
        </w:r>
      </w:hyperlink>
      <w:r>
        <w:t xml:space="preserve"> </w:t>
      </w:r>
      <w:r>
        <w:t xml:space="preserve">and an observation model for fragmentation features grounded in the cislunar fragmentation monitoring framework</w:t>
      </w:r>
      <w:r>
        <w:t xml:space="preserve"> </w:t>
      </w:r>
      <w:hyperlink w:anchor="ref-7">
        <w:r>
          <w:rPr>
            <w:rStyle w:val="Hyperlink"/>
          </w:rPr>
          <w:t xml:space="preserve">[7]</w:t>
        </w:r>
      </w:hyperlink>
      <w:r>
        <w:t xml:space="preserve">. Third, a conditional-probability-table structure for the latent layer elicited from the published cislunar SDA architecture corpus</w:t>
      </w:r>
      <w:r>
        <w:t xml:space="preserve"> </w:t>
      </w:r>
      <w:hyperlink w:anchor="ref-1">
        <w:r>
          <w:rPr>
            <w:rStyle w:val="Hyperlink"/>
          </w:rPr>
          <w:t xml:space="preserve">[1]</w:t>
        </w:r>
      </w:hyperlink>
      <w:r>
        <w:t xml:space="preserve">[3][6] and from the cislunar fragmentation event taxonomy in</w:t>
      </w:r>
      <w:r>
        <w:t xml:space="preserve"> </w:t>
      </w:r>
      <w:hyperlink w:anchor="ref-7">
        <w:r>
          <w:rPr>
            <w:rStyle w:val="Hyperlink"/>
          </w:rPr>
          <w:t xml:space="preserve">[7]</w:t>
        </w:r>
      </w:hyperlink>
      <w:r>
        <w:t xml:space="preserve">. Fourth, an evaluation protocol grounded in strictly proper scoring rules (Brier score and log loss) and calibration diagnostics, with a pre-registered paired bootstrap on a held-out partition. Fifth, a benchmarking strategy that compares the structured network against a likelihood-only baseline derived from the OD literature and against ablations that collapse the causal mechanism node to test whether the structured representation is reducible to a flat classifier.</w:t>
      </w:r>
    </w:p>
    <w:p>
      <w:pPr>
        <w:pStyle w:val="BodyText"/>
        <w:spacing w:line="480" w:lineRule="auto"/>
        <w:ind w:firstLine="720"/>
      </w:pPr>
      <w:r>
        <w:t xml:space="preserve">The Stottler, Bowman, and Bhopale Bayesian-network framework</w:t>
      </w:r>
      <w:r>
        <w:t xml:space="preserve"> </w:t>
      </w:r>
      <w:hyperlink w:anchor="ref-10">
        <w:r>
          <w:rPr>
            <w:rStyle w:val="Hyperlink"/>
          </w:rPr>
          <w:t xml:space="preserve">[10]</w:t>
        </w:r>
      </w:hyperlink>
      <w:r>
        <w:t xml:space="preserve"> </w:t>
      </w:r>
      <w:r>
        <w:t xml:space="preserve">supplies the methodological template, but it has not been transposed to the cislunar attribution problem, and its terrestrial electromagnetic-interference observation model does not transfer to the cislunar tracking-residual environment. The Gambarotto, Grattagliano, De Maria, and Montaruli cislunar fragmentation monitoring framework</w:t>
      </w:r>
      <w:r>
        <w:t xml:space="preserve"> </w:t>
      </w:r>
      <w:hyperlink w:anchor="ref-7">
        <w:r>
          <w:rPr>
            <w:rStyle w:val="Hyperlink"/>
          </w:rPr>
          <w:t xml:space="preserve">[7]</w:t>
        </w:r>
      </w:hyperlink>
      <w:r>
        <w:t xml:space="preserve"> </w:t>
      </w:r>
      <w:r>
        <w:t xml:space="preserve">supplies the only open dataset with both the regime and the labeled attribution structure required for held-out evaluation, but its assignment logic is deterministic and does not produce calibrated posteriors. The Kazemi survey</w:t>
      </w:r>
      <w:r>
        <w:t xml:space="preserve"> </w:t>
      </w:r>
      <w:hyperlink w:anchor="ref-2">
        <w:r>
          <w:rPr>
            <w:rStyle w:val="Hyperlink"/>
          </w:rPr>
          <w:t xml:space="preserve">[2]</w:t>
        </w:r>
      </w:hyperlink>
      <w:r>
        <w:t xml:space="preserve"> </w:t>
      </w:r>
      <w:r>
        <w:t xml:space="preserve">supplies the OD-only baseline against which the structured network must be benchmarked, but explicitly invites downstream inference rather than producing it. The Holzinger-Jaunzemis line on Bayesian inference and evidence-based sensor tasking</w:t>
      </w:r>
      <w:r>
        <w:t xml:space="preserve"> </w:t>
      </w:r>
      <w:hyperlink w:anchor="ref-30">
        <w:r>
          <w:rPr>
            <w:rStyle w:val="Hyperlink"/>
          </w:rPr>
          <w:t xml:space="preserve">[30]</w:t>
        </w:r>
      </w:hyperlink>
      <w:r>
        <w:t xml:space="preserve">[31][33] supplies the inferential warrant for treating attribution as a posterior, but does not benchmark its inference against strictly proper scoring rules on a held-out cislunar partition. The Wilkins taxonomy line</w:t>
      </w:r>
      <w:r>
        <w:t xml:space="preserve"> </w:t>
      </w:r>
      <w:hyperlink w:anchor="ref-32">
        <w:r>
          <w:rPr>
            <w:rStyle w:val="Hyperlink"/>
          </w:rPr>
          <w:t xml:space="preserve">[32]</w:t>
        </w:r>
      </w:hyperlink>
      <w:r>
        <w:t xml:space="preserve">[35] supplies the vocabulary for the mission-class node, but does not propagate that vocabulary into a structured probabilistic inference.</w:t>
      </w:r>
    </w:p>
    <w:p>
      <w:pPr>
        <w:pStyle w:val="BodyText"/>
        <w:spacing w:line="480" w:lineRule="auto"/>
        <w:ind w:firstLine="720"/>
      </w:pPr>
      <w:r>
        <w:t xml:space="preserve">As for the cliometric companion papers (P1 and P2), they supply the empirical priors with which the network must begin but do not produce the network itself.</w:t>
      </w:r>
    </w:p>
    <w:p>
      <w:pPr>
        <w:pStyle w:val="BodyText"/>
        <w:spacing w:line="480" w:lineRule="auto"/>
        <w:ind w:firstLine="720"/>
      </w:pPr>
      <w:r>
        <w:t xml:space="preserve">Closing this gap is the dissertation’s single falsifiable contribution. It builds the structured Bayesian network specified above, benchmarks it against the OD-only baseline drawn from the Kazemi survey</w:t>
      </w:r>
      <w:r>
        <w:t xml:space="preserve"> </w:t>
      </w:r>
      <w:hyperlink w:anchor="ref-2">
        <w:r>
          <w:rPr>
            <w:rStyle w:val="Hyperlink"/>
          </w:rPr>
          <w:t xml:space="preserve">[2]</w:t>
        </w:r>
      </w:hyperlink>
      <w:r>
        <w:t xml:space="preserve">, evaluates it on the held-out cislunar fragmentation evidence set reconstructed from the Gambarotto framework</w:t>
      </w:r>
      <w:r>
        <w:t xml:space="preserve"> </w:t>
      </w:r>
      <w:hyperlink w:anchor="ref-7">
        <w:r>
          <w:rPr>
            <w:rStyle w:val="Hyperlink"/>
          </w:rPr>
          <w:t xml:space="preserve">[7]</w:t>
        </w:r>
      </w:hyperlink>
      <w:r>
        <w:t xml:space="preserve">, and pre-registers the hypothesis test in the form specified in Chapter 1. The network’s posteriors are calibrated against the structural priors documented in the cliometric companion papers and against the empirical trace of confident public attribution in the documentary record</w:t>
      </w:r>
      <w:r>
        <w:t xml:space="preserve"> </w:t>
      </w:r>
      <w:hyperlink w:anchor="ref-21">
        <w:r>
          <w:rPr>
            <w:rStyle w:val="Hyperlink"/>
          </w:rPr>
          <w:t xml:space="preserve">[21]</w:t>
        </w:r>
      </w:hyperlink>
      <w:r>
        <w:t xml:space="preserve">[25][27][28][29]. The contribution is not the extension of any one of the five literatures reviewed in this chapter. It is the joining of all five into a single inference object whose claims about responsibility can be rejected by out-of-sample miscalibration on a held-out cislunar partition.</w:t>
      </w:r>
    </w:p>
    <w:p>
      <w:pPr>
        <w:pStyle w:val="BodyText"/>
        <w:spacing w:line="480" w:lineRule="auto"/>
        <w:ind w:firstLine="720"/>
      </w:pPr>
      <w:r>
        <w:t xml:space="preserve">This chapter has demonstrated that the two unjoined literatures, the domain technical literature and the methodological literature on probabilistic inference under ambiguity, have each developed the components from which the attribution layer can be assembled but have not, in any retrieved source, been joined to produce that layer. The remainder of the dissertation builds the joining and tests whether it survives the pre-registered evaluation protocol. The next chapter specifies the network’s structure, the conditional-probability-table elicitation procedure, the observation models for tracking residuals and fragmentation features, and the precise mapping between the corpus reviewed here and the nodes of the resulting graph.</w:t>
      </w:r>
    </w:p>
    <w:bookmarkEnd w:id="72"/>
    <w:bookmarkEnd w:id="73"/>
    <w:bookmarkStart w:id="80" w:name="Xcfcc00a3ded59aed0c781c16bfc121f2a509603"/>
    <w:p>
      <w:pPr>
        <w:pStyle w:val="Heading1"/>
        <w:spacing w:line="480" w:lineRule="auto"/>
      </w:pPr>
      <w:r>
        <w:t xml:space="preserve">Chapter 3. Theoretical Framework and Hypotheses</w:t>
      </w:r>
    </w:p>
    <w:bookmarkStart w:id="74" w:name="introduction"/>
    <w:p>
      <w:pPr>
        <w:pStyle w:val="Heading2"/>
        <w:spacing w:line="480" w:lineRule="auto"/>
      </w:pPr>
      <w:r>
        <w:t xml:space="preserve">3.1 Introduction</w:t>
      </w:r>
    </w:p>
    <w:p>
      <w:pPr>
        <w:pStyle w:val="FirstParagraph"/>
        <w:spacing w:line="480" w:lineRule="auto"/>
      </w:pPr>
      <w:r>
        <w:t xml:space="preserve">This chapter develops the theoretical framework that organizes the dissertation’s empirical program and states the formal hypotheses that the chapters following will test on a held-out cislunar evidence set. The framework rests on three observations drawn from the literature reviewed in Chapter 2 and from the two preceding empirical papers in this dissertation. First, attribution in the orbital domain is observability-driven: the probability that the reporting community will converge on a confident assignment of responsibility is governed by the richness of the evidentiary trail rather than by the underlying truth of the event</w:t>
      </w:r>
      <w:r>
        <w:t xml:space="preserve"> </w:t>
      </w:r>
      <w:hyperlink w:anchor="ref-3">
        <w:r>
          <w:rPr>
            <w:rStyle w:val="Hyperlink"/>
          </w:rPr>
          <w:t xml:space="preserve">[3]</w:t>
        </w:r>
      </w:hyperlink>
      <w:r>
        <w:t xml:space="preserve">,</w:t>
      </w:r>
      <w:r>
        <w:t xml:space="preserve"> </w:t>
      </w:r>
      <w:hyperlink w:anchor="ref-16">
        <w:r>
          <w:rPr>
            <w:rStyle w:val="Hyperlink"/>
          </w:rPr>
          <w:t xml:space="preserve">[16]</w:t>
        </w:r>
      </w:hyperlink>
      <w:r>
        <w:t xml:space="preserve">,</w:t>
      </w:r>
      <w:r>
        <w:t xml:space="preserve"> </w:t>
      </w:r>
      <w:hyperlink w:anchor="ref-17">
        <w:r>
          <w:rPr>
            <w:rStyle w:val="Hyperlink"/>
          </w:rPr>
          <w:t xml:space="preserve">[17]</w:t>
        </w:r>
      </w:hyperlink>
      <w:r>
        <w:t xml:space="preserve">,</w:t>
      </w:r>
      <w:r>
        <w:t xml:space="preserve"> </w:t>
      </w:r>
      <w:hyperlink w:anchor="ref-22">
        <w:r>
          <w:rPr>
            <w:rStyle w:val="Hyperlink"/>
          </w:rPr>
          <w:t xml:space="preserve">[22]</w:t>
        </w:r>
      </w:hyperlink>
      <w:r>
        <w:t xml:space="preserve">. Second, that observational structure is more sparse and more heterogeneous in the cislunar volume than in low Earth orbit, because cislunar sensor architectures are still being assembled, sensor geometries are dominated by long-baseline angles-only measurements, and the catalog of resident objects is small enough that priors carry disproportionate inferential weight</w:t>
      </w:r>
      <w:r>
        <w:t xml:space="preserve"> </w:t>
      </w:r>
      <w:hyperlink w:anchor="ref-1">
        <w:r>
          <w:rPr>
            <w:rStyle w:val="Hyperlink"/>
          </w:rPr>
          <w:t xml:space="preserve">[1]</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Third, the inferential object that an attribution analyst actually needs is not a point estimate of orbital state but a posterior distribution over a small, policy-relevant set of responsibility hypotheses, conditioned on the entire feature vector that the cislunar sensor network is able to deliver</w:t>
      </w:r>
      <w:r>
        <w:t xml:space="preserve"> </w:t>
      </w:r>
      <w:hyperlink w:anchor="ref-2">
        <w:r>
          <w:rPr>
            <w:rStyle w:val="Hyperlink"/>
          </w:rPr>
          <w:t xml:space="preserve">[2]</w:t>
        </w:r>
      </w:hyperlink>
      <w:r>
        <w:t xml:space="preserve">,</w:t>
      </w:r>
      <w:r>
        <w:t xml:space="preserve"> </w:t>
      </w:r>
      <w:hyperlink w:anchor="ref-7">
        <w:r>
          <w:rPr>
            <w:rStyle w:val="Hyperlink"/>
          </w:rPr>
          <w:t xml:space="preserve">[7]</w:t>
        </w:r>
      </w:hyperlink>
      <w:r>
        <w:t xml:space="preserve">,</w:t>
      </w:r>
      <w:r>
        <w:t xml:space="preserve"> </w:t>
      </w:r>
      <w:hyperlink w:anchor="ref-33">
        <w:r>
          <w:rPr>
            <w:rStyle w:val="Hyperlink"/>
          </w:rPr>
          <w:t xml:space="preserve">[33]</w:t>
        </w:r>
      </w:hyperlink>
      <w:r>
        <w:t xml:space="preserve">.</w:t>
      </w:r>
    </w:p>
    <w:p>
      <w:pPr>
        <w:pStyle w:val="BodyText"/>
        <w:spacing w:line="480" w:lineRule="auto"/>
        <w:ind w:firstLine="720"/>
      </w:pPr>
      <w:r>
        <w:t xml:space="preserve">These three observations point toward a single theoretical mechanism. The cislunar reporting community converts ambiguous physical evidence into responsibility claims through a chain that begins with raw tracking measurements, passes through orbit determination and feature extraction, and terminates in a categorical statement about who is responsible for what. The chain is currently severed at its last link. Orbit determination is well theorized</w:t>
      </w:r>
      <w:r>
        <w:t xml:space="preserve"> </w:t>
      </w:r>
      <w:hyperlink w:anchor="ref-2">
        <w:r>
          <w:rPr>
            <w:rStyle w:val="Hyperlink"/>
          </w:rPr>
          <w:t xml:space="preserve">[2]</w:t>
        </w:r>
      </w:hyperlink>
      <w:r>
        <w:t xml:space="preserve">,</w:t>
      </w:r>
      <w:r>
        <w:t xml:space="preserve"> </w:t>
      </w:r>
      <w:hyperlink w:anchor="ref-14">
        <w:r>
          <w:rPr>
            <w:rStyle w:val="Hyperlink"/>
          </w:rPr>
          <w:t xml:space="preserve">[14]</w:t>
        </w:r>
      </w:hyperlink>
      <w:r>
        <w:t xml:space="preserve">, fragmentation reconstruction is increasingly well theorized</w:t>
      </w:r>
      <w:r>
        <w:t xml:space="preserve"> </w:t>
      </w:r>
      <w:hyperlink w:anchor="ref-4">
        <w:r>
          <w:rPr>
            <w:rStyle w:val="Hyperlink"/>
          </w:rPr>
          <w:t xml:space="preserve">[4]</w:t>
        </w:r>
      </w:hyperlink>
      <w:r>
        <w:t xml:space="preserve">,</w:t>
      </w:r>
      <w:r>
        <w:t xml:space="preserve"> </w:t>
      </w:r>
      <w:hyperlink w:anchor="ref-7">
        <w:r>
          <w:rPr>
            <w:rStyle w:val="Hyperlink"/>
          </w:rPr>
          <w:t xml:space="preserve">[7]</w:t>
        </w:r>
      </w:hyperlink>
      <w:r>
        <w:t xml:space="preserve">,</w:t>
      </w:r>
      <w:r>
        <w:t xml:space="preserve"> </w:t>
      </w:r>
      <w:hyperlink w:anchor="ref-16">
        <w:r>
          <w:rPr>
            <w:rStyle w:val="Hyperlink"/>
          </w:rPr>
          <w:t xml:space="preserve">[16]</w:t>
        </w:r>
      </w:hyperlink>
      <w:r>
        <w:t xml:space="preserve">,</w:t>
      </w:r>
      <w:r>
        <w:t xml:space="preserve"> </w:t>
      </w:r>
      <w:hyperlink w:anchor="ref-17">
        <w:r>
          <w:rPr>
            <w:rStyle w:val="Hyperlink"/>
          </w:rPr>
          <w:t xml:space="preserve">[17]</w:t>
        </w:r>
      </w:hyperlink>
      <w:r>
        <w:t xml:space="preserve">,</w:t>
      </w:r>
      <w:r>
        <w:t xml:space="preserve"> </w:t>
      </w:r>
      <w:hyperlink w:anchor="ref-23">
        <w:r>
          <w:rPr>
            <w:rStyle w:val="Hyperlink"/>
          </w:rPr>
          <w:t xml:space="preserve">[23]</w:t>
        </w:r>
      </w:hyperlink>
      <w:r>
        <w:t xml:space="preserve">,</w:t>
      </w:r>
      <w:r>
        <w:t xml:space="preserve"> </w:t>
      </w:r>
      <w:hyperlink w:anchor="ref-26">
        <w:r>
          <w:rPr>
            <w:rStyle w:val="Hyperlink"/>
          </w:rPr>
          <w:t xml:space="preserve">[26]</w:t>
        </w:r>
      </w:hyperlink>
      <w:r>
        <w:t xml:space="preserve">, and the policy consequences of attribution are well theorized</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w:t>
      </w:r>
      <w:r>
        <w:t xml:space="preserve"> </w:t>
      </w:r>
      <w:hyperlink w:anchor="ref-11">
        <w:r>
          <w:rPr>
            <w:rStyle w:val="Hyperlink"/>
          </w:rPr>
          <w:t xml:space="preserve">[11]</w:t>
        </w:r>
      </w:hyperlink>
      <w:r>
        <w:t xml:space="preserve">,</w:t>
      </w:r>
      <w:r>
        <w:t xml:space="preserve"> </w:t>
      </w:r>
      <w:hyperlink w:anchor="ref-19">
        <w:r>
          <w:rPr>
            <w:rStyle w:val="Hyperlink"/>
          </w:rPr>
          <w:t xml:space="preserve">[19]</w:t>
        </w:r>
      </w:hyperlink>
      <w:r>
        <w:t xml:space="preserve">,</w:t>
      </w:r>
      <w:r>
        <w:t xml:space="preserve"> </w:t>
      </w:r>
      <w:hyperlink w:anchor="ref-20">
        <w:r>
          <w:rPr>
            <w:rStyle w:val="Hyperlink"/>
          </w:rPr>
          <w:t xml:space="preserve">[20]</w:t>
        </w:r>
      </w:hyperlink>
      <w:r>
        <w:t xml:space="preserve">,</w:t>
      </w:r>
      <w:r>
        <w:t xml:space="preserve"> </w:t>
      </w:r>
      <w:hyperlink w:anchor="ref-24">
        <w:r>
          <w:rPr>
            <w:rStyle w:val="Hyperlink"/>
          </w:rPr>
          <w:t xml:space="preserve">[24]</w:t>
        </w:r>
      </w:hyperlink>
      <w:r>
        <w:t xml:space="preserve">. The probabilistic layer that converts a feature vector into a calibrated posterior over responsibility is the link that the literature has not yet supplied. The dissertation’s central theoretical claim is that this missing link is best modeled as a structured Bayesian network whose latent variables encode the operator, the mission class, and the causal mechanism, and whose observed variables encode the cislunar tracking and fragmentation features delivered by the sensor architecture.</w:t>
      </w:r>
    </w:p>
    <w:p>
      <w:pPr>
        <w:pStyle w:val="BodyText"/>
        <w:spacing w:line="480" w:lineRule="auto"/>
        <w:ind w:firstLine="720"/>
      </w:pPr>
      <w:r>
        <w:t xml:space="preserve">Five sections follow. Section 3.2 develops the causal logic that the framework formalizes, identifying the variables, the directions of influence, and the assumptions that must hold for the framework to be informative. Section 3.3 derives the structural form of the Bayesian network from that causal logic and explains why the structured form is preferred to flat alternatives. Section 3.4 connects the framework to the strictly proper scoring rule literature that supplies its evaluative criterion. Section 3.5 states the formal hypotheses H0 and H1, identifies their parameters, and specifies the conditions under which each will be considered to have prevailed. Section 3.6 enumerates the auxiliary assumptions whose failure would compromise the central test and explains how each is addressed in the empirical program of Chapters 4 through 6.</w:t>
      </w:r>
    </w:p>
    <w:bookmarkEnd w:id="74"/>
    <w:bookmarkStart w:id="75" w:name="the-causal-logic-of-cislunar-attribution"/>
    <w:p>
      <w:pPr>
        <w:pStyle w:val="Heading2"/>
        <w:spacing w:line="480" w:lineRule="auto"/>
      </w:pPr>
      <w:r>
        <w:t xml:space="preserve">3.2 The Causal Logic of Cislunar Attribution</w:t>
      </w:r>
    </w:p>
    <w:p>
      <w:pPr>
        <w:pStyle w:val="FirstParagraph"/>
        <w:spacing w:line="480" w:lineRule="auto"/>
      </w:pPr>
      <w:r>
        <w:t xml:space="preserve">Attribution, in this framework, is a forward inferential problem: an analyst observes a feature vector and must infer a categorical label. The causal logic that justifies this inferential direction begins on the generative side. A cislunar event is produced by a latent state that includes the identity of the operator who launched or controls the object, the mission class to which the object belongs, and the causal mechanism that produced the observed behavior. Each of these latent variables contributes to the physical signature that the sensor network ultimately records, but they contribute through different channels and on different time scales. Operator identity bears on the registry record, the launch trajectory family, and the operating cadence</w:t>
      </w:r>
      <w:r>
        <w:t xml:space="preserve"> </w:t>
      </w:r>
      <w:hyperlink w:anchor="ref-19">
        <w:r>
          <w:rPr>
            <w:rStyle w:val="Hyperlink"/>
          </w:rPr>
          <w:t xml:space="preserve">[19]</w:t>
        </w:r>
      </w:hyperlink>
      <w:r>
        <w:t xml:space="preserve">,</w:t>
      </w:r>
      <w:r>
        <w:t xml:space="preserve"> </w:t>
      </w:r>
      <w:hyperlink w:anchor="ref-20">
        <w:r>
          <w:rPr>
            <w:rStyle w:val="Hyperlink"/>
          </w:rPr>
          <w:t xml:space="preserve">[20]</w:t>
        </w:r>
      </w:hyperlink>
      <w:r>
        <w:t xml:space="preserve">,</w:t>
      </w:r>
      <w:r>
        <w:t xml:space="preserve"> </w:t>
      </w:r>
      <w:hyperlink w:anchor="ref-24">
        <w:r>
          <w:rPr>
            <w:rStyle w:val="Hyperlink"/>
          </w:rPr>
          <w:t xml:space="preserve">[24]</w:t>
        </w:r>
      </w:hyperlink>
      <w:r>
        <w:t xml:space="preserve">. Mission class bears on the orbit family selected for the object, on the typical maneuver profile, and on the expected lifetime</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 Causal mechanism bears on the specific dynamical signature of the observed behavior: a deliberate maneuver leaves a residual structure distinct from that of a propulsive anomaly, a collision-induced fragmentation, or a natural perturbation</w:t>
      </w:r>
      <w:r>
        <w:t xml:space="preserve"> </w:t>
      </w:r>
      <w:hyperlink w:anchor="ref-7">
        <w:r>
          <w:rPr>
            <w:rStyle w:val="Hyperlink"/>
          </w:rPr>
          <w:t xml:space="preserve">[7]</w:t>
        </w:r>
      </w:hyperlink>
      <w:r>
        <w:t xml:space="preserve">,</w:t>
      </w:r>
      <w:r>
        <w:t xml:space="preserve"> </w:t>
      </w:r>
      <w:hyperlink w:anchor="ref-16">
        <w:r>
          <w:rPr>
            <w:rStyle w:val="Hyperlink"/>
          </w:rPr>
          <w:t xml:space="preserve">[16]</w:t>
        </w:r>
      </w:hyperlink>
      <w:r>
        <w:t xml:space="preserve">,</w:t>
      </w:r>
      <w:r>
        <w:t xml:space="preserve"> </w:t>
      </w:r>
      <w:hyperlink w:anchor="ref-17">
        <w:r>
          <w:rPr>
            <w:rStyle w:val="Hyperlink"/>
          </w:rPr>
          <w:t xml:space="preserve">[17]</w:t>
        </w:r>
      </w:hyperlink>
      <w:r>
        <w:t xml:space="preserve">,</w:t>
      </w:r>
      <w:r>
        <w:t xml:space="preserve"> </w:t>
      </w:r>
      <w:hyperlink w:anchor="ref-22">
        <w:r>
          <w:rPr>
            <w:rStyle w:val="Hyperlink"/>
          </w:rPr>
          <w:t xml:space="preserve">[22]</w:t>
        </w:r>
      </w:hyperlink>
      <w:r>
        <w:t xml:space="preserve">,</w:t>
      </w:r>
      <w:r>
        <w:t xml:space="preserve"> </w:t>
      </w:r>
      <w:hyperlink w:anchor="ref-26">
        <w:r>
          <w:rPr>
            <w:rStyle w:val="Hyperlink"/>
          </w:rPr>
          <w:t xml:space="preserve">[26]</w:t>
        </w:r>
      </w:hyperlink>
      <w:r>
        <w:t xml:space="preserve">.</w:t>
      </w:r>
    </w:p>
    <w:p>
      <w:pPr>
        <w:pStyle w:val="BodyText"/>
        <w:spacing w:line="480" w:lineRule="auto"/>
        <w:ind w:firstLine="720"/>
      </w:pPr>
      <w:r>
        <w:t xml:space="preserve">None of these latent variables is directly observed. The sensor network records a feature vector composed of orbit determination residuals, fragmentation cloud descriptors, and registry metadata. The orbit determination residuals are themselves the output of a state estimator whose uncertainty characterization is well surveyed</w:t>
      </w:r>
      <w:r>
        <w:t xml:space="preserve"> </w:t>
      </w:r>
      <w:hyperlink w:anchor="ref-2">
        <w:r>
          <w:rPr>
            <w:rStyle w:val="Hyperlink"/>
          </w:rPr>
          <w:t xml:space="preserve">[2]</w:t>
        </w:r>
      </w:hyperlink>
      <w:r>
        <w:t xml:space="preserve"> </w:t>
      </w:r>
      <w:r>
        <w:t xml:space="preserve">and whose performance under cislunar geometries has been studied for both periodic-orbit surveillance</w:t>
      </w:r>
      <w:r>
        <w:t xml:space="preserve"> </w:t>
      </w:r>
      <w:hyperlink w:anchor="ref-4">
        <w:r>
          <w:rPr>
            <w:rStyle w:val="Hyperlink"/>
          </w:rPr>
          <w:t xml:space="preserve">[4]</w:t>
        </w:r>
      </w:hyperlink>
      <w:r>
        <w:t xml:space="preserve"> </w:t>
      </w:r>
      <w:r>
        <w:t xml:space="preserve">and hybrid lunar-surface and space-based architectures</w:t>
      </w:r>
      <w:r>
        <w:t xml:space="preserve"> </w:t>
      </w:r>
      <w:hyperlink w:anchor="ref-3">
        <w:r>
          <w:rPr>
            <w:rStyle w:val="Hyperlink"/>
          </w:rPr>
          <w:t xml:space="preserve">[3]</w:t>
        </w:r>
      </w:hyperlink>
      <w:r>
        <w:t xml:space="preserve">. The fragmentation cloud descriptors are the output of an analysis chain that begins with constellation observations of debris and reconstructs parent-to-fragment relations</w:t>
      </w:r>
      <w:r>
        <w:t xml:space="preserve"> </w:t>
      </w:r>
      <w:hyperlink w:anchor="ref-7">
        <w:r>
          <w:rPr>
            <w:rStyle w:val="Hyperlink"/>
          </w:rPr>
          <w:t xml:space="preserve">[7]</w:t>
        </w:r>
      </w:hyperlink>
      <w:r>
        <w:t xml:space="preserve">,</w:t>
      </w:r>
      <w:r>
        <w:t xml:space="preserve"> </w:t>
      </w:r>
      <w:hyperlink w:anchor="ref-16">
        <w:r>
          <w:rPr>
            <w:rStyle w:val="Hyperlink"/>
          </w:rPr>
          <w:t xml:space="preserve">[16]</w:t>
        </w:r>
      </w:hyperlink>
      <w:r>
        <w:t xml:space="preserve">,</w:t>
      </w:r>
      <w:r>
        <w:t xml:space="preserve"> </w:t>
      </w:r>
      <w:hyperlink w:anchor="ref-17">
        <w:r>
          <w:rPr>
            <w:rStyle w:val="Hyperlink"/>
          </w:rPr>
          <w:t xml:space="preserve">[17]</w:t>
        </w:r>
      </w:hyperlink>
      <w:r>
        <w:t xml:space="preserve">,</w:t>
      </w:r>
      <w:r>
        <w:t xml:space="preserve"> </w:t>
      </w:r>
      <w:hyperlink w:anchor="ref-23">
        <w:r>
          <w:rPr>
            <w:rStyle w:val="Hyperlink"/>
          </w:rPr>
          <w:t xml:space="preserve">[23]</w:t>
        </w:r>
      </w:hyperlink>
      <w:r>
        <w:t xml:space="preserve">,</w:t>
      </w:r>
      <w:r>
        <w:t xml:space="preserve"> </w:t>
      </w:r>
      <w:hyperlink w:anchor="ref-26">
        <w:r>
          <w:rPr>
            <w:rStyle w:val="Hyperlink"/>
          </w:rPr>
          <w:t xml:space="preserve">[26]</w:t>
        </w:r>
      </w:hyperlink>
      <w:r>
        <w:t xml:space="preserve">. The registry metadata is a categorical prior over operator identity that is reliable in low Earth orbit but increasingly sparse in cislunar space, where many objects are not yet catalogued at all</w:t>
      </w:r>
      <w:r>
        <w:t xml:space="preserve"> </w:t>
      </w:r>
      <w:hyperlink w:anchor="ref-1">
        <w:r>
          <w:rPr>
            <w:rStyle w:val="Hyperlink"/>
          </w:rPr>
          <w:t xml:space="preserve">[1]</w:t>
        </w:r>
      </w:hyperlink>
      <w:r>
        <w:t xml:space="preserve">,</w:t>
      </w:r>
      <w:r>
        <w:t xml:space="preserve"> </w:t>
      </w:r>
      <w:hyperlink w:anchor="ref-5">
        <w:r>
          <w:rPr>
            <w:rStyle w:val="Hyperlink"/>
          </w:rPr>
          <w:t xml:space="preserve">[5]</w:t>
        </w:r>
      </w:hyperlink>
      <w:r>
        <w:t xml:space="preserve">.</w:t>
      </w:r>
    </w:p>
    <w:p>
      <w:pPr>
        <w:pStyle w:val="BodyText"/>
        <w:spacing w:line="480" w:lineRule="auto"/>
        <w:ind w:firstLine="720"/>
      </w:pPr>
      <w:r>
        <w:t xml:space="preserve">Three properties of this causal logic bind the framework. The first is that the influence is forward: the latent state produces the feature vector, not the reverse. The second is that the feature vector is partial: it does not contain enough information, in general, to identify the latent state with certainty. The third is that the partial information is structured: certain features are informative about operator identity, others about mission class, and others about causal mechanism, and the structure can be elicited from the architecture and orbit determination literatures</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 These three properties imply that the inferential problem is one of Bayesian inversion of a structured generative model.</w:t>
      </w:r>
    </w:p>
    <w:p>
      <w:pPr>
        <w:pStyle w:val="BodyText"/>
        <w:spacing w:line="480" w:lineRule="auto"/>
        <w:ind w:firstLine="720"/>
      </w:pPr>
      <w:r>
        <w:t xml:space="preserve">The empirical warrant arrives in two parts. The first paper in this dissertation established that attribution in the orbital reporting system is observability-driven, with sensor diversity, altitude, and multi-party involvement all entering the probability of confident attribution in directions consistent with the structural account. The second paper established that fragment count and time elapsed without attribution both carry the expected signs and substantively meaningful magnitudes in a binary logistic specification on 36 documented events. The two papers together supply the empirical warrant for treating attribution as a structured inferential problem rather than as a flat classification task.</w:t>
      </w:r>
    </w:p>
    <w:p>
      <w:pPr>
        <w:pStyle w:val="BodyText"/>
        <w:spacing w:line="480" w:lineRule="auto"/>
        <w:ind w:firstLine="720"/>
      </w:pPr>
      <w:r>
        <w:t xml:space="preserve">The Bayesian network framework formalizes that warrant. It treats the structural features identified by the empirical papers as conditioning variables on the latent layer, and it treats the residuals and cloud descriptors delivered by the sensor network as evidence to be conditioned on.</w:t>
      </w:r>
    </w:p>
    <w:p>
      <w:pPr>
        <w:pStyle w:val="BodyText"/>
        <w:spacing w:line="480" w:lineRule="auto"/>
        <w:ind w:firstLine="720"/>
      </w:pPr>
      <w:r>
        <w:t xml:space="preserve">A further element of the causal logic deserves explicit statement. The framework distinguishes between the truth of responsibility and the publicly reported attribution. The empirical papers code attribution as a public reporting outcome, because that is the construct available in the documented record. The Bayesian network instead targets a posterior over responsibility itself, with the publicly reported attribution treated as a downstream and noisy realization. This distinction matters because the network is meant to support analytic uses for which public reporting is unavailable or untimely. The framework therefore commits to a generative account in which the latent responsibility variable is the cause of both the physical signature and, with delay and noise, of the public attribution outcome.</w:t>
      </w:r>
    </w:p>
    <w:p>
      <w:pPr>
        <w:pStyle w:val="BodyText"/>
        <w:spacing w:line="480" w:lineRule="auto"/>
        <w:ind w:firstLine="720"/>
      </w:pPr>
      <w:r>
        <w:t xml:space="preserve">The empirical papers identify the structural features of the public reporting channel; the Bayesian network identifies the structural features of the physical signature channel.</w:t>
      </w:r>
    </w:p>
    <w:p>
      <w:pPr>
        <w:pStyle w:val="BodyText"/>
        <w:spacing w:line="480" w:lineRule="auto"/>
        <w:ind w:firstLine="720"/>
      </w:pPr>
      <w:r>
        <w:t xml:space="preserve">Both the cognitive systems engineering literature on SSA decision support</w:t>
      </w:r>
      <w:r>
        <w:t xml:space="preserve"> </w:t>
      </w:r>
      <w:hyperlink w:anchor="ref-31">
        <w:r>
          <w:rPr>
            <w:rStyle w:val="Hyperlink"/>
          </w:rPr>
          <w:t xml:space="preserve">[31]</w:t>
        </w:r>
      </w:hyperlink>
      <w:r>
        <w:t xml:space="preserve"> </w:t>
      </w:r>
      <w:r>
        <w:t xml:space="preserve">and the evidence-based sensor tasking literature</w:t>
      </w:r>
      <w:r>
        <w:t xml:space="preserve"> </w:t>
      </w:r>
      <w:hyperlink w:anchor="ref-30">
        <w:r>
          <w:rPr>
            <w:rStyle w:val="Hyperlink"/>
          </w:rPr>
          <w:t xml:space="preserve">[30]</w:t>
        </w:r>
      </w:hyperlink>
      <w:r>
        <w:t xml:space="preserve"> </w:t>
      </w:r>
      <w:r>
        <w:t xml:space="preserve">treat the analyst as a Bayesian agent who must reason over hypotheses under uncertainty. The framework is consistent with that view. The hierarchical resident space object literature</w:t>
      </w:r>
      <w:r>
        <w:t xml:space="preserve"> </w:t>
      </w:r>
      <w:hyperlink w:anchor="ref-32">
        <w:r>
          <w:rPr>
            <w:rStyle w:val="Hyperlink"/>
          </w:rPr>
          <w:t xml:space="preserve">[32]</w:t>
        </w:r>
      </w:hyperlink>
      <w:r>
        <w:t xml:space="preserve">,</w:t>
      </w:r>
      <w:r>
        <w:t xml:space="preserve"> </w:t>
      </w:r>
      <w:hyperlink w:anchor="ref-35">
        <w:r>
          <w:rPr>
            <w:rStyle w:val="Hyperlink"/>
          </w:rPr>
          <w:t xml:space="preserve">[35]</w:t>
        </w:r>
      </w:hyperlink>
      <w:r>
        <w:t xml:space="preserve"> </w:t>
      </w:r>
      <w:r>
        <w:t xml:space="preserve">and the admissible region literature for uncorrelated tracks</w:t>
      </w:r>
      <w:r>
        <w:t xml:space="preserve"> </w:t>
      </w:r>
      <w:hyperlink w:anchor="ref-33">
        <w:r>
          <w:rPr>
            <w:rStyle w:val="Hyperlink"/>
          </w:rPr>
          <w:t xml:space="preserve">[33]</w:t>
        </w:r>
      </w:hyperlink>
      <w:r>
        <w:t xml:space="preserve"> </w:t>
      </w:r>
      <w:r>
        <w:t xml:space="preserve">supply the structural categories within which the operator, mission class, and causal mechanism variables are defined. The functional data analysis treatment of debris attributes</w:t>
      </w:r>
      <w:r>
        <w:t xml:space="preserve"> </w:t>
      </w:r>
      <w:hyperlink w:anchor="ref-34">
        <w:r>
          <w:rPr>
            <w:rStyle w:val="Hyperlink"/>
          </w:rPr>
          <w:t xml:space="preserve">[34]</w:t>
        </w:r>
      </w:hyperlink>
      <w:r>
        <w:t xml:space="preserve"> </w:t>
      </w:r>
      <w:r>
        <w:t xml:space="preserve">and the early astrometric classification of space objects</w:t>
      </w:r>
      <w:r>
        <w:t xml:space="preserve"> </w:t>
      </w:r>
      <w:hyperlink w:anchor="ref-36">
        <w:r>
          <w:rPr>
            <w:rStyle w:val="Hyperlink"/>
          </w:rPr>
          <w:t xml:space="preserve">[36]</w:t>
        </w:r>
      </w:hyperlink>
      <w:r>
        <w:t xml:space="preserve"> </w:t>
      </w:r>
      <w:r>
        <w:t xml:space="preserve">supply the empirical evidence that feature-conditional categorical inference is feasible in the orbital regime. The framework integrates these threads into a single, formalized inferential object.</w:t>
      </w:r>
    </w:p>
    <w:bookmarkEnd w:id="75"/>
    <w:bookmarkStart w:id="76" w:name="structural-form-of-the-bayesian-network"/>
    <w:p>
      <w:pPr>
        <w:pStyle w:val="Heading2"/>
        <w:spacing w:line="480" w:lineRule="auto"/>
      </w:pPr>
      <w:r>
        <w:t xml:space="preserve">3.3 Structural Form of the Bayesian Network</w:t>
      </w:r>
    </w:p>
    <w:p>
      <w:pPr>
        <w:pStyle w:val="FirstParagraph"/>
        <w:spacing w:line="480" w:lineRule="auto"/>
      </w:pPr>
      <w:r>
        <w:t xml:space="preserve">Structurally, the Bayesian network follows directly from the causal logic developed in Section 3.2. The network is a directed acyclic graph. It has four layers. The top layer contains three latent variables: operator identity, mission class, and causal mechanism. The second layer contains a single summary variable, responsibility, which is a deterministic function of the three latent variables and supplies the categorical output over which the posterior is computed. The third layer contains the observed variables, orbit determination residuals, fragmentation cloud descriptors, and registry metadata, while the fourth contains the publicly reported attribution outcome, conditioned on responsibility but separated from it by the noise of the reporting channel.</w:t>
      </w:r>
    </w:p>
    <w:p>
      <w:pPr>
        <w:pStyle w:val="BodyText"/>
        <w:spacing w:line="480" w:lineRule="auto"/>
        <w:ind w:firstLine="720"/>
      </w:pPr>
      <w:r>
        <w:t xml:space="preserve">Causal logic dictates the directions of influence in this graph. Operator identity, mission class, and causal mechanism are mutually correlated but not deterministic functions of one another, because a single operator may pursue multiple mission classes and a single mission class may be subject to multiple causal mechanisms. The three latent variables jointly determine the distribution over the orbit determination residuals and fragmentation cloud descriptors. Operator identity alone determines the distribution over the registry metadata, conditional on the registry being current. Responsibility is a deterministic categorical label assembled from the three latent variables according to a coding scheme that the dissertation specifies in advance.</w:t>
      </w:r>
    </w:p>
    <w:p>
      <w:pPr>
        <w:pStyle w:val="BodyText"/>
        <w:spacing w:line="480" w:lineRule="auto"/>
        <w:ind w:firstLine="720"/>
      </w:pPr>
      <w:r>
        <w:t xml:space="preserve">Why is the structured form preferred to flat alternatives? Three reasons. First, the structured form makes the conditional independence assumptions explicit. A flat classifier that maps the feature vector directly to the responsibility label imposes no constraints on how the features inform the latent state, and therefore loses the inferential leverage that the causal logic supplies. Second, the structured form supports ablation. Removing the causal mechanism node from the structured network produces a degraded but well-defined alternative whose performance can be compared against the full network; removing any single feature from a flat classifier does not produce a comparably interpretable comparison. Third, the structured form supports prior elicitation from the architecture and orbit determination literatures. The conditional probability tables of the latent layer can be assembled from the published cislunar SDA architecture work</w:t>
      </w:r>
      <w:r>
        <w:t xml:space="preserve"> </w:t>
      </w:r>
      <w:hyperlink w:anchor="ref-1">
        <w:r>
          <w:rPr>
            <w:rStyle w:val="Hyperlink"/>
          </w:rPr>
          <w:t xml:space="preserve">[1]</w:t>
        </w:r>
      </w:hyperlink>
      <w:r>
        <w:t xml:space="preserve">,</w:t>
      </w:r>
      <w:r>
        <w:t xml:space="preserve"> </w:t>
      </w:r>
      <w:hyperlink w:anchor="ref-3">
        <w:r>
          <w:rPr>
            <w:rStyle w:val="Hyperlink"/>
          </w:rPr>
          <w:t xml:space="preserve">[3]</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from the orbit determination survey</w:t>
      </w:r>
      <w:r>
        <w:t xml:space="preserve"> </w:t>
      </w:r>
      <w:hyperlink w:anchor="ref-2">
        <w:r>
          <w:rPr>
            <w:rStyle w:val="Hyperlink"/>
          </w:rPr>
          <w:t xml:space="preserve">[2]</w:t>
        </w:r>
      </w:hyperlink>
      <w:r>
        <w:t xml:space="preserve">, and from the fragmentation event taxonomy in</w:t>
      </w:r>
      <w:r>
        <w:t xml:space="preserve"> </w:t>
      </w:r>
      <w:hyperlink w:anchor="ref-7">
        <w:r>
          <w:rPr>
            <w:rStyle w:val="Hyperlink"/>
          </w:rPr>
          <w:t xml:space="preserve">[7]</w:t>
        </w:r>
      </w:hyperlink>
      <w:r>
        <w:t xml:space="preserve">. A flat classifier offers no comparable point of contact with the literature.</w:t>
      </w:r>
    </w:p>
    <w:p>
      <w:pPr>
        <w:pStyle w:val="BodyText"/>
        <w:spacing w:line="480" w:lineRule="auto"/>
        <w:ind w:firstLine="720"/>
      </w:pPr>
      <w:r>
        <w:t xml:space="preserve">Within the SSA community, the Bayesian network literature supports this structural choice. Behavior transition networks for terrestrial electromagnetic interference emitter detection and classification have been shown to outperform flat classifiers in tasks where the latent state is structured and the evidence is partial</w:t>
      </w:r>
      <w:r>
        <w:t xml:space="preserve"> </w:t>
      </w:r>
      <w:hyperlink w:anchor="ref-10">
        <w:r>
          <w:rPr>
            <w:rStyle w:val="Hyperlink"/>
          </w:rPr>
          <w:t xml:space="preserve">[10]</w:t>
        </w:r>
      </w:hyperlink>
      <w:r>
        <w:t xml:space="preserve">. Bayesian long short-term memory models for satellite telemetry anomaly detection demonstrate the value of structured probabilistic modeling on imbalanced datasets</w:t>
      </w:r>
      <w:r>
        <w:t xml:space="preserve"> </w:t>
      </w:r>
      <w:hyperlink w:anchor="ref-39">
        <w:r>
          <w:rPr>
            <w:rStyle w:val="Hyperlink"/>
          </w:rPr>
          <w:t xml:space="preserve">[39]</w:t>
        </w:r>
      </w:hyperlink>
      <w:r>
        <w:t xml:space="preserve">. Survey work on machine learning in orbit estimation notes that structured generative approaches tend to dominate flat discriminative approaches when the training set is small relative to the dimensionality of the latent space</w:t>
      </w:r>
      <w:r>
        <w:t xml:space="preserve"> </w:t>
      </w:r>
      <w:hyperlink w:anchor="ref-42">
        <w:r>
          <w:rPr>
            <w:rStyle w:val="Hyperlink"/>
          </w:rPr>
          <w:t xml:space="preserve">[42]</w:t>
        </w:r>
      </w:hyperlink>
      <w:r>
        <w:t xml:space="preserve">. The cislunar attribution problem sits at exactly this point: the training set is small because cislunar events are rare, and the latent space is structured because operator, mission class, and causal mechanism are mutually informative without being collinear.</w:t>
      </w:r>
    </w:p>
    <w:p>
      <w:pPr>
        <w:pStyle w:val="BodyText"/>
        <w:spacing w:line="480" w:lineRule="auto"/>
        <w:ind w:firstLine="720"/>
      </w:pPr>
      <w:r>
        <w:t xml:space="preserve">Parameterization proceeds as follows. The latent layer is governed by a categorical conditional probability table over the joint distribution of operator, mission class, and causal mechanism. The observation model for orbit determination residuals is a Gaussian distribution whose mean and covariance are conditioned on the latent state, with parameters drawn from the orbit determination survey</w:t>
      </w:r>
      <w:r>
        <w:t xml:space="preserve"> </w:t>
      </w:r>
      <w:hyperlink w:anchor="ref-2">
        <w:r>
          <w:rPr>
            <w:rStyle w:val="Hyperlink"/>
          </w:rPr>
          <w:t xml:space="preserve">[2]</w:t>
        </w:r>
      </w:hyperlink>
      <w:r>
        <w:t xml:space="preserve"> </w:t>
      </w:r>
      <w:r>
        <w:t xml:space="preserve">and from the angles-only tracking literature</w:t>
      </w:r>
      <w:r>
        <w:t xml:space="preserve"> </w:t>
      </w:r>
      <w:hyperlink w:anchor="ref-41">
        <w:r>
          <w:rPr>
            <w:rStyle w:val="Hyperlink"/>
          </w:rPr>
          <w:t xml:space="preserve">[41]</w:t>
        </w:r>
      </w:hyperlink>
      <w:r>
        <w:t xml:space="preserve">. The observation model for fragmentation cloud descriptors is a multinomial distribution whose parameters are conditioned on the causal mechanism node, with priors drawn from the fragmentation reconstruction literature</w:t>
      </w:r>
      <w:r>
        <w:t xml:space="preserve"> </w:t>
      </w:r>
      <w:hyperlink w:anchor="ref-4">
        <w:r>
          <w:rPr>
            <w:rStyle w:val="Hyperlink"/>
          </w:rPr>
          <w:t xml:space="preserve">[4]</w:t>
        </w:r>
      </w:hyperlink>
      <w:r>
        <w:t xml:space="preserve">,</w:t>
      </w:r>
      <w:r>
        <w:t xml:space="preserve"> </w:t>
      </w:r>
      <w:hyperlink w:anchor="ref-7">
        <w:r>
          <w:rPr>
            <w:rStyle w:val="Hyperlink"/>
          </w:rPr>
          <w:t xml:space="preserve">[7]</w:t>
        </w:r>
      </w:hyperlink>
      <w:r>
        <w:t xml:space="preserve">,</w:t>
      </w:r>
      <w:r>
        <w:t xml:space="preserve"> </w:t>
      </w:r>
      <w:hyperlink w:anchor="ref-16">
        <w:r>
          <w:rPr>
            <w:rStyle w:val="Hyperlink"/>
          </w:rPr>
          <w:t xml:space="preserve">[16]</w:t>
        </w:r>
      </w:hyperlink>
      <w:r>
        <w:t xml:space="preserve">,</w:t>
      </w:r>
      <w:r>
        <w:t xml:space="preserve"> </w:t>
      </w:r>
      <w:hyperlink w:anchor="ref-17">
        <w:r>
          <w:rPr>
            <w:rStyle w:val="Hyperlink"/>
          </w:rPr>
          <w:t xml:space="preserve">[17]</w:t>
        </w:r>
      </w:hyperlink>
      <w:r>
        <w:t xml:space="preserve">,</w:t>
      </w:r>
      <w:r>
        <w:t xml:space="preserve"> </w:t>
      </w:r>
      <w:hyperlink w:anchor="ref-23">
        <w:r>
          <w:rPr>
            <w:rStyle w:val="Hyperlink"/>
          </w:rPr>
          <w:t xml:space="preserve">[23]</w:t>
        </w:r>
      </w:hyperlink>
      <w:r>
        <w:t xml:space="preserve">,</w:t>
      </w:r>
      <w:r>
        <w:t xml:space="preserve"> </w:t>
      </w:r>
      <w:hyperlink w:anchor="ref-26">
        <w:r>
          <w:rPr>
            <w:rStyle w:val="Hyperlink"/>
          </w:rPr>
          <w:t xml:space="preserve">[26]</w:t>
        </w:r>
      </w:hyperlink>
      <w:r>
        <w:t xml:space="preserve">. The observation model for registry metadata is a categorical distribution conditioned on operator identity. The publicly reported attribution outcome is conditioned on responsibility with a noise channel whose structure is identified from the empirical papers.</w:t>
      </w:r>
    </w:p>
    <w:p>
      <w:pPr>
        <w:pStyle w:val="BodyText"/>
        <w:spacing w:line="480" w:lineRule="auto"/>
        <w:ind w:firstLine="720"/>
      </w:pPr>
      <w:r>
        <w:t xml:space="preserve">For parameter estimation on the synthetic injection set, the inference algorithm is expectation maximization, followed by exact inference on the held-out partition. The synthetic injection set is assembled from the published cislunar SDA constellation architectures</w:t>
      </w:r>
      <w:r>
        <w:t xml:space="preserve"> </w:t>
      </w:r>
      <w:hyperlink w:anchor="ref-1">
        <w:r>
          <w:rPr>
            <w:rStyle w:val="Hyperlink"/>
          </w:rPr>
          <w:t xml:space="preserve">[1]</w:t>
        </w:r>
      </w:hyperlink>
      <w:r>
        <w:t xml:space="preserve">,</w:t>
      </w:r>
      <w:r>
        <w:t xml:space="preserve"> </w:t>
      </w:r>
      <w:hyperlink w:anchor="ref-3">
        <w:r>
          <w:rPr>
            <w:rStyle w:val="Hyperlink"/>
          </w:rPr>
          <w:t xml:space="preserve">[3]</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w:t>
      </w:r>
      <w:r>
        <w:t xml:space="preserve">using their reported sensor parameters and orbit families. The held-out partition is reconstructed from the cislunar fragmentation monitoring observation set of Gambarotto and colleagues</w:t>
      </w:r>
      <w:r>
        <w:t xml:space="preserve"> </w:t>
      </w:r>
      <w:hyperlink w:anchor="ref-7">
        <w:r>
          <w:rPr>
            <w:rStyle w:val="Hyperlink"/>
          </w:rPr>
          <w:t xml:space="preserve">[7]</w:t>
        </w:r>
      </w:hyperlink>
      <w:r>
        <w:t xml:space="preserve"> </w:t>
      </w:r>
      <w:r>
        <w:t xml:space="preserve">and from the supplementary fragmentation reconstruction literature</w:t>
      </w:r>
      <w:r>
        <w:t xml:space="preserve"> </w:t>
      </w:r>
      <w:hyperlink w:anchor="ref-16">
        <w:r>
          <w:rPr>
            <w:rStyle w:val="Hyperlink"/>
          </w:rPr>
          <w:t xml:space="preserve">[16]</w:t>
        </w:r>
      </w:hyperlink>
      <w:r>
        <w:t xml:space="preserve">,</w:t>
      </w:r>
      <w:r>
        <w:t xml:space="preserve"> </w:t>
      </w:r>
      <w:hyperlink w:anchor="ref-23">
        <w:r>
          <w:rPr>
            <w:rStyle w:val="Hyperlink"/>
          </w:rPr>
          <w:t xml:space="preserve">[23]</w:t>
        </w:r>
      </w:hyperlink>
      <w:r>
        <w:t xml:space="preserve">,</w:t>
      </w:r>
      <w:r>
        <w:t xml:space="preserve"> </w:t>
      </w:r>
      <w:hyperlink w:anchor="ref-26">
        <w:r>
          <w:rPr>
            <w:rStyle w:val="Hyperlink"/>
          </w:rPr>
          <w:t xml:space="preserve">[26]</w:t>
        </w:r>
      </w:hyperlink>
      <w:r>
        <w:t xml:space="preserve">. One control carries the comparison. The exact inference procedure on the held-out partition is identical across the structured and flat baselines, so any difference in scoring rule performance reflects the structural choice rather than the inference engine.</w:t>
      </w:r>
    </w:p>
    <w:bookmarkEnd w:id="76"/>
    <w:bookmarkStart w:id="77" w:name="X5a7aeca10380a727a915125b7fffac270fe236d"/>
    <w:p>
      <w:pPr>
        <w:pStyle w:val="Heading2"/>
        <w:spacing w:line="480" w:lineRule="auto"/>
      </w:pPr>
      <w:r>
        <w:t xml:space="preserve">3.4 Evaluative Criterion: Strictly Proper Scoring Rules</w:t>
      </w:r>
    </w:p>
    <w:p>
      <w:pPr>
        <w:pStyle w:val="FirstParagraph"/>
        <w:spacing w:line="480" w:lineRule="auto"/>
      </w:pPr>
      <w:r>
        <w:t xml:space="preserve">Evaluation, in this framework, commits to strictly proper scoring rules rather than to accuracy or related point-prediction criteria. The choice follows from the nature of the inferential object. The output of the network is a posterior distribution over responsibility hypotheses, not a single prediction. A criterion that evaluates only the modal hypothesis would discard the uncertainty information that the entire framework is built to produce, and would create an incentive for the network to be overconfident in cases where the evidence is in fact ambiguous.</w:t>
      </w:r>
    </w:p>
    <w:p>
      <w:pPr>
        <w:pStyle w:val="BodyText"/>
        <w:spacing w:line="480" w:lineRule="auto"/>
        <w:ind w:firstLine="720"/>
      </w:pPr>
      <w:r>
        <w:t xml:space="preserve">Strictly proper scoring rules are a class of evaluative criteria whose unique minimum under expected loss is the true posterior distribution. The two scoring rules used in the empirical program are the Brier score, defined as the mean squared error between the predicted probability vector and the indicator vector of the true class, and the logarithmic score, defined as the negative log probability assigned to the true class. Both rules are strictly proper. A forecaster minimizes expected loss only by reporting the true posterior. The two rules differ in their sensitivity to extreme probabilities, with the logarithmic score penalizing confident wrong predictions more heavily than the Brier score, and the dissertation reports both to provide a robustness check on the central comparison.</w:t>
      </w:r>
    </w:p>
    <w:p>
      <w:pPr>
        <w:pStyle w:val="BodyText"/>
        <w:spacing w:line="480" w:lineRule="auto"/>
        <w:ind w:firstLine="720"/>
      </w:pPr>
      <w:r>
        <w:t xml:space="preserve">Calibration diagnostics accompany the scoring rules. Reliability diagrams partition the predicted probability range into bins and compare the predicted probability in each bin to the observed frequency of the true class. Expected calibration error summarizes the reliability diagram into a single scalar. A network that achieves a low Brier score and a low logarithmic score but a high expected calibration error is suspect, because it may be exploiting sharpness without supplying the calibrated posteriors that policy use requires. The dissertation reports calibration diagnostics alongside the scoring rule comparison and treats the calibration evidence as a necessary condition for any positive finding on H1.</w:t>
      </w:r>
    </w:p>
    <w:p>
      <w:pPr>
        <w:pStyle w:val="BodyText"/>
        <w:spacing w:line="480" w:lineRule="auto"/>
        <w:ind w:firstLine="720"/>
      </w:pPr>
      <w:r>
        <w:t xml:space="preserve">Against the likelihood-only baseline, the comparison is conducted using a pre-registered paired bootstrap on the held-out partition. The pre-registration document is filed before any held-out evaluation is conducted and specifies the test partition definition, the scoring rules, the bootstrap configuration, the number of resamples, and the noise margin within which a difference will be treated as attributable to sampling variation. The pre-registration commitment is the dissertation’s principal defense against the inferential failure modes that would otherwise compromise a single-network single-baseline comparison.</w:t>
      </w:r>
    </w:p>
    <w:bookmarkEnd w:id="77"/>
    <w:bookmarkStart w:id="78" w:name="formal-hypotheses"/>
    <w:p>
      <w:pPr>
        <w:pStyle w:val="Heading2"/>
        <w:spacing w:line="480" w:lineRule="auto"/>
      </w:pPr>
      <w:r>
        <w:t xml:space="preserve">3.5 Formal Hypotheses</w:t>
      </w:r>
    </w:p>
    <w:p>
      <w:pPr>
        <w:pStyle w:val="FirstParagraph"/>
        <w:spacing w:line="480" w:lineRule="auto"/>
      </w:pPr>
      <w:r>
        <w:t xml:space="preserve">A single falsifiable claim follows, stated in two equivalent forms. The substantive form asserts that structured probabilistic modeling, conditioned on a feature vector drawn from the cislunar sensor architecture, produces attribution posteriors with strictly proper scoring rule performance superior to a likelihood-only baseline derived from orbit determination state estimates</w:t>
      </w:r>
      <w:r>
        <w:t xml:space="preserve"> </w:t>
      </w:r>
      <w:hyperlink w:anchor="ref-2">
        <w:r>
          <w:rPr>
            <w:rStyle w:val="Hyperlink"/>
          </w:rPr>
          <w:t xml:space="preserve">[2]</w:t>
        </w:r>
      </w:hyperlink>
      <w:r>
        <w:t xml:space="preserve">. The statistical form states the corresponding null and alternative hypotheses.</w:t>
      </w:r>
    </w:p>
    <w:p>
      <w:pPr>
        <w:pStyle w:val="BodyText"/>
        <w:spacing w:line="480" w:lineRule="auto"/>
        <w:ind w:firstLine="720"/>
      </w:pPr>
      <w:r>
        <w:rPr>
          <w:b/>
          <w:bCs/>
        </w:rPr>
        <w:t xml:space="preserve">H0.</w:t>
      </w:r>
      <w:r>
        <w:t xml:space="preserve"> </w:t>
      </w:r>
      <w:r>
        <w:t xml:space="preserve">Let</w:t>
      </w:r>
      <w:r>
        <w:t xml:space="preserve"> </w:t>
      </w:r>
      <m:oMath>
        <m:sSub>
          <m:e>
            <m:r>
              <m:t>S</m:t>
            </m:r>
          </m:e>
          <m:sub>
            <m:r>
              <m:t>B</m:t>
            </m:r>
            <m:r>
              <m:t>N</m:t>
            </m:r>
          </m:sub>
        </m:sSub>
      </m:oMath>
      <w:r>
        <w:t xml:space="preserve"> </w:t>
      </w:r>
      <w:r>
        <w:t xml:space="preserve">denote the strictly proper scoring rule performance of the structured Bayesian network on the held-out partition, evaluated under the Brier score and the logarithmic score, and let</w:t>
      </w:r>
      <w:r>
        <w:t xml:space="preserve"> </w:t>
      </w:r>
      <m:oMath>
        <m:sSub>
          <m:e>
            <m:r>
              <m:t>S</m:t>
            </m:r>
          </m:e>
          <m:sub>
            <m:r>
              <m:t>L</m:t>
            </m:r>
            <m:r>
              <m:t>B</m:t>
            </m:r>
          </m:sub>
        </m:sSub>
      </m:oMath>
      <w:r>
        <w:t xml:space="preserve"> </w:t>
      </w:r>
      <w:r>
        <w:t xml:space="preserve">denote the same performance for the likelihood-only baseline. Under H0, the paired difference</w:t>
      </w:r>
      <w:r>
        <w:t xml:space="preserve"> </w:t>
      </w:r>
      <m:oMath>
        <m:sSub>
          <m:e>
            <m:r>
              <m:t>S</m:t>
            </m:r>
          </m:e>
          <m:sub>
            <m:r>
              <m:t>L</m:t>
            </m:r>
            <m:r>
              <m:t>B</m:t>
            </m:r>
          </m:sub>
        </m:sSub>
        <m:r>
          <m:rPr>
            <m:sty m:val="p"/>
          </m:rPr>
          <m:t>−</m:t>
        </m:r>
        <m:sSub>
          <m:e>
            <m:r>
              <m:t>S</m:t>
            </m:r>
          </m:e>
          <m:sub>
            <m:r>
              <m:t>B</m:t>
            </m:r>
            <m:r>
              <m:t>N</m:t>
            </m:r>
          </m:sub>
        </m:sSub>
      </m:oMath>
      <w:r>
        <w:t xml:space="preserve"> </w:t>
      </w:r>
      <w:r>
        <w:t xml:space="preserve">is either non-positive or positive only within the pre-registered noise margin</w:t>
      </w:r>
      <w:r>
        <w:t xml:space="preserve"> </w:t>
      </w:r>
      <m:oMath>
        <m:r>
          <m:t>δ</m:t>
        </m:r>
      </m:oMath>
      <w:r>
        <w:t xml:space="preserve"> </w:t>
      </w:r>
      <w:r>
        <w:t xml:space="preserve">established by the paired bootstrap test on the held-out partition.</w:t>
      </w:r>
    </w:p>
    <w:p>
      <w:pPr>
        <w:pStyle w:val="BodyText"/>
        <w:spacing w:line="480" w:lineRule="auto"/>
        <w:ind w:firstLine="720"/>
      </w:pPr>
      <w:r>
        <w:rPr>
          <w:b/>
          <w:bCs/>
        </w:rPr>
        <w:t xml:space="preserve">H1.</w:t>
      </w:r>
      <w:r>
        <w:t xml:space="preserve"> </w:t>
      </w:r>
      <w:r>
        <w:t xml:space="preserve">Under H1, the paired difference</w:t>
      </w:r>
      <w:r>
        <w:t xml:space="preserve"> </w:t>
      </w:r>
      <m:oMath>
        <m:sSub>
          <m:e>
            <m:r>
              <m:t>S</m:t>
            </m:r>
          </m:e>
          <m:sub>
            <m:r>
              <m:t>L</m:t>
            </m:r>
            <m:r>
              <m:t>B</m:t>
            </m:r>
          </m:sub>
        </m:sSub>
        <m:r>
          <m:rPr>
            <m:sty m:val="p"/>
          </m:rPr>
          <m:t>−</m:t>
        </m:r>
        <m:sSub>
          <m:e>
            <m:r>
              <m:t>S</m:t>
            </m:r>
          </m:e>
          <m:sub>
            <m:r>
              <m:t>B</m:t>
            </m:r>
            <m:r>
              <m:t>N</m:t>
            </m:r>
          </m:sub>
        </m:sSub>
      </m:oMath>
      <w:r>
        <w:t xml:space="preserve"> </w:t>
      </w:r>
      <w:r>
        <w:t xml:space="preserve">is positive and exceeds the pre-registered noise margin</w:t>
      </w:r>
      <w:r>
        <w:t xml:space="preserve"> </w:t>
      </w:r>
      <m:oMath>
        <m:r>
          <m:t>δ</m:t>
        </m:r>
      </m:oMath>
      <w:r>
        <w:t xml:space="preserve"> </w:t>
      </w:r>
      <w:r>
        <w:t xml:space="preserve">on both the Brier score and the logarithmic score, and the structured network achieves an expected calibration error no greater than that of the likelihood-only baseline on the same partition.</w:t>
      </w:r>
    </w:p>
    <w:p>
      <w:pPr>
        <w:pStyle w:val="BodyText"/>
        <w:spacing w:line="480" w:lineRule="auto"/>
        <w:ind w:firstLine="720"/>
      </w:pPr>
      <w:r>
        <w:t xml:space="preserve">Rejection requires only one failure. The hypothesis is rejected if either of two conditions fails on the held-out partition: the paired difference fails to exceed</w:t>
      </w:r>
      <w:r>
        <w:t xml:space="preserve"> </w:t>
      </w:r>
      <m:oMath>
        <m:r>
          <m:t>δ</m:t>
        </m:r>
      </m:oMath>
      <w:r>
        <w:t xml:space="preserve"> </w:t>
      </w:r>
      <w:r>
        <w:t xml:space="preserve">on either the Brier score or the logarithmic score, or the expected calibration error of the structured network exceeds that of the likelihood-only baseline. The dual-rule requirement protects against the failure mode in which a single scoring rule is exploited by a network whose probabilistic calibration is poor, and the calibration requirement protects against the failure mode in which sharpness is achieved at the expense of reliability.</w:t>
      </w:r>
    </w:p>
    <w:p>
      <w:pPr>
        <w:pStyle w:val="BodyText"/>
        <w:spacing w:line="480" w:lineRule="auto"/>
        <w:ind w:firstLine="720"/>
      </w:pPr>
      <w:r>
        <w:t xml:space="preserve">Three secondary hypotheses are stated in the framework but treated as descriptive rather than confirmatory. First, the structured network is expected to outperform the flat classifier ablation on the same evaluative criterion. Second, the structured network is expected to retain its performance advantage under leave-one-architecture-out evaluation across the constellation designs reported in</w:t>
      </w:r>
      <w:r>
        <w:t xml:space="preserve"> </w:t>
      </w:r>
      <w:hyperlink w:anchor="ref-3">
        <w:r>
          <w:rPr>
            <w:rStyle w:val="Hyperlink"/>
          </w:rPr>
          <w:t xml:space="preserve">[3]</w:t>
        </w:r>
      </w:hyperlink>
      <w:r>
        <w:t xml:space="preserve">,</w:t>
      </w:r>
      <w:r>
        <w:t xml:space="preserve"> </w:t>
      </w:r>
      <w:hyperlink w:anchor="ref-5">
        <w:r>
          <w:rPr>
            <w:rStyle w:val="Hyperlink"/>
          </w:rPr>
          <w:t xml:space="preserve">[5]</w:t>
        </w:r>
      </w:hyperlink>
      <w:r>
        <w:t xml:space="preserve">, and</w:t>
      </w:r>
      <w:r>
        <w:t xml:space="preserve"> </w:t>
      </w:r>
      <w:hyperlink w:anchor="ref-6">
        <w:r>
          <w:rPr>
            <w:rStyle w:val="Hyperlink"/>
          </w:rPr>
          <w:t xml:space="preserve">[6]</w:t>
        </w:r>
      </w:hyperlink>
      <w:r>
        <w:t xml:space="preserve">. Third, the structured network is expected to remain robust to perturbations of the elicited conditional probability tables within the bounds reported by the sensitivity analysis.</w:t>
      </w:r>
    </w:p>
    <w:p>
      <w:pPr>
        <w:pStyle w:val="BodyText"/>
        <w:spacing w:line="480" w:lineRule="auto"/>
        <w:ind w:firstLine="720"/>
      </w:pPr>
      <w:r>
        <w:t xml:space="preserve">These three expectations are pre-registered as descriptive checks. Their failure would not by itself reject H1, but would qualify any positive finding by identifying the boundary conditions of the result.</w:t>
      </w:r>
    </w:p>
    <w:p>
      <w:pPr>
        <w:pStyle w:val="BodyText"/>
        <w:spacing w:line="480" w:lineRule="auto"/>
        <w:ind w:firstLine="720"/>
      </w:pPr>
      <w:r>
        <w:t xml:space="preserve">In the strict sense developed in the prospectus, the hypothesis statement is single and falsifiable. The dissertation advances one inferential object, evaluates it on one held-out partition, against one baseline, on two strictly proper scoring rules with a calibration constraint, under a pre-registered paired bootstrap with a pre-registered noise margin. The structure of the test is symmetric: a positive finding supports the central claim that the structured Bayesian network supplies the missing probabilistic layer in cislunar attribution; a negative finding rejects that claim and returns the dissertation to the likelihood-only baseline that the orbit determination survey</w:t>
      </w:r>
      <w:r>
        <w:t xml:space="preserve"> </w:t>
      </w:r>
      <w:hyperlink w:anchor="ref-2">
        <w:r>
          <w:rPr>
            <w:rStyle w:val="Hyperlink"/>
          </w:rPr>
          <w:t xml:space="preserve">[2]</w:t>
        </w:r>
      </w:hyperlink>
      <w:r>
        <w:t xml:space="preserve"> </w:t>
      </w:r>
      <w:r>
        <w:t xml:space="preserve">supplies.</w:t>
      </w:r>
    </w:p>
    <w:bookmarkEnd w:id="78"/>
    <w:bookmarkStart w:id="79" w:name="X3aa101850f28c0762fdc4fceb5f7a19973631cf"/>
    <w:p>
      <w:pPr>
        <w:pStyle w:val="Heading2"/>
        <w:spacing w:line="480" w:lineRule="auto"/>
      </w:pPr>
      <w:r>
        <w:t xml:space="preserve">3.6 Auxiliary Assumptions and Their Treatment</w:t>
      </w:r>
    </w:p>
    <w:p>
      <w:pPr>
        <w:pStyle w:val="FirstParagraph"/>
        <w:spacing w:line="480" w:lineRule="auto"/>
      </w:pPr>
      <w:r>
        <w:t xml:space="preserve">Auxiliary assumptions carry the framework. A small number of them, if they failed, would compromise the central test, so each is identified here and its treatment in the empirical program of Chapters 4 through 6 is summarized. The first auxiliary assumption is that the latent variables identified by the framework are the right ones. Operator identity, mission class, and causal mechanism are not the only candidate decompositions of responsibility; alternative decompositions could substitute regime, intent, or capability for one or more of the three. The framework defends its decomposition on the grounds that the three variables are the ones for which conditional probability tables can be elicited from the cislunar architecture literature</w:t>
      </w:r>
      <w:r>
        <w:t xml:space="preserve"> </w:t>
      </w:r>
      <w:hyperlink w:anchor="ref-1">
        <w:r>
          <w:rPr>
            <w:rStyle w:val="Hyperlink"/>
          </w:rPr>
          <w:t xml:space="preserve">[1]</w:t>
        </w:r>
      </w:hyperlink>
      <w:r>
        <w:t xml:space="preserve">,</w:t>
      </w:r>
      <w:r>
        <w:t xml:space="preserve"> </w:t>
      </w:r>
      <w:hyperlink w:anchor="ref-3">
        <w:r>
          <w:rPr>
            <w:rStyle w:val="Hyperlink"/>
          </w:rPr>
          <w:t xml:space="preserve">[3]</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w:t>
      </w:r>
      <w:r>
        <w:t xml:space="preserve">and the fragmentation literature</w:t>
      </w:r>
      <w:r>
        <w:t xml:space="preserve"> </w:t>
      </w:r>
      <w:hyperlink w:anchor="ref-7">
        <w:r>
          <w:rPr>
            <w:rStyle w:val="Hyperlink"/>
          </w:rPr>
          <w:t xml:space="preserve">[7]</w:t>
        </w:r>
      </w:hyperlink>
      <w:r>
        <w:t xml:space="preserve">,</w:t>
      </w:r>
      <w:r>
        <w:t xml:space="preserve"> </w:t>
      </w:r>
      <w:hyperlink w:anchor="ref-16">
        <w:r>
          <w:rPr>
            <w:rStyle w:val="Hyperlink"/>
          </w:rPr>
          <w:t xml:space="preserve">[16]</w:t>
        </w:r>
      </w:hyperlink>
      <w:r>
        <w:t xml:space="preserve">,</w:t>
      </w:r>
      <w:r>
        <w:t xml:space="preserve"> </w:t>
      </w:r>
      <w:hyperlink w:anchor="ref-17">
        <w:r>
          <w:rPr>
            <w:rStyle w:val="Hyperlink"/>
          </w:rPr>
          <w:t xml:space="preserve">[17]</w:t>
        </w:r>
      </w:hyperlink>
      <w:r>
        <w:t xml:space="preserve">,</w:t>
      </w:r>
      <w:r>
        <w:t xml:space="preserve"> </w:t>
      </w:r>
      <w:hyperlink w:anchor="ref-23">
        <w:r>
          <w:rPr>
            <w:rStyle w:val="Hyperlink"/>
          </w:rPr>
          <w:t xml:space="preserve">[23]</w:t>
        </w:r>
      </w:hyperlink>
      <w:r>
        <w:t xml:space="preserve">,</w:t>
      </w:r>
      <w:r>
        <w:t xml:space="preserve"> </w:t>
      </w:r>
      <w:hyperlink w:anchor="ref-26">
        <w:r>
          <w:rPr>
            <w:rStyle w:val="Hyperlink"/>
          </w:rPr>
          <w:t xml:space="preserve">[26]</w:t>
        </w:r>
      </w:hyperlink>
      <w:r>
        <w:t xml:space="preserve">. The robustness program in Chapter 6 includes an ablation in which the causal mechanism node is collapsed.</w:t>
      </w:r>
    </w:p>
    <w:p>
      <w:pPr>
        <w:pStyle w:val="BodyText"/>
        <w:spacing w:line="480" w:lineRule="auto"/>
        <w:ind w:firstLine="720"/>
      </w:pPr>
      <w:r>
        <w:t xml:space="preserve">The second auxiliary assumption is that the feature vector delivered by the sensor network is sufficiently informative to discriminate among responsibility hypotheses. This assumption is empirical. The central comparison tests it directly. If the feature vector is uninformative, then no inference engine can outperform the likelihood-only baseline, and the central test will reject H1. The framework therefore inherits a built-in falsification path on this assumption: a negative result is a negative result about either the network or the feature vector or both, and the dissertation will distinguish these possibilities in the discussion chapter.</w:t>
      </w:r>
    </w:p>
    <w:p>
      <w:pPr>
        <w:pStyle w:val="BodyText"/>
        <w:spacing w:line="480" w:lineRule="auto"/>
        <w:ind w:firstLine="720"/>
      </w:pPr>
      <w:r>
        <w:t xml:space="preserve">Realism comes third: the synthetic injection set must be realistic enough to support training. The injection set is generated from the published cislunar SDA constellation architectures</w:t>
      </w:r>
      <w:r>
        <w:t xml:space="preserve"> </w:t>
      </w:r>
      <w:hyperlink w:anchor="ref-1">
        <w:r>
          <w:rPr>
            <w:rStyle w:val="Hyperlink"/>
          </w:rPr>
          <w:t xml:space="preserve">[1]</w:t>
        </w:r>
      </w:hyperlink>
      <w:r>
        <w:t xml:space="preserve">,</w:t>
      </w:r>
      <w:r>
        <w:t xml:space="preserve"> </w:t>
      </w:r>
      <w:hyperlink w:anchor="ref-3">
        <w:r>
          <w:rPr>
            <w:rStyle w:val="Hyperlink"/>
          </w:rPr>
          <w:t xml:space="preserve">[3]</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w:t>
      </w:r>
      <w:r>
        <w:t xml:space="preserve">and inherits their assumptions about sensor performance and orbital dynamics. The held-out partition is anchored on the observation reconstruction in</w:t>
      </w:r>
      <w:r>
        <w:t xml:space="preserve"> </w:t>
      </w:r>
      <w:hyperlink w:anchor="ref-7">
        <w:r>
          <w:rPr>
            <w:rStyle w:val="Hyperlink"/>
          </w:rPr>
          <w:t xml:space="preserve">[7]</w:t>
        </w:r>
      </w:hyperlink>
      <w:r>
        <w:t xml:space="preserve">, which mitigates but does not eliminate the realism risk. The empirical program addresses this risk through leave-one-architecture-out evaluation and through sensitivity analysis on the simulation parameters.</w:t>
      </w:r>
    </w:p>
    <w:p>
      <w:pPr>
        <w:pStyle w:val="BodyText"/>
        <w:spacing w:line="480" w:lineRule="auto"/>
        <w:ind w:firstLine="720"/>
      </w:pPr>
      <w:r>
        <w:t xml:space="preserve">The fourth auxiliary assumption is that the elicited conditional probability tables for the latent layer are not so strongly conditioned on the architecture community’s priors that they predetermine the network’s posterior. The risk is real because the architecture studies cited</w:t>
      </w:r>
      <w:r>
        <w:t xml:space="preserve"> </w:t>
      </w:r>
      <w:hyperlink w:anchor="ref-1">
        <w:r>
          <w:rPr>
            <w:rStyle w:val="Hyperlink"/>
          </w:rPr>
          <w:t xml:space="preserve">[1]</w:t>
        </w:r>
      </w:hyperlink>
      <w:r>
        <w:t xml:space="preserve">,</w:t>
      </w:r>
      <w:r>
        <w:t xml:space="preserve"> </w:t>
      </w:r>
      <w:hyperlink w:anchor="ref-3">
        <w:r>
          <w:rPr>
            <w:rStyle w:val="Hyperlink"/>
          </w:rPr>
          <w:t xml:space="preserve">[3]</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w:t>
      </w:r>
      <w:r>
        <w:t xml:space="preserve">are a narrow corpus produced by a community with shared methodological commitments. The defense is the sensitivity analysis, which perturbs the elicited tables across a pre-registered range and reports the resulting variation in scoring rule performance. The pre-registration document records the elicited priors before evaluation.</w:t>
      </w:r>
    </w:p>
    <w:p>
      <w:pPr>
        <w:pStyle w:val="BodyText"/>
        <w:spacing w:line="480" w:lineRule="auto"/>
        <w:ind w:firstLine="720"/>
      </w:pPr>
      <w:r>
        <w:t xml:space="preserve">Fifth, and last, is the assumption that the publicly reported attribution outcome, on which the empirical papers in this dissertation were trained, is a reliable proxy for the latent responsibility variable that the Bayesian network targets. The empirical papers established that publicly reported attribution is observability-driven and structurally biased in ways that the framework now makes explicit. The Bayesian network treats public reporting as a downstream channel and is evaluated on a partition for which responsibility labels are independently established from the fragmentation reconstruction literature</w:t>
      </w:r>
      <w:r>
        <w:t xml:space="preserve"> </w:t>
      </w:r>
      <w:hyperlink w:anchor="ref-7">
        <w:r>
          <w:rPr>
            <w:rStyle w:val="Hyperlink"/>
          </w:rPr>
          <w:t xml:space="preserve">[7]</w:t>
        </w:r>
      </w:hyperlink>
      <w:r>
        <w:t xml:space="preserve">,</w:t>
      </w:r>
      <w:r>
        <w:t xml:space="preserve"> </w:t>
      </w:r>
      <w:hyperlink w:anchor="ref-16">
        <w:r>
          <w:rPr>
            <w:rStyle w:val="Hyperlink"/>
          </w:rPr>
          <w:t xml:space="preserve">[16]</w:t>
        </w:r>
      </w:hyperlink>
      <w:r>
        <w:t xml:space="preserve">,</w:t>
      </w:r>
      <w:r>
        <w:t xml:space="preserve"> </w:t>
      </w:r>
      <w:hyperlink w:anchor="ref-17">
        <w:r>
          <w:rPr>
            <w:rStyle w:val="Hyperlink"/>
          </w:rPr>
          <w:t xml:space="preserve">[17]</w:t>
        </w:r>
      </w:hyperlink>
      <w:r>
        <w:t xml:space="preserve">,</w:t>
      </w:r>
      <w:r>
        <w:t xml:space="preserve"> </w:t>
      </w:r>
      <w:hyperlink w:anchor="ref-23">
        <w:r>
          <w:rPr>
            <w:rStyle w:val="Hyperlink"/>
          </w:rPr>
          <w:t xml:space="preserve">[23]</w:t>
        </w:r>
      </w:hyperlink>
      <w:r>
        <w:t xml:space="preserve">,</w:t>
      </w:r>
      <w:r>
        <w:t xml:space="preserve"> </w:t>
      </w:r>
      <w:hyperlink w:anchor="ref-26">
        <w:r>
          <w:rPr>
            <w:rStyle w:val="Hyperlink"/>
          </w:rPr>
          <w:t xml:space="preserve">[26]</w:t>
        </w:r>
      </w:hyperlink>
      <w:r>
        <w:t xml:space="preserve">. The framework therefore separates the inferential object from the proxy as the empirical papers could not.</w:t>
      </w:r>
    </w:p>
    <w:p>
      <w:pPr>
        <w:pStyle w:val="BodyText"/>
        <w:spacing w:line="480" w:lineRule="auto"/>
        <w:ind w:firstLine="720"/>
      </w:pPr>
      <w:r>
        <w:t xml:space="preserve">Taken together, the five auxiliary assumptions define the boundary conditions of the framework. The framework is informative when the latent decomposition is appropriate to the policy use, when the feature vector is informative, when the synthetic injection set is realistic, when the elicited priors are not predetermined, and when the held-out partition is correctly labeled. Each of these conditions is addressed by an element of the empirical program, and each is reported transparently in the empirical chapters. The combination of the central test and the auxiliary checks supports the dissertation’s single inferential claim under conditions that the cislunar SDA literature has begun, but not yet finished, to make precise</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p>
    <w:p>
      <w:pPr>
        <w:pStyle w:val="BodyText"/>
        <w:spacing w:line="480" w:lineRule="auto"/>
        <w:ind w:firstLine="720"/>
      </w:pPr>
      <w:r>
        <w:t xml:space="preserve">Ultimately the framework’s value is judged by one thing: whether it produces a calibrated attribution posterior on a held-out cislunar evidence set. The empirical chapters that follow develop the network’s parameterization, identify the inference algorithm, construct the synthetic injection set, reconstruct the held-out partition, conduct the pre-registered comparison, and report the results. The hypotheses stated in Section 3.5 are the targets of that empirical program, and the auxiliary assumptions stated in Section 3.6 are the conditions under which the targets are meaningful.</w:t>
      </w:r>
    </w:p>
    <w:bookmarkEnd w:id="79"/>
    <w:bookmarkEnd w:id="80"/>
    <w:bookmarkStart w:id="90" w:name="chapter-4.-data-and-measurement"/>
    <w:p>
      <w:pPr>
        <w:pStyle w:val="Heading1"/>
        <w:spacing w:line="480" w:lineRule="auto"/>
      </w:pPr>
      <w:r>
        <w:t xml:space="preserve">Chapter 4. Data and Measurement</w:t>
      </w:r>
    </w:p>
    <w:bookmarkStart w:id="81" w:name="purpose-and-scope-of-the-chapter"/>
    <w:p>
      <w:pPr>
        <w:pStyle w:val="Heading2"/>
        <w:spacing w:line="480" w:lineRule="auto"/>
      </w:pPr>
      <w:r>
        <w:t xml:space="preserve">4.1 Purpose and Scope of the Chapter</w:t>
      </w:r>
    </w:p>
    <w:p>
      <w:pPr>
        <w:pStyle w:val="FirstParagraph"/>
        <w:spacing w:line="480" w:lineRule="auto"/>
      </w:pPr>
      <w:r>
        <w:t xml:space="preserve">Two compact datasets, assembled from authoritative public records, form the empirical core of this dissertation. Paper 1 develops a thirty-event panel of orbital anomaly, breakup, and conjunction episodes recorded between 1965 and 2024, and Paper 2 develops a thirty-six-event panel of on-orbit anomalous fragmentations spanning 1970 through 2025. The Bayesian network proposed in the prospectus is built atop these panels and the cislunar fragmentation reconstruction released by Gambarotto and colleagues</w:t>
      </w:r>
      <w:r>
        <w:t xml:space="preserve"> </w:t>
      </w:r>
      <w:hyperlink w:anchor="ref-7">
        <w:r>
          <w:rPr>
            <w:rStyle w:val="Hyperlink"/>
          </w:rPr>
          <w:t xml:space="preserve">[7]</w:t>
        </w:r>
      </w:hyperlink>
      <w:r>
        <w:t xml:space="preserve">. This chapter discharges three obligations. First, it identifies, for every variable in the two panels, the primary publication or institutional record from which the variable is derived. Second, it states the unit of analysis and the rules used to admit, exclude, or flag an event. Third, it documents the construction of each variable, including the transformations applied, the coding conventions adopted, and the explicit handling of illustrative values where the public record characterizes an event without disclosing the underlying catalog parameter.</w:t>
      </w:r>
    </w:p>
    <w:p>
      <w:pPr>
        <w:pStyle w:val="BodyText"/>
        <w:spacing w:line="480" w:lineRule="auto"/>
        <w:ind w:firstLine="720"/>
      </w:pPr>
      <w:r>
        <w:t xml:space="preserve">Organization serves replication: any reader can reconstruct either panel from the cited sources, and the Bayesian network developed in Chapter 6 inherits a transparent measurement layer.</w:t>
      </w:r>
    </w:p>
    <w:p>
      <w:pPr>
        <w:pStyle w:val="BodyText"/>
        <w:spacing w:line="480" w:lineRule="auto"/>
        <w:ind w:firstLine="720"/>
      </w:pPr>
      <w:r>
        <w:t xml:space="preserve">A note on register is in order. The panels are small, and the chapter is candid about the consequence: they are populations of well-documented events rather than draws from a larger frame. Measurement, in this setting, is the work of mapping institutional outputs onto a structured table whose rows are events and whose columns are features that the inferential layer can use. The chapter does not treat measurement as a mechanical exercise. Each variable carries a provenance footprint and a coding rule, and each rule is justified against the orbit determination and breakup reconstruction literatures on which the construct depends</w:t>
      </w:r>
      <w:r>
        <w:t xml:space="preserve"> </w:t>
      </w:r>
      <w:hyperlink w:anchor="ref-2">
        <w:r>
          <w:rPr>
            <w:rStyle w:val="Hyperlink"/>
          </w:rPr>
          <w:t xml:space="preserve">[2]</w:t>
        </w:r>
      </w:hyperlink>
      <w:r>
        <w:t xml:space="preserve">[4][16].</w:t>
      </w:r>
    </w:p>
    <w:bookmarkEnd w:id="81"/>
    <w:bookmarkStart w:id="82" w:name="unit-of-analysis"/>
    <w:p>
      <w:pPr>
        <w:pStyle w:val="Heading2"/>
        <w:spacing w:line="480" w:lineRule="auto"/>
      </w:pPr>
      <w:r>
        <w:t xml:space="preserve">4.2 Unit of Analysis</w:t>
      </w:r>
    </w:p>
    <w:p>
      <w:pPr>
        <w:pStyle w:val="FirstParagraph"/>
        <w:spacing w:line="480" w:lineRule="auto"/>
      </w:pPr>
      <w:r>
        <w:t xml:space="preserve">On-orbit events anchor both panels. An event is defined as a discrete episode in the public record for which a launching state, an operator, an orbital regime, and a date can be coded, and for which either a debris signature, a maneuver signature, or a conjunction signature has been reported by an authoritative source. The definition follows the convention used by the NASA Orbital Debris Program Office in its issue archive of the Orbital Debris Quarterly News</w:t>
      </w:r>
      <w:r>
        <w:t xml:space="preserve"> </w:t>
      </w:r>
      <w:hyperlink w:anchor="ref-25">
        <w:r>
          <w:rPr>
            <w:rStyle w:val="Hyperlink"/>
          </w:rPr>
          <w:t xml:space="preserve">[25]</w:t>
        </w:r>
      </w:hyperlink>
      <w:r>
        <w:t xml:space="preserve"> </w:t>
      </w:r>
      <w:r>
        <w:t xml:space="preserve">and by the NASA Johnson Space Center in the fifteenth edition of the History of On-Orbit Satellite Fragmentations</w:t>
      </w:r>
      <w:r>
        <w:t xml:space="preserve"> </w:t>
      </w:r>
      <w:hyperlink w:anchor="ref-21">
        <w:r>
          <w:rPr>
            <w:rStyle w:val="Hyperlink"/>
          </w:rPr>
          <w:t xml:space="preserve">[21]</w:t>
        </w:r>
      </w:hyperlink>
      <w:r>
        <w:t xml:space="preserve">. Events that produced no public signature, and events for which the public record describes only a rumor of fragmentation without a corroborating catalog entry, are excluded.</w:t>
      </w:r>
    </w:p>
    <w:p>
      <w:pPr>
        <w:pStyle w:val="BodyText"/>
        <w:spacing w:line="480" w:lineRule="auto"/>
        <w:ind w:firstLine="720"/>
      </w:pPr>
      <w:r>
        <w:t xml:space="preserve">Choosing the event as the unit of analysis is consistent with the way the orbit determination survey literature treats the targets of state estimation: each catalog object is associated with a discrete state estimate and a covariance, and the post-event forensic chain reasons over discrete episodes rather than over continuous orbital histories</w:t>
      </w:r>
      <w:r>
        <w:t xml:space="preserve"> </w:t>
      </w:r>
      <w:hyperlink w:anchor="ref-2">
        <w:r>
          <w:rPr>
            <w:rStyle w:val="Hyperlink"/>
          </w:rPr>
          <w:t xml:space="preserve">[2]</w:t>
        </w:r>
      </w:hyperlink>
      <w:r>
        <w:t xml:space="preserve">. It is also consistent with the way the breakup reconstruction literature treats the parent-fragment relation, both in long-horizon retrospectives and in short-horizon reconstructions</w:t>
      </w:r>
      <w:r>
        <w:t xml:space="preserve"> </w:t>
      </w:r>
      <w:hyperlink w:anchor="ref-16">
        <w:r>
          <w:rPr>
            <w:rStyle w:val="Hyperlink"/>
          </w:rPr>
          <w:t xml:space="preserve">[16]</w:t>
        </w:r>
      </w:hyperlink>
      <w:r>
        <w:t xml:space="preserve">[23][26]. The Bayesian network developed in the prospectus operates on event-level evidence vectors, so the unit of analysis is fixed at the event throughout the dissertation.</w:t>
      </w:r>
    </w:p>
    <w:p>
      <w:pPr>
        <w:pStyle w:val="BodyText"/>
        <w:spacing w:line="480" w:lineRule="auto"/>
        <w:ind w:firstLine="720"/>
      </w:pPr>
      <w:r>
        <w:t xml:space="preserve">Why are non-events excluded? A brief defense follows. Some operational episodes that the trade press has discussed, including alleged rendezvous and proximity operations whose dynamical signatures have never been confirmed by an authoritative tracker, are not admitted into either panel. The rule is conservative by design. The dissertation’s claim about attribution is a claim about the system’s behavior on episodes that the public reporting community has actually characterized, not a claim about a hypothetical universe of all on-orbit incidents.</w:t>
      </w:r>
    </w:p>
    <w:bookmarkEnd w:id="82"/>
    <w:bookmarkStart w:id="83" w:name="authoritative-sources"/>
    <w:p>
      <w:pPr>
        <w:pStyle w:val="Heading2"/>
        <w:spacing w:line="480" w:lineRule="auto"/>
      </w:pPr>
      <w:r>
        <w:t xml:space="preserve">4.3 Authoritative Sources</w:t>
      </w:r>
    </w:p>
    <w:p>
      <w:pPr>
        <w:pStyle w:val="FirstParagraph"/>
        <w:spacing w:line="480" w:lineRule="auto"/>
      </w:pPr>
      <w:r>
        <w:t xml:space="preserve">Both panels draw on a tightly bounded set of authoritative sources. The principal sources are the NASA History of On-Orbit Satellite Fragmentations in its fifteenth edition</w:t>
      </w:r>
      <w:r>
        <w:t xml:space="preserve"> </w:t>
      </w:r>
      <w:hyperlink w:anchor="ref-21">
        <w:r>
          <w:rPr>
            <w:rStyle w:val="Hyperlink"/>
          </w:rPr>
          <w:t xml:space="preserve">[21]</w:t>
        </w:r>
      </w:hyperlink>
      <w:r>
        <w:t xml:space="preserve"> </w:t>
      </w:r>
      <w:r>
        <w:t xml:space="preserve">and the NASA Orbital Debris Quarterly News issue archive spanning volumes three through twenty-eight</w:t>
      </w:r>
      <w:r>
        <w:t xml:space="preserve"> </w:t>
      </w:r>
      <w:hyperlink w:anchor="ref-25">
        <w:r>
          <w:rPr>
            <w:rStyle w:val="Hyperlink"/>
          </w:rPr>
          <w:t xml:space="preserve">[25]</w:t>
        </w:r>
      </w:hyperlink>
      <w:r>
        <w:t xml:space="preserve">. These two sources together supply the spine of the fragmentation record for events from 1965 through the most recent published issue. The History edition catalogs every fragmentation event whose parent object the program office has been able to identify and ties each fragmentation to the U.S. Space Catalog record for the parent</w:t>
      </w:r>
      <w:r>
        <w:t xml:space="preserve"> </w:t>
      </w:r>
      <w:hyperlink w:anchor="ref-21">
        <w:r>
          <w:rPr>
            <w:rStyle w:val="Hyperlink"/>
          </w:rPr>
          <w:t xml:space="preserve">[21]</w:t>
        </w:r>
      </w:hyperlink>
      <w:r>
        <w:t xml:space="preserve">. The Quarterly News supplements the History with post-publication updates, including new fragmentations, revised fragment counts, and re-analysis of older events as additional sensor data becomes available</w:t>
      </w:r>
      <w:r>
        <w:t xml:space="preserve"> </w:t>
      </w:r>
      <w:hyperlink w:anchor="ref-25">
        <w:r>
          <w:rPr>
            <w:rStyle w:val="Hyperlink"/>
          </w:rPr>
          <w:t xml:space="preserve">[25]</w:t>
        </w:r>
      </w:hyperlink>
      <w:r>
        <w:t xml:space="preserve">.</w:t>
      </w:r>
    </w:p>
    <w:p>
      <w:pPr>
        <w:pStyle w:val="BodyText"/>
        <w:spacing w:line="480" w:lineRule="auto"/>
        <w:ind w:firstLine="720"/>
      </w:pPr>
      <w:r>
        <w:t xml:space="preserve">The Aerospace Corporation Center for Orbital and Reentry Debris Studies provides public summaries for high-interest reentry and breakup events, including the Long March 5B reentry analyses for 2021 and 2022</w:t>
      </w:r>
      <w:r>
        <w:t xml:space="preserve"> </w:t>
      </w:r>
      <w:hyperlink w:anchor="ref-29">
        <w:r>
          <w:rPr>
            <w:rStyle w:val="Hyperlink"/>
          </w:rPr>
          <w:t xml:space="preserve">[29]</w:t>
        </w:r>
      </w:hyperlink>
      <w:r>
        <w:t xml:space="preserve">. The European Space Agency Space Debris Office contributes annual reports and bulletins that supply parallel European cataloging information for events that the US Space Catalog also tracks. The US Space Command public statement issued on 15 November 2021 supplies the authoritative attribution record for the Cosmos-1408 direct-ascent anti-satellite test</w:t>
      </w:r>
      <w:r>
        <w:t xml:space="preserve"> </w:t>
      </w:r>
      <w:hyperlink w:anchor="ref-27">
        <w:r>
          <w:rPr>
            <w:rStyle w:val="Hyperlink"/>
          </w:rPr>
          <w:t xml:space="preserve">[27]</w:t>
        </w:r>
      </w:hyperlink>
      <w:r>
        <w:t xml:space="preserve">. The Secure World Foundation’s open source assessment of global counterspace capabilities, edited by Weeden and Samson, supplies the open-source corroboration channel for declared and probable intentional kinetic actions</w:t>
      </w:r>
      <w:r>
        <w:t xml:space="preserve"> </w:t>
      </w:r>
      <w:hyperlink w:anchor="ref-28">
        <w:r>
          <w:rPr>
            <w:rStyle w:val="Hyperlink"/>
          </w:rPr>
          <w:t xml:space="preserve">[28]</w:t>
        </w:r>
      </w:hyperlink>
      <w:r>
        <w:t xml:space="preserve">. The proceedings of the Advanced Maui Optical and Space Surveillance Technologies (AMOS) Conference contribute the radar beam park characterization of the Cosmos-1408 fragmentation</w:t>
      </w:r>
      <w:r>
        <w:t xml:space="preserve"> </w:t>
      </w:r>
      <w:hyperlink w:anchor="ref-17">
        <w:r>
          <w:rPr>
            <w:rStyle w:val="Hyperlink"/>
          </w:rPr>
          <w:t xml:space="preserve">[17]</w:t>
        </w:r>
      </w:hyperlink>
      <w:r>
        <w:t xml:space="preserve"> </w:t>
      </w:r>
      <w:r>
        <w:t xml:space="preserve">and the Iridium analysis of mean elements in collision assessment</w:t>
      </w:r>
      <w:r>
        <w:t xml:space="preserve"> </w:t>
      </w:r>
      <w:hyperlink w:anchor="ref-18">
        <w:r>
          <w:rPr>
            <w:rStyle w:val="Hyperlink"/>
          </w:rPr>
          <w:t xml:space="preserve">[18]</w:t>
        </w:r>
      </w:hyperlink>
      <w:r>
        <w:t xml:space="preserve">. The Acta Astronautica record on risk assessment of high-interest conjunctions</w:t>
      </w:r>
      <w:r>
        <w:t xml:space="preserve"> </w:t>
      </w:r>
      <w:hyperlink w:anchor="ref-13">
        <w:r>
          <w:rPr>
            <w:rStyle w:val="Hyperlink"/>
          </w:rPr>
          <w:t xml:space="preserve">[13]</w:t>
        </w:r>
      </w:hyperlink>
      <w:r>
        <w:t xml:space="preserve">, the improvement of orbital data precision and accuracy</w:t>
      </w:r>
      <w:r>
        <w:t xml:space="preserve"> </w:t>
      </w:r>
      <w:hyperlink w:anchor="ref-14">
        <w:r>
          <w:rPr>
            <w:rStyle w:val="Hyperlink"/>
          </w:rPr>
          <w:t xml:space="preserve">[14]</w:t>
        </w:r>
      </w:hyperlink>
      <w:r>
        <w:t xml:space="preserve">, the review of collision avoidance maneuver design</w:t>
      </w:r>
      <w:r>
        <w:t xml:space="preserve"> </w:t>
      </w:r>
      <w:hyperlink w:anchor="ref-15">
        <w:r>
          <w:rPr>
            <w:rStyle w:val="Hyperlink"/>
          </w:rPr>
          <w:t xml:space="preserve">[15]</w:t>
        </w:r>
      </w:hyperlink>
      <w:r>
        <w:t xml:space="preserve">, and the reconstruction of in-orbit breakup events over the long term</w:t>
      </w:r>
      <w:r>
        <w:t xml:space="preserve"> </w:t>
      </w:r>
      <w:hyperlink w:anchor="ref-16">
        <w:r>
          <w:rPr>
            <w:rStyle w:val="Hyperlink"/>
          </w:rPr>
          <w:t xml:space="preserve">[16]</w:t>
        </w:r>
      </w:hyperlink>
      <w:r>
        <w:t xml:space="preserve"> </w:t>
      </w:r>
      <w:r>
        <w:t xml:space="preserve">supply the methodological backbone for the construction of evidentiary-trail features and for the interpretation of altitude effects.</w:t>
      </w:r>
    </w:p>
    <w:p>
      <w:pPr>
        <w:pStyle w:val="BodyText"/>
        <w:spacing w:line="480" w:lineRule="auto"/>
        <w:ind w:firstLine="720"/>
      </w:pPr>
      <w:r>
        <w:t xml:space="preserve">For the cislunar held-out anchor, the dissertation relies on the constellation-of-space-based-observers reconstruction released by Gambarotto and colleagues in Acta Astronautica</w:t>
      </w:r>
      <w:r>
        <w:t xml:space="preserve"> </w:t>
      </w:r>
      <w:hyperlink w:anchor="ref-7">
        <w:r>
          <w:rPr>
            <w:rStyle w:val="Hyperlink"/>
          </w:rPr>
          <w:t xml:space="preserve">[7]</w:t>
        </w:r>
      </w:hyperlink>
      <w:r>
        <w:t xml:space="preserve">. That paper provides labeled fragment-to-target attributions whose simulation parameters are recorded in the open record, and is the only cislunar evidence set admitted into the dissertation’s evaluation partition. No proprietary tracker output, no controlled data, and no commercial archive is used.</w:t>
      </w:r>
    </w:p>
    <w:bookmarkEnd w:id="83"/>
    <w:bookmarkStart w:id="84" w:name="paper-1-panel-variable-construction"/>
    <w:p>
      <w:pPr>
        <w:pStyle w:val="Heading2"/>
        <w:spacing w:line="480" w:lineRule="auto"/>
      </w:pPr>
      <w:r>
        <w:t xml:space="preserve">4.4 Paper 1 Panel: Variable Construction</w:t>
      </w:r>
    </w:p>
    <w:p>
      <w:pPr>
        <w:pStyle w:val="FirstParagraph"/>
        <w:spacing w:line="480" w:lineRule="auto"/>
      </w:pPr>
      <w:r>
        <w:t xml:space="preserve">The Paper 1 panel comprises thirty rows, each row a single event. Five features are recorded per row: the count of catalogued debris fragments associated with the event in the U.S. Space Catalog, expressed in hundreds; the event altitude in thousands of kilometers; a binary indicator for multi-party involvement; the count of independent sensor classes contributing to the post-event characterization; and the public attribution outcome.</w:t>
      </w:r>
    </w:p>
    <w:p>
      <w:pPr>
        <w:pStyle w:val="BodyText"/>
        <w:spacing w:line="480" w:lineRule="auto"/>
        <w:ind w:firstLine="720"/>
      </w:pPr>
      <w:r>
        <w:t xml:space="preserve">Catalogued fragment counts are drawn directly from the U.S. Space Catalog as reported through the NASA History of On-Orbit Satellite Fragmentations</w:t>
      </w:r>
      <w:r>
        <w:t xml:space="preserve"> </w:t>
      </w:r>
      <w:hyperlink w:anchor="ref-21">
        <w:r>
          <w:rPr>
            <w:rStyle w:val="Hyperlink"/>
          </w:rPr>
          <w:t xml:space="preserve">[21]</w:t>
        </w:r>
      </w:hyperlink>
      <w:r>
        <w:t xml:space="preserve"> </w:t>
      </w:r>
      <w:r>
        <w:t xml:space="preserve">and the Orbital Debris Quarterly News issue in which the relevant breakup was last updated</w:t>
      </w:r>
      <w:r>
        <w:t xml:space="preserve"> </w:t>
      </w:r>
      <w:hyperlink w:anchor="ref-25">
        <w:r>
          <w:rPr>
            <w:rStyle w:val="Hyperlink"/>
          </w:rPr>
          <w:t xml:space="preserve">[25]</w:t>
        </w:r>
      </w:hyperlink>
      <w:r>
        <w:t xml:space="preserve">. The count is the integer number of catalogued fragments associated with the parent at the date of the most recent published update, divided by one hundred to compress the range of magnitudes. The Fengyun-1C cloud, the Iridium 33 and Cosmos 2251 collision, and the Cosmos-1408 intercept dominate the upper tail; the geostationary anomalies and the small-debris episodes occupy the lower tail. The transformation does not alter the relative ordering of events and is performed for numerical convenience in the logit specification.</w:t>
      </w:r>
    </w:p>
    <w:p>
      <w:pPr>
        <w:pStyle w:val="BodyText"/>
        <w:spacing w:line="480" w:lineRule="auto"/>
        <w:ind w:firstLine="720"/>
      </w:pPr>
      <w:r>
        <w:t xml:space="preserve">Event altitude is recorded in thousands of kilometers, drawn from the parent state estimate at the time of the breakup as reported in the History edition</w:t>
      </w:r>
      <w:r>
        <w:t xml:space="preserve"> </w:t>
      </w:r>
      <w:hyperlink w:anchor="ref-21">
        <w:r>
          <w:rPr>
            <w:rStyle w:val="Hyperlink"/>
          </w:rPr>
          <w:t xml:space="preserve">[21]</w:t>
        </w:r>
      </w:hyperlink>
      <w:r>
        <w:t xml:space="preserve"> </w:t>
      </w:r>
      <w:r>
        <w:t xml:space="preserve">or, where the History is silent on the parent altitude, from the Quarterly News update</w:t>
      </w:r>
      <w:r>
        <w:t xml:space="preserve"> </w:t>
      </w:r>
      <w:hyperlink w:anchor="ref-25">
        <w:r>
          <w:rPr>
            <w:rStyle w:val="Hyperlink"/>
          </w:rPr>
          <w:t xml:space="preserve">[25]</w:t>
        </w:r>
      </w:hyperlink>
      <w:r>
        <w:t xml:space="preserve">. For events whose parent altitude varies materially over a single orbital revolution, the mean altitude at the time of breakup is used. The altitude variable enters the logit specification directly without further transformation. The motivation for the altitude feature is empirical: the breakup reconstruction literature has shown that sensor coverage thins with altitude and that the evidentiary trail for higher-altitude events is shorter</w:t>
      </w:r>
      <w:r>
        <w:t xml:space="preserve"> </w:t>
      </w:r>
      <w:hyperlink w:anchor="ref-16">
        <w:r>
          <w:rPr>
            <w:rStyle w:val="Hyperlink"/>
          </w:rPr>
          <w:t xml:space="preserve">[16]</w:t>
        </w:r>
      </w:hyperlink>
      <w:r>
        <w:t xml:space="preserve">[26].</w:t>
      </w:r>
    </w:p>
    <w:p>
      <w:pPr>
        <w:pStyle w:val="BodyText"/>
        <w:spacing w:line="480" w:lineRule="auto"/>
        <w:ind w:firstLine="720"/>
      </w:pPr>
      <w:r>
        <w:t xml:space="preserve">The multi-party indicator equals one when the event’s evidentiary record involves more than one launching state or more than one operator and zero otherwise. Iridium 33 and Cosmos 2251 are the canonical case. Anti-satellite tests, in which the target and the projectile are associated with the same state, are coded as single-party events. Conjunction screening episodes for which two operators received independent warnings from independent providers are coded as multi-party events, consistent with the screening framing in the Iridium mean-elements analysis</w:t>
      </w:r>
      <w:r>
        <w:t xml:space="preserve"> </w:t>
      </w:r>
      <w:hyperlink w:anchor="ref-18">
        <w:r>
          <w:rPr>
            <w:rStyle w:val="Hyperlink"/>
          </w:rPr>
          <w:t xml:space="preserve">[18]</w:t>
        </w:r>
      </w:hyperlink>
      <w:r>
        <w:t xml:space="preserve"> </w:t>
      </w:r>
      <w:r>
        <w:t xml:space="preserve">and the risk assessment of high-interest conjunctions</w:t>
      </w:r>
      <w:r>
        <w:t xml:space="preserve"> </w:t>
      </w:r>
      <w:hyperlink w:anchor="ref-13">
        <w:r>
          <w:rPr>
            <w:rStyle w:val="Hyperlink"/>
          </w:rPr>
          <w:t xml:space="preserve">[13]</w:t>
        </w:r>
      </w:hyperlink>
      <w:r>
        <w:t xml:space="preserve">.</w:t>
      </w:r>
    </w:p>
    <w:p>
      <w:pPr>
        <w:pStyle w:val="BodyText"/>
        <w:spacing w:line="480" w:lineRule="auto"/>
        <w:ind w:firstLine="720"/>
      </w:pPr>
      <w:r>
        <w:t xml:space="preserve">Sensor diversity is counted as the number of independent sensor classes contributing to the post-event characterization. The construction uses a discrete taxonomy that distinguishes ground-based radar, ground-based optical, space-based optical, space-based radar, and signals-derived characterizations. Each class that contributed to the public characterization is counted once. The Cosmos-1408 event, characterized by radar beam parks at multiple facilities</w:t>
      </w:r>
      <w:r>
        <w:t xml:space="preserve"> </w:t>
      </w:r>
      <w:hyperlink w:anchor="ref-17">
        <w:r>
          <w:rPr>
            <w:rStyle w:val="Hyperlink"/>
          </w:rPr>
          <w:t xml:space="preserve">[17]</w:t>
        </w:r>
      </w:hyperlink>
      <w:r>
        <w:t xml:space="preserve">, registers a higher sensor diversity count than the geostationary anomalies tracked by the Aerospace Corporation CORDS program through optical means alone</w:t>
      </w:r>
      <w:r>
        <w:t xml:space="preserve"> </w:t>
      </w:r>
      <w:hyperlink w:anchor="ref-29">
        <w:r>
          <w:rPr>
            <w:rStyle w:val="Hyperlink"/>
          </w:rPr>
          <w:t xml:space="preserve">[29]</w:t>
        </w:r>
      </w:hyperlink>
      <w:r>
        <w:t xml:space="preserve">. The taxonomy is conservative: a class is counted only when the contributing facility or constellation is named in the public record.</w:t>
      </w:r>
    </w:p>
    <w:p>
      <w:pPr>
        <w:pStyle w:val="BodyText"/>
        <w:spacing w:line="480" w:lineRule="auto"/>
        <w:ind w:firstLine="720"/>
      </w:pPr>
      <w:r>
        <w:t xml:space="preserve">Public attribution, the outcome variable, is binary. It equals one when the responsible launching state or operator has been publicly identified by an authoritative source and zero otherwise. Authoritative sources for this coding include the US Space Command public statement on the Cosmos-1408 test</w:t>
      </w:r>
      <w:r>
        <w:t xml:space="preserve"> </w:t>
      </w:r>
      <w:hyperlink w:anchor="ref-27">
        <w:r>
          <w:rPr>
            <w:rStyle w:val="Hyperlink"/>
          </w:rPr>
          <w:t xml:space="preserve">[27]</w:t>
        </w:r>
      </w:hyperlink>
      <w:r>
        <w:t xml:space="preserve">, the NASA Orbital Debris Quarterly News issue in which the program office named the responsible operator</w:t>
      </w:r>
      <w:r>
        <w:t xml:space="preserve"> </w:t>
      </w:r>
      <w:hyperlink w:anchor="ref-25">
        <w:r>
          <w:rPr>
            <w:rStyle w:val="Hyperlink"/>
          </w:rPr>
          <w:t xml:space="preserve">[25]</w:t>
        </w:r>
      </w:hyperlink>
      <w:r>
        <w:t xml:space="preserve">, and the Aerospace Corporation CORDS bulletin where applicable</w:t>
      </w:r>
      <w:r>
        <w:t xml:space="preserve"> </w:t>
      </w:r>
      <w:hyperlink w:anchor="ref-29">
        <w:r>
          <w:rPr>
            <w:rStyle w:val="Hyperlink"/>
          </w:rPr>
          <w:t xml:space="preserve">[29]</w:t>
        </w:r>
      </w:hyperlink>
      <w:r>
        <w:t xml:space="preserve">. Coding is performed at the data freeze in 2026; events that have not been attributed by the freeze are coded zero.</w:t>
      </w:r>
    </w:p>
    <w:p>
      <w:pPr>
        <w:pStyle w:val="BodyText"/>
        <w:spacing w:line="480" w:lineRule="auto"/>
        <w:ind w:firstLine="720"/>
      </w:pPr>
      <w:r>
        <w:t xml:space="preserve">A small number of geostationary and cislunar entries carry an illustrative flag in the source column. These are events whose public record characterizes the episode but does not disclose the specific catalog parameter that the fragment count or altitude variable requires. Illustrative entries comprise under fifteen percent of the sample, concentrate in the geostationary and cislunar anomaly category where the ambiguity is structural, and are clearly distinguished from records sourced directly from the History or the Quarterly News. The illustrative flag is preserved at the row level for the reader.</w:t>
      </w:r>
    </w:p>
    <w:bookmarkEnd w:id="84"/>
    <w:bookmarkStart w:id="85" w:name="paper-2-panel-variable-construction"/>
    <w:p>
      <w:pPr>
        <w:pStyle w:val="Heading2"/>
        <w:spacing w:line="480" w:lineRule="auto"/>
      </w:pPr>
      <w:r>
        <w:t xml:space="preserve">4.5 Paper 2 Panel: Variable Construction</w:t>
      </w:r>
    </w:p>
    <w:p>
      <w:pPr>
        <w:pStyle w:val="FirstParagraph"/>
        <w:spacing w:line="480" w:lineRule="auto"/>
      </w:pPr>
      <w:r>
        <w:t xml:space="preserve">The Paper 2 panel comprises thirty-six events recorded between 1970 and 2025. The panel records, for each event, a binary attribution outcome, the number of years elapsed between the event and the data freeze in 2026, a low Earth orbit indicator, and the natural logarithm of the catalogued fragment count.</w:t>
      </w:r>
    </w:p>
    <w:p>
      <w:pPr>
        <w:pStyle w:val="BodyText"/>
        <w:spacing w:line="480" w:lineRule="auto"/>
        <w:ind w:firstLine="720"/>
      </w:pPr>
      <w:r>
        <w:t xml:space="preserve">Attribution is coded by the same rule used in Paper 1. It equals one when an authoritative source has publicly identified the responsible state or operator at the data freeze, and zero otherwise. The principal sources for the attribution coding are the History of On-Orbit Satellite Fragmentations</w:t>
      </w:r>
      <w:r>
        <w:t xml:space="preserve"> </w:t>
      </w:r>
      <w:hyperlink w:anchor="ref-21">
        <w:r>
          <w:rPr>
            <w:rStyle w:val="Hyperlink"/>
          </w:rPr>
          <w:t xml:space="preserve">[21]</w:t>
        </w:r>
      </w:hyperlink>
      <w:r>
        <w:t xml:space="preserve">, the Orbital Debris Quarterly News</w:t>
      </w:r>
      <w:r>
        <w:t xml:space="preserve"> </w:t>
      </w:r>
      <w:hyperlink w:anchor="ref-25">
        <w:r>
          <w:rPr>
            <w:rStyle w:val="Hyperlink"/>
          </w:rPr>
          <w:t xml:space="preserve">[25]</w:t>
        </w:r>
      </w:hyperlink>
      <w:r>
        <w:t xml:space="preserve">, the US Space Command 2021 public statement</w:t>
      </w:r>
      <w:r>
        <w:t xml:space="preserve"> </w:t>
      </w:r>
      <w:hyperlink w:anchor="ref-27">
        <w:r>
          <w:rPr>
            <w:rStyle w:val="Hyperlink"/>
          </w:rPr>
          <w:t xml:space="preserve">[27]</w:t>
        </w:r>
      </w:hyperlink>
      <w:r>
        <w:t xml:space="preserve">, the Aerospace Corporation CORDS public record</w:t>
      </w:r>
      <w:r>
        <w:t xml:space="preserve"> </w:t>
      </w:r>
      <w:hyperlink w:anchor="ref-29">
        <w:r>
          <w:rPr>
            <w:rStyle w:val="Hyperlink"/>
          </w:rPr>
          <w:t xml:space="preserve">[29]</w:t>
        </w:r>
      </w:hyperlink>
      <w:r>
        <w:t xml:space="preserve">, and the Secure World Foundation open source assessment</w:t>
      </w:r>
      <w:r>
        <w:t xml:space="preserve"> </w:t>
      </w:r>
      <w:hyperlink w:anchor="ref-28">
        <w:r>
          <w:rPr>
            <w:rStyle w:val="Hyperlink"/>
          </w:rPr>
          <w:t xml:space="preserve">[28]</w:t>
        </w:r>
      </w:hyperlink>
      <w:r>
        <w:t xml:space="preserve">. The treatment is intentionally binary at the freeze rather than treated as a time-to-event variable because the Bayesian network framework that motivates the dissertation treats responsibility assignment as a discrete state that the operational community either has or has not converged on.</w:t>
      </w:r>
    </w:p>
    <w:p>
      <w:pPr>
        <w:pStyle w:val="BodyText"/>
        <w:spacing w:line="480" w:lineRule="auto"/>
        <w:ind w:firstLine="720"/>
      </w:pPr>
      <w:r>
        <w:t xml:space="preserve">Years elapsed is the integer number of calendar years between the event date and the data freeze in 2026. For events that have not been attributed at the freeze, the variable carries the substantive meaning of hardening ambiguity: as the public record ages without an attribution, the conditional probability that one will eventually be made falls. The construct draws on the breakup reconstruction literature, in which the long-horizon reconstruction of fragmentation events relies on residual sensor records whose forensic value depreciates with time</w:t>
      </w:r>
      <w:r>
        <w:t xml:space="preserve"> </w:t>
      </w:r>
      <w:hyperlink w:anchor="ref-16">
        <w:r>
          <w:rPr>
            <w:rStyle w:val="Hyperlink"/>
          </w:rPr>
          <w:t xml:space="preserve">[16]</w:t>
        </w:r>
      </w:hyperlink>
      <w:r>
        <w:t xml:space="preserve">[26].</w:t>
      </w:r>
    </w:p>
    <w:p>
      <w:pPr>
        <w:pStyle w:val="BodyText"/>
        <w:spacing w:line="480" w:lineRule="auto"/>
        <w:ind w:firstLine="720"/>
      </w:pPr>
      <w:r>
        <w:t xml:space="preserve">The low Earth orbit indicator equals one when the parent orbit at the time of the event has a mean altitude below two thousand kilometers and zero otherwise. Two thousand kilometers is the dividing line. It is the conventional boundary between low Earth orbit and the medium Earth orbit regime as used throughout the NASA Orbital Debris Quarterly News series</w:t>
      </w:r>
      <w:r>
        <w:t xml:space="preserve"> </w:t>
      </w:r>
      <w:hyperlink w:anchor="ref-25">
        <w:r>
          <w:rPr>
            <w:rStyle w:val="Hyperlink"/>
          </w:rPr>
          <w:t xml:space="preserve">[25]</w:t>
        </w:r>
      </w:hyperlink>
      <w:r>
        <w:t xml:space="preserve">. The indicator is constructed from the parent state estimate at the time of breakup, drawn from the History edition where available</w:t>
      </w:r>
      <w:r>
        <w:t xml:space="preserve"> </w:t>
      </w:r>
      <w:hyperlink w:anchor="ref-21">
        <w:r>
          <w:rPr>
            <w:rStyle w:val="Hyperlink"/>
          </w:rPr>
          <w:t xml:space="preserve">[21]</w:t>
        </w:r>
      </w:hyperlink>
      <w:r>
        <w:t xml:space="preserve"> </w:t>
      </w:r>
      <w:r>
        <w:t xml:space="preserve">and from the Quarterly News update otherwise</w:t>
      </w:r>
      <w:r>
        <w:t xml:space="preserve"> </w:t>
      </w:r>
      <w:hyperlink w:anchor="ref-25">
        <w:r>
          <w:rPr>
            <w:rStyle w:val="Hyperlink"/>
          </w:rPr>
          <w:t xml:space="preserve">[25]</w:t>
        </w:r>
      </w:hyperlink>
      <w:r>
        <w:t xml:space="preserve">.</w:t>
      </w:r>
    </w:p>
    <w:p>
      <w:pPr>
        <w:pStyle w:val="BodyText"/>
        <w:spacing w:line="480" w:lineRule="auto"/>
        <w:ind w:firstLine="720"/>
      </w:pPr>
      <w:r>
        <w:t xml:space="preserve">The natural logarithm of the catalogued fragment count is constructed from the U.S. Space Catalog record for the parent object at the most recent published update. The catalog count is taken from the History edition or the most recent Quarterly News issue</w:t>
      </w:r>
      <w:r>
        <w:t xml:space="preserve"> </w:t>
      </w:r>
      <w:hyperlink w:anchor="ref-21">
        <w:r>
          <w:rPr>
            <w:rStyle w:val="Hyperlink"/>
          </w:rPr>
          <w:t xml:space="preserve">[21]</w:t>
        </w:r>
      </w:hyperlink>
      <w:r>
        <w:t xml:space="preserve">[25]. The log transformation is justified by the empirical range of the count, which spans more than three orders of magnitude in the panel, from single-fragment anomalies such as the Envisat loss-of-contact event to the multi-thousand-fragment clouds produced by Fengyun-1C and by the Iridium 33 and Cosmos 2251 collision. The transformation also stabilizes the variance of the regressor for the logistic specification developed in Paper 2.</w:t>
      </w:r>
    </w:p>
    <w:p>
      <w:pPr>
        <w:pStyle w:val="BodyText"/>
        <w:spacing w:line="480" w:lineRule="auto"/>
        <w:ind w:firstLine="720"/>
      </w:pPr>
      <w:r>
        <w:t xml:space="preserve">An intentionality indicator was constructed during data preparation but was excluded from the regression because all six coded intentional kinetic actions in the sample, including Fengyun-1C, Cosmos-1408, Mission Shakti, USA-193, the pre-anti-satellite Microsat-R deorbit, and the closely related declared intercepts, resolved to publicly attributed responsibility. The pattern produces complete separation in a logit specification. The descriptive uniformity is reported in Paper 2 as a finding in its own right, and the intentionality channel is preserved as a separate evidence channel in the Bayesian network developed in Chapter 6.</w:t>
      </w:r>
    </w:p>
    <w:p>
      <w:pPr>
        <w:pStyle w:val="BodyText"/>
        <w:spacing w:line="480" w:lineRule="auto"/>
        <w:ind w:firstLine="720"/>
      </w:pPr>
      <w:r>
        <w:t xml:space="preserve">None of this is concealed inside the specification; the exclusion is documented at the level of the coding rule.</w:t>
      </w:r>
    </w:p>
    <w:p>
      <w:pPr>
        <w:pStyle w:val="BodyText"/>
        <w:spacing w:line="480" w:lineRule="auto"/>
        <w:ind w:firstLine="720"/>
      </w:pPr>
      <w:r>
        <w:t xml:space="preserve">Where the public fragment count is sparse, an illustrative value is flagged in the source field. Illustrative values account for under fifteen percent of the sample and concentrate in the older portion of the panel, where the historical reconstructions in the Quarterly News retrospective series have not always disclosed the underlying catalog parameter. The flag is preserved at the row level.</w:t>
      </w:r>
    </w:p>
    <w:bookmarkEnd w:id="85"/>
    <w:bookmarkStart w:id="86" w:name="the-cislunar-held-out-anchor"/>
    <w:p>
      <w:pPr>
        <w:pStyle w:val="Heading2"/>
        <w:spacing w:line="480" w:lineRule="auto"/>
      </w:pPr>
      <w:r>
        <w:t xml:space="preserve">4.6 The Cislunar Held-Out Anchor</w:t>
      </w:r>
    </w:p>
    <w:p>
      <w:pPr>
        <w:pStyle w:val="FirstParagraph"/>
        <w:spacing w:line="480" w:lineRule="auto"/>
      </w:pPr>
      <w:r>
        <w:t xml:space="preserve">From the constellation-of-space-based-observers reconstruction released by Gambarotto and colleagues</w:t>
      </w:r>
      <w:r>
        <w:t xml:space="preserve"> </w:t>
      </w:r>
      <w:hyperlink w:anchor="ref-7">
        <w:r>
          <w:rPr>
            <w:rStyle w:val="Hyperlink"/>
          </w:rPr>
          <w:t xml:space="preserve">[7]</w:t>
        </w:r>
      </w:hyperlink>
      <w:r>
        <w:t xml:space="preserve">, the dissertation constructs its cislunar held-out evaluation partition. That paper provides labeled fragment-to-target attributions whose simulation parameters, sensor geometries, and orbit families are recorded in the open record. The unit of analysis in the held-out partition is the simulated cislunar fragmentation event. Each event in the partition is associated with a labeled parent, a labeled fragmentation mechanism, and a feature vector derived from the constellation’s observation cadence. The labels are taken directly from the paper’s reported attributions.</w:t>
      </w:r>
    </w:p>
    <w:p>
      <w:pPr>
        <w:pStyle w:val="BodyText"/>
        <w:spacing w:line="480" w:lineRule="auto"/>
        <w:ind w:firstLine="720"/>
      </w:pPr>
      <w:r>
        <w:t xml:space="preserve">The synthetic injection set used to train the Bayesian network is generated from the published cislunar SDA constellation architectures and from their associated tasking and capacity studies</w:t>
      </w:r>
      <w:r>
        <w:t xml:space="preserve"> </w:t>
      </w:r>
      <w:hyperlink w:anchor="ref-1">
        <w:r>
          <w:rPr>
            <w:rStyle w:val="Hyperlink"/>
          </w:rPr>
          <w:t xml:space="preserve">[1]</w:t>
        </w:r>
      </w:hyperlink>
      <w:r>
        <w:t xml:space="preserve">[3][5][6]. Each architecture supplies sensor parameters, orbit families, and operational cost metrics that are used to generate labeled behavior traces. The labels are injected from the architecture studies; the feature vectors are generated from the architectures’ reported sensor geometries. Gambarotto stays out of training entirely. That held-out partition is reserved for the strictly proper scoring rule evaluation described in the prospectus</w:t>
      </w:r>
      <w:r>
        <w:t xml:space="preserve"> </w:t>
      </w:r>
      <w:hyperlink w:anchor="ref-7">
        <w:r>
          <w:rPr>
            <w:rStyle w:val="Hyperlink"/>
          </w:rPr>
          <w:t xml:space="preserve">[7]</w:t>
        </w:r>
      </w:hyperlink>
      <w:r>
        <w:t xml:space="preserve">.</w:t>
      </w:r>
    </w:p>
    <w:p>
      <w:pPr>
        <w:pStyle w:val="BodyText"/>
        <w:spacing w:line="480" w:lineRule="auto"/>
        <w:ind w:firstLine="720"/>
      </w:pPr>
      <w:r>
        <w:t xml:space="preserve">The orbit determination observation model that governs the construction of the tracking residual features is drawn from the survey by Kazemi and colleagues, which catalogs the available techniques and their uncertainty characterizations</w:t>
      </w:r>
      <w:r>
        <w:t xml:space="preserve"> </w:t>
      </w:r>
      <w:hyperlink w:anchor="ref-2">
        <w:r>
          <w:rPr>
            <w:rStyle w:val="Hyperlink"/>
          </w:rPr>
          <w:t xml:space="preserve">[2]</w:t>
        </w:r>
      </w:hyperlink>
      <w:r>
        <w:t xml:space="preserve">. The model treats each residual as a draw from a covariance whose magnitude is documented in the survey, and the feature vector records the magnitude, the direction, and the time stamp of each residual relative to the labeled event. The treatment is consistent with the way the orbit determination survey discusses the application of attributables to the correlation of surveillance radar measurements</w:t>
      </w:r>
      <w:r>
        <w:t xml:space="preserve"> </w:t>
      </w:r>
      <w:hyperlink w:anchor="ref-2">
        <w:r>
          <w:rPr>
            <w:rStyle w:val="Hyperlink"/>
          </w:rPr>
          <w:t xml:space="preserve">[2]</w:t>
        </w:r>
      </w:hyperlink>
      <w:r>
        <w:t xml:space="preserve">.</w:t>
      </w:r>
    </w:p>
    <w:bookmarkEnd w:id="86"/>
    <w:bookmarkStart w:id="87" w:name="coding-conventions-and-quality-control"/>
    <w:p>
      <w:pPr>
        <w:pStyle w:val="Heading2"/>
        <w:spacing w:line="480" w:lineRule="auto"/>
      </w:pPr>
      <w:r>
        <w:t xml:space="preserve">4.7 Coding Conventions and Quality Control</w:t>
      </w:r>
    </w:p>
    <w:p>
      <w:pPr>
        <w:pStyle w:val="FirstParagraph"/>
        <w:spacing w:line="480" w:lineRule="auto"/>
      </w:pPr>
      <w:r>
        <w:t xml:space="preserve">A small set of coding conventions governs both panels. Dates are recorded in ISO 8601 format. Altitudes are recorded in thousands of kilometers to the nearest hundred kilometers. Fragment counts are recorded as integers before the logarithm or the hundreds-scaling transformation is applied. The launching state field uses the three-letter ISO country code for the primary launching state. Where a multi-state launch arrangement applies, the primary launching state is recorded and the multi-party indicator is set to one. The operator field records the primary operator at the date of the event. Sources are recorded at the row level in a dedicated source column whose entries cite the History edition, the Quarterly News issue number, the CORDS bulletin, the US Space Command statement, the Secure World Foundation assessment, or the AMOS or Acta Astronautica paper from which the feature was derived.</w:t>
      </w:r>
    </w:p>
    <w:p>
      <w:pPr>
        <w:pStyle w:val="BodyText"/>
        <w:spacing w:line="480" w:lineRule="auto"/>
        <w:ind w:firstLine="720"/>
      </w:pPr>
      <w:r>
        <w:t xml:space="preserve">Quality control proceeded in three passes. The first pass cross-checked every event in the Paper 1 panel against the History edition and the Quarterly News issue archive</w:t>
      </w:r>
      <w:r>
        <w:t xml:space="preserve"> </w:t>
      </w:r>
      <w:hyperlink w:anchor="ref-21">
        <w:r>
          <w:rPr>
            <w:rStyle w:val="Hyperlink"/>
          </w:rPr>
          <w:t xml:space="preserve">[21]</w:t>
        </w:r>
      </w:hyperlink>
      <w:r>
        <w:t xml:space="preserve">[25]. The second pass cross-checked every event in the Paper 2 panel against the same two sources and against the Aerospace Corporation CORDS public record where applicable</w:t>
      </w:r>
      <w:r>
        <w:t xml:space="preserve"> </w:t>
      </w:r>
      <w:hyperlink w:anchor="ref-29">
        <w:r>
          <w:rPr>
            <w:rStyle w:val="Hyperlink"/>
          </w:rPr>
          <w:t xml:space="preserve">[29]</w:t>
        </w:r>
      </w:hyperlink>
      <w:r>
        <w:t xml:space="preserve">. The third pass reviewed every illustrative flag against the Secure World Foundation open source assessment</w:t>
      </w:r>
      <w:r>
        <w:t xml:space="preserve"> </w:t>
      </w:r>
      <w:hyperlink w:anchor="ref-28">
        <w:r>
          <w:rPr>
            <w:rStyle w:val="Hyperlink"/>
          </w:rPr>
          <w:t xml:space="preserve">[28]</w:t>
        </w:r>
      </w:hyperlink>
      <w:r>
        <w:t xml:space="preserve"> </w:t>
      </w:r>
      <w:r>
        <w:t xml:space="preserve">and against the AMOS proceedings cited above</w:t>
      </w:r>
      <w:r>
        <w:t xml:space="preserve"> </w:t>
      </w:r>
      <w:hyperlink w:anchor="ref-17">
        <w:r>
          <w:rPr>
            <w:rStyle w:val="Hyperlink"/>
          </w:rPr>
          <w:t xml:space="preserve">[17]</w:t>
        </w:r>
      </w:hyperlink>
      <w:r>
        <w:t xml:space="preserve">[18], retaining the flag when the public record genuinely lacked the underlying catalog parameter and removing it when the parameter was available but had been overlooked on the first pass. Approximately four illustrative flags were removed during the third pass.</w:t>
      </w:r>
    </w:p>
    <w:p>
      <w:pPr>
        <w:pStyle w:val="BodyText"/>
        <w:spacing w:line="480" w:lineRule="auto"/>
        <w:ind w:firstLine="720"/>
      </w:pPr>
      <w:r>
        <w:t xml:space="preserve">The catalog fragment count was retained as a regressor in Paper 2 and was dropped from the Paper 1 specification because it produced a separation pathology in the smaller sample. The treatment is documented in the relevant specification appendix and is not concealed by the panel construction. The Bayesian network developed in Chapter 6 treats the fragment count as a continuous evidence channel rather than as a regressor in a flat classifier, which preserves its informational content while avoiding the separation issue in the logit framework.</w:t>
      </w:r>
    </w:p>
    <w:bookmarkEnd w:id="87"/>
    <w:bookmarkStart w:id="88" w:name="construct-validity-bias-and-limits"/>
    <w:p>
      <w:pPr>
        <w:pStyle w:val="Heading2"/>
        <w:spacing w:line="480" w:lineRule="auto"/>
      </w:pPr>
      <w:r>
        <w:t xml:space="preserve">4.8 Construct Validity, Bias, and Limits</w:t>
      </w:r>
    </w:p>
    <w:p>
      <w:pPr>
        <w:pStyle w:val="FirstParagraph"/>
        <w:spacing w:line="480" w:lineRule="auto"/>
      </w:pPr>
      <w:r>
        <w:t xml:space="preserve">Chief among construct validity concerns is that the public attribution outcome conflates correct identification with rapid public coverage. The two are distinct constructs. An event may be correctly identified by an authoritative source without rapid public coverage, and conversely the rapid coverage of an event does not guarantee that the identification is correct. The dissertation acknowledges the conflation and treats the attribution outcome as the system’s behavior on the public record rather than as ground truth about the underlying responsibility. The Bayesian network developed in Chapter 6 produces calibrated posteriors over responsibility hypotheses; it does not produce ground-truth verdicts. The framing follows the diagnostic stance taken by the breakup reconstruction literature, in which the reconstructed parent assignment is treated as the most defensible inference available given the sensor record</w:t>
      </w:r>
      <w:r>
        <w:t xml:space="preserve"> </w:t>
      </w:r>
      <w:hyperlink w:anchor="ref-16">
        <w:r>
          <w:rPr>
            <w:rStyle w:val="Hyperlink"/>
          </w:rPr>
          <w:t xml:space="preserve">[16]</w:t>
        </w:r>
      </w:hyperlink>
      <w:r>
        <w:t xml:space="preserve">[23][26].</w:t>
      </w:r>
    </w:p>
    <w:p>
      <w:pPr>
        <w:pStyle w:val="BodyText"/>
        <w:spacing w:line="480" w:lineRule="auto"/>
        <w:ind w:firstLine="720"/>
      </w:pPr>
      <w:r>
        <w:t xml:space="preserve">A second concern is selection. The sample is the documented record, not a sample of all on-orbit events. Events that were never publicly catalogued cannot enter either panel. The selection means that the population of truly ambiguous events is undercounted and that the panels are weighted toward events that received public coverage. The dissertation reads the estimates as population descriptions of the well-documented event record rather than as inferences about a hypothetical superset.</w:t>
      </w:r>
    </w:p>
    <w:p>
      <w:pPr>
        <w:pStyle w:val="BodyText"/>
        <w:spacing w:line="480" w:lineRule="auto"/>
        <w:ind w:firstLine="720"/>
      </w:pPr>
      <w:r>
        <w:t xml:space="preserve">A third concern is catalog truncation. Fragment counts are catalog counts and therefore understate true fragmentation for events whose smaller debris fell below catalog thresholds. The understatement is more severe at higher altitudes, where the catalog thins, and is most severe for older events whose smaller fragments were never resolved by the sensor network of the period. The breakup reconstruction literature has documented this gradient, with the long-term reconstructions of fragmentation events relying on residual sensor records to recover smaller fragments</w:t>
      </w:r>
      <w:r>
        <w:t xml:space="preserve"> </w:t>
      </w:r>
      <w:hyperlink w:anchor="ref-16">
        <w:r>
          <w:rPr>
            <w:rStyle w:val="Hyperlink"/>
          </w:rPr>
          <w:t xml:space="preserve">[16]</w:t>
        </w:r>
      </w:hyperlink>
      <w:r>
        <w:t xml:space="preserve">[26].</w:t>
      </w:r>
    </w:p>
    <w:p>
      <w:pPr>
        <w:pStyle w:val="BodyText"/>
        <w:spacing w:line="480" w:lineRule="auto"/>
        <w:ind w:firstLine="720"/>
      </w:pPr>
      <w:r>
        <w:t xml:space="preserve">A fourth concern is regime confounding. The low Earth orbit indicator is correlated with the intentionality pattern, because every coded intentional kinetic action in the sample was a low Earth orbit intercept. The correlation prevents the panel from cleanly identifying a regime effect independent of intentionality, and the Bayesian network treats the regime as a feature rather than as a prior. The treatment is consistent with the prospectus’s decision to defer a regime prior until the post-2024 cislunar and high-altitude attribution record matures.</w:t>
      </w:r>
    </w:p>
    <w:p>
      <w:pPr>
        <w:pStyle w:val="BodyText"/>
        <w:spacing w:line="480" w:lineRule="auto"/>
        <w:ind w:firstLine="720"/>
      </w:pPr>
      <w:r>
        <w:t xml:space="preserve">A fifth concern is governance context. The framing of attribution as a binary outcome is grounded in the legal architecture that treats Article VI and the 1972 Liability Convention as the foundation of state responsibility for objects launched from their territory</w:t>
      </w:r>
      <w:r>
        <w:t xml:space="preserve"> </w:t>
      </w:r>
      <w:hyperlink w:anchor="ref-24">
        <w:r>
          <w:rPr>
            <w:rStyle w:val="Hyperlink"/>
          </w:rPr>
          <w:t xml:space="preserve">[24]</w:t>
        </w:r>
      </w:hyperlink>
      <w:r>
        <w:t xml:space="preserve">. The Paper 1 and Paper 2 panels operationalize that framework empirically. The orbital capacity and liability literature has noted that the legal obligation is binding in principle but depends in practice on whether the originating launch state can be identified through the evidentiary record</w:t>
      </w:r>
      <w:r>
        <w:t xml:space="preserve"> </w:t>
      </w:r>
      <w:hyperlink w:anchor="ref-19">
        <w:r>
          <w:rPr>
            <w:rStyle w:val="Hyperlink"/>
          </w:rPr>
          <w:t xml:space="preserve">[19]</w:t>
        </w:r>
      </w:hyperlink>
      <w:r>
        <w:t xml:space="preserve">[20]. The Bayesian network is the inferential layer that connects the evidentiary record to the legal construct.</w:t>
      </w:r>
    </w:p>
    <w:p>
      <w:pPr>
        <w:pStyle w:val="BodyText"/>
        <w:spacing w:line="480" w:lineRule="auto"/>
        <w:ind w:firstLine="720"/>
      </w:pPr>
      <w:r>
        <w:t xml:space="preserve">No specific past attribution is adjudicated here. The dissertation characterizes the system’s behavior and supplies a calibrated posterior for the construct.</w:t>
      </w:r>
    </w:p>
    <w:bookmarkEnd w:id="88"/>
    <w:bookmarkStart w:id="89" w:name="replication"/>
    <w:p>
      <w:pPr>
        <w:pStyle w:val="Heading2"/>
        <w:spacing w:line="480" w:lineRule="auto"/>
      </w:pPr>
      <w:r>
        <w:t xml:space="preserve">4.9 Replication</w:t>
      </w:r>
    </w:p>
    <w:p>
      <w:pPr>
        <w:pStyle w:val="FirstParagraph"/>
        <w:spacing w:line="480" w:lineRule="auto"/>
      </w:pPr>
      <w:r>
        <w:t xml:space="preserve">Replication is possible from open sources alone. Every event in the Paper 1 panel can be reconstructed from the History edition</w:t>
      </w:r>
      <w:r>
        <w:t xml:space="preserve"> </w:t>
      </w:r>
      <w:hyperlink w:anchor="ref-21">
        <w:r>
          <w:rPr>
            <w:rStyle w:val="Hyperlink"/>
          </w:rPr>
          <w:t xml:space="preserve">[21]</w:t>
        </w:r>
      </w:hyperlink>
      <w:r>
        <w:t xml:space="preserve">, the Orbital Debris Quarterly News issue archive</w:t>
      </w:r>
      <w:r>
        <w:t xml:space="preserve"> </w:t>
      </w:r>
      <w:hyperlink w:anchor="ref-25">
        <w:r>
          <w:rPr>
            <w:rStyle w:val="Hyperlink"/>
          </w:rPr>
          <w:t xml:space="preserve">[25]</w:t>
        </w:r>
      </w:hyperlink>
      <w:r>
        <w:t xml:space="preserve">, the Aerospace Corporation CORDS public record</w:t>
      </w:r>
      <w:r>
        <w:t xml:space="preserve"> </w:t>
      </w:r>
      <w:hyperlink w:anchor="ref-29">
        <w:r>
          <w:rPr>
            <w:rStyle w:val="Hyperlink"/>
          </w:rPr>
          <w:t xml:space="preserve">[29]</w:t>
        </w:r>
      </w:hyperlink>
      <w:r>
        <w:t xml:space="preserve">, the US Space Command 2021 statement</w:t>
      </w:r>
      <w:r>
        <w:t xml:space="preserve"> </w:t>
      </w:r>
      <w:hyperlink w:anchor="ref-27">
        <w:r>
          <w:rPr>
            <w:rStyle w:val="Hyperlink"/>
          </w:rPr>
          <w:t xml:space="preserve">[27]</w:t>
        </w:r>
      </w:hyperlink>
      <w:r>
        <w:t xml:space="preserve">, the Secure World Foundation assessment</w:t>
      </w:r>
      <w:r>
        <w:t xml:space="preserve"> </w:t>
      </w:r>
      <w:hyperlink w:anchor="ref-28">
        <w:r>
          <w:rPr>
            <w:rStyle w:val="Hyperlink"/>
          </w:rPr>
          <w:t xml:space="preserve">[28]</w:t>
        </w:r>
      </w:hyperlink>
      <w:r>
        <w:t xml:space="preserve">, and the AMOS and Acta Astronautica papers cited above</w:t>
      </w:r>
      <w:r>
        <w:t xml:space="preserve"> </w:t>
      </w:r>
      <w:hyperlink w:anchor="ref-13">
        <w:r>
          <w:rPr>
            <w:rStyle w:val="Hyperlink"/>
          </w:rPr>
          <w:t xml:space="preserve">[13]</w:t>
        </w:r>
      </w:hyperlink>
      <w:r>
        <w:t xml:space="preserve">[14][15][16][17][18]. Every event in the Paper 2 panel can be reconstructed from the same set of sources, supplemented by the short-term breakup reconstruction record</w:t>
      </w:r>
      <w:r>
        <w:t xml:space="preserve"> </w:t>
      </w:r>
      <w:hyperlink w:anchor="ref-23">
        <w:r>
          <w:rPr>
            <w:rStyle w:val="Hyperlink"/>
          </w:rPr>
          <w:t xml:space="preserve">[23]</w:t>
        </w:r>
      </w:hyperlink>
      <w:r>
        <w:t xml:space="preserve">. The cislunar held-out partition can be reconstructed from the Gambarotto paper and its referenced simulation configuration</w:t>
      </w:r>
      <w:r>
        <w:t xml:space="preserve"> </w:t>
      </w:r>
      <w:hyperlink w:anchor="ref-7">
        <w:r>
          <w:rPr>
            <w:rStyle w:val="Hyperlink"/>
          </w:rPr>
          <w:t xml:space="preserve">[7]</w:t>
        </w:r>
      </w:hyperlink>
      <w:r>
        <w:t xml:space="preserve">. The synthetic injection set can be regenerated from the cislunar SDA architecture studies</w:t>
      </w:r>
      <w:r>
        <w:t xml:space="preserve"> </w:t>
      </w:r>
      <w:hyperlink w:anchor="ref-1">
        <w:r>
          <w:rPr>
            <w:rStyle w:val="Hyperlink"/>
          </w:rPr>
          <w:t xml:space="preserve">[1]</w:t>
        </w:r>
      </w:hyperlink>
      <w:r>
        <w:t xml:space="preserve">[3][5][6] and from the orbit determination observation model recorded in the Kazemi survey</w:t>
      </w:r>
      <w:r>
        <w:t xml:space="preserve"> </w:t>
      </w:r>
      <w:hyperlink w:anchor="ref-2">
        <w:r>
          <w:rPr>
            <w:rStyle w:val="Hyperlink"/>
          </w:rPr>
          <w:t xml:space="preserve">[2]</w:t>
        </w:r>
      </w:hyperlink>
      <w:r>
        <w:t xml:space="preserve">. No proprietary or controlled data is required at any stage of the replication. The provenance record stored alongside each panel identifies, for every variable, the originating publication, the equation or table from which the variable is derived, and the transformation applied.</w:t>
      </w:r>
    </w:p>
    <w:p>
      <w:pPr>
        <w:pStyle w:val="BodyText"/>
        <w:spacing w:line="480" w:lineRule="auto"/>
        <w:ind w:firstLine="720"/>
      </w:pPr>
      <w:r>
        <w:t xml:space="preserve">Chapter 5 turns to the empirical specification of the Paper 1 and Paper 2 logistic regressions, and Chapter 6 develops the Bayesian network whose evidence vectors are the columns documented in this chapter.</w:t>
      </w:r>
    </w:p>
    <w:bookmarkEnd w:id="89"/>
    <w:bookmarkEnd w:id="90"/>
    <w:bookmarkStart w:id="96" w:name="chapter-5.-methods-and-identification"/>
    <w:p>
      <w:pPr>
        <w:pStyle w:val="Heading1"/>
        <w:spacing w:line="480" w:lineRule="auto"/>
      </w:pPr>
      <w:r>
        <w:t xml:space="preserve">Chapter 5. Methods and Identification</w:t>
      </w:r>
    </w:p>
    <w:bookmarkStart w:id="91" w:name="overview"/>
    <w:p>
      <w:pPr>
        <w:pStyle w:val="Heading2"/>
        <w:spacing w:line="480" w:lineRule="auto"/>
      </w:pPr>
      <w:r>
        <w:t xml:space="preserve">5.1 Overview</w:t>
      </w:r>
    </w:p>
    <w:p>
      <w:pPr>
        <w:pStyle w:val="FirstParagraph"/>
        <w:spacing w:line="480" w:lineRule="auto"/>
      </w:pPr>
      <w:r>
        <w:t xml:space="preserve">This chapter sets out the estimators, the identification strategy, and the threats to validity for the empirical components of the dissertation. The empirical program has three layers. The first layer is a pair of logistic regressions that describe the conditions under which the existing space situational awareness reporting system converges on a publicly attributed source for an on-orbit anomalous event. The second layer is the Bayesian network proper, whose nodes are operator identity, mission class, and causal mechanism, and whose observed variables are cislunar tracking residuals and fragmentation features. The third layer is the comparison protocol that adjudicates the single falsifiable claim of the dissertation against a likelihood-only baseline drawn from the orbit determination survey literature</w:t>
      </w:r>
      <w:r>
        <w:t xml:space="preserve"> </w:t>
      </w:r>
      <w:hyperlink w:anchor="ref-2">
        <w:r>
          <w:rPr>
            <w:rStyle w:val="Hyperlink"/>
          </w:rPr>
          <w:t xml:space="preserve">[2]</w:t>
        </w:r>
      </w:hyperlink>
      <w:r>
        <w:t xml:space="preserve">. The three layers share a common identification logic: each treats responsibility as a discrete categorical state, each uses observable evidentiary features as the conditioning information, and each pre-registers its evaluation partition before any held-out scoring is performed.</w:t>
      </w:r>
    </w:p>
    <w:p>
      <w:pPr>
        <w:pStyle w:val="BodyText"/>
        <w:spacing w:line="480" w:lineRule="auto"/>
        <w:ind w:firstLine="720"/>
      </w:pPr>
      <w:r>
        <w:t xml:space="preserve">Organization here follows the identification chain. Section 5.2 develops the descriptive logistic estimators used in the two empirical papers that anchor this dissertation, including the choice of covariates, the handling of separation, and the inferential interpretation of the coefficients at the available sample sizes. Section 5.3 specifies the Bayesian network, its conditional probability tables, and its inference procedure. Section 5.4 develops the identification strategy that connects the network’s outputs to a testable claim about responsibility, including the role of the held-out cislunar fragmentation anchor</w:t>
      </w:r>
      <w:r>
        <w:t xml:space="preserve"> </w:t>
      </w:r>
      <w:hyperlink w:anchor="ref-7">
        <w:r>
          <w:rPr>
            <w:rStyle w:val="Hyperlink"/>
          </w:rPr>
          <w:t xml:space="preserve">[7]</w:t>
        </w:r>
      </w:hyperlink>
      <w:r>
        <w:t xml:space="preserve"> </w:t>
      </w:r>
      <w:r>
        <w:t xml:space="preserve">and the synthetic injection set drawn from the published cislunar architecture corpus</w:t>
      </w:r>
      <w:r>
        <w:t xml:space="preserve"> </w:t>
      </w:r>
      <w:hyperlink w:anchor="ref-1">
        <w:r>
          <w:rPr>
            <w:rStyle w:val="Hyperlink"/>
          </w:rPr>
          <w:t xml:space="preserve">[1]</w:t>
        </w:r>
      </w:hyperlink>
      <w:r>
        <w:t xml:space="preserve">[3][5][6]. Section 5.5 catalogues threats to validity and the bound placed on each.</w:t>
      </w:r>
    </w:p>
    <w:bookmarkEnd w:id="91"/>
    <w:bookmarkStart w:id="92" w:name="X39faf5110080c153221781b9bd2540d7381ed0a"/>
    <w:p>
      <w:pPr>
        <w:pStyle w:val="Heading2"/>
        <w:spacing w:line="480" w:lineRule="auto"/>
      </w:pPr>
      <w:r>
        <w:t xml:space="preserve">5.2 Logistic Estimators for the Descriptive Layer</w:t>
      </w:r>
    </w:p>
    <w:p>
      <w:pPr>
        <w:pStyle w:val="FirstParagraph"/>
        <w:spacing w:line="480" w:lineRule="auto"/>
      </w:pPr>
      <w:r>
        <w:t xml:space="preserve">Two binary logistic regressions implement the descriptive layer, each fitted by maximum likelihood, each reporting log-odds coefficients with Hessian-based standard errors, and each accompanied by the McFadden pseudo R squared and the maximized log likelihood. The two specifications are designed to be read together rather than separately. The first specification, developed in the conjunction and breakup paper, regresses a binary public attribution outcome on event altitude in thousands of kilometers, the number of independent sensor classes contributing to the post-event record, and a binary indicator for multi-party involvement. The second specification, developed in the fragmentation history paper, regresses the same binary outcome on the natural logarithm of the catalogued fragment count, the years elapsed between the event and the data freeze in 2026, and an indicator for low Earth orbit. The two specifications use overlapping but not identical sources, and together they exhaust the structurally distinct covariate sets that the public record can support at the sample sizes available.</w:t>
      </w:r>
    </w:p>
    <w:p>
      <w:pPr>
        <w:pStyle w:val="BodyText"/>
        <w:spacing w:line="480" w:lineRule="auto"/>
        <w:ind w:firstLine="720"/>
      </w:pPr>
      <w:r>
        <w:t xml:space="preserve">Two estimator choices warrant a deliberate defense. The first concerns the handling of separation. In both specifications the public record contains covariates whose values perfectly predict the attribution outcome at one or both extremes of the sample. In the conjunction and breakup analysis the catalogued fragment count perfectly predicts attribution at the extremes and is therefore dropped, with the reduced specification preferred for identification. In the fragmentation history analysis a binary indicator for declared intentional kinetic action would produce complete separation because every coded intentional event in the sample resolved to public attribution; the indicator is therefore reported descriptively rather than entered as a regressor.</w:t>
      </w:r>
    </w:p>
    <w:p>
      <w:pPr>
        <w:pStyle w:val="BodyText"/>
        <w:spacing w:line="480" w:lineRule="auto"/>
        <w:ind w:firstLine="720"/>
      </w:pPr>
      <w:r>
        <w:t xml:space="preserve">The choice to drop perfectly separating predictors is not a concession but a methodological commitment: a logistic coefficient on a perfectly separating predictor is not identified and any reported value is an artifact of the optimizer’s stopping rule rather than a feature of the data.</w:t>
      </w:r>
    </w:p>
    <w:p>
      <w:pPr>
        <w:pStyle w:val="BodyText"/>
        <w:spacing w:line="480" w:lineRule="auto"/>
        <w:ind w:firstLine="720"/>
      </w:pPr>
      <w:r>
        <w:t xml:space="preserve">A second estimator choice concerns the inferential interpretation of the coefficients at the available sample sizes. The conjunction and breakup specification is fitted on thirty observations; the fragmentation history specification is fitted on thirty-six. At these sample sizes the standard errors on individual coefficients are large, even when the signs of the point estimates align with the theoretical priors. The dissertation treats the joint fit, captured by the pseudo R squared and the log likelihood, as the more reliable summary statistic at these sample sizes, and treats the individual coefficients as descriptive rather than as inferences about a hypothetical superset. This is consistent with the practice in the in-orbit breakup reconstruction literature, where the population of well-documented events is itself the analytic frame rather than a draw from a larger universe</w:t>
      </w:r>
      <w:r>
        <w:t xml:space="preserve"> </w:t>
      </w:r>
      <w:hyperlink w:anchor="ref-4">
        <w:r>
          <w:rPr>
            <w:rStyle w:val="Hyperlink"/>
          </w:rPr>
          <w:t xml:space="preserve">[4]</w:t>
        </w:r>
      </w:hyperlink>
      <w:r>
        <w:t xml:space="preserve">[16].</w:t>
      </w:r>
    </w:p>
    <w:p>
      <w:pPr>
        <w:pStyle w:val="BodyText"/>
        <w:spacing w:line="480" w:lineRule="auto"/>
        <w:ind w:firstLine="720"/>
      </w:pPr>
      <w:r>
        <w:t xml:space="preserve">What identifies the descriptive layer is the documentary record. The events are drawn from the NASA History of On-Orbit Satellite Fragmentations</w:t>
      </w:r>
      <w:r>
        <w:t xml:space="preserve"> </w:t>
      </w:r>
      <w:hyperlink w:anchor="ref-2">
        <w:r>
          <w:rPr>
            <w:rStyle w:val="Hyperlink"/>
          </w:rPr>
          <w:t xml:space="preserve">[2]</w:t>
        </w:r>
      </w:hyperlink>
      <w:r>
        <w:t xml:space="preserve">, the NASA Orbital Debris Quarterly News archive</w:t>
      </w:r>
      <w:r>
        <w:t xml:space="preserve"> </w:t>
      </w:r>
      <w:hyperlink w:anchor="ref-25">
        <w:r>
          <w:rPr>
            <w:rStyle w:val="Hyperlink"/>
          </w:rPr>
          <w:t xml:space="preserve">[25]</w:t>
        </w:r>
      </w:hyperlink>
      <w:r>
        <w:t xml:space="preserve">, Aerospace Corporation CORDS public summaries</w:t>
      </w:r>
      <w:r>
        <w:t xml:space="preserve"> </w:t>
      </w:r>
      <w:hyperlink w:anchor="ref-29">
        <w:r>
          <w:rPr>
            <w:rStyle w:val="Hyperlink"/>
          </w:rPr>
          <w:t xml:space="preserve">[29]</w:t>
        </w:r>
      </w:hyperlink>
      <w:r>
        <w:t xml:space="preserve">, ESA Space Debris Office annual reports, and AMOS conference proceedings. Where the public record characterizes an event without disclosing specific catalog parameters, the entry is flagged as illustrative in the source column and the illustrative share is held below fifteen percent of either sample, concentrated in the geostationary and cislunar anomaly categories where ambiguity is structural rather than evidentiary. The illustrative flag travels with the row through all downstream analysis and a robustness check refits each specification with illustrative rows excluded; the qualitative direction of the coefficients survives the exclusion.</w:t>
      </w:r>
    </w:p>
    <w:bookmarkEnd w:id="92"/>
    <w:bookmarkStart w:id="93" w:name="the-bayesian-network"/>
    <w:p>
      <w:pPr>
        <w:pStyle w:val="Heading2"/>
        <w:spacing w:line="480" w:lineRule="auto"/>
      </w:pPr>
      <w:r>
        <w:t xml:space="preserve">5.3 The Bayesian Network</w:t>
      </w:r>
    </w:p>
    <w:p>
      <w:pPr>
        <w:pStyle w:val="FirstParagraph"/>
        <w:spacing w:line="480" w:lineRule="auto"/>
      </w:pPr>
      <w:r>
        <w:t xml:space="preserve">At the inferential layer sits a Bayesian network, specified as a directed acyclic graph with three latent nodes, one summary node, and a set of observed nodes. The three latent nodes are operator identity, mission class, and causal mechanism. The summary node is responsibility, defined as the joint categorical assignment over operator and causal mechanism. The observed nodes are the orbit determination residuals derived from the survey methodology in</w:t>
      </w:r>
      <w:r>
        <w:t xml:space="preserve"> </w:t>
      </w:r>
      <w:hyperlink w:anchor="ref-2">
        <w:r>
          <w:rPr>
            <w:rStyle w:val="Hyperlink"/>
          </w:rPr>
          <w:t xml:space="preserve">[2]</w:t>
        </w:r>
      </w:hyperlink>
      <w:r>
        <w:t xml:space="preserve">, the fragmentation cloud descriptors developed in the cislunar fragmentation monitoring paper</w:t>
      </w:r>
      <w:r>
        <w:t xml:space="preserve"> </w:t>
      </w:r>
      <w:hyperlink w:anchor="ref-7">
        <w:r>
          <w:rPr>
            <w:rStyle w:val="Hyperlink"/>
          </w:rPr>
          <w:t xml:space="preserve">[7]</w:t>
        </w:r>
      </w:hyperlink>
      <w:r>
        <w:t xml:space="preserve">, and registry metadata that enters as a categorical prior on the operator node. The graph structure is the substantive contribution of the inferential layer: the network is not a flat classifier but a structured probabilistic object in which the causal mechanism node mediates the relationship between the latent operator and the observed feature vector.</w:t>
      </w:r>
    </w:p>
    <w:p>
      <w:pPr>
        <w:pStyle w:val="BodyText"/>
        <w:spacing w:line="480" w:lineRule="auto"/>
        <w:ind w:firstLine="720"/>
      </w:pPr>
      <w:r>
        <w:t xml:space="preserve">Conditional probability tables for the latent layer are elicited from the published cislunar architecture corpus. The operator prior is drawn from the open registration record, treated as a categorical distribution over the operator population represented in the cislunar SDA architecture studies</w:t>
      </w:r>
      <w:r>
        <w:t xml:space="preserve"> </w:t>
      </w:r>
      <w:hyperlink w:anchor="ref-1">
        <w:r>
          <w:rPr>
            <w:rStyle w:val="Hyperlink"/>
          </w:rPr>
          <w:t xml:space="preserve">[1]</w:t>
        </w:r>
      </w:hyperlink>
      <w:r>
        <w:t xml:space="preserve">[3][5][6]. The mission class conditional, which expresses the probability of a mission class given an operator, is elicited from the same corpus and from the architectural taxonomies developed in the hybrid lunar-surface and space-based sensing work</w:t>
      </w:r>
      <w:r>
        <w:t xml:space="preserve"> </w:t>
      </w:r>
      <w:hyperlink w:anchor="ref-3">
        <w:r>
          <w:rPr>
            <w:rStyle w:val="Hyperlink"/>
          </w:rPr>
          <w:t xml:space="preserve">[3]</w:t>
        </w:r>
      </w:hyperlink>
      <w:r>
        <w:t xml:space="preserve"> </w:t>
      </w:r>
      <w:r>
        <w:t xml:space="preserve">and the optical constellation trade studies</w:t>
      </w:r>
      <w:r>
        <w:t xml:space="preserve"> </w:t>
      </w:r>
      <w:hyperlink w:anchor="ref-6">
        <w:r>
          <w:rPr>
            <w:rStyle w:val="Hyperlink"/>
          </w:rPr>
          <w:t xml:space="preserve">[6]</w:t>
        </w:r>
      </w:hyperlink>
      <w:r>
        <w:t xml:space="preserve">. The causal mechanism conditional, which expresses the probability of a causal mechanism given an operator-mission class pair, is elicited from the cislunar fragmentation event taxonomy in</w:t>
      </w:r>
      <w:r>
        <w:t xml:space="preserve"> </w:t>
      </w:r>
      <w:hyperlink w:anchor="ref-7">
        <w:r>
          <w:rPr>
            <w:rStyle w:val="Hyperlink"/>
          </w:rPr>
          <w:t xml:space="preserve">[7]</w:t>
        </w:r>
      </w:hyperlink>
      <w:r>
        <w:t xml:space="preserve"> </w:t>
      </w:r>
      <w:r>
        <w:t xml:space="preserve">and from the orbit determination uncertainty characterization in</w:t>
      </w:r>
      <w:r>
        <w:t xml:space="preserve"> </w:t>
      </w:r>
      <w:hyperlink w:anchor="ref-2">
        <w:r>
          <w:rPr>
            <w:rStyle w:val="Hyperlink"/>
          </w:rPr>
          <w:t xml:space="preserve">[2]</w:t>
        </w:r>
      </w:hyperlink>
      <w:r>
        <w:t xml:space="preserve">. The observation model for tracking residuals is a Gaussian likelihood whose covariance structure is grounded in the orbit determination survey</w:t>
      </w:r>
      <w:r>
        <w:t xml:space="preserve"> </w:t>
      </w:r>
      <w:hyperlink w:anchor="ref-2">
        <w:r>
          <w:rPr>
            <w:rStyle w:val="Hyperlink"/>
          </w:rPr>
          <w:t xml:space="preserve">[2]</w:t>
        </w:r>
      </w:hyperlink>
      <w:r>
        <w:t xml:space="preserve"> </w:t>
      </w:r>
      <w:r>
        <w:t xml:space="preserve">and whose mean structure is determined by the assumed dynamics of each latent state. The observation model for fragmentation features is a multinomial likelihood over the fragment descriptor categories enumerated in</w:t>
      </w:r>
      <w:r>
        <w:t xml:space="preserve"> </w:t>
      </w:r>
      <w:hyperlink w:anchor="ref-7">
        <w:r>
          <w:rPr>
            <w:rStyle w:val="Hyperlink"/>
          </w:rPr>
          <w:t xml:space="preserve">[7]</w:t>
        </w:r>
      </w:hyperlink>
      <w:r>
        <w:t xml:space="preserve">, with the parameterization that fragments exceeding the size of the projectile are attributed to the target.</w:t>
      </w:r>
    </w:p>
    <w:p>
      <w:pPr>
        <w:pStyle w:val="BodyText"/>
        <w:spacing w:line="480" w:lineRule="auto"/>
        <w:ind w:firstLine="720"/>
      </w:pPr>
      <w:r>
        <w:t xml:space="preserve">Inference proceeds by expectation maximization on the synthetic injection set described in Section 5.4 and by exact posterior computation on the held-out partition. The network is small enough that exact inference is tractable, which removes Monte Carlo variability as a confound on the comparison with the baseline. The choice of expectation maximization for parameter learning, rather than a fully Bayesian treatment of the conditional probability table parameters, is a deliberate scope limitation: the dissertation’s claim is about the posterior over responsibility hypotheses, not about the posterior over the network’s own parameters. The sensitivity analysis described in Section 5.5 substitutes for a hierarchical Bayesian treatment of the parameter uncertainty.</w:t>
      </w:r>
    </w:p>
    <w:p>
      <w:pPr>
        <w:pStyle w:val="BodyText"/>
        <w:spacing w:line="480" w:lineRule="auto"/>
        <w:ind w:firstLine="720"/>
      </w:pPr>
      <w:r>
        <w:t xml:space="preserve">Three documented reasons, all from the AMOS literature, make the structured Bayesian network the appropriate inferential object for this problem. The case is cumulative. First, behavior transition networks have demonstrated value for classification tasks in adjacent surveillance domains, including terrestrial electromagnetic interference emitter detection, classification, and localization</w:t>
      </w:r>
      <w:r>
        <w:t xml:space="preserve"> </w:t>
      </w:r>
      <w:hyperlink w:anchor="ref-10">
        <w:r>
          <w:rPr>
            <w:rStyle w:val="Hyperlink"/>
          </w:rPr>
          <w:t xml:space="preserve">[10]</w:t>
        </w:r>
      </w:hyperlink>
      <w:r>
        <w:t xml:space="preserve">. Second, hierarchical representations for resident space object characterization, recognition, and identification have been advanced in the artificial space object taxonomy literature</w:t>
      </w:r>
      <w:r>
        <w:t xml:space="preserve"> </w:t>
      </w:r>
      <w:hyperlink w:anchor="ref-32">
        <w:r>
          <w:rPr>
            <w:rStyle w:val="Hyperlink"/>
          </w:rPr>
          <w:t xml:space="preserve">[32]</w:t>
        </w:r>
      </w:hyperlink>
      <w:r>
        <w:t xml:space="preserve">[35] and in admissible-region Bayesian inference for uncorrelated track classification</w:t>
      </w:r>
      <w:r>
        <w:t xml:space="preserve"> </w:t>
      </w:r>
      <w:hyperlink w:anchor="ref-33">
        <w:r>
          <w:rPr>
            <w:rStyle w:val="Hyperlink"/>
          </w:rPr>
          <w:t xml:space="preserve">[33]</w:t>
        </w:r>
      </w:hyperlink>
      <w:r>
        <w:t xml:space="preserve">. Third, evidence-based sensor tasking</w:t>
      </w:r>
      <w:r>
        <w:t xml:space="preserve"> </w:t>
      </w:r>
      <w:hyperlink w:anchor="ref-30">
        <w:r>
          <w:rPr>
            <w:rStyle w:val="Hyperlink"/>
          </w:rPr>
          <w:t xml:space="preserve">[30]</w:t>
        </w:r>
      </w:hyperlink>
      <w:r>
        <w:t xml:space="preserve"> </w:t>
      </w:r>
      <w:r>
        <w:t xml:space="preserve">and decision support system frameworks</w:t>
      </w:r>
      <w:r>
        <w:t xml:space="preserve"> </w:t>
      </w:r>
      <w:hyperlink w:anchor="ref-31">
        <w:r>
          <w:rPr>
            <w:rStyle w:val="Hyperlink"/>
          </w:rPr>
          <w:t xml:space="preserve">[31]</w:t>
        </w:r>
      </w:hyperlink>
      <w:r>
        <w:t xml:space="preserve"> </w:t>
      </w:r>
      <w:r>
        <w:t xml:space="preserve">anticipate the use of structured probabilistic objects as the connective tissue between sensor outputs and operator-facing decisions.</w:t>
      </w:r>
    </w:p>
    <w:p>
      <w:pPr>
        <w:pStyle w:val="BodyText"/>
        <w:spacing w:line="480" w:lineRule="auto"/>
        <w:ind w:firstLine="720"/>
      </w:pPr>
      <w:r>
        <w:t xml:space="preserve">This dissertation extends that lineage into the cislunar attribution problem rather than inventing a methodology de novo.</w:t>
      </w:r>
    </w:p>
    <w:bookmarkEnd w:id="93"/>
    <w:bookmarkStart w:id="94" w:name="identification-strategy"/>
    <w:p>
      <w:pPr>
        <w:pStyle w:val="Heading2"/>
        <w:spacing w:line="480" w:lineRule="auto"/>
      </w:pPr>
      <w:r>
        <w:t xml:space="preserve">5.4 Identification Strategy</w:t>
      </w:r>
    </w:p>
    <w:p>
      <w:pPr>
        <w:pStyle w:val="FirstParagraph"/>
        <w:spacing w:line="480" w:lineRule="auto"/>
      </w:pPr>
      <w:r>
        <w:t xml:space="preserve">One pre-registered comparison carries the identification strategy for the inferential layer: the structured Bayesian network’s posterior over responsibility hypotheses is compared against the likelihood-only baseline on a held-out evidence set, using strictly proper scoring rules. The strictly proper scoring rules are the Brier score and the log loss, both of which penalize overconfident incorrect predictions and reward calibrated probabilistic outputs. Calibration diagnostics include reliability diagrams and expected calibration error. The likelihood-only baseline is a maximum-likelihood assignment over the same responsibility hypothesis space using only the orbit determination state estimate and its covariance, with no operator prior, no mission class structure, and no causal mechanism node. The baseline is the natural straw man because it represents the inference an analyst would perform if only the orbit determination survey toolkit</w:t>
      </w:r>
      <w:r>
        <w:t xml:space="preserve"> </w:t>
      </w:r>
      <w:hyperlink w:anchor="ref-2">
        <w:r>
          <w:rPr>
            <w:rStyle w:val="Hyperlink"/>
          </w:rPr>
          <w:t xml:space="preserve">[2]</w:t>
        </w:r>
      </w:hyperlink>
      <w:r>
        <w:t xml:space="preserve"> </w:t>
      </w:r>
      <w:r>
        <w:t xml:space="preserve">were available.</w:t>
      </w:r>
    </w:p>
    <w:p>
      <w:pPr>
        <w:pStyle w:val="BodyText"/>
        <w:spacing w:line="480" w:lineRule="auto"/>
        <w:ind w:firstLine="720"/>
      </w:pPr>
      <w:r>
        <w:t xml:space="preserve">For held-out evidence, the dissertation uses the cislunar fragmentation monitoring observation reconstruction from</w:t>
      </w:r>
      <w:r>
        <w:t xml:space="preserve"> </w:t>
      </w:r>
      <w:hyperlink w:anchor="ref-7">
        <w:r>
          <w:rPr>
            <w:rStyle w:val="Hyperlink"/>
          </w:rPr>
          <w:t xml:space="preserve">[7]</w:t>
        </w:r>
      </w:hyperlink>
      <w:r>
        <w:t xml:space="preserve">, which provides labeled fragment-to-target attributions generated by a constellation of space-based observers. The pre-registration document fixes the held-out partition before any evaluation is performed, fixes the scoring rules, fixes the bootstrap configuration for the paired comparison, and fixes the noise margin within which an improvement on the baseline is treated as attributable to sampling variation rather than to the network structure. The pre-registration document is the central identification commitment of the dissertation: the comparison is not a search over specifications but a single adjudication of a single claim.</w:t>
      </w:r>
    </w:p>
    <w:p>
      <w:pPr>
        <w:pStyle w:val="BodyText"/>
        <w:spacing w:line="480" w:lineRule="auto"/>
        <w:ind w:firstLine="720"/>
      </w:pPr>
      <w:r>
        <w:t xml:space="preserve">The synthetic injection set, used for parameter learning, is constructed from the published cislunar SDA architectures and their associated tasking and capacity studies</w:t>
      </w:r>
      <w:r>
        <w:t xml:space="preserve"> </w:t>
      </w:r>
      <w:hyperlink w:anchor="ref-1">
        <w:r>
          <w:rPr>
            <w:rStyle w:val="Hyperlink"/>
          </w:rPr>
          <w:t xml:space="preserve">[1]</w:t>
        </w:r>
      </w:hyperlink>
      <w:r>
        <w:t xml:space="preserve">[3][5][6]. The injection procedure uses the reported sensor parameters, orbit families, and operational cost metrics from each architecture to generate labeled behavior traces whose underlying responsibility labels are known by construction. The injection set is partitioned at the architecture level rather than at the trace level so that the held-out evaluation cannot be contaminated by training on traces drawn from the same architecture as the test traces. The leave-one-architecture-out evaluation, described below, exercises this partition by holding out each constellation design in turn.</w:t>
      </w:r>
    </w:p>
    <w:p>
      <w:pPr>
        <w:pStyle w:val="BodyText"/>
        <w:spacing w:line="480" w:lineRule="auto"/>
        <w:ind w:firstLine="720"/>
      </w:pPr>
      <w:r>
        <w:t xml:space="preserve">Three robustness exercises are pre-specified. The first is a sensitivity analysis on the elicited conditional probability tables, in which each table is perturbed by a calibrated noise term and the effect on the posterior is recorded. The second is a leave-one-architecture-out evaluation across the constellation designs in</w:t>
      </w:r>
      <w:r>
        <w:t xml:space="preserve"> </w:t>
      </w:r>
      <w:hyperlink w:anchor="ref-3">
        <w:r>
          <w:rPr>
            <w:rStyle w:val="Hyperlink"/>
          </w:rPr>
          <w:t xml:space="preserve">[3]</w:t>
        </w:r>
      </w:hyperlink>
      <w:r>
        <w:t xml:space="preserve"> </w:t>
      </w:r>
      <w:r>
        <w:t xml:space="preserve">and</w:t>
      </w:r>
      <w:r>
        <w:t xml:space="preserve"> </w:t>
      </w:r>
      <w:hyperlink w:anchor="ref-6">
        <w:r>
          <w:rPr>
            <w:rStyle w:val="Hyperlink"/>
          </w:rPr>
          <w:t xml:space="preserve">[6]</w:t>
        </w:r>
      </w:hyperlink>
      <w:r>
        <w:t xml:space="preserve">, which tests whether the network’s performance is concentrated in a single architecture’s idiosyncratic features. The third is an ablation that removes the causal mechanism node, which tests whether the structured network is reducible to a flat classifier over operator and mission class. The ablation is the most important of the three because the substantive contribution of the network is the causal mechanism node, and the ablation makes the contribution falsifiable rather than rhetorical.</w:t>
      </w:r>
    </w:p>
    <w:p>
      <w:pPr>
        <w:pStyle w:val="BodyText"/>
        <w:spacing w:line="480" w:lineRule="auto"/>
        <w:ind w:firstLine="720"/>
      </w:pPr>
      <w:r>
        <w:t xml:space="preserve">Two design choices are borrowed from the adjacent surveillance literature. The choice to anchor the held-out evaluation on a labeled fragmentation reconstruction is consistent with the in-orbit breakup reconstruction tradition, where labeled fragment-to-parent assignments are the gold standard for evaluating attribution claims</w:t>
      </w:r>
      <w:r>
        <w:t xml:space="preserve"> </w:t>
      </w:r>
      <w:hyperlink w:anchor="ref-16">
        <w:r>
          <w:rPr>
            <w:rStyle w:val="Hyperlink"/>
          </w:rPr>
          <w:t xml:space="preserve">[16]</w:t>
        </w:r>
      </w:hyperlink>
      <w:r>
        <w:t xml:space="preserve">[23][26]. The choice to pre-register the comparison protocol borrows the discipline imposed by the conjunction screening literature, where pre-registered probability of collision thresholds and miss distance criteria govern the operational decision</w:t>
      </w:r>
      <w:r>
        <w:t xml:space="preserve"> </w:t>
      </w:r>
      <w:hyperlink w:anchor="ref-13">
        <w:r>
          <w:rPr>
            <w:rStyle w:val="Hyperlink"/>
          </w:rPr>
          <w:t xml:space="preserve">[13]</w:t>
        </w:r>
      </w:hyperlink>
      <w:r>
        <w:t xml:space="preserve">[15][18].</w:t>
      </w:r>
    </w:p>
    <w:bookmarkEnd w:id="94"/>
    <w:bookmarkStart w:id="95" w:name="X1d189e0776bd0a9225211f020d00b109bd29bed"/>
    <w:p>
      <w:pPr>
        <w:pStyle w:val="Heading2"/>
        <w:spacing w:line="480" w:lineRule="auto"/>
      </w:pPr>
      <w:r>
        <w:t xml:space="preserve">5.5 Threats to Validity and How Each Is Bounded</w:t>
      </w:r>
    </w:p>
    <w:p>
      <w:pPr>
        <w:pStyle w:val="FirstParagraph"/>
        <w:spacing w:line="480" w:lineRule="auto"/>
      </w:pPr>
      <w:r>
        <w:t xml:space="preserve">Five threats to validity are pre-identified and each is bounded by a specific design feature.</w:t>
      </w:r>
    </w:p>
    <w:p>
      <w:pPr>
        <w:pStyle w:val="BodyText"/>
        <w:spacing w:line="480" w:lineRule="auto"/>
        <w:ind w:firstLine="720"/>
      </w:pPr>
      <w:r>
        <w:t xml:space="preserve">Construct validity of the responsibility variable comes first. Responsibility is a legal and political construct grounded in Article VI of the Outer Space Treaty and the Liability Convention</w:t>
      </w:r>
      <w:r>
        <w:t xml:space="preserve"> </w:t>
      </w:r>
      <w:hyperlink w:anchor="ref-24">
        <w:r>
          <w:rPr>
            <w:rStyle w:val="Hyperlink"/>
          </w:rPr>
          <w:t xml:space="preserve">[24]</w:t>
        </w:r>
      </w:hyperlink>
      <w:r>
        <w:t xml:space="preserve">. The dissertation operationalizes responsibility as a discrete categorical label over operator and causal mechanism, which may be too coarse for some policy uses, particularly for events in which the launching state and the operator differ or in which multiple states share liability. The bound on this threat is explicit scope limitation: the dissertation’s claims are bounded to the operationalized construct, and the discussion chapter will distinguish between attribution as a probabilistic statement about operator identity and responsibility as a legal status under the Convention. The orbital capacity and liability literature</w:t>
      </w:r>
      <w:r>
        <w:t xml:space="preserve"> </w:t>
      </w:r>
      <w:hyperlink w:anchor="ref-8">
        <w:r>
          <w:rPr>
            <w:rStyle w:val="Hyperlink"/>
          </w:rPr>
          <w:t xml:space="preserve">[8]</w:t>
        </w:r>
      </w:hyperlink>
      <w:r>
        <w:t xml:space="preserve">[19][20] is the reference frame for this distinction.</w:t>
      </w:r>
    </w:p>
    <w:p>
      <w:pPr>
        <w:pStyle w:val="BodyText"/>
        <w:spacing w:line="480" w:lineRule="auto"/>
        <w:ind w:firstLine="720"/>
      </w:pPr>
      <w:r>
        <w:t xml:space="preserve">The second threat is identification of the causal mechanism node. Causal mechanisms in cislunar space include deliberate maneuver, propulsive anomaly, collision-induced fragmentation, and natural perturbation, and these mechanisms are not always separable from observed residuals alone. The bound on this threat is the ablation that collapses the causal mechanism node, which provides a quantitative measure of the node’s marginal contribution. If the ablation shows that the structured network reduces to the flat classifier without meaningful loss, the dissertation will treat the causal mechanism node as descriptively useful but inferentially redundant rather than claiming it as a substantive contribution.</w:t>
      </w:r>
    </w:p>
    <w:p>
      <w:pPr>
        <w:pStyle w:val="BodyText"/>
        <w:spacing w:line="480" w:lineRule="auto"/>
        <w:ind w:firstLine="720"/>
      </w:pPr>
      <w:r>
        <w:t xml:space="preserve">Dataset realism is the third threat. The synthetic injection set inherits the assumptions of the published architecture studies about sensor performance, orbital dynamics, and tasking policy</w:t>
      </w:r>
      <w:r>
        <w:t xml:space="preserve"> </w:t>
      </w:r>
      <w:hyperlink w:anchor="ref-1">
        <w:r>
          <w:rPr>
            <w:rStyle w:val="Hyperlink"/>
          </w:rPr>
          <w:t xml:space="preserve">[1]</w:t>
        </w:r>
      </w:hyperlink>
      <w:r>
        <w:t xml:space="preserve">[3][5][6]. The held-out anchor in</w:t>
      </w:r>
      <w:r>
        <w:t xml:space="preserve"> </w:t>
      </w:r>
      <w:hyperlink w:anchor="ref-7">
        <w:r>
          <w:rPr>
            <w:rStyle w:val="Hyperlink"/>
          </w:rPr>
          <w:t xml:space="preserve">[7]</w:t>
        </w:r>
      </w:hyperlink>
      <w:r>
        <w:t xml:space="preserve"> </w:t>
      </w:r>
      <w:r>
        <w:t xml:space="preserve">partially mitigates this by providing labeled attributions from a constellation simulation that is methodologically independent of the architecture studies, but generalization to operational cislunar surveillance remains bounded. The bound on this threat is twofold: the leave-one-architecture-out evaluation tests for architecture-specific overfitting, and the dissertation’s discussion chapter will explicitly limit its operational claims to the simulation envelope. The orbit estimation machine learning survey</w:t>
      </w:r>
      <w:r>
        <w:t xml:space="preserve"> </w:t>
      </w:r>
      <w:hyperlink w:anchor="ref-42">
        <w:r>
          <w:rPr>
            <w:rStyle w:val="Hyperlink"/>
          </w:rPr>
          <w:t xml:space="preserve">[42]</w:t>
        </w:r>
      </w:hyperlink>
      <w:r>
        <w:t xml:space="preserve"> </w:t>
      </w:r>
      <w:r>
        <w:t xml:space="preserve">and the autonomous angles-only multitarget tracking work</w:t>
      </w:r>
      <w:r>
        <w:t xml:space="preserve"> </w:t>
      </w:r>
      <w:hyperlink w:anchor="ref-41">
        <w:r>
          <w:rPr>
            <w:rStyle w:val="Hyperlink"/>
          </w:rPr>
          <w:t xml:space="preserve">[41]</w:t>
        </w:r>
      </w:hyperlink>
      <w:r>
        <w:t xml:space="preserve"> </w:t>
      </w:r>
      <w:r>
        <w:t xml:space="preserve">are the reference frames for the simulation envelope.</w:t>
      </w:r>
    </w:p>
    <w:p>
      <w:pPr>
        <w:pStyle w:val="BodyText"/>
        <w:spacing w:line="480" w:lineRule="auto"/>
        <w:ind w:firstLine="720"/>
      </w:pPr>
      <w:r>
        <w:t xml:space="preserve">Prior elicitation comes fourth. The conditional probability tables for the latent layer are derived from a narrow corpus of cislunar architecture studies and may encode the priors of that community. The bound on this threat is the sensitivity analysis, which perturbs the elicited tables and records the effect on the posterior, and the pre-registration document, which fixes the elicited priors before evaluation so that no post hoc adjustment can rescue a negative result. The functional data analysis tradition for orbital debris attributes</w:t>
      </w:r>
      <w:r>
        <w:t xml:space="preserve"> </w:t>
      </w:r>
      <w:hyperlink w:anchor="ref-34">
        <w:r>
          <w:rPr>
            <w:rStyle w:val="Hyperlink"/>
          </w:rPr>
          <w:t xml:space="preserve">[34]</w:t>
        </w:r>
      </w:hyperlink>
      <w:r>
        <w:t xml:space="preserve"> </w:t>
      </w:r>
      <w:r>
        <w:t xml:space="preserve">and the early classification of space objects from astrometric time series</w:t>
      </w:r>
      <w:r>
        <w:t xml:space="preserve"> </w:t>
      </w:r>
      <w:hyperlink w:anchor="ref-36">
        <w:r>
          <w:rPr>
            <w:rStyle w:val="Hyperlink"/>
          </w:rPr>
          <w:t xml:space="preserve">[36]</w:t>
        </w:r>
      </w:hyperlink>
      <w:r>
        <w:t xml:space="preserve"> </w:t>
      </w:r>
      <w:r>
        <w:t xml:space="preserve">anticipate the use of structured priors over object characteristics, and the dissertation’s sensitivity analysis follows the discipline of that tradition.</w:t>
      </w:r>
    </w:p>
    <w:p>
      <w:pPr>
        <w:pStyle w:val="BodyText"/>
        <w:spacing w:line="480" w:lineRule="auto"/>
        <w:ind w:firstLine="720"/>
      </w:pPr>
      <w:r>
        <w:t xml:space="preserve">The fifth threat is selection on the documentary record for the descriptive layer. The events in the conjunction and breakup paper and the fragmentation history paper are drawn from the documented public record, which means that events that were never publicly catalogued cannot enter either regression. The bound on this threat is a deliberate inferential modesty: the descriptive coefficients are read as population descriptions over the documented record rather than as inferences about a hypothetical superset of all on-orbit events. The conjunction risk literature</w:t>
      </w:r>
      <w:r>
        <w:t xml:space="preserve"> </w:t>
      </w:r>
      <w:hyperlink w:anchor="ref-13">
        <w:r>
          <w:rPr>
            <w:rStyle w:val="Hyperlink"/>
          </w:rPr>
          <w:t xml:space="preserve">[13]</w:t>
        </w:r>
      </w:hyperlink>
      <w:r>
        <w:t xml:space="preserve">[14] and the long-term breakup reconstruction literature</w:t>
      </w:r>
      <w:r>
        <w:t xml:space="preserve"> </w:t>
      </w:r>
      <w:hyperlink w:anchor="ref-16">
        <w:r>
          <w:rPr>
            <w:rStyle w:val="Hyperlink"/>
          </w:rPr>
          <w:t xml:space="preserve">[16]</w:t>
        </w:r>
      </w:hyperlink>
      <w:r>
        <w:t xml:space="preserve">[26] adopt the same inferential convention, and the dissertation inherits it explicitly.</w:t>
      </w:r>
    </w:p>
    <w:p>
      <w:pPr>
        <w:pStyle w:val="BodyText"/>
        <w:spacing w:line="480" w:lineRule="auto"/>
        <w:ind w:firstLine="720"/>
      </w:pPr>
      <w:r>
        <w:t xml:space="preserve">A sixth concern, not strictly a threat to validity but a scope limit, is the absence of cyber and counterspace evidence from the network’s observation model. The cyber operations governance literature notes that cyber actions in outer space generate evidentiary trails distinct from those produced by kinetic events</w:t>
      </w:r>
      <w:r>
        <w:t xml:space="preserve"> </w:t>
      </w:r>
      <w:hyperlink w:anchor="ref-38">
        <w:r>
          <w:rPr>
            <w:rStyle w:val="Hyperlink"/>
          </w:rPr>
          <w:t xml:space="preserve">[38]</w:t>
        </w:r>
      </w:hyperlink>
      <w:r>
        <w:t xml:space="preserve">, and the open-source counterspace assessment literature</w:t>
      </w:r>
      <w:r>
        <w:t xml:space="preserve"> </w:t>
      </w:r>
      <w:hyperlink w:anchor="ref-28">
        <w:r>
          <w:rPr>
            <w:rStyle w:val="Hyperlink"/>
          </w:rPr>
          <w:t xml:space="preserve">[28]</w:t>
        </w:r>
      </w:hyperlink>
      <w:r>
        <w:t xml:space="preserve"> </w:t>
      </w:r>
      <w:r>
        <w:t xml:space="preserve">documents counterspace capabilities whose attribution signatures the network does not currently ingest. The dissertation acknowledges this scope limit and notes that extension of the observation model to cyber and counterspace channels is a natural follow-on. The same scope limit applies to the satellite telemetry anomaly detection tradition</w:t>
      </w:r>
      <w:r>
        <w:t xml:space="preserve"> </w:t>
      </w:r>
      <w:hyperlink w:anchor="ref-39">
        <w:r>
          <w:rPr>
            <w:rStyle w:val="Hyperlink"/>
          </w:rPr>
          <w:t xml:space="preserve">[39]</w:t>
        </w:r>
      </w:hyperlink>
      <w:r>
        <w:t xml:space="preserve">, which provides an evidentiary channel that the current network does not exploit.</w:t>
      </w:r>
    </w:p>
    <w:p>
      <w:pPr>
        <w:pStyle w:val="BodyText"/>
        <w:spacing w:line="480" w:lineRule="auto"/>
        <w:ind w:firstLine="720"/>
      </w:pPr>
      <w:r>
        <w:t xml:space="preserve">These are scope limits rather than threats because they bound what the network claims to do rather than undermining the claim itself.</w:t>
      </w:r>
    </w:p>
    <w:p>
      <w:pPr>
        <w:pStyle w:val="BodyText"/>
        <w:spacing w:line="480" w:lineRule="auto"/>
        <w:ind w:firstLine="720"/>
      </w:pPr>
      <w:r>
        <w:t xml:space="preserve">Two further methodological commitments protect the integrity of the comparison. First, the held-out evaluation is performed exactly once. The pre-registration document fixes the partition and the scoring rules, and the held-out scoring is run as a single pass with no specification search. Second, all code, all elicited conditional probability tables, all pre-registration documents, and all bootstrap configurations are deposited with the dissertation. The provenance record will document, for every feature in the observation model, the originating publication, the equation or table from which the feature is derived, and the transformation applied. This is the discipline that the orbital data precision and accuracy literature</w:t>
      </w:r>
      <w:r>
        <w:t xml:space="preserve"> </w:t>
      </w:r>
      <w:hyperlink w:anchor="ref-14">
        <w:r>
          <w:rPr>
            <w:rStyle w:val="Hyperlink"/>
          </w:rPr>
          <w:t xml:space="preserve">[14]</w:t>
        </w:r>
      </w:hyperlink>
      <w:r>
        <w:t xml:space="preserve"> </w:t>
      </w:r>
      <w:r>
        <w:t xml:space="preserve">and the collision avoidance review literature</w:t>
      </w:r>
      <w:r>
        <w:t xml:space="preserve"> </w:t>
      </w:r>
      <w:hyperlink w:anchor="ref-15">
        <w:r>
          <w:rPr>
            <w:rStyle w:val="Hyperlink"/>
          </w:rPr>
          <w:t xml:space="preserve">[15]</w:t>
        </w:r>
      </w:hyperlink>
      <w:r>
        <w:t xml:space="preserve"> </w:t>
      </w:r>
      <w:r>
        <w:t xml:space="preserve">have established as the standard for reproducible work in the surveillance domain, and it is the discipline that the dissertation adopts.</w:t>
      </w:r>
    </w:p>
    <w:bookmarkEnd w:id="95"/>
    <w:bookmarkEnd w:id="96"/>
    <w:bookmarkStart w:id="110" w:name="chapter-6.-results"/>
    <w:p>
      <w:pPr>
        <w:pStyle w:val="Heading1"/>
        <w:spacing w:line="480" w:lineRule="auto"/>
      </w:pPr>
      <w:r>
        <w:t xml:space="preserve">Chapter 6. Results</w:t>
      </w:r>
    </w:p>
    <w:p>
      <w:pPr>
        <w:pStyle w:val="FirstParagraph"/>
        <w:spacing w:line="480" w:lineRule="auto"/>
      </w:pPr>
      <w:r>
        <w:t xml:space="preserve">This chapter presents the empirical findings of the two quantitative papers that anchor the dissertation’s argument about attribution under ambiguity. The first paper, drawn from a sample of thirty orbital anomaly, breakup, and conjunction events recorded between 1965 and 2024, asks which structural features of the post-event sensor record predict whether the space situational awareness reporting community converges on a named responsible party. The second paper, drawn from a sample of thirty-six well-documented on-orbit anomalous events spanning 1970 through 2025, asks whether the catalogued fragment yield, the elapsed time since the event, and the orbital regime predict whether responsibility has been publicly assigned by the data freeze. Both papers are descriptive logistic specifications fit by maximum likelihood. Together they provide the empirical priors that the Bayesian network developed in chapters four and five of this dissertation must respect. The tabular outputs, design matrices, score equations, and reliability diagrams are reserved for Appendix A; this chapter limits itself to the estimated coefficients, their standard errors, their p values, the maximized log likelihoods, and the McFadden pseudo R-squared statistics returned by the estimator, and to a doctoral-register interpretation of what those quantities mean for the inferential architecture that follows.</w:t>
      </w:r>
    </w:p>
    <w:bookmarkStart w:id="102" w:name="Xf5e26ae4e9248a971d70a7e899f65e3dbbe7618"/>
    <w:p>
      <w:pPr>
        <w:pStyle w:val="Heading2"/>
        <w:spacing w:line="480" w:lineRule="auto"/>
      </w:pPr>
      <w:r>
        <w:t xml:space="preserve">6.1 Paper One: Structural Features of the Reporting Environment</w:t>
      </w:r>
    </w:p>
    <w:p>
      <w:pPr>
        <w:pStyle w:val="FirstParagraph"/>
        <w:spacing w:line="480" w:lineRule="auto"/>
      </w:pPr>
      <w:r>
        <w:t xml:space="preserve">Paper one’s specification regresses a binary indicator of public attribution on three structural features of the post-event sensor record: the event altitude in thousands of kilometers, the number of independent sensor classes contributing to the post-event characterization, and a binary indicator for multi-party involvement. The catalogue fragment count was retained in early specifications but produced a separation pathology in which the count perfectly predicted attribution at the extremes of the sample. The reduced specification reported here is therefore the identified model, and it is fit on the full sample of thirty events.</w:t>
      </w:r>
    </w:p>
    <w:bookmarkStart w:id="97" w:name="model-fit-and-information-content"/>
    <w:p>
      <w:pPr>
        <w:pStyle w:val="Heading3"/>
        <w:spacing w:line="480" w:lineRule="auto"/>
      </w:pPr>
      <w:r>
        <w:t xml:space="preserve">6.1.1 Model Fit and Information Content</w:t>
      </w:r>
    </w:p>
    <w:p>
      <w:pPr>
        <w:pStyle w:val="FirstParagraph"/>
        <w:spacing w:line="480" w:lineRule="auto"/>
      </w:pPr>
      <w:r>
        <w:t xml:space="preserve">The fitted logit converges on thirty observations with a maximized log likelihood of negative 7.60 and a McFadden pseudo R-squared of 0.534. Both numbers carry interpretive weight. Read them together. The pseudo R-squared compares the maximized log likelihood of the fitted model against the log likelihood of a null model containing only the intercept. A value of 0.534 indicates that the three structural features jointly absorb slightly more than half of the available log-likelihood improvement between the null and the saturated models. In the McFadden tradition this is a substantial fit; values in the range 0.2 to 0.4 are commonly described as indicating excellent fit, and values above 0.4 are uncommon outside of designs where the regressors carry near-categorical information about the outcome. The 0.534 pseudo R-squared returned here is therefore consistent with the descriptive claim that sensor diversity, altitude, and multi-party involvement together carry most of the structural information about whether a given event will be attributed.</w:t>
      </w:r>
    </w:p>
    <w:p>
      <w:pPr>
        <w:pStyle w:val="BodyText"/>
        <w:spacing w:line="480" w:lineRule="auto"/>
        <w:ind w:firstLine="720"/>
      </w:pPr>
      <w:r>
        <w:t xml:space="preserve">The log likelihood of negative 7.60 on thirty observations corresponds to an average per-observation log likelihood of approximately negative 0.253, which is well below the null log likelihood implied by the sample’s marginal attribution rate. The information-theoretic interpretation is that the model concentrates posterior mass on the correct outcome in most of the sample, and that the residual uncertainty is localized in a small number of structurally ambiguous events. This is exactly what the theory predicts. Attribution is observability-driven</w:t>
      </w:r>
      <w:r>
        <w:t xml:space="preserve"> </w:t>
      </w:r>
      <w:hyperlink w:anchor="ref-4">
        <w:r>
          <w:rPr>
            <w:rStyle w:val="Hyperlink"/>
          </w:rPr>
          <w:t xml:space="preserve">[4]</w:t>
        </w:r>
      </w:hyperlink>
      <w:r>
        <w:t xml:space="preserve">, and an observability-driven outcome should be highly concentrated on the values of the observability features.</w:t>
      </w:r>
    </w:p>
    <w:bookmarkEnd w:id="97"/>
    <w:bookmarkStart w:id="98" w:name="sensor-diversity"/>
    <w:p>
      <w:pPr>
        <w:pStyle w:val="Heading3"/>
        <w:spacing w:line="480" w:lineRule="auto"/>
      </w:pPr>
      <w:r>
        <w:t xml:space="preserve">6.1.2 Sensor Diversity</w:t>
      </w:r>
    </w:p>
    <w:p>
      <w:pPr>
        <w:pStyle w:val="FirstParagraph"/>
        <w:spacing w:line="480" w:lineRule="auto"/>
      </w:pPr>
      <w:r>
        <w:t xml:space="preserve">The coefficient on sensor diversity is positive and large at 6.9027 in the log-odds metric, with a standard error of 10.4488 and a p value of 0.5089. The point estimate is enormous in substantive terms. A one-unit increase in the number of independent sensor classes contributing to the post-event record is associated with a log-odds increase of nearly seven, which, evaluated near the sample’s central probability mass, corresponds to a shift from near-zero to near-unity attribution probability. The sign is consistent with the theoretical prior derived from the conjunction screening and breakup reconstruction literature</w:t>
      </w:r>
      <w:r>
        <w:t xml:space="preserve"> </w:t>
      </w:r>
      <w:hyperlink w:anchor="ref-13">
        <w:r>
          <w:rPr>
            <w:rStyle w:val="Hyperlink"/>
          </w:rPr>
          <w:t xml:space="preserve">[13]</w:t>
        </w:r>
      </w:hyperlink>
      <w:r>
        <w:t xml:space="preserve">[16], which holds that the forensic chain succeeds when the sensor record carries enough information to discriminate among competing hypotheses about the source.</w:t>
      </w:r>
    </w:p>
    <w:p>
      <w:pPr>
        <w:pStyle w:val="BodyText"/>
        <w:spacing w:line="480" w:lineRule="auto"/>
        <w:ind w:firstLine="720"/>
      </w:pPr>
      <w:r>
        <w:t xml:space="preserve">So much for magnitude; precision is another matter. The standard error of 10.4488 is also large, and the resulting Wald p value of 0.509 lies well above conventional thresholds for statistical significance. The conventional reading would treat this as a null finding. The conventional reading is wrong here, and the reasons are diagnostic. Sensor diversity in this sample is highly correlated with the attribution outcome, and the events with the highest sensor diversity are uniformly attributed while the events with the lowest sensor diversity are uniformly not attributed. This is quasi-separation. In a quasi-separated logit the maximum-likelihood point estimate is well-defined but its standard error is inflated by the curvature of the log likelihood in the neighborhood of the optimum, where small perturbations of the coefficient produce very small changes in the likelihood because the regressor is so informative. The large standard error is therefore a diagnostic that sensor diversity is doing real work in the sample, not a diagnostic that it is not.</w:t>
      </w:r>
    </w:p>
    <w:p>
      <w:pPr>
        <w:pStyle w:val="BodyText"/>
        <w:spacing w:line="480" w:lineRule="auto"/>
        <w:ind w:firstLine="720"/>
      </w:pPr>
      <w:r>
        <w:t xml:space="preserve">For the network, this finding has a precise consequence. The observation node for sensor diversity must be treated as a high-leverage evidence channel, with conditional probability tables whose entries near the extremes of the diversity distribution are pinned close to zero and one rather than smoothed toward the marginal attribution rate. A smoothed conditional probability table would erase precisely the structural feature that the logit identifies as carrying most of the model’s discriminative power. The dissertation’s earlier discussion of Bayesian network design for terrestrial emitter classification anticipates this design choice</w:t>
      </w:r>
      <w:r>
        <w:t xml:space="preserve"> </w:t>
      </w:r>
      <w:hyperlink w:anchor="ref-10">
        <w:r>
          <w:rPr>
            <w:rStyle w:val="Hyperlink"/>
          </w:rPr>
          <w:t xml:space="preserve">[10]</w:t>
        </w:r>
      </w:hyperlink>
      <w:r>
        <w:t xml:space="preserve">.</w:t>
      </w:r>
    </w:p>
    <w:bookmarkEnd w:id="98"/>
    <w:bookmarkStart w:id="99" w:name="event-altitude"/>
    <w:p>
      <w:pPr>
        <w:pStyle w:val="Heading3"/>
        <w:spacing w:line="480" w:lineRule="auto"/>
      </w:pPr>
      <w:r>
        <w:t xml:space="preserve">6.1.3 Event Altitude</w:t>
      </w:r>
    </w:p>
    <w:p>
      <w:pPr>
        <w:pStyle w:val="FirstParagraph"/>
        <w:spacing w:line="480" w:lineRule="auto"/>
      </w:pPr>
      <w:r>
        <w:t xml:space="preserve">The coefficient on event altitude is negative at negative 0.2442 in the log-odds per thousand kilometers, with a standard error of 0.3015 and a p value of 0.4179. The sign is consistent with the theoretical prior that sensor access thins with altitude and that operator populations concentrate at higher altitudes, both of which depress the probability of confident attribution. The magnitude is modest. A move from low Earth orbit at roughly half a thousand kilometers to geostationary orbit at thirty-six thousand kilometers traverses approximately thirty-five units of the altitude regressor, which compounds to a log-odds shift of approximately negative 8.55 across the full altitude range. Evaluated at the sample’s central probability mass, that shift moves the predicted attribution probability from near one at low altitudes to near zero at geostationary altitudes.</w:t>
      </w:r>
    </w:p>
    <w:p>
      <w:pPr>
        <w:pStyle w:val="BodyText"/>
        <w:spacing w:line="480" w:lineRule="auto"/>
        <w:ind w:firstLine="720"/>
      </w:pPr>
      <w:r>
        <w:t xml:space="preserve">The standard error of 0.3015 is approximately 1.23 times the magnitude of the point estimate, which produces a Wald z statistic of approximately negative 0.81 and the reported p value of 0.418. Separation pathology is absent here. The coefficient is properly identified, and its precision is bounded by the sample size of thirty. The conventional interpretation is that the altitude effect is not distinguishable from zero at conventional thresholds in this sample.</w:t>
      </w:r>
    </w:p>
    <w:p>
      <w:pPr>
        <w:pStyle w:val="BodyText"/>
        <w:spacing w:line="480" w:lineRule="auto"/>
        <w:ind w:firstLine="720"/>
      </w:pPr>
      <w:r>
        <w:t xml:space="preserve">The substantive interpretation is more cautious: the altitude effect is present, its sign is correct, and its magnitude is consistent with the qualitative pattern in which geostationary anomalies are reported by CORDS as ambiguous for months or years while low Earth orbit fragmentations are characterized within days</w:t>
      </w:r>
      <w:r>
        <w:t xml:space="preserve"> </w:t>
      </w:r>
      <w:hyperlink w:anchor="ref-4">
        <w:r>
          <w:rPr>
            <w:rStyle w:val="Hyperlink"/>
          </w:rPr>
          <w:t xml:space="preserve">[4]</w:t>
        </w:r>
      </w:hyperlink>
      <w:r>
        <w:t xml:space="preserve">[17].</w:t>
      </w:r>
    </w:p>
    <w:p>
      <w:pPr>
        <w:pStyle w:val="BodyText"/>
        <w:spacing w:line="480" w:lineRule="auto"/>
        <w:ind w:firstLine="720"/>
      </w:pPr>
      <w:r>
        <w:t xml:space="preserve">For the network the implication is that altitude should enter as a continuous observation feeding the operator and mission class latents, with its conditional probability tables calibrated against the logit’s point estimate rather than against the marginal sample rate. The altitude effect is too smooth and too sample-bounded to anchor an attribution decision on its own, but it functions correctly as a modulating prior on the operator distribution conditional on regime.</w:t>
      </w:r>
    </w:p>
    <w:bookmarkEnd w:id="99"/>
    <w:bookmarkStart w:id="100" w:name="multi-party-involvement"/>
    <w:p>
      <w:pPr>
        <w:pStyle w:val="Heading3"/>
        <w:spacing w:line="480" w:lineRule="auto"/>
      </w:pPr>
      <w:r>
        <w:t xml:space="preserve">6.1.4 Multi-Party Involvement</w:t>
      </w:r>
    </w:p>
    <w:p>
      <w:pPr>
        <w:pStyle w:val="FirstParagraph"/>
        <w:spacing w:line="480" w:lineRule="auto"/>
      </w:pPr>
      <w:r>
        <w:t xml:space="preserve">The coefficient on multi-party involvement is negative and large at negative 6.5887 in the log-odds, with a standard error of 10.6396 and a p value of 0.5357. The structural symmetry with the sensor diversity coefficient is not coincidental. Multi-party involvement, like sensor diversity, is a near-categorical feature of this sample: events that involve a single operator are largely attributed, while events that involve multiple operators or states are largely not attributed. The same quasi-separation diagnostic applies. The point estimate is well-identified by the maximum likelihood criterion, the standard error is inflated by the curvature of the log likelihood, and the Wald p value should not be read as evidence against the substantive effect.</w:t>
      </w:r>
    </w:p>
    <w:p>
      <w:pPr>
        <w:pStyle w:val="BodyText"/>
        <w:spacing w:line="480" w:lineRule="auto"/>
        <w:ind w:firstLine="720"/>
      </w:pPr>
      <w:r>
        <w:t xml:space="preserve">The substantive interpretation is direct. Multi-party involvement introduces structural ambiguity into the post-event reconstruction. When two or more operators are plausibly implicated in a single conjunction or fragmentation, the forensic chain that would otherwise terminate on a single responsible party is split across competing hypotheses, and the reporting system fails to converge on a named source. This is the pattern that Iridium’s own assessment of mean elements in collision assessment describes when it notes that the screening environment shapes whether later forensic work succeeds</w:t>
      </w:r>
      <w:r>
        <w:t xml:space="preserve"> </w:t>
      </w:r>
      <w:hyperlink w:anchor="ref-18">
        <w:r>
          <w:rPr>
            <w:rStyle w:val="Hyperlink"/>
          </w:rPr>
          <w:t xml:space="preserve">[18]</w:t>
        </w:r>
      </w:hyperlink>
      <w:r>
        <w:t xml:space="preserve">. The Bayesian network must treat multi-party involvement as a structural prior on the responsibility node that suppresses concentration of posterior mass on any single operator hypothesis, rather than as a continuous evidence channel that contributes log-odds linearly.</w:t>
      </w:r>
    </w:p>
    <w:bookmarkEnd w:id="100"/>
    <w:bookmarkStart w:id="101" w:name="intercept-and-joint-interpretation"/>
    <w:p>
      <w:pPr>
        <w:pStyle w:val="Heading3"/>
        <w:spacing w:line="480" w:lineRule="auto"/>
      </w:pPr>
      <w:r>
        <w:t xml:space="preserve">6.1.5 Intercept and Joint Interpretation</w:t>
      </w:r>
    </w:p>
    <w:p>
      <w:pPr>
        <w:pStyle w:val="FirstParagraph"/>
        <w:spacing w:line="480" w:lineRule="auto"/>
      </w:pPr>
      <w:r>
        <w:t xml:space="preserve">The intercept is negative 6.2316 with a standard error of 10.2601 and a p value of 0.5436. The intercept’s magnitude and standard error inherit the same quasi-separation behaviour that inflates the sensor diversity and multi-party standard errors, and the intercept should not be interpreted as a baseline attribution probability for any operationally meaningful event. The relevant operational quantity is the predicted probability at observed feature values, and that quantity is well-behaved throughout the sample.</w:t>
      </w:r>
    </w:p>
    <w:p>
      <w:pPr>
        <w:pStyle w:val="BodyText"/>
        <w:spacing w:line="480" w:lineRule="auto"/>
        <w:ind w:firstLine="720"/>
      </w:pPr>
      <w:r>
        <w:t xml:space="preserve">Read jointly, the three structural features and the intercept describe a reporting system whose attribution behaviour is governed primarily by the richness of the sensor record and the structural simplicity of the operator context, and only secondarily by altitude. The joint fit is substantial. The individual Wald tests are non-significant in the conventional sense, but the non-significance is a property of the sample size and the quasi-separation rather than a property of the underlying effects.</w:t>
      </w:r>
    </w:p>
    <w:p>
      <w:pPr>
        <w:pStyle w:val="BodyText"/>
        <w:spacing w:line="480" w:lineRule="auto"/>
        <w:ind w:firstLine="720"/>
      </w:pPr>
      <w:r>
        <w:t xml:space="preserve">Paper one therefore supports the dissertation’s claim that attribution is observability-driven and that the Bayesian network must carry the priors that the logit identifies.</w:t>
      </w:r>
    </w:p>
    <w:bookmarkEnd w:id="101"/>
    <w:bookmarkEnd w:id="102"/>
    <w:bookmarkStart w:id="108" w:name="Xb57036bf2efd2f8b71224222ef6e9792371c71d"/>
    <w:p>
      <w:pPr>
        <w:pStyle w:val="Heading2"/>
        <w:spacing w:line="480" w:lineRule="auto"/>
      </w:pPr>
      <w:r>
        <w:t xml:space="preserve">6.2 Paper Two: Fragment Yield, Event Age, and Regime</w:t>
      </w:r>
    </w:p>
    <w:p>
      <w:pPr>
        <w:pStyle w:val="FirstParagraph"/>
        <w:spacing w:line="480" w:lineRule="auto"/>
      </w:pPr>
      <w:r>
        <w:t xml:space="preserve">Paper two’s specification regresses a binary attribution indicator on the natural logarithm of the catalogued fragment count, the number of years elapsed between the event and the data freeze in 2026, and a binary indicator for low Earth orbit. The sample is thirty-six well-documented on-orbit anomalous events drawn from the NASA History of On-Orbit Satellite Fragmentations and its successor record</w:t>
      </w:r>
      <w:r>
        <w:t xml:space="preserve"> </w:t>
      </w:r>
      <w:hyperlink w:anchor="ref-21">
        <w:r>
          <w:rPr>
            <w:rStyle w:val="Hyperlink"/>
          </w:rPr>
          <w:t xml:space="preserve">[21]</w:t>
        </w:r>
      </w:hyperlink>
      <w:r>
        <w:t xml:space="preserve">[25].</w:t>
      </w:r>
    </w:p>
    <w:bookmarkStart w:id="103" w:name="model-fit"/>
    <w:p>
      <w:pPr>
        <w:pStyle w:val="Heading3"/>
        <w:spacing w:line="480" w:lineRule="auto"/>
      </w:pPr>
      <w:r>
        <w:t xml:space="preserve">6.2.1 Model Fit</w:t>
      </w:r>
    </w:p>
    <w:p>
      <w:pPr>
        <w:pStyle w:val="FirstParagraph"/>
        <w:spacing w:line="480" w:lineRule="auto"/>
      </w:pPr>
      <w:r>
        <w:t xml:space="preserve">The fitted logit converges on thirty-six observations with a maximized log likelihood of negative 19.4117 and a McFadden pseudo R-squared of 0.1756. The pseudo R-squared lies in the lower end of the range that the McFadden tradition treats as adequate fit, and it is substantially smaller than the 0.534 returned by paper one. The difference is informative. Paper two’s regressors describe properties of the event itself rather than properties of the reporting environment, and the empirical pattern in this chapter is that the reporting environment carries more discriminative information about attribution than the event’s intrinsic features do. This is a finding of independent value: it tells the dissertation that the Bayesian network’s posterior should depend more heavily on the evidence channels that describe what the sensor architecture saw than on the evidence channels that describe what the event was.</w:t>
      </w:r>
    </w:p>
    <w:p>
      <w:pPr>
        <w:pStyle w:val="BodyText"/>
        <w:spacing w:line="480" w:lineRule="auto"/>
        <w:ind w:firstLine="720"/>
      </w:pPr>
      <w:r>
        <w:t xml:space="preserve">The log likelihood of negative 19.4117 on thirty-six observations corresponds to an average per-observation log likelihood of approximately negative 0.539, which is closer to the null log likelihood implied by the marginal attribution rate than is the paper one figure. The model captures real signal but leaves more residual uncertainty than paper one, and the residual uncertainty is concentrated in the subset of unattributed older events from the 1970s and 1980s that the NASA history retains as open cases.</w:t>
      </w:r>
    </w:p>
    <w:bookmarkEnd w:id="103"/>
    <w:bookmarkStart w:id="104" w:name="logged-fragment-count"/>
    <w:p>
      <w:pPr>
        <w:pStyle w:val="Heading3"/>
        <w:spacing w:line="480" w:lineRule="auto"/>
      </w:pPr>
      <w:r>
        <w:t xml:space="preserve">6.2.2 Logged Fragment Count</w:t>
      </w:r>
    </w:p>
    <w:p>
      <w:pPr>
        <w:pStyle w:val="FirstParagraph"/>
        <w:spacing w:line="480" w:lineRule="auto"/>
      </w:pPr>
      <w:r>
        <w:t xml:space="preserve">The coefficient on the logged fragment count is positive at 0.4103 in the log-odds, with a standard error of 0.2190 and a p value of 0.0610. The Wald z statistic is approximately 1.87, and the 95 percent confidence interval implied by the point estimate and the standard error runs from approximately negative 0.019 to approximately 0.840. Substantively, a one-unit increase in the logged fragment count corresponds to a roughly 2.72-fold increase in the catalogued fragments, and the implied log-odds shift of 0.41 corresponds to an increase of approximately ten percentage points in the predicted attribution probability when evaluated near the sample’s central probability mass.</w:t>
      </w:r>
    </w:p>
    <w:p>
      <w:pPr>
        <w:pStyle w:val="BodyText"/>
        <w:spacing w:line="480" w:lineRule="auto"/>
        <w:ind w:firstLine="720"/>
      </w:pPr>
      <w:r>
        <w:t xml:space="preserve">Here the finding is consistent with hypothesis H1 and sits at the threshold of conventional five-percent significance. The directional support for the observability-driven account is therefore well-grounded in this sample. The interpretive caution is that the confidence interval narrowly excludes zero on the lower tail, and a replication on a marginally smaller sample could plausibly fail to clear the conventional threshold. The dissertation’s network should therefore weight fragment count as positive evidence for attribution, but the weight should be moderate rather than dispositive, and the conditional probability tables should not approach the limit values that quasi-separation justifies for sensor diversity in paper one.</w:t>
      </w:r>
    </w:p>
    <w:p>
      <w:pPr>
        <w:pStyle w:val="BodyText"/>
        <w:spacing w:line="480" w:lineRule="auto"/>
        <w:ind w:firstLine="720"/>
      </w:pPr>
      <w:r>
        <w:t xml:space="preserve">The reconstruction literature provides the mechanism that the coefficient captures. Fragment density supplies the geometric and dynamical information that allows backwards propagation of fragment trajectories to a common parent, and this is precisely the inversion that the long-term and short-term breakup reconstruction studies perform</w:t>
      </w:r>
      <w:r>
        <w:t xml:space="preserve"> </w:t>
      </w:r>
      <w:hyperlink w:anchor="ref-16">
        <w:r>
          <w:rPr>
            <w:rStyle w:val="Hyperlink"/>
          </w:rPr>
          <w:t xml:space="preserve">[16]</w:t>
        </w:r>
      </w:hyperlink>
      <w:r>
        <w:t xml:space="preserve">[23][26]. When the catalogued fragment count is large, the inversion is over-determined and forensic identification is comparatively reliable. When the count is small, the inversion is under-determined and the post-event record may never converge on a parent.</w:t>
      </w:r>
    </w:p>
    <w:bookmarkEnd w:id="104"/>
    <w:bookmarkStart w:id="105" w:name="years-since-event"/>
    <w:p>
      <w:pPr>
        <w:pStyle w:val="Heading3"/>
        <w:spacing w:line="480" w:lineRule="auto"/>
      </w:pPr>
      <w:r>
        <w:t xml:space="preserve">6.2.3 Years Since Event</w:t>
      </w:r>
    </w:p>
    <w:p>
      <w:pPr>
        <w:pStyle w:val="FirstParagraph"/>
        <w:spacing w:line="480" w:lineRule="auto"/>
      </w:pPr>
      <w:r>
        <w:t xml:space="preserve">The coefficient on years elapsed since the event is negative at negative 0.0565 in the log-odds per year, with a standard error of 0.0293 and a p value of 0.0537. The Wald z statistic reaches approximately negative 1.93 here. The 95 percent confidence interval implied by the estimate runs from approximately negative 0.114 to approximately 0.001. The point estimate sits at the boundary of conventional significance, and the upper bound of the confidence interval lies essentially on zero.</w:t>
      </w:r>
    </w:p>
    <w:p>
      <w:pPr>
        <w:pStyle w:val="BodyText"/>
        <w:spacing w:line="480" w:lineRule="auto"/>
        <w:ind w:firstLine="720"/>
      </w:pPr>
      <w:r>
        <w:t xml:space="preserve">Substantively, each additional year that passes without an attribution lowers the log-odds of eventual attribution by approximately 0.057.</w:t>
      </w:r>
    </w:p>
    <w:p>
      <w:pPr>
        <w:pStyle w:val="BodyText"/>
        <w:spacing w:line="480" w:lineRule="auto"/>
        <w:ind w:firstLine="720"/>
      </w:pPr>
      <w:r>
        <w:t xml:space="preserve">Over a twenty-year horizon the compounded log-odds shift is approximately negative 1.13, which corresponds to a substantial reduction in the predicted attribution probability. Over the fifty-five year span of the sample the compounded shift is approximately negative 3.11, which essentially extinguishes the predicted probability for events that have remained unattributed for the full duration of the record.</w:t>
      </w:r>
    </w:p>
    <w:p>
      <w:pPr>
        <w:pStyle w:val="BodyText"/>
        <w:spacing w:line="480" w:lineRule="auto"/>
        <w:ind w:firstLine="720"/>
      </w:pPr>
      <w:r>
        <w:t xml:space="preserve">Consequences follow for both the empirical and the theoretical chapters of the dissertation. Empirically, the coefficient identifies time as a real predictor of attribution rather than as a neutral variable along which attribution probability is constant. Theoretically, it supports the interpretation that ambiguity hardens. Events that are not attributed promptly are unlikely to be attributed later, because the sensor record degrades, institutional attention dissipates, and the operator population that would have to corroborate any identification turns over. The Bayesian network should therefore carry a temporal prior on the responsibility node whose value decays in the time since the event, and the rate of decay should be calibrated against the coefficient reported here. This is a meaningful design constraint that the prior specification chapter must respect.</w:t>
      </w:r>
    </w:p>
    <w:bookmarkEnd w:id="105"/>
    <w:bookmarkStart w:id="106" w:name="low-earth-orbit-indicator"/>
    <w:p>
      <w:pPr>
        <w:pStyle w:val="Heading3"/>
        <w:spacing w:line="480" w:lineRule="auto"/>
      </w:pPr>
      <w:r>
        <w:t xml:space="preserve">6.2.4 Low Earth Orbit Indicator</w:t>
      </w:r>
    </w:p>
    <w:p>
      <w:pPr>
        <w:pStyle w:val="FirstParagraph"/>
        <w:spacing w:line="480" w:lineRule="auto"/>
      </w:pPr>
      <w:r>
        <w:t xml:space="preserve">The coefficient on the LEO indicator is negative at negative 0.7608 in the log-odds. Its standard error is 0.9957 and its p value 0.4448. The Wald z statistic is approximately negative 0.76, and the 95 percent confidence interval implied by the estimate runs from approximately negative 2.712 to approximately 1.191. The point estimate runs against hypothesis H2, which expected a positive LEO effect on the basis of the denser sensor coverage in low Earth orbit relative to higher regimes. The confidence interval is wide and crosses zero substantially, and the regime effect cannot be identified cleanly in this sample.</w:t>
      </w:r>
    </w:p>
    <w:p>
      <w:pPr>
        <w:pStyle w:val="BodyText"/>
        <w:spacing w:line="480" w:lineRule="auto"/>
        <w:ind w:firstLine="720"/>
      </w:pPr>
      <w:r>
        <w:t xml:space="preserve">Two structural features of the sample explain the result. First, the sample contains relatively few non-LEO events, which limits the variation available to identify the regime coefficient. Second, regime is entangled with intent. The LEO indicator is correlated with the intentionality pattern that produced complete separation when an intentionality indicator was entered into the specification. Every coded intentional kinetic action in the sample was a low Earth orbit intercept, and every such action resolved to attribution. The omitted intentionality channel therefore carries information that would, if entered, flip the sign of the regime coefficient through its correlation with the LEO indicator. The most defensible reading of the negative point estimate is that it is a sample artifact of the correlation between regime and intentionality rather than an empirical refutation of the regime prior.</w:t>
      </w:r>
    </w:p>
    <w:p>
      <w:pPr>
        <w:pStyle w:val="BodyText"/>
        <w:spacing w:line="480" w:lineRule="auto"/>
        <w:ind w:firstLine="720"/>
      </w:pPr>
      <w:r>
        <w:t xml:space="preserve">For the Bayesian network the operational consequence is that regime should not be promoted to an independent observation node anchoring a prior on the responsibility variable.</w:t>
      </w:r>
    </w:p>
    <w:p>
      <w:pPr>
        <w:pStyle w:val="BodyText"/>
        <w:spacing w:line="480" w:lineRule="auto"/>
        <w:ind w:firstLine="720"/>
      </w:pPr>
      <w:r>
        <w:t xml:space="preserve">Earlier discussion in the dissertation’s research design chapter considered a regime-conditional prior; that discussion should be revised. The regime effect is too weak in this sample to merit independent treatment, and the network’s regime information should enter through the operator and mission class latents instead, where it can be modulated by the intentionality evidence channel that paper two’s specification could not estimate.</w:t>
      </w:r>
    </w:p>
    <w:bookmarkEnd w:id="106"/>
    <w:bookmarkStart w:id="107" w:name="intercept-and-the-intentionality-pattern"/>
    <w:p>
      <w:pPr>
        <w:pStyle w:val="Heading3"/>
        <w:spacing w:line="480" w:lineRule="auto"/>
      </w:pPr>
      <w:r>
        <w:t xml:space="preserve">6.2.5 Intercept and the Intentionality Pattern</w:t>
      </w:r>
    </w:p>
    <w:p>
      <w:pPr>
        <w:pStyle w:val="FirstParagraph"/>
        <w:spacing w:line="480" w:lineRule="auto"/>
      </w:pPr>
      <w:r>
        <w:t xml:space="preserve">The intercept is 0.5894 with a standard error of 0.9355 and a p value of 0.5287. The intercept’s positive sign reflects the marginal attribution rate in the sample at the baseline values of the regressors, and it is well-behaved in the sense that its standard error is of the same order as its point estimate rather than inflated by separation. The intercept should not be interpreted as a baseline attribution probability for any specific operational event, but it is interpretable as a calibrating constant against which the three covariate effects are measured.</w:t>
      </w:r>
    </w:p>
    <w:p>
      <w:pPr>
        <w:pStyle w:val="BodyText"/>
        <w:spacing w:line="480" w:lineRule="auto"/>
        <w:ind w:firstLine="720"/>
      </w:pPr>
      <w:r>
        <w:t xml:space="preserve">One more pattern deserves attention: the intentionality finding reported descriptively in paper two’s section five carries the same operational significance that quasi-separation carries in paper one. All six coded intentional kinetic actions in the sample, including the Fengyun-1C and Cosmos-1408 intercepts and the closely related declared events</w:t>
      </w:r>
      <w:r>
        <w:t xml:space="preserve"> </w:t>
      </w:r>
      <w:hyperlink w:anchor="ref-27">
        <w:r>
          <w:rPr>
            <w:rStyle w:val="Hyperlink"/>
          </w:rPr>
          <w:t xml:space="preserve">[27]</w:t>
        </w:r>
      </w:hyperlink>
      <w:r>
        <w:t xml:space="preserve">[28], resolved to publicly attributed responsibility. The pattern is uniform. It cannot be entered into a logit specification without producing complete separation and inflating the standard error of the intentionality coefficient to indeterminacy, but its uniformity is itself a finding. The dissertation’s network treats declared intentionality as a separate, dominant evidence channel rather than as a continuous predictor, and the paper two record supports that design choice directly.</w:t>
      </w:r>
    </w:p>
    <w:bookmarkEnd w:id="107"/>
    <w:bookmarkEnd w:id="108"/>
    <w:bookmarkStart w:id="109" w:name="Xa414b32997d120f993ed2075380176c5bd74242"/>
    <w:p>
      <w:pPr>
        <w:pStyle w:val="Heading2"/>
        <w:spacing w:line="480" w:lineRule="auto"/>
      </w:pPr>
      <w:r>
        <w:t xml:space="preserve">6.3 Joint Interpretation and Implications for the Network</w:t>
      </w:r>
    </w:p>
    <w:p>
      <w:pPr>
        <w:pStyle w:val="FirstParagraph"/>
        <w:spacing w:line="480" w:lineRule="auto"/>
      </w:pPr>
      <w:r>
        <w:t xml:space="preserve">Together, the two papers describe complementary slices of the empirical structure of attribution. Paper one identifies the features of the reporting environment that govern whether the system converges on a named source, with a substantial joint fit of 0.534 in the McFadden pseudo R-squared and large but well-identified point estimates on sensor diversity and multi-party involvement. Paper two identifies the features of the event itself that govern attribution, with a more modest joint fit of 0.176 but with two effects, on logged fragment count and on years since event, that are at or near the conventional five-percent significance threshold and that point unambiguously in the directions that the observability-driven theoretical apparatus predicts.</w:t>
      </w:r>
    </w:p>
    <w:p>
      <w:pPr>
        <w:pStyle w:val="BodyText"/>
        <w:spacing w:line="480" w:lineRule="auto"/>
        <w:ind w:firstLine="720"/>
      </w:pPr>
      <w:r>
        <w:t xml:space="preserve">Three implications for the Bayesian network developed in chapters four through six of the dissertation follow directly from the estimator outputs. First, the network’s posterior should depend more heavily on observation nodes derived from the sensor record than on observation nodes derived from intrinsic properties of the event, because the reporting environment carries more discriminative information than the event itself. The pseudo R-squared differential between paper one and paper two is the empirical anchor for this design choice. Second, the network’s temporal prior on the responsibility node should decay in the time since the event at a rate calibrated against the negative 0.0565 log-odds-per-year coefficient from paper two, which provides the only direct estimate of the rate at which ambiguity hardens. Third, the network should treat declared intentionality and high sensor diversity as quasi-deterministic evidence channels rather than as continuous predictors, because both features behave as near-categorical determinants of attribution in their respective samples, and any smoothing of their conditional probability tables would erase precisely the structural information that the logits identify as carrying most of their discriminative power.</w:t>
      </w:r>
    </w:p>
    <w:p>
      <w:pPr>
        <w:pStyle w:val="BodyText"/>
        <w:spacing w:line="480" w:lineRule="auto"/>
        <w:ind w:firstLine="720"/>
      </w:pPr>
      <w:r>
        <w:t xml:space="preserve">These findings also constrain the falsifiable contribution that the dissertation advances. The Bayesian network’s claim to improve on a likelihood-only baseline on strictly proper scoring rules will rest in part on its ability to absorb the structural priors identified here. A network that respects the empirical patterns documented in this chapter should outperform a likelihood-only baseline by a margin that exceeds the pre-registered bootstrap noise threshold. A network that does not respect these priors should fail to improve on the baseline, and the dissertation’s H1 should be rejected. The empirical priors documented in paper one and paper two are therefore not auxiliary descriptive material; they are the structural specification against which the inferential network’s performance is testable.</w:t>
      </w:r>
    </w:p>
    <w:p>
      <w:pPr>
        <w:pStyle w:val="BodyText"/>
        <w:spacing w:line="480" w:lineRule="auto"/>
        <w:ind w:firstLine="720"/>
      </w:pPr>
      <w:r>
        <w:t xml:space="preserve">Limitations bound these implications. Both samples are drawn from the documented public record, and both inherit the selection that the source institutions apply when they decide which events to characterize and which to leave open</w:t>
      </w:r>
      <w:r>
        <w:t xml:space="preserve"> </w:t>
      </w:r>
      <w:hyperlink w:anchor="ref-21">
        <w:r>
          <w:rPr>
            <w:rStyle w:val="Hyperlink"/>
          </w:rPr>
          <w:t xml:space="preserve">[21]</w:t>
        </w:r>
      </w:hyperlink>
      <w:r>
        <w:t xml:space="preserve">[25][29]. Paper one’s catalogue fragment count was dropped to resolve separation, and a richer specification on a larger sample could plausibly recover its independent contribution. Paper two’s intentionality channel could not be estimated because of complete separation, and its operational role in the network rests on the descriptive uniformity of the six coded intentional events rather than on an estimated coefficient. The dissertation’s later chapters extend the empirical foundation through the synthetic injection set and the held-out cislunar fragmentation anchor, both of which mitigate the small-sample limitations identified here.</w:t>
      </w:r>
    </w:p>
    <w:p>
      <w:pPr>
        <w:pStyle w:val="BodyText"/>
        <w:spacing w:line="480" w:lineRule="auto"/>
        <w:ind w:firstLine="720"/>
      </w:pPr>
      <w:r>
        <w:t xml:space="preserve">Between them, the two logits report a coherent empirical picture: confident attribution in the orbital record is concentrated where the sensor architecture saw the event in depth, where the operator context was structurally simple, where the fragmentation produced a rich catalogue trail, and where the post-event interval has been short. Where any of these conditions fail, attribution fails. The Bayesian network developed in the remainder of the dissertation is the inference object that converts this empirical pattern into calibrated posteriors over responsibility hypotheses, and the priors that the network must respect are the priors that the two logits identify.</w:t>
      </w:r>
    </w:p>
    <w:bookmarkEnd w:id="109"/>
    <w:bookmarkEnd w:id="110"/>
    <w:bookmarkStart w:id="118" w:name="X21322cb5e29cbf4eb576afddcad42f86ace4e0d"/>
    <w:p>
      <w:pPr>
        <w:pStyle w:val="Heading1"/>
        <w:spacing w:line="480" w:lineRule="auto"/>
      </w:pPr>
      <w:r>
        <w:t xml:space="preserve">Chapter 7. Discussion and Governance Implications</w:t>
      </w:r>
    </w:p>
    <w:bookmarkStart w:id="111" w:name="restating-the-inferential-object"/>
    <w:p>
      <w:pPr>
        <w:pStyle w:val="Heading2"/>
        <w:spacing w:line="480" w:lineRule="auto"/>
      </w:pPr>
      <w:r>
        <w:t xml:space="preserve">7.1 Restating the Inferential Object</w:t>
      </w:r>
    </w:p>
    <w:p>
      <w:pPr>
        <w:pStyle w:val="FirstParagraph"/>
        <w:spacing w:line="480" w:lineRule="auto"/>
      </w:pPr>
      <w:r>
        <w:t xml:space="preserve">This dissertation has advanced a single falsifiable claim: that a structured Bayesian network conditioned on cislunar tracking residuals and fragmentation features produces attribution posteriors that outperform a likelihood-only baseline on strictly proper scoring rules. The two supporting empirical papers situated that claim against the documented historical record of orbital attribution outcomes and against the structural features that predict whether the reporting community converges on a named source. The findings cohere across all three layers. The descriptive logit on thirty events showed that sensor diversity, altitude, and multi-party involvement jointly explain a substantial share of the variation in whether an event is publicly attributed, with a pseudo R squared of 0.534 on the full sample. The companion logit on thirty-six fragmentation events showed that fragment count predicts attribution in the direction the observability-driven account anticipates, with a coefficient of 0.410 and a p value of 0.061, while years elapsed without attribution carries a coefficient of negative 0.0565 and a p value of 0.054. The Bayesian network developed in the methodological chapters then produced posteriors that improved on the likelihood-only baseline by the pre-registered margin on the held-out partition reconstructed from the Gambarotto et al. cislunar fragmentation monitoring dataset</w:t>
      </w:r>
      <w:r>
        <w:t xml:space="preserve"> </w:t>
      </w:r>
      <w:hyperlink w:anchor="ref-7">
        <w:r>
          <w:rPr>
            <w:rStyle w:val="Hyperlink"/>
          </w:rPr>
          <w:t xml:space="preserve">[7]</w:t>
        </w:r>
      </w:hyperlink>
      <w:r>
        <w:t xml:space="preserve">.</w:t>
      </w:r>
    </w:p>
    <w:p>
      <w:pPr>
        <w:pStyle w:val="BodyText"/>
        <w:spacing w:line="480" w:lineRule="auto"/>
        <w:ind w:firstLine="720"/>
      </w:pPr>
      <w:r>
        <w:t xml:space="preserve">This chapter translates those technical results into operational implications for NASA program management and for decision-making at the Jet Propulsion Laboratory, records the limitations that bound the translation, and identifies the research that the dissertation does not foreclose. The discussion is deliberately bounded. The attribution network is a calibrated inference object, not a policy verdict, and the chapter treats it accordingly throughout.</w:t>
      </w:r>
    </w:p>
    <w:bookmarkEnd w:id="111"/>
    <w:bookmarkStart w:id="112" w:name="implications-for-nasa-program-management"/>
    <w:p>
      <w:pPr>
        <w:pStyle w:val="Heading2"/>
        <w:spacing w:line="480" w:lineRule="auto"/>
      </w:pPr>
      <w:r>
        <w:t xml:space="preserve">7.2 Implications for NASA Program Management</w:t>
      </w:r>
    </w:p>
    <w:p>
      <w:pPr>
        <w:pStyle w:val="FirstParagraph"/>
        <w:spacing w:line="480" w:lineRule="auto"/>
      </w:pPr>
      <w:r>
        <w:t xml:space="preserve">NASA program management sits at a particular junction in the cislunar transition. The agency is simultaneously a launching state under the Liability Convention, a custodian of the longest continuous public record of orbital fragmentation through the Orbital Debris Program Office quarterly archive</w:t>
      </w:r>
      <w:r>
        <w:t xml:space="preserve"> </w:t>
      </w:r>
      <w:hyperlink w:anchor="ref-25">
        <w:r>
          <w:rPr>
            <w:rStyle w:val="Hyperlink"/>
          </w:rPr>
          <w:t xml:space="preserve">[25]</w:t>
        </w:r>
      </w:hyperlink>
      <w:r>
        <w:t xml:space="preserve">, and the host institution for several mission directorates whose lunar and cislunar campaigns are expected to generate the population of objects whose behaviors the attribution network is designed to interpret. Three program-level implications follow from the dissertation’s findings.</w:t>
      </w:r>
    </w:p>
    <w:p>
      <w:pPr>
        <w:pStyle w:val="BodyText"/>
        <w:spacing w:line="480" w:lineRule="auto"/>
        <w:ind w:firstLine="720"/>
      </w:pPr>
      <w:r>
        <w:t xml:space="preserve">First, calibrated posteriors belong in program risk registers. NASA program managers currently receive attribution information in two forms: catalogued state estimates and their covariances, and qualitative public assessments derived from the broader reporting community. The dissertation’s logit findings show that the structural features driving whether the latter form converges on a confident attribution are predictable. Events at higher altitudes, events with thinner sensor diversity, and events involving multiple operators are systematically less likely to be publicly attributed. For a program manager assembling a risk register for an Artemis-adjacent cislunar mission or for a Gateway logistics element, this implies that the absence of a confident public attribution for a nearby anomalous behavior should not be read as evidence that the behavior is unattributable. The structural environment of cislunar SDA, characterized in the architecture studies by sparse sensor coverage and operationally costly maintenance of custody</w:t>
      </w:r>
      <w:r>
        <w:t xml:space="preserve"> </w:t>
      </w:r>
      <w:hyperlink w:anchor="ref-1">
        <w:r>
          <w:rPr>
            <w:rStyle w:val="Hyperlink"/>
          </w:rPr>
          <w:t xml:space="preserve">[1]</w:t>
        </w:r>
      </w:hyperlink>
      <w:r>
        <w:t xml:space="preserve">[3][5][6], is precisely the environment in which the dissertation’s logit predicts that the public attribution rate will be low.</w:t>
      </w:r>
    </w:p>
    <w:p>
      <w:pPr>
        <w:pStyle w:val="BodyText"/>
        <w:spacing w:line="480" w:lineRule="auto"/>
        <w:ind w:firstLine="720"/>
      </w:pPr>
      <w:r>
        <w:t xml:space="preserve">So the calibrated posterior produced by the Bayesian network is the appropriate input to the risk register, because it converts the ambiguous evidentiary environment into a probability distribution that the program manager can act on rather than into a binary attribution that the environment will not reliably support.</w:t>
      </w:r>
    </w:p>
    <w:p>
      <w:pPr>
        <w:pStyle w:val="BodyText"/>
        <w:spacing w:line="480" w:lineRule="auto"/>
        <w:ind w:firstLine="720"/>
      </w:pPr>
      <w:r>
        <w:t xml:space="preserve">Second, attribution review belongs early in the calendar. The two empirical papers found that time without attribution is itself a signal, with each additional year reducing the log-odds of eventual public attribution by approximately 0.057. The implication for NASA mission assurance is that the calendar of attribution review should be front-loaded. A cislunar anomaly that is not assigned a calibrated posterior in the weeks immediately following its detection is likely to be assigned one later only with substantially weaker evidence, because the evidentiary trail thins as the regime evolves and because the sensor network’s revisit cadence for cislunar volumes will not generate the dense forensic record that low Earth orbit fragmentations have produced</w:t>
      </w:r>
      <w:r>
        <w:t xml:space="preserve"> </w:t>
      </w:r>
      <w:hyperlink w:anchor="ref-4">
        <w:r>
          <w:rPr>
            <w:rStyle w:val="Hyperlink"/>
          </w:rPr>
          <w:t xml:space="preserve">[4]</w:t>
        </w:r>
      </w:hyperlink>
      <w:r>
        <w:t xml:space="preserve">[17][26]. Waiting costs information. NASA program offices that wait for the public reporting community to converge before initiating internal attribution work will systematically receive less informative inputs than program offices that run the calibrated network in parallel with the public record.</w:t>
      </w:r>
    </w:p>
    <w:p>
      <w:pPr>
        <w:pStyle w:val="BodyText"/>
        <w:spacing w:line="480" w:lineRule="auto"/>
        <w:ind w:firstLine="720"/>
      </w:pPr>
      <w:r>
        <w:t xml:space="preserve">Third, registry data deserves scrutiny as a categorical prior. The dissertation operationalizes operator identity as a node whose prior is conditioned on the open registration record. For NASA, this is a comparatively benign treatment because the agency’s own missions are registered in detail and its launching state record is complete. The implication is that NASA-launched objects will enter the network with sharp categorical priors and will be correctly absorbed into the operator node. The implication is less benign for the broader cislunar population. As commercial lunar logistics, international crewed elements, and uncrewed scientific payloads accumulate, the operator node will be conditioned on a registry that the governance literature has identified as incomplete and contested</w:t>
      </w:r>
      <w:r>
        <w:t xml:space="preserve"> </w:t>
      </w:r>
      <w:hyperlink w:anchor="ref-8">
        <w:r>
          <w:rPr>
            <w:rStyle w:val="Hyperlink"/>
          </w:rPr>
          <w:t xml:space="preserve">[8]</w:t>
        </w:r>
      </w:hyperlink>
      <w:r>
        <w:t xml:space="preserve">[9][11][12]. NASA program management can mitigate this by treating the network’s output as a posterior over operator hypotheses rather than as a point identification, and by ensuring that internal cross-program coordination treats ambiguous attribution as the operationally normal state rather than as a deficiency to be eliminated. The descriptive uniformity that all six coded intentional kinetic actions in the second empirical paper resolved to public attribution is informative here: declared intentional actions dominate the posterior, but the cislunar regime will not produce that population at the same density that low Earth orbit has, and the agency’s attribution culture should be calibrated to the regime it actually operates in rather than to the regime its historical record was built in.</w:t>
      </w:r>
    </w:p>
    <w:p>
      <w:pPr>
        <w:pStyle w:val="BodyText"/>
        <w:spacing w:line="480" w:lineRule="auto"/>
        <w:ind w:firstLine="720"/>
      </w:pPr>
      <w:r>
        <w:t xml:space="preserve">A fourth implication, secondary but operationally consequential, concerns the agency’s interaction with the international reporting community. The Liability Convention assigns formal responsibility to launching states</w:t>
      </w:r>
      <w:r>
        <w:t xml:space="preserve"> </w:t>
      </w:r>
      <w:hyperlink w:anchor="ref-24">
        <w:r>
          <w:rPr>
            <w:rStyle w:val="Hyperlink"/>
          </w:rPr>
          <w:t xml:space="preserve">[24]</w:t>
        </w:r>
      </w:hyperlink>
      <w:r>
        <w:t xml:space="preserve">, but the operational machinery of attribution is distributed across national space-tracking authorities, commercial providers, and the academic and conference literature that the dissertation has surveyed</w:t>
      </w:r>
      <w:r>
        <w:t xml:space="preserve"> </w:t>
      </w:r>
      <w:hyperlink w:anchor="ref-13">
        <w:r>
          <w:rPr>
            <w:rStyle w:val="Hyperlink"/>
          </w:rPr>
          <w:t xml:space="preserve">[13]</w:t>
        </w:r>
      </w:hyperlink>
      <w:r>
        <w:t xml:space="preserve">[14][15][16][22][28]. NASA’s institutional position as a launching state and as a host of the longest public fragmentation record gives it a comparative advantage in providing calibrated attribution inputs to the broader community. The dissertation does not recommend that the agency adopt a unilateral attribution role, which would exceed the bounded inferential claims of the work, but it does support the more modest implication that NASA’s publication of calibrated posteriors, with their pre-registered scoring rule performance, would raise the floor on the evidentiary quality of the public reporting environment.</w:t>
      </w:r>
    </w:p>
    <w:bookmarkEnd w:id="112"/>
    <w:bookmarkStart w:id="113" w:name="implications-for-jpl-decision-making"/>
    <w:p>
      <w:pPr>
        <w:pStyle w:val="Heading2"/>
        <w:spacing w:line="480" w:lineRule="auto"/>
      </w:pPr>
      <w:r>
        <w:t xml:space="preserve">7.3 Implications for JPL Decision-Making</w:t>
      </w:r>
    </w:p>
    <w:p>
      <w:pPr>
        <w:pStyle w:val="FirstParagraph"/>
        <w:spacing w:line="480" w:lineRule="auto"/>
      </w:pPr>
      <w:r>
        <w:t xml:space="preserve">JPL operates at a different layer of the cislunar attribution problem than the agency level. The laboratory is a mission implementer whose responsibilities include the design, navigation, and operations of deep space and cislunar missions, and whose engineering culture has long internalized the Bayesian framing of estimation under uncertainty in the orbit determination tradition</w:t>
      </w:r>
      <w:r>
        <w:t xml:space="preserve"> </w:t>
      </w:r>
      <w:hyperlink w:anchor="ref-2">
        <w:r>
          <w:rPr>
            <w:rStyle w:val="Hyperlink"/>
          </w:rPr>
          <w:t xml:space="preserve">[2]</w:t>
        </w:r>
      </w:hyperlink>
      <w:r>
        <w:t xml:space="preserve">[14][41][42]. Three implications follow at the laboratory level.</w:t>
      </w:r>
    </w:p>
    <w:p>
      <w:pPr>
        <w:pStyle w:val="BodyText"/>
        <w:spacing w:line="480" w:lineRule="auto"/>
        <w:ind w:firstLine="720"/>
      </w:pPr>
      <w:r>
        <w:t xml:space="preserve">First, the attribution network integrates with existing navigation and orbit determination pipelines. The Bayesian network specified in this dissertation is not a replacement for orbit determination. It sits above the state estimate and consumes the residuals and covariances that orbit determination produces. For JPL navigation teams, the operational implication is that the laboratory’s existing pipelines can serve as the lower layer of the inference stack without modification, and the attribution network can be deployed as a downstream consumer that accepts the navigation outputs as observations. The dissertation’s likelihood-only baseline is essentially what a JPL navigation team currently produces when asked to identify the source of an observed cislunar behavior: a maximum-likelihood assignment over a hypothesis space using only the state estimate and its covariance. The held-out evaluation showed that this baseline is improvable. The implication for JPL is that the calibrated posterior is a strictly additive product that does not require the navigation team to give up the estimation tradition it has built, and that the improvement is measurable on strictly proper scoring rules.</w:t>
      </w:r>
    </w:p>
    <w:p>
      <w:pPr>
        <w:pStyle w:val="BodyText"/>
        <w:spacing w:line="480" w:lineRule="auto"/>
        <w:ind w:firstLine="720"/>
      </w:pPr>
      <w:r>
        <w:t xml:space="preserve">Second, the network earns a place in mission design trade studies. JPL’s mission design culture treats trade studies as the primary mechanism for binding requirements to architecture decisions. The cislunar SDA architecture literature has shown that sensor placement, custody maintenance, and operational cost are tightly coupled</w:t>
      </w:r>
      <w:r>
        <w:t xml:space="preserve"> </w:t>
      </w:r>
      <w:hyperlink w:anchor="ref-1">
        <w:r>
          <w:rPr>
            <w:rStyle w:val="Hyperlink"/>
          </w:rPr>
          <w:t xml:space="preserve">[1]</w:t>
        </w:r>
      </w:hyperlink>
      <w:r>
        <w:t xml:space="preserve">[3][5][6], and the dissertation’s robustness program included a leave-one-architecture-out evaluation across the constellation designs in</w:t>
      </w:r>
      <w:r>
        <w:t xml:space="preserve"> </w:t>
      </w:r>
      <w:hyperlink w:anchor="ref-3">
        <w:r>
          <w:rPr>
            <w:rStyle w:val="Hyperlink"/>
          </w:rPr>
          <w:t xml:space="preserve">[3]</w:t>
        </w:r>
      </w:hyperlink>
      <w:r>
        <w:t xml:space="preserve"> </w:t>
      </w:r>
      <w:r>
        <w:t xml:space="preserve">and</w:t>
      </w:r>
      <w:r>
        <w:t xml:space="preserve"> </w:t>
      </w:r>
      <w:hyperlink w:anchor="ref-6">
        <w:r>
          <w:rPr>
            <w:rStyle w:val="Hyperlink"/>
          </w:rPr>
          <w:t xml:space="preserve">[6]</w:t>
        </w:r>
      </w:hyperlink>
      <w:r>
        <w:t xml:space="preserve">. The implication for JPL mission design is that the attribution network can be used as an evaluator of proposed sensor architectures for downstream missions. A proposed Gateway-resident sensor element, a proposed lunar surface optical element</w:t>
      </w:r>
      <w:r>
        <w:t xml:space="preserve"> </w:t>
      </w:r>
      <w:hyperlink w:anchor="ref-3">
        <w:r>
          <w:rPr>
            <w:rStyle w:val="Hyperlink"/>
          </w:rPr>
          <w:t xml:space="preserve">[3]</w:t>
        </w:r>
      </w:hyperlink>
      <w:r>
        <w:t xml:space="preserve">, or a proposed distributed space-based network</w:t>
      </w:r>
      <w:r>
        <w:t xml:space="preserve"> </w:t>
      </w:r>
      <w:hyperlink w:anchor="ref-5">
        <w:r>
          <w:rPr>
            <w:rStyle w:val="Hyperlink"/>
          </w:rPr>
          <w:t xml:space="preserve">[5]</w:t>
        </w:r>
      </w:hyperlink>
      <w:r>
        <w:t xml:space="preserve"> </w:t>
      </w:r>
      <w:r>
        <w:t xml:space="preserve">can be scored not only on its orbit determination performance but also on the calibrated posterior performance of the attribution layer it feeds. The trade study output therefore becomes a two-dimensional surface in which raw state-estimation accuracy is paired with attribution informativeness, and architecture decisions can be made against both axes simultaneously. This is a non-trivial extension of the existing trade study culture, but it is one that the dissertation’s methodology supports directly.</w:t>
      </w:r>
    </w:p>
    <w:p>
      <w:pPr>
        <w:pStyle w:val="BodyText"/>
        <w:spacing w:line="480" w:lineRule="auto"/>
        <w:ind w:firstLine="720"/>
      </w:pPr>
      <w:r>
        <w:t xml:space="preserve">Third, the laboratory can carry the network into sensor tasking decision support. The evidence-based sensor tasking literature has shown that the choice of which object to observe at which moment is itself a posterior inference problem</w:t>
      </w:r>
      <w:r>
        <w:t xml:space="preserve"> </w:t>
      </w:r>
      <w:hyperlink w:anchor="ref-30">
        <w:r>
          <w:rPr>
            <w:rStyle w:val="Hyperlink"/>
          </w:rPr>
          <w:t xml:space="preserve">[30]</w:t>
        </w:r>
      </w:hyperlink>
      <w:r>
        <w:t xml:space="preserve">[31][33]. JPL is well positioned to integrate the dissertation’s attribution network into the tasking layer because the laboratory already operates the navigation infrastructure on which both estimation and tasking depend. The operational implication is that the network can produce a value-of-information signal that ranks candidate observations by their expected contribution to the responsibility posterior. A cislunar observation that would sharply discriminate between two operator hypotheses is more valuable to the tasking layer than an observation that would refine an already concentrated posterior. The dissertation does not implement this tasking application, but its inferential machinery is compatible with the cognitive systems engineering frame in which JPL decision support has historically been developed</w:t>
      </w:r>
      <w:r>
        <w:t xml:space="preserve"> </w:t>
      </w:r>
      <w:hyperlink w:anchor="ref-31">
        <w:r>
          <w:rPr>
            <w:rStyle w:val="Hyperlink"/>
          </w:rPr>
          <w:t xml:space="preserve">[31]</w:t>
        </w:r>
      </w:hyperlink>
      <w:r>
        <w:t xml:space="preserve">.</w:t>
      </w:r>
    </w:p>
    <w:p>
      <w:pPr>
        <w:pStyle w:val="BodyText"/>
        <w:spacing w:line="480" w:lineRule="auto"/>
        <w:ind w:firstLine="720"/>
      </w:pPr>
      <w:r>
        <w:t xml:space="preserve">A fourth implication is institutional. JPL’s recompete environment places a premium on the laboratory’s ability to demonstrate that its analytical methods are reproducible, falsifiable, and bounded against overreach. The pre-registration discipline embedded in the dissertation, with its filed hypothesis statement, test partition definition, scoring rules, bootstrap configuration, and noise margin, is precisely the kind of methodological hygiene that an FFRDC environment rewards.</w:t>
      </w:r>
    </w:p>
    <w:p>
      <w:pPr>
        <w:pStyle w:val="BodyText"/>
        <w:spacing w:line="480" w:lineRule="auto"/>
        <w:ind w:firstLine="720"/>
      </w:pPr>
      <w:r>
        <w:t xml:space="preserve">For JPL leadership the implication is that the attribution network is not only technically useful but institutionally defensible. The network can be deployed, evaluated, and updated against held-out evidence without exposing the laboratory to claims of unprincipled overreach in a domain where attribution carries diplomatic and legal weight.</w:t>
      </w:r>
    </w:p>
    <w:bookmarkEnd w:id="113"/>
    <w:bookmarkStart w:id="114" w:name="X33f85c9334df71f67b2b1ff2fd151d59cfce31d"/>
    <w:p>
      <w:pPr>
        <w:pStyle w:val="Heading2"/>
        <w:spacing w:line="480" w:lineRule="auto"/>
      </w:pPr>
      <w:r>
        <w:t xml:space="preserve">7.4 Cross-Cutting Implications for the Cislunar Governance Environment</w:t>
      </w:r>
    </w:p>
    <w:p>
      <w:pPr>
        <w:pStyle w:val="FirstParagraph"/>
        <w:spacing w:line="480" w:lineRule="auto"/>
      </w:pPr>
      <w:r>
        <w:t xml:space="preserve">Bounded as the dissertation is against policy claims, several cross-cutting implications for the cislunar governance environment follow without exceeding that boundary. The Liability Convention assigns responsibility to launching states under a framework that predates the cislunar transition by more than half a century</w:t>
      </w:r>
      <w:r>
        <w:t xml:space="preserve"> </w:t>
      </w:r>
      <w:hyperlink w:anchor="ref-24">
        <w:r>
          <w:rPr>
            <w:rStyle w:val="Hyperlink"/>
          </w:rPr>
          <w:t xml:space="preserve">[24]</w:t>
        </w:r>
      </w:hyperlink>
      <w:r>
        <w:t xml:space="preserve">. The orbital capacity literature has begun to revisit the convention in light of the contemporary congestion and the diversification of operators</w:t>
      </w:r>
      <w:r>
        <w:t xml:space="preserve"> </w:t>
      </w:r>
      <w:hyperlink w:anchor="ref-8">
        <w:r>
          <w:rPr>
            <w:rStyle w:val="Hyperlink"/>
          </w:rPr>
          <w:t xml:space="preserve">[8]</w:t>
        </w:r>
      </w:hyperlink>
      <w:r>
        <w:t xml:space="preserve">[19][20]. The attribution network developed here does not adjudicate liability, but it does provide a calibrated input to the evidentiary question on which any liability determination ultimately rests. The orbital data precision literature has documented the dependence of any attribution chain on the underlying state uncertainty</w:t>
      </w:r>
      <w:r>
        <w:t xml:space="preserve"> </w:t>
      </w:r>
      <w:hyperlink w:anchor="ref-14">
        <w:r>
          <w:rPr>
            <w:rStyle w:val="Hyperlink"/>
          </w:rPr>
          <w:t xml:space="preserve">[14]</w:t>
        </w:r>
      </w:hyperlink>
      <w:r>
        <w:t xml:space="preserve">, and the conjunction risk literature has shown that probability of collision models depend on covariance characterization at closest approach</w:t>
      </w:r>
      <w:r>
        <w:t xml:space="preserve"> </w:t>
      </w:r>
      <w:hyperlink w:anchor="ref-13">
        <w:r>
          <w:rPr>
            <w:rStyle w:val="Hyperlink"/>
          </w:rPr>
          <w:t xml:space="preserve">[13]</w:t>
        </w:r>
      </w:hyperlink>
      <w:r>
        <w:t xml:space="preserve">[15]. The network sits inside that evidentiary chain and produces a posterior that downstream legal and diplomatic processes can either accept, reject, or refine. The work supports the broader governance literature’s call for a probabilistic and calibrated attribution layer without claiming that the layer is sufficient to discharge the convention’s obligations on its own.</w:t>
      </w:r>
    </w:p>
    <w:p>
      <w:pPr>
        <w:pStyle w:val="BodyText"/>
        <w:spacing w:line="480" w:lineRule="auto"/>
        <w:ind w:firstLine="720"/>
      </w:pPr>
      <w:r>
        <w:t xml:space="preserve">Cyber operations introduce a further layer that the dissertation does not address but that the network’s architecture accommodates. The emerging governance literature on cyber operations in outer space has identified attribution under ambiguity as the structural problem for any future cyber norm regime</w:t>
      </w:r>
      <w:r>
        <w:t xml:space="preserve"> </w:t>
      </w:r>
      <w:hyperlink w:anchor="ref-38">
        <w:r>
          <w:rPr>
            <w:rStyle w:val="Hyperlink"/>
          </w:rPr>
          <w:t xml:space="preserve">[38]</w:t>
        </w:r>
      </w:hyperlink>
      <w:r>
        <w:t xml:space="preserve">. The extension is straightforward in principle. The network’s causal mechanism node can absorb a cyber causal hypothesis as an additional category, with conditional probability tables elicited from the cyber operations literature. The dissertation does not build this extension. It does identify it as a natural growth path for the inferential object.</w:t>
      </w:r>
    </w:p>
    <w:bookmarkEnd w:id="114"/>
    <w:bookmarkStart w:id="115" w:name="limitations"/>
    <w:p>
      <w:pPr>
        <w:pStyle w:val="Heading2"/>
        <w:spacing w:line="480" w:lineRule="auto"/>
      </w:pPr>
      <w:r>
        <w:t xml:space="preserve">7.5 Limitations</w:t>
      </w:r>
    </w:p>
    <w:p>
      <w:pPr>
        <w:pStyle w:val="FirstParagraph"/>
        <w:spacing w:line="480" w:lineRule="auto"/>
      </w:pPr>
      <w:r>
        <w:t xml:space="preserve">Limitations are several, and they are recorded here directly rather than mitigated rhetorically. The first is the construct validity of the responsibility variable. Responsibility is a legal and political construct that the dissertation operationalizes as a discrete categorical label over operator and causal mechanism. The operationalization is defensible for inferential purposes but is coarser than the construct as it appears in the Liability Convention</w:t>
      </w:r>
      <w:r>
        <w:t xml:space="preserve"> </w:t>
      </w:r>
      <w:hyperlink w:anchor="ref-24">
        <w:r>
          <w:rPr>
            <w:rStyle w:val="Hyperlink"/>
          </w:rPr>
          <w:t xml:space="preserve">[24]</w:t>
        </w:r>
      </w:hyperlink>
      <w:r>
        <w:t xml:space="preserve"> </w:t>
      </w:r>
      <w:r>
        <w:t xml:space="preserve">or in the broader governance discourse</w:t>
      </w:r>
      <w:r>
        <w:t xml:space="preserve"> </w:t>
      </w:r>
      <w:hyperlink w:anchor="ref-8">
        <w:r>
          <w:rPr>
            <w:rStyle w:val="Hyperlink"/>
          </w:rPr>
          <w:t xml:space="preserve">[8]</w:t>
        </w:r>
      </w:hyperlink>
      <w:r>
        <w:t xml:space="preserve">[9][11][12]. Claims about the network’s performance should be read as claims about the operationalized construct, not about the legal or political construct in full generality.</w:t>
      </w:r>
    </w:p>
    <w:p>
      <w:pPr>
        <w:pStyle w:val="BodyText"/>
        <w:spacing w:line="480" w:lineRule="auto"/>
        <w:ind w:firstLine="720"/>
      </w:pPr>
      <w:r>
        <w:t xml:space="preserve">The second is the size of the documented attribution sample. The two empirical papers together cover sixty-six events drawn from the documented public record. The samples are population descriptions rather than draws from a hypothetical superset, and the standard errors on several coefficients are correspondingly large. The pseudo R squared values, at 0.534 and 0.176 respectively, are the more reliable summary statistics at these sample sizes, but neither paper supports a confident inference about effects whose magnitudes are smaller than the joint structural features the regressions capture. The dissertation has been explicit that none of the individual coefficients in the first empirical paper reaches conventional statistical significance and that two of the three coefficients in the second empirical paper sit at the threshold of conventional significance.</w:t>
      </w:r>
    </w:p>
    <w:p>
      <w:pPr>
        <w:pStyle w:val="BodyText"/>
        <w:spacing w:line="480" w:lineRule="auto"/>
        <w:ind w:firstLine="720"/>
      </w:pPr>
      <w:r>
        <w:t xml:space="preserve">The third is the realism of the synthetic injection set used to train the Bayesian network. The set is generated from published architecture studies</w:t>
      </w:r>
      <w:r>
        <w:t xml:space="preserve"> </w:t>
      </w:r>
      <w:hyperlink w:anchor="ref-1">
        <w:r>
          <w:rPr>
            <w:rStyle w:val="Hyperlink"/>
          </w:rPr>
          <w:t xml:space="preserve">[1]</w:t>
        </w:r>
      </w:hyperlink>
      <w:r>
        <w:t xml:space="preserve">[3][5][6] and inherits their assumptions about sensor performance and orbital dynamics. The held-out anchor in the Gambarotto et al. cislunar fragmentation dataset</w:t>
      </w:r>
      <w:r>
        <w:t xml:space="preserve"> </w:t>
      </w:r>
      <w:hyperlink w:anchor="ref-7">
        <w:r>
          <w:rPr>
            <w:rStyle w:val="Hyperlink"/>
          </w:rPr>
          <w:t xml:space="preserve">[7]</w:t>
        </w:r>
      </w:hyperlink>
      <w:r>
        <w:t xml:space="preserve"> </w:t>
      </w:r>
      <w:r>
        <w:t xml:space="preserve">partially mitigates this, but generalization to operational cislunar surveillance is bounded by the gap between the published architectures and the systems that will ultimately be fielded. The robustness program included a leave-one-architecture-out evaluation, but no robustness program can eliminate the dependence of a synthetic injection on the assumptions of the simulations from which it is generated.</w:t>
      </w:r>
    </w:p>
    <w:p>
      <w:pPr>
        <w:pStyle w:val="BodyText"/>
        <w:spacing w:line="480" w:lineRule="auto"/>
        <w:ind w:firstLine="720"/>
      </w:pPr>
      <w:r>
        <w:t xml:space="preserve">The fourth is prior elicitation. The conditional probability tables for the latent layer of the network were derived from a narrow corpus and may encode the priors of the cislunar SDA architecture community. The sensitivity analysis on the elicited tables, together with the pre-registration document that recorded the priors before evaluation, is the primary defense, but the defense is not airtight.</w:t>
      </w:r>
    </w:p>
    <w:p>
      <w:pPr>
        <w:pStyle w:val="BodyText"/>
        <w:spacing w:line="480" w:lineRule="auto"/>
        <w:ind w:firstLine="720"/>
      </w:pPr>
      <w:r>
        <w:t xml:space="preserve">A different elicitation community, drawn for example from the orbital capacity governance literature</w:t>
      </w:r>
      <w:r>
        <w:t xml:space="preserve"> </w:t>
      </w:r>
      <w:hyperlink w:anchor="ref-8">
        <w:r>
          <w:rPr>
            <w:rStyle w:val="Hyperlink"/>
          </w:rPr>
          <w:t xml:space="preserve">[8]</w:t>
        </w:r>
      </w:hyperlink>
      <w:r>
        <w:t xml:space="preserve">[19][20] or from the open-source counterspace assessment community</w:t>
      </w:r>
      <w:r>
        <w:t xml:space="preserve"> </w:t>
      </w:r>
      <w:hyperlink w:anchor="ref-28">
        <w:r>
          <w:rPr>
            <w:rStyle w:val="Hyperlink"/>
          </w:rPr>
          <w:t xml:space="preserve">[28]</w:t>
        </w:r>
      </w:hyperlink>
      <w:r>
        <w:t xml:space="preserve">, might produce conditional probability tables that shift the posterior in ways the sensitivity analysis bounds but does not eliminate.</w:t>
      </w:r>
    </w:p>
    <w:p>
      <w:pPr>
        <w:pStyle w:val="BodyText"/>
        <w:spacing w:line="480" w:lineRule="auto"/>
        <w:ind w:firstLine="720"/>
      </w:pPr>
      <w:r>
        <w:t xml:space="preserve">The fifth is the public attribution outcome variable. The first empirical paper noted that public attribution conflates correct identification with rapid public coverage. The second empirical paper noted that the attribution coding inherits any selection that the source institutions themselves apply</w:t>
      </w:r>
      <w:r>
        <w:t xml:space="preserve"> </w:t>
      </w:r>
      <w:hyperlink w:anchor="ref-21">
        <w:r>
          <w:rPr>
            <w:rStyle w:val="Hyperlink"/>
          </w:rPr>
          <w:t xml:space="preserve">[21]</w:t>
        </w:r>
      </w:hyperlink>
      <w:r>
        <w:t xml:space="preserve">[25][27][29]. The network is trained against an outcome variable that is itself a function of the reporting environment, and disentangling the calibration of the network from the calibration of the reporting environment requires data the dissertation does not have.</w:t>
      </w:r>
    </w:p>
    <w:p>
      <w:pPr>
        <w:pStyle w:val="BodyText"/>
        <w:spacing w:line="480" w:lineRule="auto"/>
        <w:ind w:firstLine="720"/>
      </w:pPr>
      <w:r>
        <w:t xml:space="preserve">Regime imbalance comes sixth. The samples in both empirical papers are weighted toward low Earth orbit, where the sensor network is densest and the public reporting record is richest. The geostationary and cislunar regimes are represented in the samples but at lower density, and the regime effect could not be cleanly identified in the second empirical paper. The Bayesian network is designed to operate in the cislunar regime, and its training set is anchored against a cislunar dataset, but the historical base rate against which the network’s posterior is calibrated is shaped by the low Earth orbit record. This is a structural limitation that will be partially relieved as the post-2024 cislunar attribution record grows but cannot be eliminated by methodological choice alone.</w:t>
      </w:r>
    </w:p>
    <w:bookmarkEnd w:id="115"/>
    <w:bookmarkStart w:id="116" w:name="future-research"/>
    <w:p>
      <w:pPr>
        <w:pStyle w:val="Heading2"/>
        <w:spacing w:line="480" w:lineRule="auto"/>
      </w:pPr>
      <w:r>
        <w:t xml:space="preserve">7.6 Future Research</w:t>
      </w:r>
    </w:p>
    <w:p>
      <w:pPr>
        <w:pStyle w:val="FirstParagraph"/>
        <w:spacing w:line="480" w:lineRule="auto"/>
      </w:pPr>
      <w:r>
        <w:t xml:space="preserve">Several research extensions follow directly from the dissertation without requiring abandonment of its inferential object. The first is a survival framing of time to attribution. The first empirical paper noted that public attribution conflates the eventual outcome with the speed at which the reporting community converges on it, and a survival specification with right censoring would separate the two. The natural data source is the NASA Orbital Debris Program Office quarterly archive</w:t>
      </w:r>
      <w:r>
        <w:t xml:space="preserve"> </w:t>
      </w:r>
      <w:hyperlink w:anchor="ref-25">
        <w:r>
          <w:rPr>
            <w:rStyle w:val="Hyperlink"/>
          </w:rPr>
          <w:t xml:space="preserve">[25]</w:t>
        </w:r>
      </w:hyperlink>
      <w:r>
        <w:t xml:space="preserve"> </w:t>
      </w:r>
      <w:r>
        <w:t xml:space="preserve">paired with the AMOS conference proceedings, with the time-to-attribution outcome coded from the first public assignment in either source.</w:t>
      </w:r>
    </w:p>
    <w:p>
      <w:pPr>
        <w:pStyle w:val="BodyText"/>
        <w:spacing w:line="480" w:lineRule="auto"/>
        <w:ind w:firstLine="720"/>
      </w:pPr>
      <w:r>
        <w:t xml:space="preserve">The hazard function in such a specification would supply a temporally resolved input to the Bayesian network that the current binary outcome does not.</w:t>
      </w:r>
    </w:p>
    <w:p>
      <w:pPr>
        <w:pStyle w:val="BodyText"/>
        <w:spacing w:line="480" w:lineRule="auto"/>
        <w:ind w:firstLine="720"/>
      </w:pPr>
      <w:r>
        <w:t xml:space="preserve">A second extension is multi-level treatment of operator and regime fixed effects. The current logit specifications treat operator identity as part of the multi-party indicator and treat regime as a binary low Earth orbit indicator. A hierarchical specification with operator-level random effects and regime-level fixed effects would absorb the within-operator and within-regime correlation that the current specifications cannot. The sample size will limit the precision of such a specification in the near term, but the LeoLabs and COMSPOC commercial archives are expected to mature into a frame that can support it.</w:t>
      </w:r>
    </w:p>
    <w:p>
      <w:pPr>
        <w:pStyle w:val="BodyText"/>
        <w:spacing w:line="480" w:lineRule="auto"/>
        <w:ind w:firstLine="720"/>
      </w:pPr>
      <w:r>
        <w:t xml:space="preserve">The third is the integration of machine learning approaches to orbit estimation into the observation layer of the network. The recent survey of machine learning in orbit estimation has documented a growing literature on data-driven approaches to state estimation</w:t>
      </w:r>
      <w:r>
        <w:t xml:space="preserve"> </w:t>
      </w:r>
      <w:hyperlink w:anchor="ref-42">
        <w:r>
          <w:rPr>
            <w:rStyle w:val="Hyperlink"/>
          </w:rPr>
          <w:t xml:space="preserve">[42]</w:t>
        </w:r>
      </w:hyperlink>
      <w:r>
        <w:t xml:space="preserve">, and the angles-only multitarget tracking literature has shown that swarm-level observation models can produce sharper residuals than single-target models</w:t>
      </w:r>
      <w:r>
        <w:t xml:space="preserve"> </w:t>
      </w:r>
      <w:hyperlink w:anchor="ref-41">
        <w:r>
          <w:rPr>
            <w:rStyle w:val="Hyperlink"/>
          </w:rPr>
          <w:t xml:space="preserve">[41]</w:t>
        </w:r>
      </w:hyperlink>
      <w:r>
        <w:t xml:space="preserve">. The network’s observation nodes are agnostic to the upstream estimation approach and can absorb data-driven residuals as readily as classical residuals. The research question is whether the calibrated posterior is preserved when the observation layer is replaced and whether the network’s robustness to estimation drift is improved or degraded.</w:t>
      </w:r>
    </w:p>
    <w:p>
      <w:pPr>
        <w:pStyle w:val="BodyText"/>
        <w:spacing w:line="480" w:lineRule="auto"/>
        <w:ind w:firstLine="720"/>
      </w:pPr>
      <w:r>
        <w:t xml:space="preserve">Fourth, the causal mechanism node can be extended to absorb cyber causal hypotheses. The cyber operations governance literature has identified attribution under ambiguity as the structural problem for cyber norm regimes in outer space</w:t>
      </w:r>
      <w:r>
        <w:t xml:space="preserve"> </w:t>
      </w:r>
      <w:hyperlink w:anchor="ref-38">
        <w:r>
          <w:rPr>
            <w:rStyle w:val="Hyperlink"/>
          </w:rPr>
          <w:t xml:space="preserve">[38]</w:t>
        </w:r>
      </w:hyperlink>
      <w:r>
        <w:t xml:space="preserve">, and the network’s architecture is compatible with an additional causal category. The conditional probability tables for the cyber category would be elicited from the cyber operations literature rather than from the SDA literature, and the elicitation discipline would need to be tightened to absorb a corpus with different epistemic conventions. The research question is whether the network’s strictly proper scoring rule performance is preserved when the causal mechanism node is enlarged.</w:t>
      </w:r>
    </w:p>
    <w:p>
      <w:pPr>
        <w:pStyle w:val="BodyText"/>
        <w:spacing w:line="480" w:lineRule="auto"/>
        <w:ind w:firstLine="720"/>
      </w:pPr>
      <w:r>
        <w:t xml:space="preserve">The fifth is the integration of telemetry anomaly detection into the observation layer. The Bayesian LSTM literature has shown that satellite telemetry carries detectable anomaly signatures that classical methods do not capture</w:t>
      </w:r>
      <w:r>
        <w:t xml:space="preserve"> </w:t>
      </w:r>
      <w:hyperlink w:anchor="ref-39">
        <w:r>
          <w:rPr>
            <w:rStyle w:val="Hyperlink"/>
          </w:rPr>
          <w:t xml:space="preserve">[39]</w:t>
        </w:r>
      </w:hyperlink>
      <w:r>
        <w:t xml:space="preserve">. For NASA-launched and JPL-operated objects, the agency and the laboratory have access to telemetry that the public reporting community does not. A telemetry-conditioned variant of the network, deployed inside the agency or the laboratory rather than against the public record, could in principle achieve sharper posteriors on a subset of events at the cost of generalization. The research question is whether the privately conditioned posterior remains calibrated against the public outcome.</w:t>
      </w:r>
    </w:p>
    <w:p>
      <w:pPr>
        <w:pStyle w:val="BodyText"/>
        <w:spacing w:line="480" w:lineRule="auto"/>
        <w:ind w:firstLine="720"/>
      </w:pPr>
      <w:r>
        <w:t xml:space="preserve">Sixth, functional data approaches offer another observation-layer extension. The functional data analysis literature on orbital debris attribute characterization</w:t>
      </w:r>
      <w:r>
        <w:t xml:space="preserve"> </w:t>
      </w:r>
      <w:hyperlink w:anchor="ref-34">
        <w:r>
          <w:rPr>
            <w:rStyle w:val="Hyperlink"/>
          </w:rPr>
          <w:t xml:space="preserve">[34]</w:t>
        </w:r>
      </w:hyperlink>
      <w:r>
        <w:t xml:space="preserve"> </w:t>
      </w:r>
      <w:r>
        <w:t xml:space="preserve">has shown that fragment trajectories carry signatures that scalar features do not, and the artificial space object taxonomy literature</w:t>
      </w:r>
      <w:r>
        <w:t xml:space="preserve"> </w:t>
      </w:r>
      <w:hyperlink w:anchor="ref-32">
        <w:r>
          <w:rPr>
            <w:rStyle w:val="Hyperlink"/>
          </w:rPr>
          <w:t xml:space="preserve">[32]</w:t>
        </w:r>
      </w:hyperlink>
      <w:r>
        <w:t xml:space="preserve">[35] has shown that hierarchical object descriptions improve recognition performance. Integrating these signal-rich representations into the network’s observation layer is a natural extension that the current scalar specification does not exploit.</w:t>
      </w:r>
    </w:p>
    <w:p>
      <w:pPr>
        <w:pStyle w:val="BodyText"/>
        <w:spacing w:line="480" w:lineRule="auto"/>
        <w:ind w:firstLine="720"/>
      </w:pPr>
      <w:r>
        <w:t xml:space="preserve">The seventh is the broader integration of the early classification literature on astrometric time series</w:t>
      </w:r>
      <w:r>
        <w:t xml:space="preserve"> </w:t>
      </w:r>
      <w:hyperlink w:anchor="ref-36">
        <w:r>
          <w:rPr>
            <w:rStyle w:val="Hyperlink"/>
          </w:rPr>
          <w:t xml:space="preserve">[36]</w:t>
        </w:r>
      </w:hyperlink>
      <w:r>
        <w:t xml:space="preserve"> </w:t>
      </w:r>
      <w:r>
        <w:t xml:space="preserve">and of the admissible regions and Bayesian inference tradition for uncorrelated tracks</w:t>
      </w:r>
      <w:r>
        <w:t xml:space="preserve"> </w:t>
      </w:r>
      <w:hyperlink w:anchor="ref-33">
        <w:r>
          <w:rPr>
            <w:rStyle w:val="Hyperlink"/>
          </w:rPr>
          <w:t xml:space="preserve">[33]</w:t>
        </w:r>
      </w:hyperlink>
      <w:r>
        <w:t xml:space="preserve">. These literatures supply pre-attribution classification machinery that the network currently treats as upstream and given. Bringing the classification step inside the network would expand its inferential surface and would require an additional layer of pre-registration discipline, but it would also produce a single integrated inference object that current pipelines approximate through loosely coupled stages.</w:t>
      </w:r>
    </w:p>
    <w:bookmarkEnd w:id="116"/>
    <w:bookmarkStart w:id="117" w:name="concluding-note"/>
    <w:p>
      <w:pPr>
        <w:pStyle w:val="Heading2"/>
        <w:spacing w:line="480" w:lineRule="auto"/>
      </w:pPr>
      <w:r>
        <w:t xml:space="preserve">7.7 Concluding Note</w:t>
      </w:r>
    </w:p>
    <w:p>
      <w:pPr>
        <w:pStyle w:val="FirstParagraph"/>
        <w:spacing w:line="480" w:lineRule="auto"/>
      </w:pPr>
      <w:r>
        <w:t xml:space="preserve">This dissertation has produced one calibrated inference object that can be tested, rejected, and improved. The discussion above translates the object into operational language for NASA program management and JPL decision-making while preserving the bounded inferential claims on which the object rests. The limitations are recorded directly. The future research is enumerated against the same inferential discipline. The work supports the broader governance literature’s call for a probabilistic and calibrated attribution layer in cislunar space</w:t>
      </w:r>
      <w:r>
        <w:t xml:space="preserve"> </w:t>
      </w:r>
      <w:hyperlink w:anchor="ref-8">
        <w:r>
          <w:rPr>
            <w:rStyle w:val="Hyperlink"/>
          </w:rPr>
          <w:t xml:space="preserve">[8]</w:t>
        </w:r>
      </w:hyperlink>
      <w:r>
        <w:t xml:space="preserve">[9][11][12][19][20] without exceeding the boundary that the single falsifiable contribution defines. The attribution problem in cislunar space will not be resolved by any single inferential object, but it will be advanced by the accumulation of objects whose claims are testable, whose evidentiary chains are documented, and whose limitations are stated rather than concealed.</w:t>
      </w:r>
    </w:p>
    <w:p>
      <w:pPr>
        <w:pStyle w:val="BodyText"/>
        <w:spacing w:line="480" w:lineRule="auto"/>
        <w:ind w:firstLine="720"/>
      </w:pPr>
      <w:r>
        <w:t xml:space="preserve">The dissertation offers one such object and identifies the research that the object does not foreclose.</w:t>
      </w:r>
    </w:p>
    <w:bookmarkEnd w:id="117"/>
    <w:bookmarkEnd w:id="118"/>
    <w:bookmarkStart w:id="189" w:name="chapter-8.-conclusion"/>
    <w:p>
      <w:pPr>
        <w:pStyle w:val="Heading1"/>
        <w:spacing w:line="480" w:lineRule="auto"/>
      </w:pPr>
      <w:r>
        <w:t xml:space="preserve">Chapter 8. Conclusion</w:t>
      </w:r>
    </w:p>
    <w:bookmarkStart w:id="119" w:name="restating-the-problem"/>
    <w:p>
      <w:pPr>
        <w:pStyle w:val="Heading2"/>
        <w:spacing w:line="480" w:lineRule="auto"/>
      </w:pPr>
      <w:r>
        <w:t xml:space="preserve">8.1 Restating the Problem</w:t>
      </w:r>
    </w:p>
    <w:p>
      <w:pPr>
        <w:pStyle w:val="FirstParagraph"/>
        <w:spacing w:line="480" w:lineRule="auto"/>
      </w:pPr>
      <w:r>
        <w:t xml:space="preserve">This dissertation began with a narrow but consequential observation. The cislunar volume is transitioning from a sparsely populated transit corridor to an instrumented operational domain in which sensor architectures, fragmentation monitoring constellations, and orbit determination pipelines are being prototyped and in some cases fielded</w:t>
      </w:r>
      <w:r>
        <w:t xml:space="preserve"> </w:t>
      </w:r>
      <w:hyperlink w:anchor="ref-1">
        <w:r>
          <w:rPr>
            <w:rStyle w:val="Hyperlink"/>
          </w:rPr>
          <w:t xml:space="preserve">[1]</w:t>
        </w:r>
      </w:hyperlink>
      <w:r>
        <w:t xml:space="preserve">[3][5][6][7]. As that transition proceeds, the analytic burden on the responsibility question grows correspondingly. An observed near-rectilinear halo orbit, an unscheduled maneuver near a transfer trajectory, or a fragmentation cloud near a Lagrange point may be consistent with several plausible operators, mission profiles, and causal mechanisms, and the existing literature provides no principled inference object that converts the resulting evidentiary ambiguity into a calibrated statement of responsibility. The orbit determination survey literature acknowledges that uncertainty representation in the catalog remains incomplete and that augmenting the available state estimates with uncertainty information is itself an open research problem</w:t>
      </w:r>
      <w:r>
        <w:t xml:space="preserve"> </w:t>
      </w:r>
      <w:hyperlink w:anchor="ref-2">
        <w:r>
          <w:rPr>
            <w:rStyle w:val="Hyperlink"/>
          </w:rPr>
          <w:t xml:space="preserve">[2]</w:t>
        </w:r>
      </w:hyperlink>
      <w:r>
        <w:t xml:space="preserve">[14]. The governance literature, in parallel, has documented that responsibility for space activity is being actively renegotiated and that the institutional architecture for sustainability remains in flux</w:t>
      </w:r>
      <w:r>
        <w:t xml:space="preserve"> </w:t>
      </w:r>
      <w:hyperlink w:anchor="ref-8">
        <w:r>
          <w:rPr>
            <w:rStyle w:val="Hyperlink"/>
          </w:rPr>
          <w:t xml:space="preserve">[8]</w:t>
        </w:r>
      </w:hyperlink>
      <w:r>
        <w:t xml:space="preserve">[9][11][12]. The space between those two literatures, that is, the layer at which probabilistic attribution would translate sensor evidence into policy-relevant inference, has remained under-formalized.</w:t>
      </w:r>
    </w:p>
    <w:p>
      <w:pPr>
        <w:pStyle w:val="BodyText"/>
        <w:spacing w:line="480" w:lineRule="auto"/>
        <w:ind w:firstLine="720"/>
      </w:pPr>
      <w:r>
        <w:t xml:space="preserve">This dissertation has addressed that gap by proposing, constructing, and empirically grounding a Bayesian network whose latent variables are operator identity, mission class, and causal mechanism, whose observed variables are cislunar tracking residuals and fragmentation features, and whose output is a posterior distribution over responsibility hypotheses. The single falsifiable contribution stated at the outset was that such a structured network would produce attribution posteriors with strictly proper scoring rule performance superior to a likelihood-only baseline drawn from orbit determination state estimates</w:t>
      </w:r>
      <w:r>
        <w:t xml:space="preserve"> </w:t>
      </w:r>
      <w:hyperlink w:anchor="ref-2">
        <w:r>
          <w:rPr>
            <w:rStyle w:val="Hyperlink"/>
          </w:rPr>
          <w:t xml:space="preserve">[2]</w:t>
        </w:r>
      </w:hyperlink>
      <w:r>
        <w:t xml:space="preserve">. The chapters that precede this conclusion have specified that network, identified its parameters from a synthetic injection set constructed from published cislunar SDA architectures</w:t>
      </w:r>
      <w:r>
        <w:t xml:space="preserve"> </w:t>
      </w:r>
      <w:hyperlink w:anchor="ref-1">
        <w:r>
          <w:rPr>
            <w:rStyle w:val="Hyperlink"/>
          </w:rPr>
          <w:t xml:space="preserve">[1]</w:t>
        </w:r>
      </w:hyperlink>
      <w:r>
        <w:t xml:space="preserve">[3][5][6], anchored its evaluation in the cislunar fragmentation monitoring observation reconstruction of Gambarotto and colleagues</w:t>
      </w:r>
      <w:r>
        <w:t xml:space="preserve"> </w:t>
      </w:r>
      <w:hyperlink w:anchor="ref-7">
        <w:r>
          <w:rPr>
            <w:rStyle w:val="Hyperlink"/>
          </w:rPr>
          <w:t xml:space="preserve">[7]</w:t>
        </w:r>
      </w:hyperlink>
      <w:r>
        <w:t xml:space="preserve">, and tested the central claim under pre-registered scoring rules and bootstrap inference. This concluding chapter synthesizes the argument, states the contribution to knowledge with the precision the doctoral form requires, and closes by situating the work within the broader research program it both completes and opens.</w:t>
      </w:r>
    </w:p>
    <w:bookmarkEnd w:id="119"/>
    <w:bookmarkStart w:id="120" w:name="synthesis-of-the-argument"/>
    <w:p>
      <w:pPr>
        <w:pStyle w:val="Heading2"/>
        <w:spacing w:line="480" w:lineRule="auto"/>
      </w:pPr>
      <w:r>
        <w:t xml:space="preserve">8.2 Synthesis of the Argument</w:t>
      </w:r>
    </w:p>
    <w:p>
      <w:pPr>
        <w:pStyle w:val="FirstParagraph"/>
        <w:spacing w:line="480" w:lineRule="auto"/>
      </w:pPr>
      <w:r>
        <w:t xml:space="preserve">Three movements carry the argument, and each is recapitulated here in compressed form.</w:t>
      </w:r>
    </w:p>
    <w:p>
      <w:pPr>
        <w:pStyle w:val="BodyText"/>
        <w:spacing w:line="480" w:lineRule="auto"/>
        <w:ind w:firstLine="720"/>
      </w:pPr>
      <w:r>
        <w:t xml:space="preserve">The first movement was conceptual. The opening chapters established that attribution in the orbital domain is not a peripheral epistemic problem but an operational hinge of governance. Without an authoritative assignment of responsibility, the Liability Convention has no defendant, the diplomatic record has no actor, and norm enforcement has no addressee</w:t>
      </w:r>
      <w:r>
        <w:t xml:space="preserve"> </w:t>
      </w:r>
      <w:hyperlink w:anchor="ref-24">
        <w:r>
          <w:rPr>
            <w:rStyle w:val="Hyperlink"/>
          </w:rPr>
          <w:t xml:space="preserve">[24]</w:t>
        </w:r>
      </w:hyperlink>
      <w:r>
        <w:t xml:space="preserve">. The legal tradition that treats the Liability Convention as binding in principle is unambiguous, but its operational effect depends on whether the originating launch state can be identified from the available evidentiary record</w:t>
      </w:r>
      <w:r>
        <w:t xml:space="preserve"> </w:t>
      </w:r>
      <w:hyperlink w:anchor="ref-8">
        <w:r>
          <w:rPr>
            <w:rStyle w:val="Hyperlink"/>
          </w:rPr>
          <w:t xml:space="preserve">[8]</w:t>
        </w:r>
      </w:hyperlink>
      <w:r>
        <w:t xml:space="preserve">[19][20]. The technical literature on space situational awareness has shown, complementarily, that fragment catalog completeness, sensor revisit cadence, and orbit-regime accessibility together determine how confidently a fragmentation event can be traced to its parent</w:t>
      </w:r>
      <w:r>
        <w:t xml:space="preserve"> </w:t>
      </w:r>
      <w:hyperlink w:anchor="ref-4">
        <w:r>
          <w:rPr>
            <w:rStyle w:val="Hyperlink"/>
          </w:rPr>
          <w:t xml:space="preserve">[4]</w:t>
        </w:r>
      </w:hyperlink>
      <w:r>
        <w:t xml:space="preserve">[16][21][22][23][26]. Combining these traditions yielded the framing that organizes the dissertation: attribution is a probabilistic inference conditioned on an evidentiary environment whose informativeness is structurally uneven across orbital regimes and mission classes.</w:t>
      </w:r>
    </w:p>
    <w:p>
      <w:pPr>
        <w:pStyle w:val="BodyText"/>
        <w:spacing w:line="480" w:lineRule="auto"/>
        <w:ind w:firstLine="720"/>
      </w:pPr>
      <w:r>
        <w:t xml:space="preserve">The second movement was empirical. Two supporting papers, summarized in earlier chapters and incorporated here by reference, established that the existing public reporting system attributes confidently when the evidentiary trail is rich and the structural context is simple, and that it fails to converge on a responsible party when evidence is thin or when multiple operators complicate post-event reconstruction. The first of these papers, a logistic specification on thirty orbital anomaly, breakup, and conjunction events drawn from the NASA Orbital Debris Quarterly News series</w:t>
      </w:r>
      <w:r>
        <w:t xml:space="preserve"> </w:t>
      </w:r>
      <w:hyperlink w:anchor="ref-25">
        <w:r>
          <w:rPr>
            <w:rStyle w:val="Hyperlink"/>
          </w:rPr>
          <w:t xml:space="preserve">[25]</w:t>
        </w:r>
      </w:hyperlink>
      <w:r>
        <w:t xml:space="preserve">, Aerospace Corporation CORDS bulletins</w:t>
      </w:r>
      <w:r>
        <w:t xml:space="preserve"> </w:t>
      </w:r>
      <w:hyperlink w:anchor="ref-29">
        <w:r>
          <w:rPr>
            <w:rStyle w:val="Hyperlink"/>
          </w:rPr>
          <w:t xml:space="preserve">[29]</w:t>
        </w:r>
      </w:hyperlink>
      <w:r>
        <w:t xml:space="preserve">, ESA bulletins, and the AMOS proceedings</w:t>
      </w:r>
      <w:r>
        <w:t xml:space="preserve"> </w:t>
      </w:r>
      <w:hyperlink w:anchor="ref-22">
        <w:r>
          <w:rPr>
            <w:rStyle w:val="Hyperlink"/>
          </w:rPr>
          <w:t xml:space="preserve">[22]</w:t>
        </w:r>
      </w:hyperlink>
      <w:r>
        <w:t xml:space="preserve">, returned coefficients in the directions predicted by the observability account: sensor diversity raised the probability of attribution, while altitude and multi-party involvement lowered it. The second, a binary logit on thirty-six anomalous events drawn from the NASA history of on-orbit satellite fragmentations</w:t>
      </w:r>
      <w:r>
        <w:t xml:space="preserve"> </w:t>
      </w:r>
      <w:hyperlink w:anchor="ref-21">
        <w:r>
          <w:rPr>
            <w:rStyle w:val="Hyperlink"/>
          </w:rPr>
          <w:t xml:space="preserve">[21]</w:t>
        </w:r>
      </w:hyperlink>
      <w:r>
        <w:t xml:space="preserve"> </w:t>
      </w:r>
      <w:r>
        <w:t xml:space="preserve">and supplementary public sources, returned a positive coefficient on the logarithm of fragment count at the threshold of conventional significance and a negative coefficient on years elapsed since the event at the same threshold, with declared intentional kinetic actions producing complete separation by uniformly resolving to public attribution</w:t>
      </w:r>
      <w:r>
        <w:t xml:space="preserve"> </w:t>
      </w:r>
      <w:hyperlink w:anchor="ref-27">
        <w:r>
          <w:rPr>
            <w:rStyle w:val="Hyperlink"/>
          </w:rPr>
          <w:t xml:space="preserve">[27]</w:t>
        </w:r>
      </w:hyperlink>
      <w:r>
        <w:t xml:space="preserve">[28]. Neither paper claims to identify the true generating model of attribution; both establish that the structural features of an event predictably shape whether the operational community converges on a name. That descriptive picture is the empirical anchor for the network’s priors.</w:t>
      </w:r>
    </w:p>
    <w:p>
      <w:pPr>
        <w:pStyle w:val="BodyText"/>
        <w:spacing w:line="480" w:lineRule="auto"/>
        <w:ind w:firstLine="720"/>
      </w:pPr>
      <w:r>
        <w:t xml:space="preserve">The third movement was inferential. The Bayesian network specified in the central chapters of the dissertation accepts the structural insight of the empirical papers, namely that informativeness varies across regimes and mission classes, and operationalizes it as a directed acyclic graph in which the latent responsibility variables are conditioned on observed cislunar tracking residuals, fragmentation cloud descriptors, and registry metadata. Conditional probability tables for the latent layer were elicited from the published cislunar SDA architecture literature</w:t>
      </w:r>
      <w:r>
        <w:t xml:space="preserve"> </w:t>
      </w:r>
      <w:hyperlink w:anchor="ref-1">
        <w:r>
          <w:rPr>
            <w:rStyle w:val="Hyperlink"/>
          </w:rPr>
          <w:t xml:space="preserve">[1]</w:t>
        </w:r>
      </w:hyperlink>
      <w:r>
        <w:t xml:space="preserve">[3][5][6] and from the cislunar fragmentation event taxonomy of Gambarotto and colleagues</w:t>
      </w:r>
      <w:r>
        <w:t xml:space="preserve"> </w:t>
      </w:r>
      <w:hyperlink w:anchor="ref-7">
        <w:r>
          <w:rPr>
            <w:rStyle w:val="Hyperlink"/>
          </w:rPr>
          <w:t xml:space="preserve">[7]</w:t>
        </w:r>
      </w:hyperlink>
      <w:r>
        <w:t xml:space="preserve">. The observation model for tracking residuals was grounded in the orbit determination survey</w:t>
      </w:r>
      <w:r>
        <w:t xml:space="preserve"> </w:t>
      </w:r>
      <w:hyperlink w:anchor="ref-2">
        <w:r>
          <w:rPr>
            <w:rStyle w:val="Hyperlink"/>
          </w:rPr>
          <w:t xml:space="preserve">[2]</w:t>
        </w:r>
      </w:hyperlink>
      <w:r>
        <w:t xml:space="preserve"> </w:t>
      </w:r>
      <w:r>
        <w:t xml:space="preserve">and informed by the broader machine learning in orbit estimation literature</w:t>
      </w:r>
      <w:r>
        <w:t xml:space="preserve"> </w:t>
      </w:r>
      <w:hyperlink w:anchor="ref-42">
        <w:r>
          <w:rPr>
            <w:rStyle w:val="Hyperlink"/>
          </w:rPr>
          <w:t xml:space="preserve">[42]</w:t>
        </w:r>
      </w:hyperlink>
      <w:r>
        <w:t xml:space="preserve">. The network was trained by expectation maximization on the synthetic injection set and evaluated on the held-out partition derived from the cislunar fragmentation monitoring observation reconstruction. Performance was assessed under pre-registered strictly proper scoring rules (Brier score and log loss) and calibration diagnostics (reliability diagrams and expected calibration error), with the comparison to the likelihood-only baseline conducted under a paired bootstrap whose configuration was filed before any held-out evaluation. The robustness program included sensitivity analysis on the elicited conditional probability tables, leave-one-architecture-out evaluation across the constellation designs in the corpus</w:t>
      </w:r>
      <w:r>
        <w:t xml:space="preserve"> </w:t>
      </w:r>
      <w:hyperlink w:anchor="ref-3">
        <w:r>
          <w:rPr>
            <w:rStyle w:val="Hyperlink"/>
          </w:rPr>
          <w:t xml:space="preserve">[3]</w:t>
        </w:r>
      </w:hyperlink>
      <w:r>
        <w:t xml:space="preserve">[5][6], and an ablation in which the causal mechanism node was collapsed in order to confirm that the structured network is not reducible to a flat classifier.</w:t>
      </w:r>
    </w:p>
    <w:p>
      <w:pPr>
        <w:pStyle w:val="BodyText"/>
        <w:spacing w:line="480" w:lineRule="auto"/>
        <w:ind w:firstLine="720"/>
      </w:pPr>
      <w:r>
        <w:t xml:space="preserve">Together the three movements cohere into a single methodological proposition. Attribution under ambiguity in the cislunar domain is not a matter of choosing between rival point hypotheses on the basis of orbit determination state estimates alone. It is a matter of computing a posterior distribution over a discrete responsibility variable whose conditional structure encodes both the evidentiary environment and the operational priors of the cislunar community, and whose calibration is testable against a held-out evaluation set. The dissertation has demonstrated that such a network can be specified, identified, and evaluated against pre-registered scoring rules, and that the resulting inference object outperforms the likelihood-only baseline that the orbit determination literature would otherwise supply.</w:t>
      </w:r>
    </w:p>
    <w:bookmarkEnd w:id="120"/>
    <w:bookmarkStart w:id="121" w:name="contribution-to-knowledge"/>
    <w:p>
      <w:pPr>
        <w:pStyle w:val="Heading2"/>
        <w:spacing w:line="480" w:lineRule="auto"/>
      </w:pPr>
      <w:r>
        <w:t xml:space="preserve">8.3 Contribution to Knowledge</w:t>
      </w:r>
    </w:p>
    <w:p>
      <w:pPr>
        <w:pStyle w:val="FirstParagraph"/>
        <w:spacing w:line="480" w:lineRule="auto"/>
      </w:pPr>
      <w:r>
        <w:t xml:space="preserve">Stated with the precision the doctoral form requires, the contribution is as follows.</w:t>
      </w:r>
    </w:p>
    <w:p>
      <w:pPr>
        <w:pStyle w:val="BodyText"/>
        <w:spacing w:line="480" w:lineRule="auto"/>
        <w:ind w:firstLine="720"/>
      </w:pPr>
      <w:r>
        <w:t xml:space="preserve">Primarily, the dissertation introduces a probabilistic attribution layer that sits above orbit determination and fragmentation analysis and below policy response, and that has not previously been formalized in the cislunar SDA literature. The cislunar SDA corpus has matured along sensor architecture</w:t>
      </w:r>
      <w:r>
        <w:t xml:space="preserve"> </w:t>
      </w:r>
      <w:hyperlink w:anchor="ref-1">
        <w:r>
          <w:rPr>
            <w:rStyle w:val="Hyperlink"/>
          </w:rPr>
          <w:t xml:space="preserve">[1]</w:t>
        </w:r>
      </w:hyperlink>
      <w:r>
        <w:t xml:space="preserve">[3][5][6], orbit dynamics and surveillance</w:t>
      </w:r>
      <w:r>
        <w:t xml:space="preserve"> </w:t>
      </w:r>
      <w:hyperlink w:anchor="ref-4">
        <w:r>
          <w:rPr>
            <w:rStyle w:val="Hyperlink"/>
          </w:rPr>
          <w:t xml:space="preserve">[4]</w:t>
        </w:r>
      </w:hyperlink>
      <w:r>
        <w:t xml:space="preserve">, and fragmentation monitoring lines</w:t>
      </w:r>
      <w:r>
        <w:t xml:space="preserve"> </w:t>
      </w:r>
      <w:hyperlink w:anchor="ref-7">
        <w:r>
          <w:rPr>
            <w:rStyle w:val="Hyperlink"/>
          </w:rPr>
          <w:t xml:space="preserve">[7]</w:t>
        </w:r>
      </w:hyperlink>
      <w:r>
        <w:t xml:space="preserve">. The orbit determination survey literature has supplied the methodological backbone for state estimation under uncertainty</w:t>
      </w:r>
      <w:r>
        <w:t xml:space="preserve"> </w:t>
      </w:r>
      <w:hyperlink w:anchor="ref-2">
        <w:r>
          <w:rPr>
            <w:rStyle w:val="Hyperlink"/>
          </w:rPr>
          <w:t xml:space="preserve">[2]</w:t>
        </w:r>
      </w:hyperlink>
      <w:r>
        <w:t xml:space="preserve">[14]. The collision avoidance and conjunction assessment literature has documented the role of state covariances in probability of collision computations</w:t>
      </w:r>
      <w:r>
        <w:t xml:space="preserve"> </w:t>
      </w:r>
      <w:hyperlink w:anchor="ref-13">
        <w:r>
          <w:rPr>
            <w:rStyle w:val="Hyperlink"/>
          </w:rPr>
          <w:t xml:space="preserve">[13]</w:t>
        </w:r>
      </w:hyperlink>
      <w:r>
        <w:t xml:space="preserve">[15]. The breakup reconstruction literature has established the dependence of forensic identification on fragment density and orbit regime</w:t>
      </w:r>
      <w:r>
        <w:t xml:space="preserve"> </w:t>
      </w:r>
      <w:hyperlink w:anchor="ref-16">
        <w:r>
          <w:rPr>
            <w:rStyle w:val="Hyperlink"/>
          </w:rPr>
          <w:t xml:space="preserve">[16]</w:t>
        </w:r>
      </w:hyperlink>
      <w:r>
        <w:t xml:space="preserve">[17][23][26]. A separate AMOS line has used Bayesian networks for terrestrial electromagnetic interference detection and classification</w:t>
      </w:r>
      <w:r>
        <w:t xml:space="preserve"> </w:t>
      </w:r>
      <w:hyperlink w:anchor="ref-10">
        <w:r>
          <w:rPr>
            <w:rStyle w:val="Hyperlink"/>
          </w:rPr>
          <w:t xml:space="preserve">[10]</w:t>
        </w:r>
      </w:hyperlink>
      <w:r>
        <w:t xml:space="preserve">, and an adjacent line has explored evidence-based sensor tasking and admissible region characterization for space situational awareness</w:t>
      </w:r>
      <w:r>
        <w:t xml:space="preserve"> </w:t>
      </w:r>
      <w:hyperlink w:anchor="ref-30">
        <w:r>
          <w:rPr>
            <w:rStyle w:val="Hyperlink"/>
          </w:rPr>
          <w:t xml:space="preserve">[30]</w:t>
        </w:r>
      </w:hyperlink>
      <w:r>
        <w:t xml:space="preserve">[31][33]. The artificial space object taxonomy and hierarchical characterization literature has begun to formalize the structure of the hypothesis space</w:t>
      </w:r>
      <w:r>
        <w:t xml:space="preserve"> </w:t>
      </w:r>
      <w:hyperlink w:anchor="ref-32">
        <w:r>
          <w:rPr>
            <w:rStyle w:val="Hyperlink"/>
          </w:rPr>
          <w:t xml:space="preserve">[32]</w:t>
        </w:r>
      </w:hyperlink>
      <w:r>
        <w:t xml:space="preserve">[35].</w:t>
      </w:r>
    </w:p>
    <w:p>
      <w:pPr>
        <w:pStyle w:val="BodyText"/>
        <w:spacing w:line="480" w:lineRule="auto"/>
        <w:ind w:firstLine="720"/>
      </w:pPr>
      <w:r>
        <w:t xml:space="preserve">None of these strands has supplied a Bayesian network whose nodes are explicitly the operator, the mission class, the causal mechanism, and the observed cislunar feature vector, and whose output is a posterior over responsibility hypotheses calibrated against a held-out test set. The dissertation supplies that object.</w:t>
      </w:r>
    </w:p>
    <w:p>
      <w:pPr>
        <w:pStyle w:val="BodyText"/>
        <w:spacing w:line="480" w:lineRule="auto"/>
        <w:ind w:firstLine="720"/>
      </w:pPr>
      <w:r>
        <w:t xml:space="preserve">Secondary contributions number four. First, the dissertation establishes a pre-registered evaluation protocol for attribution inference in the cislunar domain. The held-out partition definition, scoring rules, bootstrap configuration, and noise margin were filed before any evaluation was conducted, and the protocol is reproducible from the published architecture studies</w:t>
      </w:r>
      <w:r>
        <w:t xml:space="preserve"> </w:t>
      </w:r>
      <w:hyperlink w:anchor="ref-1">
        <w:r>
          <w:rPr>
            <w:rStyle w:val="Hyperlink"/>
          </w:rPr>
          <w:t xml:space="preserve">[1]</w:t>
        </w:r>
      </w:hyperlink>
      <w:r>
        <w:t xml:space="preserve">[3][5][6] and the cislunar fragmentation monitoring observation reconstruction</w:t>
      </w:r>
      <w:r>
        <w:t xml:space="preserve"> </w:t>
      </w:r>
      <w:hyperlink w:anchor="ref-7">
        <w:r>
          <w:rPr>
            <w:rStyle w:val="Hyperlink"/>
          </w:rPr>
          <w:t xml:space="preserve">[7]</w:t>
        </w:r>
      </w:hyperlink>
      <w:r>
        <w:t xml:space="preserve">. Second, the dissertation contributes a sensitivity and ablation program that defends the structured network against the charge that it is reducible to a flat classifier, and that bounds its dependence on the priors elicited from the cislunar SDA architecture community. Third, the dissertation contributes a provenance record that documents, for every feature, the originating publication, the equation or table from which the feature is derived, and the transformation applied. Fourth, the dissertation contributes an empirical foundation, in the two supporting papers summarized above, that connects the network’s priors to the documented behavior of the public reporting system over the historical orbital record</w:t>
      </w:r>
      <w:r>
        <w:t xml:space="preserve"> </w:t>
      </w:r>
      <w:hyperlink w:anchor="ref-25">
        <w:r>
          <w:rPr>
            <w:rStyle w:val="Hyperlink"/>
          </w:rPr>
          <w:t xml:space="preserve">[25]</w:t>
        </w:r>
      </w:hyperlink>
      <w:r>
        <w:t xml:space="preserve">[29].</w:t>
      </w:r>
    </w:p>
    <w:p>
      <w:pPr>
        <w:pStyle w:val="BodyText"/>
        <w:spacing w:line="480" w:lineRule="auto"/>
        <w:ind w:firstLine="720"/>
      </w:pPr>
      <w:r>
        <w:t xml:space="preserve">Boundaries matter here. The contribution is bounded in ways that the dissertation has been explicit about throughout. The responsibility variable is operationalized as a discrete categorical label over operator and causal mechanism, and that operationalization may be too coarse for some policy uses; the dissertation has bounded its claims to the operationalized construct rather than to the broader legal and political construct of responsibility. The causal mechanism node is not always separable from observed residuals alone, and the ablation in which the node is collapsed is reported as a robustness check rather than as a settled identification. The synthetic injection set inherits the assumptions of the published architecture studies about sensor performance and orbital dynamics, and the held-out anchor in the cislunar fragmentation monitoring observation reconstruction only partially mitigates that dependence. The conditional probability tables for the latent layer are derived from a narrow corpus and may encode the priors of the cislunar SDA architecture community; the sensitivity analysis is the primary defense, and the pre-registration document records the elicited priors before evaluation. These boundaries are not concessions to be hidden in an appendix but features of the contribution itself. The dissertation produces a single, testable inference object whose claims about responsibility can be rejected by out-of-sample miscalibration, and the value of that object derives from the precision with which its scope of application is stated.</w:t>
      </w:r>
    </w:p>
    <w:bookmarkEnd w:id="121"/>
    <w:bookmarkStart w:id="122" w:name="implications-and-open-questions"/>
    <w:p>
      <w:pPr>
        <w:pStyle w:val="Heading2"/>
        <w:spacing w:line="480" w:lineRule="auto"/>
      </w:pPr>
      <w:r>
        <w:t xml:space="preserve">8.4 Implications and Open Questions</w:t>
      </w:r>
    </w:p>
    <w:p>
      <w:pPr>
        <w:pStyle w:val="FirstParagraph"/>
        <w:spacing w:line="480" w:lineRule="auto"/>
      </w:pPr>
      <w:r>
        <w:t xml:space="preserve">Three implications follow for the cislunar SDA and space governance research programs.</w:t>
      </w:r>
    </w:p>
    <w:p>
      <w:pPr>
        <w:pStyle w:val="BodyText"/>
        <w:spacing w:line="480" w:lineRule="auto"/>
        <w:ind w:firstLine="720"/>
      </w:pPr>
      <w:r>
        <w:t xml:space="preserve">First, the network framework suggests that future cislunar sensor architecture studies should be evaluated not only against capacity metrics</w:t>
      </w:r>
      <w:r>
        <w:t xml:space="preserve"> </w:t>
      </w:r>
      <w:hyperlink w:anchor="ref-1">
        <w:r>
          <w:rPr>
            <w:rStyle w:val="Hyperlink"/>
          </w:rPr>
          <w:t xml:space="preserve">[1]</w:t>
        </w:r>
      </w:hyperlink>
      <w:r>
        <w:t xml:space="preserve"> </w:t>
      </w:r>
      <w:r>
        <w:t xml:space="preserve">and operational cost metrics</w:t>
      </w:r>
      <w:r>
        <w:t xml:space="preserve"> </w:t>
      </w:r>
      <w:hyperlink w:anchor="ref-5">
        <w:r>
          <w:rPr>
            <w:rStyle w:val="Hyperlink"/>
          </w:rPr>
          <w:t xml:space="preserve">[5]</w:t>
        </w:r>
      </w:hyperlink>
      <w:r>
        <w:t xml:space="preserve"> </w:t>
      </w:r>
      <w:r>
        <w:t xml:space="preserve">but also against the informativeness of the evidentiary environment they generate for downstream attribution inference. A constellation that maximizes custody but produces residuals on which the responsibility posterior cannot discriminate among operators is not, by the standard the dissertation has proposed, an unambiguously superior architecture.</w:t>
      </w:r>
    </w:p>
    <w:p>
      <w:pPr>
        <w:pStyle w:val="BodyText"/>
        <w:spacing w:line="480" w:lineRule="auto"/>
        <w:ind w:firstLine="720"/>
      </w:pPr>
      <w:r>
        <w:t xml:space="preserve">The architecture community and the attribution community should iterate, and the dissertation has supplied an evaluation protocol within which that iteration can occur.</w:t>
      </w:r>
    </w:p>
    <w:p>
      <w:pPr>
        <w:pStyle w:val="BodyText"/>
        <w:spacing w:line="480" w:lineRule="auto"/>
        <w:ind w:firstLine="720"/>
      </w:pPr>
      <w:r>
        <w:t xml:space="preserve">Second, the network framework suggests that the conjunction assessment and collision avoidance maneuver design literature</w:t>
      </w:r>
      <w:r>
        <w:t xml:space="preserve"> </w:t>
      </w:r>
      <w:hyperlink w:anchor="ref-13">
        <w:r>
          <w:rPr>
            <w:rStyle w:val="Hyperlink"/>
          </w:rPr>
          <w:t xml:space="preserve">[13]</w:t>
        </w:r>
      </w:hyperlink>
      <w:r>
        <w:t xml:space="preserve">[15] would benefit from an explicit attribution layer at the post-event reconstruction stage. The probability of collision is a forward inference; the responsibility posterior is its backward complement, and the two are not formally connected in the existing operational pipelines. Bridging them is a tractable extension of the network specified here.</w:t>
      </w:r>
    </w:p>
    <w:p>
      <w:pPr>
        <w:pStyle w:val="BodyText"/>
        <w:spacing w:line="480" w:lineRule="auto"/>
        <w:ind w:firstLine="720"/>
      </w:pPr>
      <w:r>
        <w:t xml:space="preserve">Third, the network framework has implications for the cyber-and-space governance frontier</w:t>
      </w:r>
      <w:r>
        <w:t xml:space="preserve"> </w:t>
      </w:r>
      <w:hyperlink w:anchor="ref-38">
        <w:r>
          <w:rPr>
            <w:rStyle w:val="Hyperlink"/>
          </w:rPr>
          <w:t xml:space="preserve">[38]</w:t>
        </w:r>
      </w:hyperlink>
      <w:r>
        <w:t xml:space="preserve"> </w:t>
      </w:r>
      <w:r>
        <w:t xml:space="preserve">and for the space sustainability institutional architecture more broadly</w:t>
      </w:r>
      <w:r>
        <w:t xml:space="preserve"> </w:t>
      </w:r>
      <w:hyperlink w:anchor="ref-8">
        <w:r>
          <w:rPr>
            <w:rStyle w:val="Hyperlink"/>
          </w:rPr>
          <w:t xml:space="preserve">[8]</w:t>
        </w:r>
      </w:hyperlink>
      <w:r>
        <w:t xml:space="preserve">[11][12]. Calibrated attribution posteriors are an input to the diplomatic and legal processes that adjudicate responsibility. Their absence leaves those processes exposed to over-confidence on one side and under-confidence on the other. The dissertation adjudicates no specific past or hypothetical attribution claim. It supplies the inference object that such adjudication has lacked.</w:t>
      </w:r>
    </w:p>
    <w:p>
      <w:pPr>
        <w:pStyle w:val="BodyText"/>
        <w:spacing w:line="480" w:lineRule="auto"/>
        <w:ind w:firstLine="720"/>
      </w:pPr>
      <w:r>
        <w:t xml:space="preserve">Three open questions remain. The first is the extension of the network from the cislunar volume to the geostationary and high-altitude regimes, where the structural ambiguity documented in the empirical papers is at its severest and where the post-2024 attribution record is still accumulating. The second is the integration of machine learning components, in particular the orbit estimation surveys and the autonomous angles-only tracking literature</w:t>
      </w:r>
      <w:r>
        <w:t xml:space="preserve"> </w:t>
      </w:r>
      <w:hyperlink w:anchor="ref-41">
        <w:r>
          <w:rPr>
            <w:rStyle w:val="Hyperlink"/>
          </w:rPr>
          <w:t xml:space="preserve">[41]</w:t>
        </w:r>
      </w:hyperlink>
      <w:r>
        <w:t xml:space="preserve">[42], into the observation model of the network without compromising the calibration properties on which the contribution rests. The third is the formalization of the relationship between the responsibility posterior and the legal construct of liability under the 1972 Liability Convention</w:t>
      </w:r>
      <w:r>
        <w:t xml:space="preserve"> </w:t>
      </w:r>
      <w:hyperlink w:anchor="ref-24">
        <w:r>
          <w:rPr>
            <w:rStyle w:val="Hyperlink"/>
          </w:rPr>
          <w:t xml:space="preserve">[24]</w:t>
        </w:r>
      </w:hyperlink>
      <w:r>
        <w:t xml:space="preserve">, a question that requires sustained engagement between the technical and legal communities and that the dissertation has framed but not resolved.</w:t>
      </w:r>
    </w:p>
    <w:bookmarkEnd w:id="122"/>
    <w:bookmarkStart w:id="123" w:name="closing-statement"/>
    <w:p>
      <w:pPr>
        <w:pStyle w:val="Heading2"/>
        <w:spacing w:line="480" w:lineRule="auto"/>
      </w:pPr>
      <w:r>
        <w:t xml:space="preserve">8.5 Closing Statement</w:t>
      </w:r>
    </w:p>
    <w:p>
      <w:pPr>
        <w:pStyle w:val="FirstParagraph"/>
        <w:spacing w:line="480" w:lineRule="auto"/>
      </w:pPr>
      <w:r>
        <w:t xml:space="preserve">This dissertation began with the observation that the cislunar domain is becoming operational faster than its attribution layer is being formalized, and that the existing literature provides no principled inference object that converts the resulting evidentiary ambiguity into a calibrated statement of responsibility. It has supplied that object. The Bayesian network specified, identified, and evaluated in the preceding chapters is a single, testable contribution whose claims can be rejected by out-of-sample miscalibration, and whose evaluation protocol is reproducible from the published cislunar SDA architecture studies and the cislunar fragmentation monitoring observation reconstruction on which it is anchored. The contribution is bounded by the explicit limits of the operationalized responsibility construct, by the inherited assumptions of the synthetic injection set, and by the narrow corpus from which the latent priors were elicited. Within those bounds it stands as a defensible addition to the cislunar SDA and space governance literatures, and as a foundation on which the open questions identified above can be pursued.</w:t>
      </w:r>
    </w:p>
    <w:p>
      <w:pPr>
        <w:pStyle w:val="BodyText"/>
        <w:spacing w:line="480" w:lineRule="auto"/>
        <w:ind w:firstLine="720"/>
      </w:pPr>
      <w:r>
        <w:t xml:space="preserve">Attribution under ambiguity is not, in the end, a problem that admits a single correct answer for any individual event. It is a problem that admits a principled inference object, calibrated against the historical record, evaluated under pre-registered scoring rules, and bounded by the limits of the evidentiary environment in which it operates.</w:t>
      </w:r>
    </w:p>
    <w:p>
      <w:pPr>
        <w:pStyle w:val="BodyText"/>
        <w:spacing w:line="480" w:lineRule="auto"/>
        <w:ind w:firstLine="720"/>
      </w:pPr>
      <w:r>
        <w:t xml:space="preserve">The dissertation has constructed that object for the cislunar domain. The research program it opens is the extension of that object to the orbital regimes, governance institutions, and operational pipelines for which a calibrated responsibility posterior has, until now, been unavailable.</w:t>
      </w:r>
    </w:p>
    <w:bookmarkEnd w:id="123"/>
    <w:bookmarkStart w:id="188" w:name="references"/>
    <w:p>
      <w:pPr>
        <w:pStyle w:val="Heading2"/>
        <w:spacing w:line="480" w:lineRule="auto"/>
      </w:pPr>
      <w:r>
        <w:t xml:space="preserve">References</w:t>
      </w:r>
    </w:p>
    <w:p>
      <w:pPr>
        <w:pStyle w:val="FirstParagraph"/>
        <w:spacing w:line="480" w:lineRule="auto"/>
      </w:pPr>
      <w:bookmarkStart w:id="124" w:name="ref-1"/>
      <w:bookmarkEnd w:id="124"/>
      <w:r>
        <w:t xml:space="preserve">1. N. Owens Fahrner, J. Correa, and J. Wysack,</w:t>
      </w:r>
      <w:r>
        <w:t xml:space="preserve"> </w:t>
      </w:r>
      <w:r>
        <w:t xml:space="preserve">“Capacity-based Cislunar Space Domain Awareness Architecture Optimization,”</w:t>
      </w:r>
      <w:r>
        <w:t xml:space="preserve"> </w:t>
      </w:r>
      <w:r>
        <w:t xml:space="preserve">Proc. Advanced Maui Optical and Space Surveillance Technologies (AMOS) Conference, 2022.</w:t>
      </w:r>
    </w:p>
    <w:p>
      <w:pPr>
        <w:pStyle w:val="BodyText"/>
        <w:spacing w:line="480" w:lineRule="auto"/>
        <w:ind w:firstLine="720"/>
      </w:pPr>
      <w:bookmarkStart w:id="125" w:name="ref-2"/>
      <w:bookmarkEnd w:id="125"/>
      <w:r>
        <w:t xml:space="preserve">2. S. Kazemi, N. L. Azad, K. Scott, H. B. Oqab, and G. B. Dietrich,</w:t>
      </w:r>
      <w:r>
        <w:t xml:space="preserve"> </w:t>
      </w:r>
      <w:r>
        <w:t xml:space="preserve">“Orbit determination for space situational awareness: A survey,”</w:t>
      </w:r>
      <w:r>
        <w:t xml:space="preserve"> </w:t>
      </w:r>
      <w:r>
        <w:t xml:space="preserve">Acta Astronautica, vol. 222, 2024, doi:</w:t>
      </w:r>
      <w:r>
        <w:t xml:space="preserve"> </w:t>
      </w:r>
      <w:hyperlink r:id="rId126">
        <w:r>
          <w:rPr>
            <w:rStyle w:val="Hyperlink"/>
          </w:rPr>
          <w:t xml:space="preserve">10.1016/j.actaastro.2024.06.015</w:t>
        </w:r>
      </w:hyperlink>
      <w:r>
        <w:t xml:space="preserve">.</w:t>
      </w:r>
    </w:p>
    <w:p>
      <w:pPr>
        <w:pStyle w:val="BodyText"/>
        <w:spacing w:line="480" w:lineRule="auto"/>
        <w:ind w:firstLine="720"/>
      </w:pPr>
      <w:bookmarkStart w:id="127" w:name="ref-3"/>
      <w:bookmarkEnd w:id="127"/>
      <w:r>
        <w:t xml:space="preserve">3. E. D. Silva, J. Van Cleve, R. Philbrick, C. J. Grant, J. D. Griesbach, and M. P. Mahoney,</w:t>
      </w:r>
      <w:r>
        <w:t xml:space="preserve"> </w:t>
      </w:r>
      <w:r>
        <w:t xml:space="preserve">“Systems and Methods for Hybrid Lunar Surface and Space Domain Situational Awareness,”</w:t>
      </w:r>
      <w:r>
        <w:t xml:space="preserve"> </w:t>
      </w:r>
      <w:r>
        <w:t xml:space="preserve">Proc. Advanced Maui Optical and Space Surveillance Technologies (AMOS) Conference, 2021.</w:t>
      </w:r>
    </w:p>
    <w:p>
      <w:pPr>
        <w:pStyle w:val="BodyText"/>
        <w:spacing w:line="480" w:lineRule="auto"/>
        <w:ind w:firstLine="720"/>
      </w:pPr>
      <w:bookmarkStart w:id="128" w:name="ref-4"/>
      <w:bookmarkEnd w:id="128"/>
      <w:r>
        <w:t xml:space="preserve">4. A. P. Wilmer and R. A. Bettinger,</w:t>
      </w:r>
      <w:r>
        <w:t xml:space="preserve"> </w:t>
      </w:r>
      <w:r>
        <w:t xml:space="preserve">“Near-Rectilinear Halo Orbit Surveillance using Cislunar Periodic Orbits,”</w:t>
      </w:r>
      <w:r>
        <w:t xml:space="preserve"> </w:t>
      </w:r>
      <w:r>
        <w:t xml:space="preserve">Proc. Advanced Maui Optical and Space Surveillance Technologies (AMOS) Conference, 2022.</w:t>
      </w:r>
    </w:p>
    <w:p>
      <w:pPr>
        <w:pStyle w:val="BodyText"/>
        <w:spacing w:line="480" w:lineRule="auto"/>
        <w:ind w:firstLine="720"/>
      </w:pPr>
      <w:bookmarkStart w:id="129" w:name="ref-5"/>
      <w:bookmarkEnd w:id="129"/>
      <w:r>
        <w:t xml:space="preserve">5. G. Badura, Y. Shimane, L. Visonneau, M. Gilmartin, S. Crum, C. Valenta, M. Steffens, S. Cimtalay, F. Humphrey, M. Borowitz, B. Gunter, J. Christian, and K. Ho,</w:t>
      </w:r>
      <w:r>
        <w:t xml:space="preserve"> </w:t>
      </w:r>
      <w:r>
        <w:t xml:space="preserve">“Optimizing Distributed Space-Based Networks for Cislunar Space Domain Awareness In the Context of Operational Cost Metrics,”</w:t>
      </w:r>
      <w:r>
        <w:t xml:space="preserve"> </w:t>
      </w:r>
      <w:r>
        <w:t xml:space="preserve">Proc. Advanced Maui Optical and Space Surveillance Technologies (AMOS) Conference, 2023, doi:</w:t>
      </w:r>
      <w:r>
        <w:t xml:space="preserve"> </w:t>
      </w:r>
      <w:hyperlink r:id="rId130">
        <w:r>
          <w:rPr>
            <w:rStyle w:val="Hyperlink"/>
          </w:rPr>
          <w:t xml:space="preserve">10.64861/IMSI4025</w:t>
        </w:r>
      </w:hyperlink>
      <w:r>
        <w:t xml:space="preserve">.</w:t>
      </w:r>
    </w:p>
    <w:p>
      <w:pPr>
        <w:pStyle w:val="BodyText"/>
        <w:spacing w:line="480" w:lineRule="auto"/>
        <w:ind w:firstLine="720"/>
      </w:pPr>
      <w:bookmarkStart w:id="131" w:name="ref-6"/>
      <w:bookmarkEnd w:id="131"/>
      <w:r>
        <w:t xml:space="preserve">6. M. Kirshner and E. Pearce,</w:t>
      </w:r>
      <w:r>
        <w:t xml:space="preserve"> </w:t>
      </w:r>
      <w:r>
        <w:t xml:space="preserve">“Developing Optical Sensor Constellation Architectures for Space Domain Awareness through Model-Based Trade Studies,”</w:t>
      </w:r>
      <w:r>
        <w:t xml:space="preserve"> </w:t>
      </w:r>
      <w:r>
        <w:t xml:space="preserve">Proc. Advanced Maui Optical and Space Surveillance Technologies (AMOS) Conference, SDA Track, 2024, doi:</w:t>
      </w:r>
      <w:r>
        <w:t xml:space="preserve"> </w:t>
      </w:r>
      <w:hyperlink r:id="rId132">
        <w:r>
          <w:rPr>
            <w:rStyle w:val="Hyperlink"/>
          </w:rPr>
          <w:t xml:space="preserve">10.64861/FHSX9637</w:t>
        </w:r>
      </w:hyperlink>
      <w:r>
        <w:t xml:space="preserve">.</w:t>
      </w:r>
    </w:p>
    <w:p>
      <w:pPr>
        <w:pStyle w:val="BodyText"/>
        <w:spacing w:line="480" w:lineRule="auto"/>
        <w:ind w:firstLine="720"/>
      </w:pPr>
      <w:bookmarkStart w:id="133" w:name="ref-7"/>
      <w:bookmarkEnd w:id="133"/>
      <w:r>
        <w:t xml:space="preserve">7. C. Gambarotto, P. Grattagliano, L. De Maria, and M. F. Montaruli,</w:t>
      </w:r>
      <w:r>
        <w:t xml:space="preserve"> </w:t>
      </w:r>
      <w:r>
        <w:t xml:space="preserve">“Monitoring Cislunar fragmentation events using a constellation of space-based observers,”</w:t>
      </w:r>
      <w:r>
        <w:t xml:space="preserve"> </w:t>
      </w:r>
      <w:r>
        <w:t xml:space="preserve">Acta Astronautica, vol. 238, 2025, doi:</w:t>
      </w:r>
      <w:r>
        <w:t xml:space="preserve"> </w:t>
      </w:r>
      <w:hyperlink r:id="rId134">
        <w:r>
          <w:rPr>
            <w:rStyle w:val="Hyperlink"/>
          </w:rPr>
          <w:t xml:space="preserve">10.1016/j.actaastro.2025.09.078</w:t>
        </w:r>
      </w:hyperlink>
      <w:r>
        <w:t xml:space="preserve">.</w:t>
      </w:r>
    </w:p>
    <w:p>
      <w:pPr>
        <w:pStyle w:val="BodyText"/>
        <w:spacing w:line="480" w:lineRule="auto"/>
        <w:ind w:firstLine="720"/>
      </w:pPr>
      <w:bookmarkStart w:id="135" w:name="ref-8"/>
      <w:bookmarkEnd w:id="135"/>
      <w:r>
        <w:t xml:space="preserve">8. B. Stilwell,</w:t>
      </w:r>
      <w:r>
        <w:t xml:space="preserve"> </w:t>
      </w:r>
      <w:r>
        <w:t xml:space="preserve">“Orbital Capacity,”</w:t>
      </w:r>
      <w:r>
        <w:t xml:space="preserve"> </w:t>
      </w:r>
      <w:r>
        <w:t xml:space="preserve">IAC 2024 (Space Economy Papers corpus, SD01).</w:t>
      </w:r>
    </w:p>
    <w:p>
      <w:pPr>
        <w:pStyle w:val="BodyText"/>
        <w:spacing w:line="480" w:lineRule="auto"/>
        <w:ind w:firstLine="720"/>
      </w:pPr>
      <w:bookmarkStart w:id="136" w:name="ref-9"/>
      <w:bookmarkEnd w:id="136"/>
      <w:r>
        <w:t xml:space="preserve">9.</w:t>
      </w:r>
      <w:r>
        <w:t xml:space="preserve"> </w:t>
      </w:r>
      <w:r>
        <w:t xml:space="preserve">“The Role of Space in Driving Sustainability, Security, and Development,”</w:t>
      </w:r>
      <w:r>
        <w:t xml:space="preserve"> </w:t>
      </w:r>
      <w:r>
        <w:t xml:space="preserve">Space Economy Papers corpus, SD13.</w:t>
      </w:r>
    </w:p>
    <w:p>
      <w:pPr>
        <w:pStyle w:val="BodyText"/>
        <w:spacing w:line="480" w:lineRule="auto"/>
        <w:ind w:firstLine="720"/>
      </w:pPr>
      <w:bookmarkStart w:id="137" w:name="ref-10"/>
      <w:bookmarkEnd w:id="137"/>
      <w:r>
        <w:t xml:space="preserve">10. R. Stottler, C. Bowman, and A. Bhopale,</w:t>
      </w:r>
      <w:r>
        <w:t xml:space="preserve"> </w:t>
      </w:r>
      <w:r>
        <w:t xml:space="preserve">“Automated Terrestrial EMI Emitter Detection, Classification, and Localization,”</w:t>
      </w:r>
      <w:r>
        <w:t xml:space="preserve"> </w:t>
      </w:r>
      <w:r>
        <w:t xml:space="preserve">Proc. Advanced Maui Optical and Space Surveillance Technologies (AMOS) Conference, 2016.</w:t>
      </w:r>
    </w:p>
    <w:p>
      <w:pPr>
        <w:pStyle w:val="BodyText"/>
        <w:spacing w:line="480" w:lineRule="auto"/>
        <w:ind w:firstLine="720"/>
      </w:pPr>
      <w:bookmarkStart w:id="138" w:name="ref-11"/>
      <w:bookmarkEnd w:id="138"/>
      <w:r>
        <w:t xml:space="preserve">11.</w:t>
      </w:r>
      <w:r>
        <w:t xml:space="preserve"> </w:t>
      </w:r>
      <w:r>
        <w:t xml:space="preserve">“Economic Statecraft Literature Review,”</w:t>
      </w:r>
      <w:r>
        <w:t xml:space="preserve"> </w:t>
      </w:r>
      <w:r>
        <w:t xml:space="preserve">Space Economy Papers corpus, SD09.</w:t>
      </w:r>
    </w:p>
    <w:p>
      <w:pPr>
        <w:pStyle w:val="BodyText"/>
        <w:spacing w:line="480" w:lineRule="auto"/>
        <w:ind w:firstLine="720"/>
      </w:pPr>
      <w:bookmarkStart w:id="139" w:name="ref-12"/>
      <w:bookmarkEnd w:id="139"/>
      <w:r>
        <w:t xml:space="preserve">12.</w:t>
      </w:r>
      <w:r>
        <w:t xml:space="preserve"> </w:t>
      </w:r>
      <w:r>
        <w:t xml:space="preserve">“OCEA Forecasting the Space Economy,”</w:t>
      </w:r>
      <w:r>
        <w:t xml:space="preserve"> </w:t>
      </w:r>
      <w:r>
        <w:t xml:space="preserve">Space Economy Papers corpus, SD08.</w:t>
      </w:r>
    </w:p>
    <w:p>
      <w:pPr>
        <w:pStyle w:val="BodyText"/>
        <w:spacing w:line="480" w:lineRule="auto"/>
        <w:ind w:firstLine="720"/>
      </w:pPr>
      <w:bookmarkStart w:id="140" w:name="ref-13"/>
      <w:bookmarkEnd w:id="140"/>
      <w:r>
        <w:t xml:space="preserve">13. Alfano, S.; Oltrogge, D.; Krag, H.; Merz, K.; Hall, R. E. Risk assessment of recent high interest conjunctions. Acta Astronautica, 2021. doi:</w:t>
      </w:r>
      <w:r>
        <w:t xml:space="preserve"> </w:t>
      </w:r>
      <w:hyperlink r:id="rId141">
        <w:r>
          <w:rPr>
            <w:rStyle w:val="Hyperlink"/>
          </w:rPr>
          <w:t xml:space="preserve">10.1016/j.actaastro.2021.04.009</w:t>
        </w:r>
      </w:hyperlink>
    </w:p>
    <w:p>
      <w:pPr>
        <w:pStyle w:val="BodyText"/>
        <w:spacing w:line="480" w:lineRule="auto"/>
        <w:ind w:firstLine="720"/>
      </w:pPr>
      <w:bookmarkStart w:id="142" w:name="ref-14"/>
      <w:bookmarkEnd w:id="142"/>
      <w:r>
        <w:t xml:space="preserve">14. Dolado Perez, J. C.; Nitta, K.; Flohrer, T.; Jah, M.; Martinot, V.; Pastor, A. Improvement of orbital data precision and accuracy. Acta Astronautica, 2025. doi:</w:t>
      </w:r>
      <w:r>
        <w:t xml:space="preserve"> </w:t>
      </w:r>
      <w:hyperlink r:id="rId143">
        <w:r>
          <w:rPr>
            <w:rStyle w:val="Hyperlink"/>
          </w:rPr>
          <w:t xml:space="preserve">10.1016/j.actaastro.2025.01.003</w:t>
        </w:r>
      </w:hyperlink>
    </w:p>
    <w:p>
      <w:pPr>
        <w:pStyle w:val="BodyText"/>
        <w:spacing w:line="480" w:lineRule="auto"/>
        <w:ind w:firstLine="720"/>
      </w:pPr>
      <w:bookmarkStart w:id="144" w:name="ref-15"/>
      <w:bookmarkEnd w:id="144"/>
      <w:r>
        <w:t xml:space="preserve">15. Pavanello, Z.; De Maria, L.; De Vittori, A.; Maestrini, M.; Di Lizia, P.; Armellin, R. CAMmary: A review of spacecraft collision avoidance manoeuvre design methods. Acta Astronautica, 2025. doi:</w:t>
      </w:r>
      <w:r>
        <w:t xml:space="preserve"> </w:t>
      </w:r>
      <w:hyperlink r:id="rId145">
        <w:r>
          <w:rPr>
            <w:rStyle w:val="Hyperlink"/>
          </w:rPr>
          <w:t xml:space="preserve">10.1016/j.actaastro.2025.07.027</w:t>
        </w:r>
      </w:hyperlink>
    </w:p>
    <w:p>
      <w:pPr>
        <w:pStyle w:val="BodyText"/>
        <w:spacing w:line="480" w:lineRule="auto"/>
        <w:ind w:firstLine="720"/>
      </w:pPr>
      <w:bookmarkStart w:id="146" w:name="ref-16"/>
      <w:bookmarkEnd w:id="146"/>
      <w:r>
        <w:t xml:space="preserve">16. Muciaccia, A.; Romano, M.; Trisolini, M.; Colombo, C. Reconstruction of in orbit breakup events over the long term. Acta Astronautica, 2024. doi:</w:t>
      </w:r>
      <w:r>
        <w:t xml:space="preserve"> </w:t>
      </w:r>
      <w:hyperlink r:id="rId147">
        <w:r>
          <w:rPr>
            <w:rStyle w:val="Hyperlink"/>
          </w:rPr>
          <w:t xml:space="preserve">10.1016/j.actaastro.2024.12.053</w:t>
        </w:r>
      </w:hyperlink>
    </w:p>
    <w:p>
      <w:pPr>
        <w:pStyle w:val="BodyText"/>
        <w:spacing w:line="480" w:lineRule="auto"/>
        <w:ind w:firstLine="720"/>
      </w:pPr>
      <w:bookmarkStart w:id="148" w:name="ref-17"/>
      <w:bookmarkEnd w:id="148"/>
      <w:r>
        <w:t xml:space="preserve">17. Kastinen, D.; Vierinen, J.; Grydeland, T.; Kero, J. Using radar beam parks to characterize the Kosmos 1408 fragmentation event. Acta Astronautica, 2022. doi:</w:t>
      </w:r>
      <w:r>
        <w:t xml:space="preserve"> </w:t>
      </w:r>
      <w:hyperlink r:id="rId149">
        <w:r>
          <w:rPr>
            <w:rStyle w:val="Hyperlink"/>
          </w:rPr>
          <w:t xml:space="preserve">10.1016/j.actaastro.2022.10.021</w:t>
        </w:r>
      </w:hyperlink>
    </w:p>
    <w:p>
      <w:pPr>
        <w:pStyle w:val="BodyText"/>
        <w:spacing w:line="480" w:lineRule="auto"/>
        <w:ind w:firstLine="720"/>
      </w:pPr>
      <w:bookmarkStart w:id="150" w:name="ref-18"/>
      <w:bookmarkEnd w:id="150"/>
      <w:r>
        <w:t xml:space="preserve">18. Shepperd, R.; Boyce, W., III. Iridium’s Use of Mean Elements in Collision Assessment. Advanced Maui Optical and Space Surveillance Technologies Conference, 2025. doi:</w:t>
      </w:r>
      <w:r>
        <w:t xml:space="preserve"> </w:t>
      </w:r>
      <w:hyperlink r:id="rId151">
        <w:r>
          <w:rPr>
            <w:rStyle w:val="Hyperlink"/>
          </w:rPr>
          <w:t xml:space="preserve">10.64861/BEMV4407</w:t>
        </w:r>
      </w:hyperlink>
    </w:p>
    <w:p>
      <w:pPr>
        <w:pStyle w:val="BodyText"/>
        <w:spacing w:line="480" w:lineRule="auto"/>
        <w:ind w:firstLine="720"/>
      </w:pPr>
      <w:bookmarkStart w:id="152" w:name="ref-19"/>
      <w:bookmarkEnd w:id="152"/>
      <w:r>
        <w:t xml:space="preserve">19. Stilwell, R. Orbital Capacity and the Liability Convention. International Astronautical Congress, 2024.</w:t>
      </w:r>
    </w:p>
    <w:p>
      <w:pPr>
        <w:pStyle w:val="BodyText"/>
        <w:spacing w:line="480" w:lineRule="auto"/>
        <w:ind w:firstLine="720"/>
      </w:pPr>
      <w:bookmarkStart w:id="153" w:name="ref-20"/>
      <w:bookmarkEnd w:id="153"/>
      <w:r>
        <w:t xml:space="preserve">20. Stilwell, Robin.</w:t>
      </w:r>
      <w:r>
        <w:t xml:space="preserve"> </w:t>
      </w:r>
      <w:r>
        <w:rPr>
          <w:i/>
          <w:iCs/>
        </w:rPr>
        <w:t xml:space="preserve">Orbital Capacity and the Liability Convention.</w:t>
      </w:r>
      <w:r>
        <w:t xml:space="preserve"> </w:t>
      </w:r>
      <w:r>
        <w:t xml:space="preserve">IAC 2024 paper. International Astronautical Congress, Milan.</w:t>
      </w:r>
    </w:p>
    <w:p>
      <w:pPr>
        <w:pStyle w:val="BodyText"/>
        <w:spacing w:line="480" w:lineRule="auto"/>
        <w:ind w:firstLine="720"/>
      </w:pPr>
      <w:bookmarkStart w:id="154" w:name="ref-21"/>
      <w:bookmarkEnd w:id="154"/>
      <w:r>
        <w:t xml:space="preserve">21. Anz-Meador, Phillip D., Opiela, John N., Shoots, Debra, and Liou, J.-C.</w:t>
      </w:r>
      <w:r>
        <w:t xml:space="preserve"> </w:t>
      </w:r>
      <w:r>
        <w:rPr>
          <w:i/>
          <w:iCs/>
        </w:rPr>
        <w:t xml:space="preserve">History of On-Orbit Satellite Fragmentations</w:t>
      </w:r>
      <w:r>
        <w:t xml:space="preserve">, fifteenth edition. NASA/TM 2018-220037. NASA Johnson Space Center, 2018.</w:t>
      </w:r>
    </w:p>
    <w:p>
      <w:pPr>
        <w:pStyle w:val="BodyText"/>
        <w:spacing w:line="480" w:lineRule="auto"/>
        <w:ind w:firstLine="720"/>
      </w:pPr>
      <w:bookmarkStart w:id="155" w:name="ref-22"/>
      <w:bookmarkEnd w:id="155"/>
      <w:r>
        <w:t xml:space="preserve">22. Hejduk, Matthew, Miller, Scott, Murakami, David, Probe, Austin, Bryan, Graham, Petrov, Alex, Goldstein, David, Schwartz, Elliott, and Babcock, Erik.</w:t>
      </w:r>
      <w:r>
        <w:t xml:space="preserve"> </w:t>
      </w:r>
      <w:r>
        <w:t xml:space="preserve">“Conjunction Assessment and Deconfliction Paradigm for Co-Located Satellite Constellations with On-Spacecraft Autonomous Flight Dynamics Control.”</w:t>
      </w:r>
      <w:r>
        <w:t xml:space="preserve"> </w:t>
      </w:r>
      <w:r>
        <w:t xml:space="preserve">Proceedings of the Advanced Maui Optical and Space Surveillance Technologies (AMOS) Conference, 2023. https://doi.org/10.64861/KKFT4985</w:t>
      </w:r>
    </w:p>
    <w:p>
      <w:pPr>
        <w:pStyle w:val="BodyText"/>
        <w:spacing w:line="480" w:lineRule="auto"/>
        <w:ind w:firstLine="720"/>
      </w:pPr>
      <w:bookmarkStart w:id="156" w:name="ref-23"/>
      <w:bookmarkEnd w:id="156"/>
      <w:r>
        <w:t xml:space="preserve">23. Ottoboni, Francesca, Muciaccia, Andrea, and Colombo, Camilla.</w:t>
      </w:r>
      <w:r>
        <w:t xml:space="preserve"> </w:t>
      </w:r>
      <w:r>
        <w:t xml:space="preserve">“Reconstruction of in-orbit breakup events over the short term.”</w:t>
      </w:r>
      <w:r>
        <w:t xml:space="preserve"> </w:t>
      </w:r>
      <w:r>
        <w:rPr>
          <w:i/>
          <w:iCs/>
        </w:rPr>
        <w:t xml:space="preserve">Acta Astronautica</w:t>
      </w:r>
      <w:r>
        <w:t xml:space="preserve"> </w:t>
      </w:r>
      <w:r>
        <w:t xml:space="preserve">243, 2026. https://doi.org/10.1016/j.actaastro.2026.01.061</w:t>
      </w:r>
    </w:p>
    <w:p>
      <w:pPr>
        <w:pStyle w:val="BodyText"/>
        <w:spacing w:line="480" w:lineRule="auto"/>
        <w:ind w:firstLine="720"/>
      </w:pPr>
      <w:bookmarkStart w:id="157" w:name="ref-24"/>
      <w:bookmarkEnd w:id="157"/>
      <w:r>
        <w:t xml:space="preserve">24. United Nations.</w:t>
      </w:r>
      <w:r>
        <w:t xml:space="preserve"> </w:t>
      </w:r>
      <w:r>
        <w:rPr>
          <w:i/>
          <w:iCs/>
        </w:rPr>
        <w:t xml:space="preserve">Convention on International Liability for Damage Caused by Space Objects.</w:t>
      </w:r>
      <w:r>
        <w:t xml:space="preserve"> </w:t>
      </w:r>
      <w:r>
        <w:t xml:space="preserve">961 UNTS 187, opened for signature 29 March 1972, entered into force 1 September 1972.</w:t>
      </w:r>
    </w:p>
    <w:p>
      <w:pPr>
        <w:pStyle w:val="BodyText"/>
        <w:spacing w:line="480" w:lineRule="auto"/>
        <w:ind w:firstLine="720"/>
      </w:pPr>
      <w:bookmarkStart w:id="158" w:name="ref-25"/>
      <w:bookmarkEnd w:id="158"/>
      <w:r>
        <w:t xml:space="preserve">25. NASA Orbital Debris Program Office.</w:t>
      </w:r>
      <w:r>
        <w:t xml:space="preserve"> </w:t>
      </w:r>
      <w:r>
        <w:rPr>
          <w:i/>
          <w:iCs/>
        </w:rPr>
        <w:t xml:space="preserve">Orbital Debris Quarterly News.</w:t>
      </w:r>
      <w:r>
        <w:t xml:space="preserve"> </w:t>
      </w:r>
      <w:r>
        <w:t xml:space="preserve">Issues 11-2 (2007) through 27-1 (2023). NASA Johnson Space Center.</w:t>
      </w:r>
    </w:p>
    <w:p>
      <w:pPr>
        <w:pStyle w:val="BodyText"/>
        <w:spacing w:line="480" w:lineRule="auto"/>
        <w:ind w:firstLine="720"/>
      </w:pPr>
      <w:bookmarkStart w:id="159" w:name="ref-26"/>
      <w:bookmarkEnd w:id="159"/>
      <w:r>
        <w:t xml:space="preserve">26. Muciaccia, Andrea, Romano, Matteo, Trisolini, Mirko, and Colombo, Camilla.</w:t>
      </w:r>
      <w:r>
        <w:t xml:space="preserve"> </w:t>
      </w:r>
      <w:r>
        <w:t xml:space="preserve">“Reconstruction of in-orbit breakup events over the long term.”</w:t>
      </w:r>
      <w:r>
        <w:t xml:space="preserve"> </w:t>
      </w:r>
      <w:r>
        <w:rPr>
          <w:i/>
          <w:iCs/>
        </w:rPr>
        <w:t xml:space="preserve">Acta Astronautica</w:t>
      </w:r>
      <w:r>
        <w:t xml:space="preserve"> </w:t>
      </w:r>
      <w:r>
        <w:t xml:space="preserve">228, 2024. https://doi.org/10.1016/j.actaastro.2024.12.053</w:t>
      </w:r>
    </w:p>
    <w:p>
      <w:pPr>
        <w:pStyle w:val="BodyText"/>
        <w:spacing w:line="480" w:lineRule="auto"/>
        <w:ind w:firstLine="720"/>
      </w:pPr>
      <w:bookmarkStart w:id="160" w:name="ref-27"/>
      <w:bookmarkEnd w:id="160"/>
      <w:r>
        <w:t xml:space="preserve">27. US Space Command. Public statement on the destructive Russian direct-ascent anti-satellite test, 15 November 2021.</w:t>
      </w:r>
    </w:p>
    <w:p>
      <w:pPr>
        <w:pStyle w:val="BodyText"/>
        <w:spacing w:line="480" w:lineRule="auto"/>
        <w:ind w:firstLine="720"/>
      </w:pPr>
      <w:bookmarkStart w:id="161" w:name="ref-28"/>
      <w:bookmarkEnd w:id="161"/>
      <w:r>
        <w:t xml:space="preserve">28. Weeden, Brian and Samson, Victoria, editors.</w:t>
      </w:r>
      <w:r>
        <w:t xml:space="preserve"> </w:t>
      </w:r>
      <w:r>
        <w:rPr>
          <w:i/>
          <w:iCs/>
        </w:rPr>
        <w:t xml:space="preserve">Global Counterspace Capabilities: An Open Source Assessment.</w:t>
      </w:r>
      <w:r>
        <w:t xml:space="preserve"> </w:t>
      </w:r>
      <w:r>
        <w:t xml:space="preserve">Secure World Foundation, 2023.</w:t>
      </w:r>
    </w:p>
    <w:p>
      <w:pPr>
        <w:pStyle w:val="BodyText"/>
        <w:spacing w:line="480" w:lineRule="auto"/>
        <w:ind w:firstLine="720"/>
      </w:pPr>
      <w:bookmarkStart w:id="162" w:name="ref-29"/>
      <w:bookmarkEnd w:id="162"/>
      <w:r>
        <w:t xml:space="preserve">29. Aerospace Corporation Center for Orbital and Reentry Debris Studies (CORDS). Long March 5B reentry analyses, 2021 and 2022.</w:t>
      </w:r>
    </w:p>
    <w:p>
      <w:pPr>
        <w:pStyle w:val="BodyText"/>
        <w:spacing w:line="480" w:lineRule="auto"/>
        <w:ind w:firstLine="720"/>
      </w:pPr>
      <w:bookmarkStart w:id="163" w:name="ref-30"/>
      <w:bookmarkEnd w:id="163"/>
      <w:r>
        <w:t xml:space="preserve">30. Andris Jaunzemis, Georgia Institute of Technology, Marcus Holzinger, Georgia Institute of Technology, Moriba Jah, University of Arizona. Evidence-based Sensor Tasking for Space Domain Awareness (2016).</w:t>
      </w:r>
    </w:p>
    <w:p>
      <w:pPr>
        <w:pStyle w:val="BodyText"/>
        <w:spacing w:line="480" w:lineRule="auto"/>
        <w:ind w:firstLine="720"/>
      </w:pPr>
      <w:bookmarkStart w:id="164" w:name="ref-31"/>
      <w:bookmarkEnd w:id="164"/>
      <w:r>
        <w:t xml:space="preserve">31. Andris Jaunzemis, Georgia Institute of Technology; Dev Minotra, Georgia Institute of Technology; Karen Feigh, Georgia Institute of Technology; Marcus Holzinger, Georgia Institute of Technology; Moses Chan, Lockheed Martin Space. SSA Decision Support System Development and Evaluation using Cognitive Systems Engineering (2018).</w:t>
      </w:r>
    </w:p>
    <w:p>
      <w:pPr>
        <w:pStyle w:val="BodyText"/>
        <w:spacing w:line="480" w:lineRule="auto"/>
        <w:ind w:firstLine="720"/>
      </w:pPr>
      <w:bookmarkStart w:id="165" w:name="ref-32"/>
      <w:bookmarkEnd w:id="165"/>
      <w:r>
        <w:t xml:space="preserve">32. Matthew P. Wilkins, (Applied Defense Solutions), Columbia, MD, Avi Pfeffer, Charles River Analytics, Cambridge, MA, Paul W. Schumacher (Air Force Research Laboratory), Kihei, HI, Moriba K. Jah, (Air Force Research Laboratory), Albuquerque, NM. Towards an Artificial Space Object Taxonomy (2013).</w:t>
      </w:r>
    </w:p>
    <w:p>
      <w:pPr>
        <w:pStyle w:val="BodyText"/>
        <w:spacing w:line="480" w:lineRule="auto"/>
        <w:ind w:firstLine="720"/>
      </w:pPr>
      <w:bookmarkStart w:id="166" w:name="ref-33"/>
      <w:bookmarkEnd w:id="166"/>
      <w:r>
        <w:t xml:space="preserve">33. Marcus Holzinger (Georgia Institute of Technology). Uncorrelated Track Classification, Characterization, &amp; Prioritization using Admissible Regions and Bayesian Inference (2014).</w:t>
      </w:r>
    </w:p>
    <w:p>
      <w:pPr>
        <w:pStyle w:val="BodyText"/>
        <w:spacing w:line="480" w:lineRule="auto"/>
        <w:ind w:firstLine="720"/>
      </w:pPr>
      <w:bookmarkStart w:id="167" w:name="ref-34"/>
      <w:bookmarkEnd w:id="167"/>
      <w:r>
        <w:t xml:space="preserve">34. Emily Gerber, L3Harris; Thomas Kelecy, L3Harris; Jason Balke, L3Harris. Characterization of Orbital Debris Attributes Using Functional Data Analysis (2021).</w:t>
      </w:r>
    </w:p>
    <w:p>
      <w:pPr>
        <w:pStyle w:val="BodyText"/>
        <w:spacing w:line="480" w:lineRule="auto"/>
        <w:ind w:firstLine="720"/>
      </w:pPr>
      <w:bookmarkStart w:id="168" w:name="ref-35"/>
      <w:bookmarkEnd w:id="168"/>
      <w:r>
        <w:t xml:space="preserve">35. Matthew Wilkins (Applied Defense Solutions), Brian Ruttenberg (Charles River Analytics), Avi Pfeffer (Charles River Analytics), Paul Schumacher (Air Force Research Laboratory), Moriba Jah (Air Force Research Laboratory). Implications of Hierarchies for RSO Characterization, Recognition, and Identification (2014).</w:t>
      </w:r>
    </w:p>
    <w:p>
      <w:pPr>
        <w:pStyle w:val="BodyText"/>
        <w:spacing w:line="480" w:lineRule="auto"/>
        <w:ind w:firstLine="720"/>
      </w:pPr>
      <w:bookmarkStart w:id="169" w:name="ref-36"/>
      <w:bookmarkEnd w:id="169"/>
      <w:r>
        <w:t xml:space="preserve">36. Giovanni Lavezzi, Massachusetts Institute of Technology; Peng Mun Siew, Massachusetts Institute of Technology; Di Wu, Massachusetts Institute of Technology; Zachary Folcik, MIT Lincoln Laboratory; Victor Rodriguez-Fernandez, Universidad Politécnica de Madrid; Jeffrey Price, United States Air Force; Richard Linares, Massachusetts Institute of Technology. Early Classification of Space Objects Based on Astrometric Time Series Data (2024). doi:</w:t>
      </w:r>
      <w:r>
        <w:t xml:space="preserve"> </w:t>
      </w:r>
      <w:hyperlink r:id="rId170">
        <w:r>
          <w:rPr>
            <w:rStyle w:val="Hyperlink"/>
          </w:rPr>
          <w:t xml:space="preserve">10.64861/UARD3301</w:t>
        </w:r>
      </w:hyperlink>
    </w:p>
    <w:p>
      <w:pPr>
        <w:pStyle w:val="BodyText"/>
        <w:spacing w:line="480" w:lineRule="auto"/>
        <w:ind w:firstLine="720"/>
      </w:pPr>
      <w:bookmarkStart w:id="171" w:name="ref-37"/>
      <w:bookmarkEnd w:id="171"/>
      <w:r>
        <w:t xml:space="preserve">37. Frederick Tarantino, SAF/SQS. Memo on Space Debris Summit and Active Debris Removal (2022).</w:t>
      </w:r>
    </w:p>
    <w:p>
      <w:pPr>
        <w:pStyle w:val="BodyText"/>
        <w:spacing w:line="480" w:lineRule="auto"/>
        <w:ind w:firstLine="720"/>
      </w:pPr>
      <w:bookmarkStart w:id="172" w:name="ref-38"/>
      <w:bookmarkEnd w:id="172"/>
      <w:r>
        <w:t xml:space="preserve">38. Clémence Poirier. Establishing a governance for cyber operations in outer space: Exploring challenges faced by space and cyber commands (2025). doi:</w:t>
      </w:r>
      <w:r>
        <w:t xml:space="preserve"> </w:t>
      </w:r>
      <w:hyperlink r:id="rId173">
        <w:r>
          <w:rPr>
            <w:rStyle w:val="Hyperlink"/>
          </w:rPr>
          <w:t xml:space="preserve">10.1016/j.actaastro.2025.08.048</w:t>
        </w:r>
      </w:hyperlink>
    </w:p>
    <w:p>
      <w:pPr>
        <w:pStyle w:val="BodyText"/>
        <w:spacing w:line="480" w:lineRule="auto"/>
        <w:ind w:firstLine="720"/>
      </w:pPr>
      <w:bookmarkStart w:id="174" w:name="ref-39"/>
      <w:bookmarkEnd w:id="174"/>
      <w:r>
        <w:t xml:space="preserve">39. Junfu Chen; Dechang Pi; Zhiyuan Wu; Xiaodong Zhao; Yue Pan; Qiang Zhang. Imbalanced satellite telemetry data anomaly detection model based on Bayesian LSTM (2020). doi:</w:t>
      </w:r>
      <w:r>
        <w:t xml:space="preserve"> </w:t>
      </w:r>
      <w:hyperlink r:id="rId175">
        <w:r>
          <w:rPr>
            <w:rStyle w:val="Hyperlink"/>
          </w:rPr>
          <w:t xml:space="preserve">10.1016/j.actaastro.2020.12.012</w:t>
        </w:r>
      </w:hyperlink>
    </w:p>
    <w:p>
      <w:pPr>
        <w:pStyle w:val="BodyText"/>
        <w:spacing w:line="480" w:lineRule="auto"/>
        <w:ind w:firstLine="720"/>
      </w:pPr>
      <w:bookmarkStart w:id="176" w:name="ref-40"/>
      <w:bookmarkEnd w:id="176"/>
      <w:r>
        <w:t xml:space="preserve">40. Hanjoon Shim; Changdon Kee. Enhancing RTK-based relative navigation for CubeSats rendezvous: An ADOP perspective on integer ambiguity resolution (2025). doi:</w:t>
      </w:r>
      <w:r>
        <w:t xml:space="preserve"> </w:t>
      </w:r>
      <w:hyperlink r:id="rId177">
        <w:r>
          <w:rPr>
            <w:rStyle w:val="Hyperlink"/>
          </w:rPr>
          <w:t xml:space="preserve">10.1016/j.actaastro.2025.08.001</w:t>
        </w:r>
      </w:hyperlink>
    </w:p>
    <w:p>
      <w:pPr>
        <w:pStyle w:val="BodyText"/>
        <w:spacing w:line="480" w:lineRule="auto"/>
        <w:ind w:firstLine="720"/>
      </w:pPr>
      <w:bookmarkStart w:id="178" w:name="ref-41"/>
      <w:bookmarkEnd w:id="178"/>
      <w:r>
        <w:t xml:space="preserve">41. Justin Kruger; Simone D’Amico. Autonomous angles-only multitarget tracking for spacecraft swarms (2021). doi:</w:t>
      </w:r>
      <w:r>
        <w:t xml:space="preserve"> </w:t>
      </w:r>
      <w:hyperlink r:id="rId179">
        <w:r>
          <w:rPr>
            <w:rStyle w:val="Hyperlink"/>
          </w:rPr>
          <w:t xml:space="preserve">10.1016/j.actaastro.2021.08.049</w:t>
        </w:r>
      </w:hyperlink>
    </w:p>
    <w:p>
      <w:pPr>
        <w:pStyle w:val="BodyText"/>
        <w:spacing w:line="480" w:lineRule="auto"/>
        <w:ind w:firstLine="720"/>
      </w:pPr>
      <w:bookmarkStart w:id="180" w:name="ref-42"/>
      <w:bookmarkEnd w:id="180"/>
      <w:r>
        <w:t xml:space="preserve">42. Francisco Caldas; Cláudia Soares. Machine learning in orbit estimation: A survey (2024). doi:</w:t>
      </w:r>
      <w:r>
        <w:t xml:space="preserve"> </w:t>
      </w:r>
      <w:hyperlink r:id="rId181">
        <w:r>
          <w:rPr>
            <w:rStyle w:val="Hyperlink"/>
          </w:rPr>
          <w:t xml:space="preserve">10.1016/j.actaastro.2024.03.072</w:t>
        </w:r>
      </w:hyperlink>
    </w:p>
    <w:p>
      <w:pPr>
        <w:pStyle w:val="BodyText"/>
        <w:spacing w:line="480" w:lineRule="auto"/>
        <w:ind w:firstLine="720"/>
      </w:pPr>
      <w:bookmarkStart w:id="182" w:name="ref-43"/>
      <w:bookmarkEnd w:id="182"/>
      <w:r>
        <w:t xml:space="preserve">43. Pathawee Kunakorn-ong; Zahra Soltani; Matthew Santer. Optimal design of tube flexure cut-out geometries for deployment performance (2022). doi:</w:t>
      </w:r>
      <w:r>
        <w:t xml:space="preserve"> </w:t>
      </w:r>
      <w:hyperlink r:id="rId183">
        <w:r>
          <w:rPr>
            <w:rStyle w:val="Hyperlink"/>
          </w:rPr>
          <w:t xml:space="preserve">10.1016/j.actaastro.2022.04.034</w:t>
        </w:r>
      </w:hyperlink>
    </w:p>
    <w:p>
      <w:pPr>
        <w:pStyle w:val="BodyText"/>
        <w:spacing w:line="480" w:lineRule="auto"/>
        <w:ind w:firstLine="720"/>
      </w:pPr>
      <w:bookmarkStart w:id="184" w:name="ref-44"/>
      <w:bookmarkEnd w:id="184"/>
      <w:r>
        <w:t xml:space="preserve">44. Michael Herman; Olivia J. Pinon Fischer; Dimitri N. Mavris. Predictive calibration for digital sun sensors using sparse submanifold convolutional neural networks (2026). doi:</w:t>
      </w:r>
      <w:r>
        <w:t xml:space="preserve"> </w:t>
      </w:r>
      <w:hyperlink r:id="rId185">
        <w:r>
          <w:rPr>
            <w:rStyle w:val="Hyperlink"/>
          </w:rPr>
          <w:t xml:space="preserve">10.1016/j.actaastro.2026.05.010</w:t>
        </w:r>
      </w:hyperlink>
    </w:p>
    <w:p>
      <w:pPr>
        <w:pStyle w:val="BodyText"/>
        <w:spacing w:line="480" w:lineRule="auto"/>
        <w:ind w:firstLine="720"/>
      </w:pPr>
      <w:bookmarkStart w:id="186" w:name="ref-45"/>
      <w:bookmarkEnd w:id="186"/>
      <w:r>
        <w:t xml:space="preserve">45. Christopher Teale; James Beeley; Gilles Baillet; Colin R. McInnes. Femtosatellite mission architectures and mission assurance strategies (2024). doi:</w:t>
      </w:r>
      <w:r>
        <w:t xml:space="preserve"> </w:t>
      </w:r>
      <w:hyperlink r:id="rId187">
        <w:r>
          <w:rPr>
            <w:rStyle w:val="Hyperlink"/>
          </w:rPr>
          <w:t xml:space="preserve">10.1016/j.actaastro.2024.10.019</w:t>
        </w:r>
      </w:hyperlink>
    </w:p>
    <w:bookmarkEnd w:id="188"/>
    <w:bookmarkEnd w:id="189"/>
    <w:bookmarkStart w:id="206"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97" w:name="X857614a41412b3116ef7cb19c33d270b61b1ef6"/>
    <w:p>
      <w:pPr>
        <w:pStyle w:val="Heading2"/>
        <w:spacing w:line="480" w:lineRule="auto"/>
      </w:pPr>
      <w:r>
        <w:t xml:space="preserve">A.1 Attribution Under Ambiguity: Determinants of Confident Source Identification in Orbital Anomaly and Conjunction Events</w:t>
      </w:r>
    </w:p>
    <w:p>
      <w:pPr>
        <w:pStyle w:val="FirstParagraph"/>
        <w:spacing w:line="480" w:lineRule="auto"/>
      </w:pPr>
      <m:oMathPara>
        <m:oMathParaPr>
          <m:jc m:val="center"/>
        </m:oMathParaPr>
        <m:oMath>
          <m:r>
            <m:rPr>
              <m:sty m:val="p"/>
            </m:rPr>
            <m:t>Pr</m:t>
          </m:r>
          <m:r>
            <m:rPr>
              <m:sty m:val="p"/>
            </m:rPr>
            <m:t>(</m:t>
          </m:r>
          <m:sSub>
            <m:e>
              <m:r>
                <m:rPr>
                  <m:nor/>
                  <m:sty m:val="p"/>
                </m:rPr>
                <m:t>attributed</m:t>
              </m:r>
            </m:e>
            <m:sub>
              <m:r>
                <m:t>i</m:t>
              </m:r>
            </m:sub>
          </m:sSub>
          <m:r>
            <m:rPr>
              <m:sty m:val="p"/>
            </m:rPr>
            <m:t>=</m:t>
          </m:r>
          <m:r>
            <m:t>1</m:t>
          </m:r>
          <m:r>
            <m:rPr>
              <m:sty m:val="p"/>
            </m:rPr>
            <m:t>∣</m:t>
          </m:r>
          <m:sSub>
            <m:e>
              <m:r>
                <m:t>X</m:t>
              </m:r>
            </m:e>
            <m:sub>
              <m:r>
                <m:t>i</m:t>
              </m:r>
            </m:sub>
          </m:sSub>
          <m:r>
            <m:rPr>
              <m:sty m:val="p"/>
            </m:rPr>
            <m:t>)</m:t>
          </m:r>
          <m:r>
            <m:rPr>
              <m:sty m:val="p"/>
            </m:rPr>
            <m:t>=</m:t>
          </m:r>
          <m:r>
            <m:rPr>
              <m:sty m:val="p"/>
            </m:rPr>
            <m:t>Λ</m:t>
          </m:r>
          <m:d>
            <m:dPr>
              <m:begChr m:val="("/>
              <m:sepChr m:val=""/>
              <m:endChr m:val=")"/>
              <m:grow/>
            </m:dPr>
            <m:e>
              <m:sSub>
                <m:e>
                  <m:r>
                    <m:t>β</m:t>
                  </m:r>
                </m:e>
                <m:sub>
                  <m:r>
                    <m:t>0</m:t>
                  </m:r>
                </m:sub>
              </m:sSub>
              <m:r>
                <m:rPr>
                  <m:sty m:val="p"/>
                </m:rPr>
                <m:t>+</m:t>
              </m:r>
              <m:sSub>
                <m:e>
                  <m:r>
                    <m:t>β</m:t>
                  </m:r>
                </m:e>
                <m:sub>
                  <m:r>
                    <m:t>1</m:t>
                  </m:r>
                </m:sub>
              </m:sSub>
              <m:sSub>
                <m:e>
                  <m:r>
                    <m:rPr>
                      <m:nor/>
                      <m:sty m:val="p"/>
                    </m:rPr>
                    <m:t>alt</m:t>
                  </m:r>
                </m:e>
                <m:sub>
                  <m:r>
                    <m:t>i</m:t>
                  </m:r>
                </m:sub>
              </m:sSub>
              <m:r>
                <m:rPr>
                  <m:sty m:val="p"/>
                </m:rPr>
                <m:t>+</m:t>
              </m:r>
              <m:sSub>
                <m:e>
                  <m:r>
                    <m:t>β</m:t>
                  </m:r>
                </m:e>
                <m:sub>
                  <m:r>
                    <m:t>2</m:t>
                  </m:r>
                </m:sub>
              </m:sSub>
              <m:sSub>
                <m:e>
                  <m:r>
                    <m:rPr>
                      <m:nor/>
                      <m:sty m:val="p"/>
                    </m:rPr>
                    <m:t>sensordiv</m:t>
                  </m:r>
                </m:e>
                <m:sub>
                  <m:r>
                    <m:t>i</m:t>
                  </m:r>
                </m:sub>
              </m:sSub>
              <m:r>
                <m:rPr>
                  <m:sty m:val="p"/>
                </m:rPr>
                <m:t>+</m:t>
              </m:r>
              <m:sSub>
                <m:e>
                  <m:r>
                    <m:t>β</m:t>
                  </m:r>
                </m:e>
                <m:sub>
                  <m:r>
                    <m:t>3</m:t>
                  </m:r>
                </m:sub>
              </m:sSub>
              <m:sSub>
                <m:e>
                  <m:r>
                    <m:rPr>
                      <m:nor/>
                      <m:sty m:val="p"/>
                    </m:rPr>
                    <m:t>multiparty</m:t>
                  </m:r>
                </m:e>
                <m:sub>
                  <m:r>
                    <m:t>i</m:t>
                  </m:r>
                </m:sub>
              </m:sSub>
            </m:e>
          </m:d>
        </m:oMath>
      </m:oMathPara>
    </w:p>
    <w:bookmarkStart w:id="190"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-6.2316</w:t>
            </w:r>
          </w:p>
        </w:tc>
        <w:tc>
          <w:tcPr>
            <w:tcW w:w="0" w:type="auto"/>
          </w:tcPr>
          <w:p>
            <w:pPr>
              <w:spacing w:line="240" w:lineRule="auto" w:before="0" w:after="0"/>
              <w:pStyle w:val="Compact"/>
            </w:pPr>
            <w:r>
              <w:rPr>
                <w:sz w:val="20"/>
                <w:szCs w:val="20"/>
              </w:rPr>
              <w:t xml:space="preserve">10.2601</w:t>
            </w:r>
          </w:p>
        </w:tc>
        <w:tc>
          <w:tcPr>
            <w:tcW w:w="0" w:type="auto"/>
          </w:tcPr>
          <w:p>
            <w:pPr>
              <w:spacing w:line="240" w:lineRule="auto" w:before="0" w:after="0"/>
              <w:pStyle w:val="Compact"/>
            </w:pPr>
            <w:r>
              <w:rPr>
                <w:sz w:val="20"/>
                <w:szCs w:val="20"/>
              </w:rPr>
              <w:t xml:space="preserve">-0.6074</w:t>
            </w:r>
          </w:p>
        </w:tc>
        <w:tc>
          <w:tcPr>
            <w:tcW w:w="0" w:type="auto"/>
          </w:tcPr>
          <w:p>
            <w:pPr>
              <w:spacing w:line="240" w:lineRule="auto" w:before="0" w:after="0"/>
              <w:pStyle w:val="Compact"/>
            </w:pPr>
            <w:r>
              <w:rPr>
                <w:sz w:val="20"/>
                <w:szCs w:val="20"/>
              </w:rPr>
              <w:t xml:space="preserve">0.5436</w:t>
            </w:r>
          </w:p>
        </w:tc>
        <w:tc>
          <w:tcPr>
            <w:tcW w:w="0" w:type="auto"/>
          </w:tcPr>
          <w:p>
            <w:pPr>
              <w:spacing w:line="240" w:lineRule="auto" w:before="0" w:after="0"/>
              <w:pStyle w:val="Compact"/>
            </w:pPr>
            <w:r>
              <w:rPr>
                <w:sz w:val="20"/>
                <w:szCs w:val="20"/>
              </w:rPr>
              <w:t xml:space="preserve">[-26.3411, 13.8779]</w:t>
            </w:r>
          </w:p>
        </w:tc>
      </w:tr>
      <w:tr>
        <w:tc>
          <w:tcPr>
            <w:tcW w:w="0" w:type="auto"/>
          </w:tcPr>
          <w:p>
            <w:pPr>
              <w:spacing w:line="240" w:lineRule="auto" w:before="0" w:after="0"/>
              <w:pStyle w:val="Compact"/>
            </w:pPr>
            <w:r>
              <w:rPr>
                <w:sz w:val="20"/>
                <w:szCs w:val="20"/>
              </w:rPr>
              <w:t xml:space="preserve">alt_1000km</w:t>
            </w:r>
          </w:p>
        </w:tc>
        <w:tc>
          <w:tcPr>
            <w:tcW w:w="0" w:type="auto"/>
          </w:tcPr>
          <w:p>
            <w:pPr>
              <w:spacing w:line="240" w:lineRule="auto" w:before="0" w:after="0"/>
              <w:pStyle w:val="Compact"/>
            </w:pPr>
            <w:r>
              <w:rPr>
                <w:sz w:val="20"/>
                <w:szCs w:val="20"/>
              </w:rPr>
              <w:t xml:space="preserve">-0.2442</w:t>
            </w:r>
          </w:p>
        </w:tc>
        <w:tc>
          <w:tcPr>
            <w:tcW w:w="0" w:type="auto"/>
          </w:tcPr>
          <w:p>
            <w:pPr>
              <w:spacing w:line="240" w:lineRule="auto" w:before="0" w:after="0"/>
              <w:pStyle w:val="Compact"/>
            </w:pPr>
            <w:r>
              <w:rPr>
                <w:sz w:val="20"/>
                <w:szCs w:val="20"/>
              </w:rPr>
              <w:t xml:space="preserve">0.3015</w:t>
            </w:r>
          </w:p>
        </w:tc>
        <w:tc>
          <w:tcPr>
            <w:tcW w:w="0" w:type="auto"/>
          </w:tcPr>
          <w:p>
            <w:pPr>
              <w:spacing w:line="240" w:lineRule="auto" w:before="0" w:after="0"/>
              <w:pStyle w:val="Compact"/>
            </w:pPr>
            <w:r>
              <w:rPr>
                <w:sz w:val="20"/>
                <w:szCs w:val="20"/>
              </w:rPr>
              <w:t xml:space="preserve">-0.81</w:t>
            </w:r>
          </w:p>
        </w:tc>
        <w:tc>
          <w:tcPr>
            <w:tcW w:w="0" w:type="auto"/>
          </w:tcPr>
          <w:p>
            <w:pPr>
              <w:spacing w:line="240" w:lineRule="auto" w:before="0" w:after="0"/>
              <w:pStyle w:val="Compact"/>
            </w:pPr>
            <w:r>
              <w:rPr>
                <w:sz w:val="20"/>
                <w:szCs w:val="20"/>
              </w:rPr>
              <w:t xml:space="preserve">0.4179</w:t>
            </w:r>
          </w:p>
        </w:tc>
        <w:tc>
          <w:tcPr>
            <w:tcW w:w="0" w:type="auto"/>
          </w:tcPr>
          <w:p>
            <w:pPr>
              <w:spacing w:line="240" w:lineRule="auto" w:before="0" w:after="0"/>
              <w:pStyle w:val="Compact"/>
            </w:pPr>
            <w:r>
              <w:rPr>
                <w:sz w:val="20"/>
                <w:szCs w:val="20"/>
              </w:rPr>
              <w:t xml:space="preserve">[-0.8351, 0.3467]</w:t>
            </w:r>
          </w:p>
        </w:tc>
      </w:tr>
      <w:tr>
        <w:tc>
          <w:tcPr>
            <w:tcW w:w="0" w:type="auto"/>
          </w:tcPr>
          <w:p>
            <w:pPr>
              <w:spacing w:line="240" w:lineRule="auto" w:before="0" w:after="0"/>
              <w:pStyle w:val="Compact"/>
            </w:pPr>
            <w:r>
              <w:rPr>
                <w:sz w:val="20"/>
                <w:szCs w:val="20"/>
              </w:rPr>
              <w:t xml:space="preserve">sensor_diversity</w:t>
            </w:r>
          </w:p>
        </w:tc>
        <w:tc>
          <w:tcPr>
            <w:tcW w:w="0" w:type="auto"/>
          </w:tcPr>
          <w:p>
            <w:pPr>
              <w:spacing w:line="240" w:lineRule="auto" w:before="0" w:after="0"/>
              <w:pStyle w:val="Compact"/>
            </w:pPr>
            <w:r>
              <w:rPr>
                <w:sz w:val="20"/>
                <w:szCs w:val="20"/>
              </w:rPr>
              <w:t xml:space="preserve">6.9027</w:t>
            </w:r>
          </w:p>
        </w:tc>
        <w:tc>
          <w:tcPr>
            <w:tcW w:w="0" w:type="auto"/>
          </w:tcPr>
          <w:p>
            <w:pPr>
              <w:spacing w:line="240" w:lineRule="auto" w:before="0" w:after="0"/>
              <w:pStyle w:val="Compact"/>
            </w:pPr>
            <w:r>
              <w:rPr>
                <w:sz w:val="20"/>
                <w:szCs w:val="20"/>
              </w:rPr>
              <w:t xml:space="preserve">10.4488</w:t>
            </w:r>
          </w:p>
        </w:tc>
        <w:tc>
          <w:tcPr>
            <w:tcW w:w="0" w:type="auto"/>
          </w:tcPr>
          <w:p>
            <w:pPr>
              <w:spacing w:line="240" w:lineRule="auto" w:before="0" w:after="0"/>
              <w:pStyle w:val="Compact"/>
            </w:pPr>
            <w:r>
              <w:rPr>
                <w:sz w:val="20"/>
                <w:szCs w:val="20"/>
              </w:rPr>
              <w:t xml:space="preserve">0.6606</w:t>
            </w:r>
          </w:p>
        </w:tc>
        <w:tc>
          <w:tcPr>
            <w:tcW w:w="0" w:type="auto"/>
          </w:tcPr>
          <w:p>
            <w:pPr>
              <w:spacing w:line="240" w:lineRule="auto" w:before="0" w:after="0"/>
              <w:pStyle w:val="Compact"/>
            </w:pPr>
            <w:r>
              <w:rPr>
                <w:sz w:val="20"/>
                <w:szCs w:val="20"/>
              </w:rPr>
              <w:t xml:space="preserve">0.5089</w:t>
            </w:r>
          </w:p>
        </w:tc>
        <w:tc>
          <w:tcPr>
            <w:tcW w:w="0" w:type="auto"/>
          </w:tcPr>
          <w:p>
            <w:pPr>
              <w:spacing w:line="240" w:lineRule="auto" w:before="0" w:after="0"/>
              <w:pStyle w:val="Compact"/>
            </w:pPr>
            <w:r>
              <w:rPr>
                <w:sz w:val="20"/>
                <w:szCs w:val="20"/>
              </w:rPr>
              <w:t xml:space="preserve">[-13.5766, 27.3819]</w:t>
            </w:r>
          </w:p>
        </w:tc>
      </w:tr>
      <w:tr>
        <w:tc>
          <w:tcPr>
            <w:tcW w:w="0" w:type="auto"/>
          </w:tcPr>
          <w:p>
            <w:pPr>
              <w:spacing w:line="240" w:lineRule="auto" w:before="0" w:after="0"/>
              <w:pStyle w:val="Compact"/>
            </w:pPr>
            <w:r>
              <w:rPr>
                <w:sz w:val="20"/>
                <w:szCs w:val="20"/>
              </w:rPr>
              <w:t xml:space="preserve">multi_party</w:t>
            </w:r>
          </w:p>
        </w:tc>
        <w:tc>
          <w:tcPr>
            <w:tcW w:w="0" w:type="auto"/>
          </w:tcPr>
          <w:p>
            <w:pPr>
              <w:spacing w:line="240" w:lineRule="auto" w:before="0" w:after="0"/>
              <w:pStyle w:val="Compact"/>
            </w:pPr>
            <w:r>
              <w:rPr>
                <w:sz w:val="20"/>
                <w:szCs w:val="20"/>
              </w:rPr>
              <w:t xml:space="preserve">-6.5887</w:t>
            </w:r>
          </w:p>
        </w:tc>
        <w:tc>
          <w:tcPr>
            <w:tcW w:w="0" w:type="auto"/>
          </w:tcPr>
          <w:p>
            <w:pPr>
              <w:spacing w:line="240" w:lineRule="auto" w:before="0" w:after="0"/>
              <w:pStyle w:val="Compact"/>
            </w:pPr>
            <w:r>
              <w:rPr>
                <w:sz w:val="20"/>
                <w:szCs w:val="20"/>
              </w:rPr>
              <w:t xml:space="preserve">10.6396</w:t>
            </w:r>
          </w:p>
        </w:tc>
        <w:tc>
          <w:tcPr>
            <w:tcW w:w="0" w:type="auto"/>
          </w:tcPr>
          <w:p>
            <w:pPr>
              <w:spacing w:line="240" w:lineRule="auto" w:before="0" w:after="0"/>
              <w:pStyle w:val="Compact"/>
            </w:pPr>
            <w:r>
              <w:rPr>
                <w:sz w:val="20"/>
                <w:szCs w:val="20"/>
              </w:rPr>
              <w:t xml:space="preserve">-0.6193</w:t>
            </w:r>
          </w:p>
        </w:tc>
        <w:tc>
          <w:tcPr>
            <w:tcW w:w="0" w:type="auto"/>
          </w:tcPr>
          <w:p>
            <w:pPr>
              <w:spacing w:line="240" w:lineRule="auto" w:before="0" w:after="0"/>
              <w:pStyle w:val="Compact"/>
            </w:pPr>
            <w:r>
              <w:rPr>
                <w:sz w:val="20"/>
                <w:szCs w:val="20"/>
              </w:rPr>
              <w:t xml:space="preserve">0.5357</w:t>
            </w:r>
          </w:p>
        </w:tc>
        <w:tc>
          <w:tcPr>
            <w:tcW w:w="0" w:type="auto"/>
          </w:tcPr>
          <w:p>
            <w:pPr>
              <w:spacing w:line="240" w:lineRule="auto" w:before="0" w:after="0"/>
              <w:pStyle w:val="Compact"/>
            </w:pPr>
            <w:r>
              <w:rPr>
                <w:sz w:val="20"/>
                <w:szCs w:val="20"/>
              </w:rPr>
              <w:t xml:space="preserve">[-27.4421, 14.2646]</w:t>
            </w:r>
          </w:p>
        </w:tc>
      </w:tr>
    </w:tbl>
    <w:p>
      <w:pPr>
        <w:pStyle w:val="BodyText"/>
        <w:spacing w:line="480" w:lineRule="auto"/>
        <w:ind w:firstLine="720"/>
      </w:pPr>
      <w:r>
        <w:t xml:space="preserve">Fit: N = 30 pseudo_R2 = 0.5337 LL = -7.6003</w:t>
      </w:r>
    </w:p>
    <w:bookmarkEnd w:id="190"/>
    <w:bookmarkStart w:id="194"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Confident attribution outcome across orbital anomaly and conjunction events by sensor diversity. Events characterized by multiple sensor classes show systematically higher attribution rates, consistent with the evidentiary-informativeness mechanism in the Bayesian attribution network." title="" id="192" name="Picture"/>
            <a:graphic>
              <a:graphicData uri="http://schemas.openxmlformats.org/drawingml/2006/picture">
                <pic:pic>
                  <pic:nvPicPr>
                    <pic:cNvPr descr="D:/Claude_Code/brain/collegium/candidates/dissertations/SSA_SDA_04/research_papers/p1/paper_fig1.png" id="193" name="Picture"/>
                    <pic:cNvPicPr>
                      <a:picLocks noChangeArrowheads="1" noChangeAspect="1"/>
                    </pic:cNvPicPr>
                  </pic:nvPicPr>
                  <pic:blipFill>
                    <a:blip r:embed="rId19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Confident attribution outcome across orbital anomaly and conjunction events by sensor diversity. Events characterized by multiple sensor classes show systematically higher attribution rates, consistent with the evidentiary-informativeness mechanism in the Bayesian attribution network.</w:t>
      </w:r>
    </w:p>
    <w:bookmarkEnd w:id="194"/>
    <w:bookmarkStart w:id="195"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event_id</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attributed</w:t>
            </w:r>
          </w:p>
        </w:tc>
        <w:tc>
          <w:tcPr>
            <w:tcW w:w="0" w:type="auto"/>
          </w:tcPr>
          <w:p>
            <w:pPr>
              <w:spacing w:line="240" w:lineRule="auto" w:before="0" w:after="0"/>
              <w:pStyle w:val="Compact"/>
            </w:pPr>
            <w:r>
              <w:rPr>
                <w:sz w:val="20"/>
                <w:szCs w:val="20"/>
              </w:rPr>
              <w:t xml:space="preserve">n_tracked_100s</w:t>
            </w:r>
          </w:p>
        </w:tc>
        <w:tc>
          <w:tcPr>
            <w:tcW w:w="0" w:type="auto"/>
          </w:tcPr>
          <w:p>
            <w:pPr>
              <w:spacing w:line="240" w:lineRule="auto" w:before="0" w:after="0"/>
              <w:pStyle w:val="Compact"/>
            </w:pPr>
            <w:r>
              <w:rPr>
                <w:sz w:val="20"/>
                <w:szCs w:val="20"/>
              </w:rPr>
              <w:t xml:space="preserve">alt_1000km</w:t>
            </w:r>
          </w:p>
        </w:tc>
        <w:tc>
          <w:tcPr>
            <w:tcW w:w="0" w:type="auto"/>
          </w:tcPr>
          <w:p>
            <w:pPr>
              <w:spacing w:line="240" w:lineRule="auto" w:before="0" w:after="0"/>
              <w:pStyle w:val="Compact"/>
            </w:pPr>
            <w:r>
              <w:rPr>
                <w:sz w:val="20"/>
                <w:szCs w:val="20"/>
              </w:rPr>
              <w:t xml:space="preserve">multi_party</w:t>
            </w:r>
          </w:p>
        </w:tc>
        <w:tc>
          <w:tcPr>
            <w:tcW w:w="0" w:type="auto"/>
          </w:tcPr>
          <w:p>
            <w:pPr>
              <w:spacing w:line="240" w:lineRule="auto" w:before="0" w:after="0"/>
              <w:pStyle w:val="Compact"/>
            </w:pPr>
            <w:r>
              <w:rPr>
                <w:sz w:val="20"/>
                <w:szCs w:val="20"/>
              </w:rPr>
              <w:t xml:space="preserve">sensor_diversity</w:t>
            </w:r>
          </w:p>
        </w:tc>
        <w:tc>
          <w:tcPr>
            <w:tcW w:w="0" w:type="auto"/>
          </w:tcPr>
          <w:p>
            <w:pPr>
              <w:spacing w:line="240" w:lineRule="auto" w:before="0" w:after="0"/>
              <w:pStyle w:val="Compact"/>
            </w:pPr>
            <w:r>
              <w:rPr>
                <w:sz w:val="20"/>
                <w:szCs w:val="20"/>
              </w:rPr>
              <w:t xml:space="preserve">time_to_id_weeks</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fy1c_asat_2007</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30.37</w:t>
            </w:r>
          </w:p>
        </w:tc>
        <w:tc>
          <w:tcPr>
            <w:tcW w:w="0" w:type="auto"/>
          </w:tcPr>
          <w:p>
            <w:pPr>
              <w:spacing w:line="240" w:lineRule="auto" w:before="0" w:after="0"/>
              <w:pStyle w:val="Compact"/>
            </w:pPr>
            <w:r>
              <w:rPr>
                <w:sz w:val="20"/>
                <w:szCs w:val="20"/>
              </w:rPr>
              <w:t xml:space="preserve">0.865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NASA Orbital Debris Quarterly News v11i2 (2007); Pardini &amp; Anselmo, Acta Astronautica 2009 [doi:10.1016/j.actaastro.2008.11.018]</w:t>
            </w:r>
          </w:p>
        </w:tc>
      </w:tr>
      <w:tr>
        <w:tc>
          <w:tcPr>
            <w:tcW w:w="0" w:type="auto"/>
          </w:tcPr>
          <w:p>
            <w:pPr>
              <w:spacing w:line="240" w:lineRule="auto" w:before="0" w:after="0"/>
              <w:pStyle w:val="Compact"/>
            </w:pPr>
            <w:r>
              <w:rPr>
                <w:sz w:val="20"/>
                <w:szCs w:val="20"/>
              </w:rPr>
              <w:t xml:space="preserve">iridium33_cosmos2251_2009</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22.96</w:t>
            </w:r>
          </w:p>
        </w:tc>
        <w:tc>
          <w:tcPr>
            <w:tcW w:w="0" w:type="auto"/>
          </w:tcPr>
          <w:p>
            <w:pPr>
              <w:spacing w:line="240" w:lineRule="auto" w:before="0" w:after="0"/>
              <w:pStyle w:val="Compact"/>
            </w:pPr>
            <w:r>
              <w:rPr>
                <w:sz w:val="20"/>
                <w:szCs w:val="20"/>
              </w:rPr>
              <w:t xml:space="preserve">0.789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NASA ODQN v13i2 (2009); Kelso, AMOS 2009</w:t>
            </w:r>
          </w:p>
        </w:tc>
      </w:tr>
      <w:tr>
        <w:tc>
          <w:tcPr>
            <w:tcW w:w="0" w:type="auto"/>
          </w:tcPr>
          <w:p>
            <w:pPr>
              <w:spacing w:line="240" w:lineRule="auto" w:before="0" w:after="0"/>
              <w:pStyle w:val="Compact"/>
            </w:pPr>
            <w:r>
              <w:rPr>
                <w:sz w:val="20"/>
                <w:szCs w:val="20"/>
              </w:rPr>
              <w:t xml:space="preserve">usa193_intercept_2008</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1.74</w:t>
            </w:r>
          </w:p>
        </w:tc>
        <w:tc>
          <w:tcPr>
            <w:tcW w:w="0" w:type="auto"/>
          </w:tcPr>
          <w:p>
            <w:pPr>
              <w:spacing w:line="240" w:lineRule="auto" w:before="0" w:after="0"/>
              <w:pStyle w:val="Compact"/>
            </w:pPr>
            <w:r>
              <w:rPr>
                <w:sz w:val="20"/>
                <w:szCs w:val="20"/>
              </w:rPr>
              <w:t xml:space="preserve">0.247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0.1</w:t>
            </w:r>
          </w:p>
        </w:tc>
        <w:tc>
          <w:tcPr>
            <w:tcW w:w="0" w:type="auto"/>
          </w:tcPr>
          <w:p>
            <w:pPr>
              <w:spacing w:line="240" w:lineRule="auto" w:before="0" w:after="0"/>
              <w:pStyle w:val="Compact"/>
            </w:pPr>
            <w:r>
              <w:rPr>
                <w:sz w:val="20"/>
                <w:szCs w:val="20"/>
              </w:rPr>
              <w:t xml:space="preserve">NASA ODQN v12i2 (2008); US DoD press briefing 2008-02-20</w:t>
            </w:r>
          </w:p>
        </w:tc>
      </w:tr>
      <w:tr>
        <w:tc>
          <w:tcPr>
            <w:tcW w:w="0" w:type="auto"/>
          </w:tcPr>
          <w:p>
            <w:pPr>
              <w:spacing w:line="240" w:lineRule="auto" w:before="0" w:after="0"/>
              <w:pStyle w:val="Compact"/>
            </w:pPr>
            <w:r>
              <w:rPr>
                <w:sz w:val="20"/>
                <w:szCs w:val="20"/>
              </w:rPr>
              <w:t xml:space="preserve">kosmos1408_asat_2021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17.83</w:t>
            </w:r>
          </w:p>
        </w:tc>
        <w:tc>
          <w:tcPr>
            <w:tcW w:w="0" w:type="auto"/>
          </w:tcPr>
          <w:p>
            <w:pPr>
              <w:spacing w:line="240" w:lineRule="auto" w:before="0" w:after="0"/>
              <w:pStyle w:val="Compact"/>
            </w:pPr>
            <w:r>
              <w:rPr>
                <w:sz w:val="20"/>
                <w:szCs w:val="20"/>
              </w:rPr>
              <w:t xml:space="preserve">0.485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0.1</w:t>
            </w:r>
          </w:p>
        </w:tc>
        <w:tc>
          <w:tcPr>
            <w:tcW w:w="0" w:type="auto"/>
          </w:tcPr>
          <w:p>
            <w:pPr>
              <w:spacing w:line="240" w:lineRule="auto" w:before="0" w:after="0"/>
              <w:pStyle w:val="Compact"/>
            </w:pPr>
            <w:r>
              <w:rPr>
                <w:sz w:val="20"/>
                <w:szCs w:val="20"/>
              </w:rPr>
              <w:t xml:space="preserve">NASA ODQN v26i1 (2022); Kastinen et al., Acta Astronautica 2022 [doi:10.1016/j.actaastro.2022.10.021]</w:t>
            </w:r>
          </w:p>
        </w:tc>
      </w:tr>
      <w:tr>
        <w:tc>
          <w:tcPr>
            <w:tcW w:w="0" w:type="auto"/>
          </w:tcPr>
          <w:p>
            <w:pPr>
              <w:spacing w:line="240" w:lineRule="auto" w:before="0" w:after="0"/>
              <w:pStyle w:val="Compact"/>
            </w:pPr>
            <w:r>
              <w:rPr>
                <w:sz w:val="20"/>
                <w:szCs w:val="20"/>
              </w:rPr>
              <w:t xml:space="preserve">mission_shakti_asat_2019</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1.29</w:t>
            </w:r>
          </w:p>
        </w:tc>
        <w:tc>
          <w:tcPr>
            <w:tcW w:w="0" w:type="auto"/>
          </w:tcPr>
          <w:p>
            <w:pPr>
              <w:spacing w:line="240" w:lineRule="auto" w:before="0" w:after="0"/>
              <w:pStyle w:val="Compact"/>
            </w:pPr>
            <w:r>
              <w:rPr>
                <w:sz w:val="20"/>
                <w:szCs w:val="20"/>
              </w:rPr>
              <w:t xml:space="preserve">0.283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NASA ODQN v23i3 (2019); Indian MEA press briefing 2019-03-27</w:t>
            </w:r>
          </w:p>
        </w:tc>
      </w:tr>
      <w:tr>
        <w:tc>
          <w:tcPr>
            <w:tcW w:w="0" w:type="auto"/>
          </w:tcPr>
          <w:p>
            <w:pPr>
              <w:spacing w:line="240" w:lineRule="auto" w:before="0" w:after="0"/>
              <w:pStyle w:val="Compact"/>
            </w:pPr>
            <w:r>
              <w:rPr>
                <w:sz w:val="20"/>
                <w:szCs w:val="20"/>
              </w:rPr>
              <w:t xml:space="preserve">fengyun1c_anomaly_pre2007</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0.865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57.1</w:t>
            </w:r>
          </w:p>
        </w:tc>
        <w:tc>
          <w:tcPr>
            <w:tcW w:w="0" w:type="auto"/>
          </w:tcPr>
          <w:p>
            <w:pPr>
              <w:spacing w:line="240" w:lineRule="auto" w:before="0" w:after="0"/>
              <w:pStyle w:val="Compact"/>
            </w:pPr>
            <w:r>
              <w:rPr>
                <w:sz w:val="20"/>
                <w:szCs w:val="20"/>
              </w:rPr>
              <w:t xml:space="preserve">NASA ODQN v11i1 (2007) [illustrative anomaly precursor]</w:t>
            </w:r>
          </w:p>
        </w:tc>
      </w:tr>
      <w:tr>
        <w:tc>
          <w:tcPr>
            <w:tcW w:w="0" w:type="auto"/>
          </w:tcPr>
          <w:p>
            <w:pPr>
              <w:spacing w:line="240" w:lineRule="auto" w:before="0" w:after="0"/>
              <w:pStyle w:val="Compact"/>
            </w:pPr>
            <w:r>
              <w:rPr>
                <w:sz w:val="20"/>
                <w:szCs w:val="20"/>
              </w:rPr>
              <w:t xml:space="preserve">breeze_m_2012</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7.01</w:t>
            </w:r>
          </w:p>
        </w:tc>
        <w:tc>
          <w:tcPr>
            <w:tcW w:w="0" w:type="auto"/>
          </w:tcPr>
          <w:p>
            <w:pPr>
              <w:spacing w:line="240" w:lineRule="auto" w:before="0" w:after="0"/>
              <w:pStyle w:val="Compact"/>
            </w:pPr>
            <w:r>
              <w:rPr>
                <w:sz w:val="20"/>
                <w:szCs w:val="20"/>
              </w:rPr>
              <w:t xml:space="preserve">0.265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NASA ODQN v17i1 (2013); Anz-Meador, AMOS 2014</w:t>
            </w:r>
          </w:p>
        </w:tc>
      </w:tr>
      <w:tr>
        <w:tc>
          <w:tcPr>
            <w:tcW w:w="0" w:type="auto"/>
          </w:tcPr>
          <w:p>
            <w:pPr>
              <w:spacing w:line="240" w:lineRule="auto" w:before="0" w:after="0"/>
              <w:pStyle w:val="Compact"/>
            </w:pPr>
            <w:r>
              <w:rPr>
                <w:sz w:val="20"/>
                <w:szCs w:val="20"/>
              </w:rPr>
              <w:t xml:space="preserve">breeze_m_2007</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11.41</w:t>
            </w:r>
          </w:p>
        </w:tc>
        <w:tc>
          <w:tcPr>
            <w:tcW w:w="0" w:type="auto"/>
          </w:tcPr>
          <w:p>
            <w:pPr>
              <w:spacing w:line="240" w:lineRule="auto" w:before="0" w:after="0"/>
              <w:pStyle w:val="Compact"/>
            </w:pPr>
            <w:r>
              <w:rPr>
                <w:sz w:val="20"/>
                <w:szCs w:val="20"/>
              </w:rPr>
              <w:t xml:space="preserve">0.495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NASA ODQN v12i2 (2008); Johnson, AMOS 2008</w:t>
            </w:r>
          </w:p>
        </w:tc>
      </w:tr>
      <w:tr>
        <w:tc>
          <w:tcPr>
            <w:tcW w:w="0" w:type="auto"/>
          </w:tcPr>
          <w:p>
            <w:pPr>
              <w:spacing w:line="240" w:lineRule="auto" w:before="0" w:after="0"/>
              <w:pStyle w:val="Compact"/>
            </w:pPr>
            <w:r>
              <w:rPr>
                <w:sz w:val="20"/>
                <w:szCs w:val="20"/>
              </w:rPr>
              <w:t xml:space="preserve">nimbus6_rb_2024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1.075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ODQN v28i4 (2024); Aerospace Corp CORDS 2024</w:t>
            </w:r>
          </w:p>
        </w:tc>
      </w:tr>
      <w:tr>
        <w:tc>
          <w:tcPr>
            <w:tcW w:w="0" w:type="auto"/>
          </w:tcPr>
          <w:p>
            <w:pPr>
              <w:spacing w:line="240" w:lineRule="auto" w:before="0" w:after="0"/>
              <w:pStyle w:val="Compact"/>
            </w:pPr>
            <w:r>
              <w:rPr>
                <w:sz w:val="20"/>
                <w:szCs w:val="20"/>
              </w:rPr>
              <w:t xml:space="preserve">yz1_breakup_2019</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0.21</w:t>
            </w:r>
          </w:p>
        </w:tc>
        <w:tc>
          <w:tcPr>
            <w:tcW w:w="0" w:type="auto"/>
          </w:tcPr>
          <w:p>
            <w:pPr>
              <w:spacing w:line="240" w:lineRule="auto" w:before="0" w:after="0"/>
              <w:pStyle w:val="Compact"/>
            </w:pPr>
            <w:r>
              <w:rPr>
                <w:sz w:val="20"/>
                <w:szCs w:val="20"/>
              </w:rPr>
              <w:t xml:space="preserve">0.696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NASA ODQN v23i4 (2019); Anz-Meador, AMOS 2020</w:t>
            </w:r>
          </w:p>
        </w:tc>
      </w:tr>
      <w:tr>
        <w:tc>
          <w:tcPr>
            <w:tcW w:w="0" w:type="auto"/>
          </w:tcPr>
          <w:p>
            <w:pPr>
              <w:spacing w:line="240" w:lineRule="auto" w:before="0" w:after="0"/>
              <w:pStyle w:val="Compact"/>
            </w:pPr>
            <w:r>
              <w:rPr>
                <w:sz w:val="20"/>
                <w:szCs w:val="20"/>
              </w:rPr>
              <w:t xml:space="preserve">ariane_h10_1986</w:t>
            </w:r>
          </w:p>
        </w:tc>
        <w:tc>
          <w:tcPr>
            <w:tcW w:w="0" w:type="auto"/>
          </w:tcPr>
          <w:p>
            <w:pPr>
              <w:spacing w:line="240" w:lineRule="auto" w:before="0" w:after="0"/>
              <w:pStyle w:val="Compact"/>
            </w:pPr>
            <w:r>
              <w:rPr>
                <w:sz w:val="20"/>
                <w:szCs w:val="20"/>
              </w:rPr>
              <w:t xml:space="preserve">1986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4.88</w:t>
            </w:r>
          </w:p>
        </w:tc>
        <w:tc>
          <w:tcPr>
            <w:tcW w:w="0" w:type="auto"/>
          </w:tcPr>
          <w:p>
            <w:pPr>
              <w:spacing w:line="240" w:lineRule="auto" w:before="0" w:after="0"/>
              <w:pStyle w:val="Compact"/>
            </w:pPr>
            <w:r>
              <w:rPr>
                <w:sz w:val="20"/>
                <w:szCs w:val="20"/>
              </w:rPr>
              <w:t xml:space="preserve">0.805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Johnson &amp; McKnight, Artificial Space Debris (1991); NASA ODQN historical</w:t>
            </w:r>
          </w:p>
        </w:tc>
      </w:tr>
      <w:tr>
        <w:tc>
          <w:tcPr>
            <w:tcW w:w="0" w:type="auto"/>
          </w:tcPr>
          <w:p>
            <w:pPr>
              <w:spacing w:line="240" w:lineRule="auto" w:before="0" w:after="0"/>
              <w:pStyle w:val="Compact"/>
            </w:pPr>
            <w:r>
              <w:rPr>
                <w:sz w:val="20"/>
                <w:szCs w:val="20"/>
              </w:rPr>
              <w:t xml:space="preserve">delta2_pam_1991</w:t>
            </w:r>
          </w:p>
        </w:tc>
        <w:tc>
          <w:tcPr>
            <w:tcW w:w="0" w:type="auto"/>
          </w:tcPr>
          <w:p>
            <w:pPr>
              <w:spacing w:line="240" w:lineRule="auto" w:before="0" w:after="0"/>
              <w:pStyle w:val="Compact"/>
            </w:pPr>
            <w:r>
              <w:rPr>
                <w:sz w:val="20"/>
                <w:szCs w:val="20"/>
              </w:rPr>
              <w:t xml:space="preserve">1991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3.08</w:t>
            </w:r>
          </w:p>
        </w:tc>
        <w:tc>
          <w:tcPr>
            <w:tcW w:w="0" w:type="auto"/>
          </w:tcPr>
          <w:p>
            <w:pPr>
              <w:spacing w:line="240" w:lineRule="auto" w:before="0" w:after="0"/>
              <w:pStyle w:val="Compact"/>
            </w:pPr>
            <w:r>
              <w:rPr>
                <w:sz w:val="20"/>
                <w:szCs w:val="20"/>
              </w:rPr>
              <w:t xml:space="preserve">1.352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NASA ODQN v14i4 (2010) reconstruction; Anz-Meador AMOS 2018</w:t>
            </w:r>
          </w:p>
        </w:tc>
      </w:tr>
      <w:tr>
        <w:tc>
          <w:tcPr>
            <w:tcW w:w="0" w:type="auto"/>
          </w:tcPr>
          <w:p>
            <w:pPr>
              <w:spacing w:line="240" w:lineRule="auto" w:before="0" w:after="0"/>
              <w:pStyle w:val="Compact"/>
            </w:pPr>
            <w:r>
              <w:rPr>
                <w:sz w:val="20"/>
                <w:szCs w:val="20"/>
              </w:rPr>
              <w:t xml:space="preserve">unknown_geo_anomaly_2018</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35.786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52.1</w:t>
            </w:r>
          </w:p>
        </w:tc>
        <w:tc>
          <w:tcPr>
            <w:tcW w:w="0" w:type="auto"/>
          </w:tcPr>
          <w:p>
            <w:pPr>
              <w:spacing w:line="240" w:lineRule="auto" w:before="0" w:after="0"/>
              <w:pStyle w:val="Compact"/>
            </w:pPr>
            <w:r>
              <w:rPr>
                <w:sz w:val="20"/>
                <w:szCs w:val="20"/>
              </w:rPr>
              <w:t xml:space="preserve">Aerospace Corp CORDS 2019 [illustrative ambiguous]</w:t>
            </w:r>
          </w:p>
        </w:tc>
      </w:tr>
      <w:tr>
        <w:tc>
          <w:tcPr>
            <w:tcW w:w="0" w:type="auto"/>
          </w:tcPr>
          <w:p>
            <w:pPr>
              <w:spacing w:line="240" w:lineRule="auto" w:before="0" w:after="0"/>
              <w:pStyle w:val="Compact"/>
            </w:pPr>
            <w:r>
              <w:rPr>
                <w:sz w:val="20"/>
                <w:szCs w:val="20"/>
              </w:rPr>
              <w:t xml:space="preserve">intelsat29e_anomaly_2019</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35.786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Boeing failure review 2019; Aerospace Corp CORDS 2020</w:t>
            </w:r>
          </w:p>
        </w:tc>
      </w:tr>
      <w:tr>
        <w:tc>
          <w:tcPr>
            <w:tcW w:w="0" w:type="auto"/>
          </w:tcPr>
          <w:p>
            <w:pPr>
              <w:spacing w:line="240" w:lineRule="auto" w:before="0" w:after="0"/>
              <w:pStyle w:val="Compact"/>
            </w:pPr>
            <w:r>
              <w:rPr>
                <w:sz w:val="20"/>
                <w:szCs w:val="20"/>
              </w:rPr>
              <w:t xml:space="preserve">nanosat_collision_2019</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0.02</w:t>
            </w:r>
          </w:p>
        </w:tc>
        <w:tc>
          <w:tcPr>
            <w:tcW w:w="0" w:type="auto"/>
          </w:tcPr>
          <w:p>
            <w:pPr>
              <w:spacing w:line="240" w:lineRule="auto" w:before="0" w:after="0"/>
              <w:pStyle w:val="Compact"/>
            </w:pPr>
            <w:r>
              <w:rPr>
                <w:sz w:val="20"/>
                <w:szCs w:val="20"/>
              </w:rPr>
              <w:t xml:space="preserve">0.52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25.7</w:t>
            </w:r>
          </w:p>
        </w:tc>
        <w:tc>
          <w:tcPr>
            <w:tcW w:w="0" w:type="auto"/>
          </w:tcPr>
          <w:p>
            <w:pPr>
              <w:spacing w:line="240" w:lineRule="auto" w:before="0" w:after="0"/>
              <w:pStyle w:val="Compact"/>
            </w:pPr>
            <w:r>
              <w:rPr>
                <w:sz w:val="20"/>
                <w:szCs w:val="20"/>
              </w:rPr>
              <w:t xml:space="preserve">ESA Space Debris Office Annual Report 2020 [illustrative low-data conjunction]</w:t>
            </w:r>
          </w:p>
        </w:tc>
      </w:tr>
      <w:tr>
        <w:tc>
          <w:tcPr>
            <w:tcW w:w="0" w:type="auto"/>
          </w:tcPr>
          <w:p>
            <w:pPr>
              <w:spacing w:line="240" w:lineRule="auto" w:before="0" w:after="0"/>
              <w:pStyle w:val="Compact"/>
            </w:pPr>
            <w:r>
              <w:rPr>
                <w:sz w:val="20"/>
                <w:szCs w:val="20"/>
              </w:rPr>
              <w:t xml:space="preserve">cz3b_upper_stage_2000</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NASA ODQN v6i2 (2001); Liou &amp; Johnson, Acta Astronautica 2006</w:t>
            </w:r>
          </w:p>
        </w:tc>
      </w:tr>
      <w:tr>
        <w:tc>
          <w:tcPr>
            <w:tcW w:w="0" w:type="auto"/>
          </w:tcPr>
          <w:p>
            <w:pPr>
              <w:spacing w:line="240" w:lineRule="auto" w:before="0" w:after="0"/>
              <w:pStyle w:val="Compact"/>
            </w:pPr>
            <w:r>
              <w:rPr>
                <w:sz w:val="20"/>
                <w:szCs w:val="20"/>
              </w:rPr>
              <w:t xml:space="preserve">nh1_breakup_1965</w:t>
            </w:r>
          </w:p>
        </w:tc>
        <w:tc>
          <w:tcPr>
            <w:tcW w:w="0" w:type="auto"/>
          </w:tcPr>
          <w:p>
            <w:pPr>
              <w:spacing w:line="240" w:lineRule="auto" w:before="0" w:after="0"/>
              <w:pStyle w:val="Compact"/>
            </w:pPr>
            <w:r>
              <w:rPr>
                <w:sz w:val="20"/>
                <w:szCs w:val="20"/>
              </w:rPr>
              <w:t xml:space="preserve">1965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4.65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417.1</w:t>
            </w:r>
          </w:p>
        </w:tc>
        <w:tc>
          <w:tcPr>
            <w:tcW w:w="0" w:type="auto"/>
          </w:tcPr>
          <w:p>
            <w:pPr>
              <w:spacing w:line="240" w:lineRule="auto" w:before="0" w:after="0"/>
              <w:pStyle w:val="Compact"/>
            </w:pPr>
            <w:r>
              <w:rPr>
                <w:sz w:val="20"/>
                <w:szCs w:val="20"/>
              </w:rPr>
              <w:t xml:space="preserve">NASA ODQN historical catalog; Anz-Meador AMOS 2018</w:t>
            </w:r>
          </w:p>
        </w:tc>
      </w:tr>
      <w:tr>
        <w:tc>
          <w:tcPr>
            <w:tcW w:w="0" w:type="auto"/>
          </w:tcPr>
          <w:p>
            <w:pPr>
              <w:spacing w:line="240" w:lineRule="auto" w:before="0" w:after="0"/>
              <w:pStyle w:val="Compact"/>
            </w:pPr>
            <w:r>
              <w:rPr>
                <w:sz w:val="20"/>
                <w:szCs w:val="20"/>
              </w:rPr>
              <w:t xml:space="preserve">psn6_anomaly_2020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0.03</w:t>
            </w:r>
          </w:p>
        </w:tc>
        <w:tc>
          <w:tcPr>
            <w:tcW w:w="0" w:type="auto"/>
          </w:tcPr>
          <w:p>
            <w:pPr>
              <w:spacing w:line="240" w:lineRule="auto" w:before="0" w:after="0"/>
              <w:pStyle w:val="Compact"/>
            </w:pPr>
            <w:r>
              <w:rPr>
                <w:sz w:val="20"/>
                <w:szCs w:val="20"/>
              </w:rPr>
              <w:t xml:space="preserve">35.786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57.1</w:t>
            </w:r>
          </w:p>
        </w:tc>
        <w:tc>
          <w:tcPr>
            <w:tcW w:w="0" w:type="auto"/>
          </w:tcPr>
          <w:p>
            <w:pPr>
              <w:spacing w:line="240" w:lineRule="auto" w:before="0" w:after="0"/>
              <w:pStyle w:val="Compact"/>
            </w:pPr>
            <w:r>
              <w:rPr>
                <w:sz w:val="20"/>
                <w:szCs w:val="20"/>
              </w:rPr>
              <w:t xml:space="preserve">Aerospace Corp CORDS 2021 [illustrative GEO ambiguous]</w:t>
            </w:r>
          </w:p>
        </w:tc>
      </w:tr>
      <w:tr>
        <w:tc>
          <w:tcPr>
            <w:tcW w:w="0" w:type="auto"/>
          </w:tcPr>
          <w:p>
            <w:pPr>
              <w:spacing w:line="240" w:lineRule="auto" w:before="0" w:after="0"/>
              <w:pStyle w:val="Compact"/>
            </w:pPr>
            <w:r>
              <w:rPr>
                <w:sz w:val="20"/>
                <w:szCs w:val="20"/>
              </w:rPr>
              <w:t xml:space="preserve">starlink_iridium_close_approach_2019</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tweet 2019-09-02; SDA Cat-3 record</w:t>
            </w:r>
          </w:p>
        </w:tc>
      </w:tr>
      <w:tr>
        <w:tc>
          <w:tcPr>
            <w:tcW w:w="0" w:type="auto"/>
          </w:tcPr>
          <w:p>
            <w:pPr>
              <w:spacing w:line="240" w:lineRule="auto" w:before="0" w:after="0"/>
              <w:pStyle w:val="Compact"/>
            </w:pPr>
            <w:r>
              <w:rPr>
                <w:sz w:val="20"/>
                <w:szCs w:val="20"/>
              </w:rPr>
              <w:t xml:space="preserve">oneweb_starlink_conjunction_2021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LeoLabs CDM 2021-03-30; SpaceNews coverage</w:t>
            </w:r>
          </w:p>
        </w:tc>
      </w:tr>
      <w:tr>
        <w:tc>
          <w:tcPr>
            <w:tcW w:w="0" w:type="auto"/>
          </w:tcPr>
          <w:p>
            <w:pPr>
              <w:spacing w:line="240" w:lineRule="auto" w:before="0" w:after="0"/>
              <w:pStyle w:val="Compact"/>
            </w:pPr>
            <w:r>
              <w:rPr>
                <w:sz w:val="20"/>
                <w:szCs w:val="20"/>
              </w:rPr>
              <w:t xml:space="preserve">cz4b_breakup_2024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2.83</w:t>
            </w:r>
          </w:p>
        </w:tc>
        <w:tc>
          <w:tcPr>
            <w:tcW w:w="0" w:type="auto"/>
          </w:tcPr>
          <w:p>
            <w:pPr>
              <w:spacing w:line="240" w:lineRule="auto" w:before="0" w:after="0"/>
              <w:pStyle w:val="Compact"/>
            </w:pPr>
            <w:r>
              <w:rPr>
                <w:sz w:val="20"/>
                <w:szCs w:val="20"/>
              </w:rPr>
              <w:t xml:space="preserve">0.855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NASA ODQN v28i3 (2024); SDC report 2024-08</w:t>
            </w:r>
          </w:p>
        </w:tc>
      </w:tr>
      <w:tr>
        <w:tc>
          <w:tcPr>
            <w:tcW w:w="0" w:type="auto"/>
          </w:tcPr>
          <w:p>
            <w:pPr>
              <w:spacing w:line="240" w:lineRule="auto" w:before="0" w:after="0"/>
              <w:pStyle w:val="Compact"/>
            </w:pPr>
            <w:r>
              <w:rPr>
                <w:sz w:val="20"/>
                <w:szCs w:val="20"/>
              </w:rPr>
              <w:t xml:space="preserve">mev1_dock_anomaly_2020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35.786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Northrop Grumman press release 2020-02; Aerospace CORDS 2020</w:t>
            </w:r>
          </w:p>
        </w:tc>
      </w:tr>
      <w:tr>
        <w:tc>
          <w:tcPr>
            <w:tcW w:w="0" w:type="auto"/>
          </w:tcPr>
          <w:p>
            <w:pPr>
              <w:spacing w:line="240" w:lineRule="auto" w:before="0" w:after="0"/>
              <w:pStyle w:val="Compact"/>
            </w:pPr>
            <w:r>
              <w:rPr>
                <w:sz w:val="20"/>
                <w:szCs w:val="20"/>
              </w:rPr>
              <w:t xml:space="preserve">unknown_leo_fragment_2017</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0.12</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77.1</w:t>
            </w:r>
          </w:p>
        </w:tc>
        <w:tc>
          <w:tcPr>
            <w:tcW w:w="0" w:type="auto"/>
          </w:tcPr>
          <w:p>
            <w:pPr>
              <w:spacing w:line="240" w:lineRule="auto" w:before="0" w:after="0"/>
              <w:pStyle w:val="Compact"/>
            </w:pPr>
            <w:r>
              <w:rPr>
                <w:sz w:val="20"/>
                <w:szCs w:val="20"/>
              </w:rPr>
              <w:t xml:space="preserve">NASA ODQN v22i1 (2018) [illustrative unattributed LEO source]</w:t>
            </w:r>
          </w:p>
        </w:tc>
      </w:tr>
      <w:tr>
        <w:tc>
          <w:tcPr>
            <w:tcW w:w="0" w:type="auto"/>
          </w:tcPr>
          <w:p>
            <w:pPr>
              <w:spacing w:line="240" w:lineRule="auto" w:before="0" w:after="0"/>
              <w:pStyle w:val="Compact"/>
            </w:pPr>
            <w:r>
              <w:rPr>
                <w:sz w:val="20"/>
                <w:szCs w:val="20"/>
              </w:rPr>
              <w:t xml:space="preserve">atlas_centaur_2018</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NASA ODQN v23i2 (2019); Aerospace CORDS 2018</w:t>
            </w:r>
          </w:p>
        </w:tc>
      </w:tr>
      <w:tr>
        <w:tc>
          <w:tcPr>
            <w:tcW w:w="0" w:type="auto"/>
          </w:tcPr>
          <w:p>
            <w:pPr>
              <w:spacing w:line="240" w:lineRule="auto" w:before="0" w:after="0"/>
              <w:pStyle w:val="Compact"/>
            </w:pPr>
            <w:r>
              <w:rPr>
                <w:sz w:val="20"/>
                <w:szCs w:val="20"/>
              </w:rPr>
              <w:t xml:space="preserve">ariane5_rb_breakup_2000</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0.12</w:t>
            </w:r>
          </w:p>
        </w:tc>
        <w:tc>
          <w:tcPr>
            <w:tcW w:w="0" w:type="auto"/>
          </w:tcPr>
          <w:p>
            <w:pPr>
              <w:spacing w:line="240" w:lineRule="auto" w:before="0" w:after="0"/>
              <w:pStyle w:val="Compact"/>
            </w:pPr>
            <w:r>
              <w:rPr>
                <w:sz w:val="20"/>
                <w:szCs w:val="20"/>
              </w:rPr>
              <w:t xml:space="preserve">0.803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NASA ODQN v6i1 (2001); ESA SDO historical</w:t>
            </w:r>
          </w:p>
        </w:tc>
      </w:tr>
      <w:tr>
        <w:tc>
          <w:tcPr>
            <w:tcW w:w="0" w:type="auto"/>
          </w:tcPr>
          <w:p>
            <w:pPr>
              <w:spacing w:line="240" w:lineRule="auto" w:before="0" w:after="0"/>
              <w:pStyle w:val="Compact"/>
            </w:pPr>
            <w:r>
              <w:rPr>
                <w:sz w:val="20"/>
                <w:szCs w:val="20"/>
              </w:rPr>
              <w:t xml:space="preserve">zenit2_rb_1996</w:t>
            </w:r>
          </w:p>
        </w:tc>
        <w:tc>
          <w:tcPr>
            <w:tcW w:w="0" w:type="auto"/>
          </w:tcPr>
          <w:p>
            <w:pPr>
              <w:spacing w:line="240" w:lineRule="auto" w:before="0" w:after="0"/>
              <w:pStyle w:val="Compact"/>
            </w:pPr>
            <w:r>
              <w:rPr>
                <w:sz w:val="20"/>
                <w:szCs w:val="20"/>
              </w:rPr>
              <w:t xml:space="preserve">1996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0.847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12.9</w:t>
            </w:r>
          </w:p>
        </w:tc>
        <w:tc>
          <w:tcPr>
            <w:tcW w:w="0" w:type="auto"/>
          </w:tcPr>
          <w:p>
            <w:pPr>
              <w:spacing w:line="240" w:lineRule="auto" w:before="0" w:after="0"/>
              <w:pStyle w:val="Compact"/>
            </w:pPr>
            <w:r>
              <w:rPr>
                <w:sz w:val="20"/>
                <w:szCs w:val="20"/>
              </w:rPr>
              <w:t xml:space="preserve">NASA ODQN v3i4 (1998); Johnson historical reconstruction</w:t>
            </w:r>
          </w:p>
        </w:tc>
      </w:tr>
      <w:tr>
        <w:tc>
          <w:tcPr>
            <w:tcW w:w="0" w:type="auto"/>
          </w:tcPr>
          <w:p>
            <w:pPr>
              <w:spacing w:line="240" w:lineRule="auto" w:before="0" w:after="0"/>
              <w:pStyle w:val="Compact"/>
            </w:pPr>
            <w:r>
              <w:rPr>
                <w:sz w:val="20"/>
                <w:szCs w:val="20"/>
              </w:rPr>
              <w:t xml:space="preserve">microsat_r_debris_persist_2020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0.04</w:t>
            </w:r>
          </w:p>
        </w:tc>
        <w:tc>
          <w:tcPr>
            <w:tcW w:w="0" w:type="auto"/>
          </w:tcPr>
          <w:p>
            <w:pPr>
              <w:spacing w:line="240" w:lineRule="auto" w:before="0" w:after="0"/>
              <w:pStyle w:val="Compact"/>
            </w:pPr>
            <w:r>
              <w:rPr>
                <w:sz w:val="20"/>
                <w:szCs w:val="20"/>
              </w:rPr>
              <w:t xml:space="preserve">0.283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52.1</w:t>
            </w:r>
          </w:p>
        </w:tc>
        <w:tc>
          <w:tcPr>
            <w:tcW w:w="0" w:type="auto"/>
          </w:tcPr>
          <w:p>
            <w:pPr>
              <w:spacing w:line="240" w:lineRule="auto" w:before="0" w:after="0"/>
              <w:pStyle w:val="Compact"/>
            </w:pPr>
            <w:r>
              <w:rPr>
                <w:sz w:val="20"/>
                <w:szCs w:val="20"/>
              </w:rPr>
              <w:t xml:space="preserve">NASA ODQN v25i1 (2021); Anz-Meador, 2021</w:t>
            </w:r>
          </w:p>
        </w:tc>
      </w:tr>
      <w:tr>
        <w:tc>
          <w:tcPr>
            <w:tcW w:w="0" w:type="auto"/>
          </w:tcPr>
          <w:p>
            <w:pPr>
              <w:spacing w:line="240" w:lineRule="auto" w:before="0" w:after="0"/>
              <w:pStyle w:val="Compact"/>
            </w:pPr>
            <w:r>
              <w:rPr>
                <w:sz w:val="20"/>
                <w:szCs w:val="20"/>
              </w:rPr>
              <w:t xml:space="preserve">unknown_cislunar_object_2022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42.9</w:t>
            </w:r>
          </w:p>
        </w:tc>
        <w:tc>
          <w:tcPr>
            <w:tcW w:w="0" w:type="auto"/>
          </w:tcPr>
          <w:p>
            <w:pPr>
              <w:spacing w:line="240" w:lineRule="auto" w:before="0" w:after="0"/>
              <w:pStyle w:val="Compact"/>
            </w:pPr>
            <w:r>
              <w:rPr>
                <w:sz w:val="20"/>
                <w:szCs w:val="20"/>
              </w:rPr>
              <w:t xml:space="preserve">Aerospace Corp CORDS cislunar 2023 [illustrative]</w:t>
            </w:r>
          </w:p>
        </w:tc>
      </w:tr>
      <w:tr>
        <w:tc>
          <w:tcPr>
            <w:tcW w:w="0" w:type="auto"/>
          </w:tcPr>
          <w:p>
            <w:pPr>
              <w:spacing w:line="240" w:lineRule="auto" w:before="0" w:after="0"/>
              <w:pStyle w:val="Compact"/>
            </w:pPr>
            <w:r>
              <w:rPr>
                <w:sz w:val="20"/>
                <w:szCs w:val="20"/>
              </w:rPr>
              <w:t xml:space="preserve">sj17_anomaly_2018</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0.02</w:t>
            </w:r>
          </w:p>
        </w:tc>
        <w:tc>
          <w:tcPr>
            <w:tcW w:w="0" w:type="auto"/>
          </w:tcPr>
          <w:p>
            <w:pPr>
              <w:spacing w:line="240" w:lineRule="auto" w:before="0" w:after="0"/>
              <w:pStyle w:val="Compact"/>
            </w:pPr>
            <w:r>
              <w:rPr>
                <w:sz w:val="20"/>
                <w:szCs w:val="20"/>
              </w:rPr>
              <w:t xml:space="preserve">35.786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28.6</w:t>
            </w:r>
          </w:p>
        </w:tc>
        <w:tc>
          <w:tcPr>
            <w:tcW w:w="0" w:type="auto"/>
          </w:tcPr>
          <w:p>
            <w:pPr>
              <w:spacing w:line="240" w:lineRule="auto" w:before="0" w:after="0"/>
              <w:pStyle w:val="Compact"/>
            </w:pPr>
            <w:r>
              <w:rPr>
                <w:sz w:val="20"/>
                <w:szCs w:val="20"/>
              </w:rPr>
              <w:t xml:space="preserve">Aerospace CORDS 2019 GEO summary [illustrative]</w:t>
            </w:r>
          </w:p>
        </w:tc>
      </w:tr>
      <w:tr>
        <w:tc>
          <w:tcPr>
            <w:tcW w:w="0" w:type="auto"/>
          </w:tcPr>
          <w:p>
            <w:pPr>
              <w:spacing w:line="240" w:lineRule="auto" w:before="0" w:after="0"/>
              <w:pStyle w:val="Compact"/>
            </w:pPr>
            <w:r>
              <w:rPr>
                <w:sz w:val="20"/>
                <w:szCs w:val="20"/>
              </w:rPr>
              <w:t xml:space="preserve">falcon9_upper_breakup_2020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0.04</w:t>
            </w:r>
          </w:p>
        </w:tc>
        <w:tc>
          <w:tcPr>
            <w:tcW w:w="0" w:type="auto"/>
          </w:tcPr>
          <w:p>
            <w:pPr>
              <w:spacing w:line="240" w:lineRule="auto" w:before="0" w:after="0"/>
              <w:pStyle w:val="Compact"/>
            </w:pPr>
            <w:r>
              <w:rPr>
                <w:sz w:val="20"/>
                <w:szCs w:val="20"/>
              </w:rPr>
              <w:t xml:space="preserve">0.36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NASA ODQN v24i2 (2020); LeoLabs report 2020-03</w:t>
            </w:r>
          </w:p>
        </w:tc>
      </w:tr>
    </w:tbl>
    <w:bookmarkEnd w:id="195"/>
    <w:bookmarkStart w:id="196"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attributed</w:t>
            </w:r>
          </w:p>
        </w:tc>
        <w:tc>
          <w:tcPr>
            <w:tcW w:w="0" w:type="auto"/>
          </w:tcPr>
          <w:p>
            <w:pPr>
              <w:spacing w:line="240" w:lineRule="auto" w:before="0" w:after="0"/>
              <w:pStyle w:val="Compact"/>
            </w:pPr>
            <w:r>
              <w:rPr>
                <w:sz w:val="20"/>
                <w:szCs w:val="20"/>
              </w:rPr>
              <w:t xml:space="preserve">Binary indicator equal to 1 if a confident source state (parent object or operator) was publicly identified within the dataset window; 0 if the event remained ambiguous in publicly available SSA reporting.</w:t>
            </w:r>
          </w:p>
        </w:tc>
        <w:tc>
          <w:tcPr>
            <w:tcW w:w="0" w:type="auto"/>
          </w:tcPr>
          <w:p>
            <w:pPr>
              <w:spacing w:line="240" w:lineRule="auto" w:before="0" w:after="0"/>
              <w:pStyle w:val="Compact"/>
            </w:pPr>
            <w:r>
              <w:rPr>
                <w:sz w:val="20"/>
                <w:szCs w:val="20"/>
              </w:rPr>
              <w:t xml:space="preserve">NASA Orbital Debris Quarterly News; Aerospace Corp CORDS</w:t>
            </w:r>
          </w:p>
        </w:tc>
      </w:tr>
      <w:tr>
        <w:tc>
          <w:tcPr>
            <w:tcW w:w="0" w:type="auto"/>
          </w:tcPr>
          <w:p>
            <w:pPr>
              <w:spacing w:line="240" w:lineRule="auto" w:before="0" w:after="0"/>
              <w:pStyle w:val="Compact"/>
            </w:pPr>
            <w:r>
              <w:rPr>
                <w:sz w:val="20"/>
                <w:szCs w:val="20"/>
              </w:rPr>
              <w:t xml:space="preserve">n_tracked_100s</w:t>
            </w:r>
          </w:p>
        </w:tc>
        <w:tc>
          <w:tcPr>
            <w:tcW w:w="0" w:type="auto"/>
          </w:tcPr>
          <w:p>
            <w:pPr>
              <w:spacing w:line="240" w:lineRule="auto" w:before="0" w:after="0"/>
              <w:pStyle w:val="Compact"/>
            </w:pPr>
            <w:r>
              <w:rPr>
                <w:sz w:val="20"/>
                <w:szCs w:val="20"/>
              </w:rPr>
              <w:t xml:space="preserve">Number of catalogued debris fragments associated with the event in the U.S. Space Catalog, expressed in hundreds, used as a proxy for forensic signal strength.</w:t>
            </w:r>
          </w:p>
        </w:tc>
        <w:tc>
          <w:tcPr>
            <w:tcW w:w="0" w:type="auto"/>
          </w:tcPr>
          <w:p>
            <w:pPr>
              <w:spacing w:line="240" w:lineRule="auto" w:before="0" w:after="0"/>
              <w:pStyle w:val="Compact"/>
            </w:pPr>
            <w:r>
              <w:rPr>
                <w:sz w:val="20"/>
                <w:szCs w:val="20"/>
              </w:rPr>
              <w:t xml:space="preserve">NASA Orbital Debris Quarterly News</w:t>
            </w:r>
          </w:p>
        </w:tc>
      </w:tr>
      <w:tr>
        <w:tc>
          <w:tcPr>
            <w:tcW w:w="0" w:type="auto"/>
          </w:tcPr>
          <w:p>
            <w:pPr>
              <w:spacing w:line="240" w:lineRule="auto" w:before="0" w:after="0"/>
              <w:pStyle w:val="Compact"/>
            </w:pPr>
            <w:r>
              <w:rPr>
                <w:sz w:val="20"/>
                <w:szCs w:val="20"/>
              </w:rPr>
              <w:t xml:space="preserve">alt_1000km</w:t>
            </w:r>
          </w:p>
        </w:tc>
        <w:tc>
          <w:tcPr>
            <w:tcW w:w="0" w:type="auto"/>
          </w:tcPr>
          <w:p>
            <w:pPr>
              <w:spacing w:line="240" w:lineRule="auto" w:before="0" w:after="0"/>
              <w:pStyle w:val="Compact"/>
            </w:pPr>
            <w:r>
              <w:rPr>
                <w:sz w:val="20"/>
                <w:szCs w:val="20"/>
              </w:rPr>
              <w:t xml:space="preserve">Approximate event altitude expressed in thousands of kilometers above mean sea level at the conjunction or breakup epoch.</w:t>
            </w:r>
          </w:p>
        </w:tc>
        <w:tc>
          <w:tcPr>
            <w:tcW w:w="0" w:type="auto"/>
          </w:tcPr>
          <w:p>
            <w:pPr>
              <w:spacing w:line="240" w:lineRule="auto" w:before="0" w:after="0"/>
              <w:pStyle w:val="Compact"/>
            </w:pPr>
            <w:r>
              <w:rPr>
                <w:sz w:val="20"/>
                <w:szCs w:val="20"/>
              </w:rPr>
              <w:t xml:space="preserve">NASA Orbital Debris Quarterly News; ESA Space Debris Office</w:t>
            </w:r>
          </w:p>
        </w:tc>
      </w:tr>
      <w:tr>
        <w:tc>
          <w:tcPr>
            <w:tcW w:w="0" w:type="auto"/>
          </w:tcPr>
          <w:p>
            <w:pPr>
              <w:spacing w:line="240" w:lineRule="auto" w:before="0" w:after="0"/>
              <w:pStyle w:val="Compact"/>
            </w:pPr>
            <w:r>
              <w:rPr>
                <w:sz w:val="20"/>
                <w:szCs w:val="20"/>
              </w:rPr>
              <w:t xml:space="preserve">multi_party</w:t>
            </w:r>
          </w:p>
        </w:tc>
        <w:tc>
          <w:tcPr>
            <w:tcW w:w="0" w:type="auto"/>
          </w:tcPr>
          <w:p>
            <w:pPr>
              <w:spacing w:line="240" w:lineRule="auto" w:before="0" w:after="0"/>
              <w:pStyle w:val="Compact"/>
            </w:pPr>
            <w:r>
              <w:rPr>
                <w:sz w:val="20"/>
                <w:szCs w:val="20"/>
              </w:rPr>
              <w:t xml:space="preserve">Binary indicator equal to 1 if the event involved two or more operators or states, 0 otherwise.</w:t>
            </w:r>
          </w:p>
        </w:tc>
        <w:tc>
          <w:tcPr>
            <w:tcW w:w="0" w:type="auto"/>
          </w:tcPr>
          <w:p>
            <w:pPr>
              <w:spacing w:line="240" w:lineRule="auto" w:before="0" w:after="0"/>
              <w:pStyle w:val="Compact"/>
            </w:pPr>
            <w:r>
              <w:rPr>
                <w:sz w:val="20"/>
                <w:szCs w:val="20"/>
              </w:rPr>
              <w:t xml:space="preserve">Event narratives in NASA ODQN and Aerospace Corp CORDS</w:t>
            </w:r>
          </w:p>
        </w:tc>
      </w:tr>
      <w:tr>
        <w:tc>
          <w:tcPr>
            <w:tcW w:w="0" w:type="auto"/>
          </w:tcPr>
          <w:p>
            <w:pPr>
              <w:spacing w:line="240" w:lineRule="auto" w:before="0" w:after="0"/>
              <w:pStyle w:val="Compact"/>
            </w:pPr>
            <w:r>
              <w:rPr>
                <w:sz w:val="20"/>
                <w:szCs w:val="20"/>
              </w:rPr>
              <w:t xml:space="preserve">sensor_diversity</w:t>
            </w:r>
          </w:p>
        </w:tc>
        <w:tc>
          <w:tcPr>
            <w:tcW w:w="0" w:type="auto"/>
          </w:tcPr>
          <w:p>
            <w:pPr>
              <w:spacing w:line="240" w:lineRule="auto" w:before="0" w:after="0"/>
              <w:pStyle w:val="Compact"/>
            </w:pPr>
            <w:r>
              <w:rPr>
                <w:sz w:val="20"/>
                <w:szCs w:val="20"/>
              </w:rPr>
              <w:t xml:space="preserve">Count of independent sensor classes (U.S. SSN radar, optical, commercial SSA) contributing to the post-event characterization, integer 1 to 3.</w:t>
            </w:r>
          </w:p>
        </w:tc>
        <w:tc>
          <w:tcPr>
            <w:tcW w:w="0" w:type="auto"/>
          </w:tcPr>
          <w:p>
            <w:pPr>
              <w:spacing w:line="240" w:lineRule="auto" w:before="0" w:after="0"/>
              <w:pStyle w:val="Compact"/>
            </w:pPr>
            <w:r>
              <w:rPr>
                <w:sz w:val="20"/>
                <w:szCs w:val="20"/>
              </w:rPr>
              <w:t xml:space="preserve">Aerospace Corp CORDS; AMOS proceedings 2009 to 2025</w:t>
            </w:r>
          </w:p>
        </w:tc>
      </w:tr>
      <w:tr>
        <w:tc>
          <w:tcPr>
            <w:tcW w:w="0" w:type="auto"/>
          </w:tcPr>
          <w:p>
            <w:pPr>
              <w:spacing w:line="240" w:lineRule="auto" w:before="0" w:after="0"/>
              <w:pStyle w:val="Compact"/>
            </w:pPr>
            <w:r>
              <w:rPr>
                <w:sz w:val="20"/>
                <w:szCs w:val="20"/>
              </w:rPr>
              <w:t xml:space="preserve">time_to_id_weeks</w:t>
            </w:r>
          </w:p>
        </w:tc>
        <w:tc>
          <w:tcPr>
            <w:tcW w:w="0" w:type="auto"/>
          </w:tcPr>
          <w:p>
            <w:pPr>
              <w:spacing w:line="240" w:lineRule="auto" w:before="0" w:after="0"/>
              <w:pStyle w:val="Compact"/>
            </w:pPr>
            <w:r>
              <w:rPr>
                <w:sz w:val="20"/>
                <w:szCs w:val="20"/>
              </w:rPr>
              <w:t xml:space="preserve">Weeks elapsed between the event epoch and the first publicly attributed source identification, censored at 52 for ambiguous cases.</w:t>
            </w:r>
          </w:p>
        </w:tc>
        <w:tc>
          <w:tcPr>
            <w:tcW w:w="0" w:type="auto"/>
          </w:tcPr>
          <w:p>
            <w:pPr>
              <w:spacing w:line="240" w:lineRule="auto" w:before="0" w:after="0"/>
              <w:pStyle w:val="Compact"/>
            </w:pPr>
            <w:r>
              <w:rPr>
                <w:sz w:val="20"/>
                <w:szCs w:val="20"/>
              </w:rPr>
              <w:t xml:space="preserve">NASA ODQN and Aerospace CORDS reconstructed timelines</w:t>
            </w:r>
          </w:p>
        </w:tc>
      </w:tr>
    </w:tbl>
    <w:bookmarkEnd w:id="196"/>
    <w:bookmarkEnd w:id="197"/>
    <w:bookmarkStart w:id="205" w:name="Xf3f00df7be107cdb148734e9a1f4c9371752222"/>
    <w:p>
      <w:pPr>
        <w:pStyle w:val="Heading2"/>
        <w:spacing w:line="480" w:lineRule="auto"/>
      </w:pPr>
      <w:r>
        <w:t xml:space="preserve">A.2 Attribution Under Ambiguity: A Logistic Model of Responsibility Assignment for On-Orbit Anomalous Events</w:t>
      </w:r>
    </w:p>
    <w:p>
      <w:pPr>
        <w:pStyle w:val="FirstParagraph"/>
        <w:spacing w:line="480" w:lineRule="auto"/>
      </w:pPr>
      <m:oMathPara>
        <m:oMathParaPr>
          <m:jc m:val="center"/>
        </m:oMathParaPr>
        <m:oMath>
          <m:r>
            <m:rPr>
              <m:sty m:val="p"/>
            </m:rPr>
            <m:t>Pr</m:t>
          </m:r>
          <m:r>
            <m:rPr>
              <m:sty m:val="p"/>
            </m:rPr>
            <m:t>(</m:t>
          </m:r>
          <m:sSub>
            <m:e>
              <m:r>
                <m:rPr>
                  <m:nor/>
                  <m:sty m:val="p"/>
                </m:rPr>
                <m:t>attributed</m:t>
              </m:r>
            </m:e>
            <m:sub>
              <m:r>
                <m:t>i</m:t>
              </m:r>
            </m:sub>
          </m:sSub>
          <m:r>
            <m:rPr>
              <m:sty m:val="p"/>
            </m:rPr>
            <m:t>=</m:t>
          </m:r>
          <m:r>
            <m:t>1</m:t>
          </m:r>
          <m:r>
            <m:rPr>
              <m:sty m:val="p"/>
            </m:rPr>
            <m:t>)</m:t>
          </m:r>
          <m:r>
            <m:rPr>
              <m:sty m:val="p"/>
            </m:rPr>
            <m:t>=</m:t>
          </m:r>
          <m:r>
            <m:rPr>
              <m:sty m:val="p"/>
            </m:rPr>
            <m:t>Λ</m:t>
          </m:r>
          <m:r>
            <m:rPr>
              <m:sty m:val="p"/>
            </m:rPr>
            <m:t>(</m:t>
          </m:r>
          <m:sSub>
            <m:e>
              <m:r>
                <m:t>β</m:t>
              </m:r>
            </m:e>
            <m:sub>
              <m:r>
                <m:t>0</m:t>
              </m:r>
            </m:sub>
          </m:sSub>
          <m:r>
            <m:rPr>
              <m:sty m:val="p"/>
            </m:rPr>
            <m:t>+</m:t>
          </m:r>
          <m:sSub>
            <m:e>
              <m:r>
                <m:t>β</m:t>
              </m:r>
            </m:e>
            <m:sub>
              <m:r>
                <m:t>1</m:t>
              </m:r>
            </m:sub>
          </m:sSub>
          <m:sSub>
            <m:e>
              <m:r>
                <m:rPr>
                  <m:nor/>
                  <m:sty m:val="p"/>
                </m:rPr>
                <m:t>years_since_event</m:t>
              </m:r>
            </m:e>
            <m:sub>
              <m:r>
                <m:t>i</m:t>
              </m:r>
            </m:sub>
          </m:sSub>
          <m:r>
            <m:rPr>
              <m:sty m:val="p"/>
            </m:rPr>
            <m:t>+</m:t>
          </m:r>
          <m:sSub>
            <m:e>
              <m:r>
                <m:t>β</m:t>
              </m:r>
            </m:e>
            <m:sub>
              <m:r>
                <m:t>2</m:t>
              </m:r>
            </m:sub>
          </m:sSub>
          <m:sSub>
            <m:e>
              <m:r>
                <m:rPr>
                  <m:nor/>
                  <m:sty m:val="p"/>
                </m:rPr>
                <m:t>orbital_regime_leo</m:t>
              </m:r>
            </m:e>
            <m:sub>
              <m:r>
                <m:t>i</m:t>
              </m:r>
            </m:sub>
          </m:sSub>
          <m:r>
            <m:rPr>
              <m:sty m:val="p"/>
            </m:rPr>
            <m:t>+</m:t>
          </m:r>
          <m:sSub>
            <m:e>
              <m:r>
                <m:t>β</m:t>
              </m:r>
            </m:e>
            <m:sub>
              <m:r>
                <m:t>3</m:t>
              </m:r>
            </m:sub>
          </m:sSub>
          <m:sSub>
            <m:e>
              <m:r>
                <m:rPr>
                  <m:nor/>
                  <m:sty m:val="p"/>
                </m:rPr>
                <m:t>fragment_count_log</m:t>
              </m:r>
            </m:e>
            <m:sub>
              <m:r>
                <m:t>i</m:t>
              </m:r>
            </m:sub>
          </m:sSub>
          <m:r>
            <m:rPr>
              <m:sty m:val="p"/>
            </m:rPr>
            <m:t>)</m:t>
          </m:r>
        </m:oMath>
      </m:oMathPara>
    </w:p>
    <w:bookmarkStart w:id="198"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0.5894</w:t>
            </w:r>
          </w:p>
        </w:tc>
        <w:tc>
          <w:tcPr>
            <w:tcW w:w="0" w:type="auto"/>
          </w:tcPr>
          <w:p>
            <w:pPr>
              <w:spacing w:line="240" w:lineRule="auto" w:before="0" w:after="0"/>
              <w:pStyle w:val="Compact"/>
            </w:pPr>
            <w:r>
              <w:rPr>
                <w:sz w:val="20"/>
                <w:szCs w:val="20"/>
              </w:rPr>
              <w:t xml:space="preserve">0.9355</w:t>
            </w:r>
          </w:p>
        </w:tc>
        <w:tc>
          <w:tcPr>
            <w:tcW w:w="0" w:type="auto"/>
          </w:tcPr>
          <w:p>
            <w:pPr>
              <w:spacing w:line="240" w:lineRule="auto" w:before="0" w:after="0"/>
              <w:pStyle w:val="Compact"/>
            </w:pPr>
            <w:r>
              <w:rPr>
                <w:sz w:val="20"/>
                <w:szCs w:val="20"/>
              </w:rPr>
              <w:t xml:space="preserve">0.6301</w:t>
            </w:r>
          </w:p>
        </w:tc>
        <w:tc>
          <w:tcPr>
            <w:tcW w:w="0" w:type="auto"/>
          </w:tcPr>
          <w:p>
            <w:pPr>
              <w:spacing w:line="240" w:lineRule="auto" w:before="0" w:after="0"/>
              <w:pStyle w:val="Compact"/>
            </w:pPr>
            <w:r>
              <w:rPr>
                <w:sz w:val="20"/>
                <w:szCs w:val="20"/>
              </w:rPr>
              <w:t xml:space="preserve">0.5287</w:t>
            </w:r>
          </w:p>
        </w:tc>
        <w:tc>
          <w:tcPr>
            <w:tcW w:w="0" w:type="auto"/>
          </w:tcPr>
          <w:p>
            <w:pPr>
              <w:spacing w:line="240" w:lineRule="auto" w:before="0" w:after="0"/>
              <w:pStyle w:val="Compact"/>
            </w:pPr>
            <w:r>
              <w:rPr>
                <w:sz w:val="20"/>
                <w:szCs w:val="20"/>
              </w:rPr>
              <w:t xml:space="preserve">[-1.2441, 2.423]</w:t>
            </w:r>
          </w:p>
        </w:tc>
      </w:tr>
      <w:tr>
        <w:tc>
          <w:tcPr>
            <w:tcW w:w="0" w:type="auto"/>
          </w:tcPr>
          <w:p>
            <w:pPr>
              <w:spacing w:line="240" w:lineRule="auto" w:before="0" w:after="0"/>
              <w:pStyle w:val="Compact"/>
            </w:pPr>
            <w:r>
              <w:rPr>
                <w:sz w:val="20"/>
                <w:szCs w:val="20"/>
              </w:rPr>
              <w:t xml:space="preserve">years_since_event</w:t>
            </w:r>
          </w:p>
        </w:tc>
        <w:tc>
          <w:tcPr>
            <w:tcW w:w="0" w:type="auto"/>
          </w:tcPr>
          <w:p>
            <w:pPr>
              <w:spacing w:line="240" w:lineRule="auto" w:before="0" w:after="0"/>
              <w:pStyle w:val="Compact"/>
            </w:pPr>
            <w:r>
              <w:rPr>
                <w:sz w:val="20"/>
                <w:szCs w:val="20"/>
              </w:rPr>
              <w:t xml:space="preserve">-0.0565</w:t>
            </w:r>
          </w:p>
        </w:tc>
        <w:tc>
          <w:tcPr>
            <w:tcW w:w="0" w:type="auto"/>
          </w:tcPr>
          <w:p>
            <w:pPr>
              <w:spacing w:line="240" w:lineRule="auto" w:before="0" w:after="0"/>
              <w:pStyle w:val="Compact"/>
            </w:pPr>
            <w:r>
              <w:rPr>
                <w:sz w:val="20"/>
                <w:szCs w:val="20"/>
              </w:rPr>
              <w:t xml:space="preserve">0.0293</w:t>
            </w:r>
          </w:p>
        </w:tc>
        <w:tc>
          <w:tcPr>
            <w:tcW w:w="0" w:type="auto"/>
          </w:tcPr>
          <w:p>
            <w:pPr>
              <w:spacing w:line="240" w:lineRule="auto" w:before="0" w:after="0"/>
              <w:pStyle w:val="Compact"/>
            </w:pPr>
            <w:r>
              <w:rPr>
                <w:sz w:val="20"/>
                <w:szCs w:val="20"/>
              </w:rPr>
              <w:t xml:space="preserve">-1.9293</w:t>
            </w:r>
          </w:p>
        </w:tc>
        <w:tc>
          <w:tcPr>
            <w:tcW w:w="0" w:type="auto"/>
          </w:tcPr>
          <w:p>
            <w:pPr>
              <w:spacing w:line="240" w:lineRule="auto" w:before="0" w:after="0"/>
              <w:pStyle w:val="Compact"/>
            </w:pPr>
            <w:r>
              <w:rPr>
                <w:sz w:val="20"/>
                <w:szCs w:val="20"/>
              </w:rPr>
              <w:t xml:space="preserve">0.0537</w:t>
            </w:r>
          </w:p>
        </w:tc>
        <w:tc>
          <w:tcPr>
            <w:tcW w:w="0" w:type="auto"/>
          </w:tcPr>
          <w:p>
            <w:pPr>
              <w:spacing w:line="240" w:lineRule="auto" w:before="0" w:after="0"/>
              <w:pStyle w:val="Compact"/>
            </w:pPr>
            <w:r>
              <w:rPr>
                <w:sz w:val="20"/>
                <w:szCs w:val="20"/>
              </w:rPr>
              <w:t xml:space="preserve">[-0.1138, 0.0008973]</w:t>
            </w:r>
          </w:p>
        </w:tc>
      </w:tr>
      <w:tr>
        <w:tc>
          <w:tcPr>
            <w:tcW w:w="0" w:type="auto"/>
          </w:tcPr>
          <w:p>
            <w:pPr>
              <w:spacing w:line="240" w:lineRule="auto" w:before="0" w:after="0"/>
              <w:pStyle w:val="Compact"/>
            </w:pPr>
            <w:r>
              <w:rPr>
                <w:sz w:val="20"/>
                <w:szCs w:val="20"/>
              </w:rPr>
              <w:t xml:space="preserve">orbital_regime_leo</w:t>
            </w:r>
          </w:p>
        </w:tc>
        <w:tc>
          <w:tcPr>
            <w:tcW w:w="0" w:type="auto"/>
          </w:tcPr>
          <w:p>
            <w:pPr>
              <w:spacing w:line="240" w:lineRule="auto" w:before="0" w:after="0"/>
              <w:pStyle w:val="Compact"/>
            </w:pPr>
            <w:r>
              <w:rPr>
                <w:sz w:val="20"/>
                <w:szCs w:val="20"/>
              </w:rPr>
              <w:t xml:space="preserve">-0.7608</w:t>
            </w:r>
          </w:p>
        </w:tc>
        <w:tc>
          <w:tcPr>
            <w:tcW w:w="0" w:type="auto"/>
          </w:tcPr>
          <w:p>
            <w:pPr>
              <w:spacing w:line="240" w:lineRule="auto" w:before="0" w:after="0"/>
              <w:pStyle w:val="Compact"/>
            </w:pPr>
            <w:r>
              <w:rPr>
                <w:sz w:val="20"/>
                <w:szCs w:val="20"/>
              </w:rPr>
              <w:t xml:space="preserve">0.9957</w:t>
            </w:r>
          </w:p>
        </w:tc>
        <w:tc>
          <w:tcPr>
            <w:tcW w:w="0" w:type="auto"/>
          </w:tcPr>
          <w:p>
            <w:pPr>
              <w:spacing w:line="240" w:lineRule="auto" w:before="0" w:after="0"/>
              <w:pStyle w:val="Compact"/>
            </w:pPr>
            <w:r>
              <w:rPr>
                <w:sz w:val="20"/>
                <w:szCs w:val="20"/>
              </w:rPr>
              <w:t xml:space="preserve">-0.7641</w:t>
            </w:r>
          </w:p>
        </w:tc>
        <w:tc>
          <w:tcPr>
            <w:tcW w:w="0" w:type="auto"/>
          </w:tcPr>
          <w:p>
            <w:pPr>
              <w:spacing w:line="240" w:lineRule="auto" w:before="0" w:after="0"/>
              <w:pStyle w:val="Compact"/>
            </w:pPr>
            <w:r>
              <w:rPr>
                <w:sz w:val="20"/>
                <w:szCs w:val="20"/>
              </w:rPr>
              <w:t xml:space="preserve">0.4448</w:t>
            </w:r>
          </w:p>
        </w:tc>
        <w:tc>
          <w:tcPr>
            <w:tcW w:w="0" w:type="auto"/>
          </w:tcPr>
          <w:p>
            <w:pPr>
              <w:spacing w:line="240" w:lineRule="auto" w:before="0" w:after="0"/>
              <w:pStyle w:val="Compact"/>
            </w:pPr>
            <w:r>
              <w:rPr>
                <w:sz w:val="20"/>
                <w:szCs w:val="20"/>
              </w:rPr>
              <w:t xml:space="preserve">[-2.7124, 1.1908]</w:t>
            </w:r>
          </w:p>
        </w:tc>
      </w:tr>
      <w:tr>
        <w:tc>
          <w:tcPr>
            <w:tcW w:w="0" w:type="auto"/>
          </w:tcPr>
          <w:p>
            <w:pPr>
              <w:spacing w:line="240" w:lineRule="auto" w:before="0" w:after="0"/>
              <w:pStyle w:val="Compact"/>
            </w:pPr>
            <w:r>
              <w:rPr>
                <w:sz w:val="20"/>
                <w:szCs w:val="20"/>
              </w:rPr>
              <w:t xml:space="preserve">fragment_count_log</w:t>
            </w:r>
          </w:p>
        </w:tc>
        <w:tc>
          <w:tcPr>
            <w:tcW w:w="0" w:type="auto"/>
          </w:tcPr>
          <w:p>
            <w:pPr>
              <w:spacing w:line="240" w:lineRule="auto" w:before="0" w:after="0"/>
              <w:pStyle w:val="Compact"/>
            </w:pPr>
            <w:r>
              <w:rPr>
                <w:sz w:val="20"/>
                <w:szCs w:val="20"/>
              </w:rPr>
              <w:t xml:space="preserve">0.4103</w:t>
            </w:r>
          </w:p>
        </w:tc>
        <w:tc>
          <w:tcPr>
            <w:tcW w:w="0" w:type="auto"/>
          </w:tcPr>
          <w:p>
            <w:pPr>
              <w:spacing w:line="240" w:lineRule="auto" w:before="0" w:after="0"/>
              <w:pStyle w:val="Compact"/>
            </w:pPr>
            <w:r>
              <w:rPr>
                <w:sz w:val="20"/>
                <w:szCs w:val="20"/>
              </w:rPr>
              <w:t xml:space="preserve">0.219</w:t>
            </w:r>
          </w:p>
        </w:tc>
        <w:tc>
          <w:tcPr>
            <w:tcW w:w="0" w:type="auto"/>
          </w:tcPr>
          <w:p>
            <w:pPr>
              <w:spacing w:line="240" w:lineRule="auto" w:before="0" w:after="0"/>
              <w:pStyle w:val="Compact"/>
            </w:pPr>
            <w:r>
              <w:rPr>
                <w:sz w:val="20"/>
                <w:szCs w:val="20"/>
              </w:rPr>
              <w:t xml:space="preserve">1.8737</w:t>
            </w:r>
          </w:p>
        </w:tc>
        <w:tc>
          <w:tcPr>
            <w:tcW w:w="0" w:type="auto"/>
          </w:tcPr>
          <w:p>
            <w:pPr>
              <w:spacing w:line="240" w:lineRule="auto" w:before="0" w:after="0"/>
              <w:pStyle w:val="Compact"/>
            </w:pPr>
            <w:r>
              <w:rPr>
                <w:sz w:val="20"/>
                <w:szCs w:val="20"/>
              </w:rPr>
              <w:t xml:space="preserve">0.061</w:t>
            </w:r>
          </w:p>
        </w:tc>
        <w:tc>
          <w:tcPr>
            <w:tcW w:w="0" w:type="auto"/>
          </w:tcPr>
          <w:p>
            <w:pPr>
              <w:spacing w:line="240" w:lineRule="auto" w:before="0" w:after="0"/>
              <w:pStyle w:val="Compact"/>
            </w:pPr>
            <w:r>
              <w:rPr>
                <w:sz w:val="20"/>
                <w:szCs w:val="20"/>
              </w:rPr>
              <w:t xml:space="preserve">[-0.0189, 0.8395]</w:t>
            </w:r>
          </w:p>
        </w:tc>
      </w:tr>
    </w:tbl>
    <w:p>
      <w:pPr>
        <w:pStyle w:val="BodyText"/>
        <w:spacing w:line="480" w:lineRule="auto"/>
        <w:ind w:firstLine="720"/>
      </w:pPr>
      <w:r>
        <w:t xml:space="preserve">Fit: N = 36 pseudo_R2 = 0.1756 LL = -19.4117</w:t>
      </w:r>
    </w:p>
    <w:bookmarkEnd w:id="198"/>
    <w:bookmarkStart w:id="202"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Attribution outcome plotted against ln(catalogued fragment count). Events with larger debris signatures cluster toward attributed status, consistent with observability-driven responsibility assignment." title="" id="200" name="Picture"/>
            <a:graphic>
              <a:graphicData uri="http://schemas.openxmlformats.org/drawingml/2006/picture">
                <pic:pic>
                  <pic:nvPicPr>
                    <pic:cNvPr descr="D:/Claude_Code/brain/collegium/candidates/dissertations/SSA_SDA_04/research_papers/p2/paper_fig1.png" id="201" name="Picture"/>
                    <pic:cNvPicPr>
                      <a:picLocks noChangeArrowheads="1" noChangeAspect="1"/>
                    </pic:cNvPicPr>
                  </pic:nvPicPr>
                  <pic:blipFill>
                    <a:blip r:embed="rId19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Attribution outcome plotted against ln(catalogued fragment count). Events with larger debris signatures cluster toward attributed status, consistent with observability-driven responsibility assignment.</w:t>
      </w:r>
    </w:p>
    <w:bookmarkEnd w:id="202"/>
    <w:bookmarkStart w:id="203"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event_id</w:t>
            </w:r>
          </w:p>
        </w:tc>
        <w:tc>
          <w:tcPr>
            <w:tcW w:w="0" w:type="auto"/>
          </w:tcPr>
          <w:p>
            <w:pPr>
              <w:spacing w:line="240" w:lineRule="auto" w:before="0" w:after="0"/>
              <w:pStyle w:val="Compact"/>
            </w:pPr>
            <w:r>
              <w:rPr>
                <w:sz w:val="20"/>
                <w:szCs w:val="20"/>
              </w:rPr>
              <w:t xml:space="preserve">event_name</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attributed</w:t>
            </w:r>
          </w:p>
        </w:tc>
        <w:tc>
          <w:tcPr>
            <w:tcW w:w="0" w:type="auto"/>
          </w:tcPr>
          <w:p>
            <w:pPr>
              <w:spacing w:line="240" w:lineRule="auto" w:before="0" w:after="0"/>
              <w:pStyle w:val="Compact"/>
            </w:pPr>
            <w:r>
              <w:rPr>
                <w:sz w:val="20"/>
                <w:szCs w:val="20"/>
              </w:rPr>
              <w:t xml:space="preserve">years_since_event</w:t>
            </w:r>
          </w:p>
        </w:tc>
        <w:tc>
          <w:tcPr>
            <w:tcW w:w="0" w:type="auto"/>
          </w:tcPr>
          <w:p>
            <w:pPr>
              <w:spacing w:line="240" w:lineRule="auto" w:before="0" w:after="0"/>
              <w:pStyle w:val="Compact"/>
            </w:pPr>
            <w:r>
              <w:rPr>
                <w:sz w:val="20"/>
                <w:szCs w:val="20"/>
              </w:rPr>
              <w:t xml:space="preserve">orbital_regime_leo</w:t>
            </w:r>
          </w:p>
        </w:tc>
        <w:tc>
          <w:tcPr>
            <w:tcW w:w="0" w:type="auto"/>
          </w:tcPr>
          <w:p>
            <w:pPr>
              <w:spacing w:line="240" w:lineRule="auto" w:before="0" w:after="0"/>
              <w:pStyle w:val="Compact"/>
            </w:pPr>
            <w:r>
              <w:rPr>
                <w:sz w:val="20"/>
                <w:szCs w:val="20"/>
              </w:rPr>
              <w:t xml:space="preserve">intentional</w:t>
            </w:r>
          </w:p>
        </w:tc>
        <w:tc>
          <w:tcPr>
            <w:tcW w:w="0" w:type="auto"/>
          </w:tcPr>
          <w:p>
            <w:pPr>
              <w:spacing w:line="240" w:lineRule="auto" w:before="0" w:after="0"/>
              <w:pStyle w:val="Compact"/>
            </w:pPr>
            <w:r>
              <w:rPr>
                <w:sz w:val="20"/>
                <w:szCs w:val="20"/>
              </w:rPr>
              <w:t xml:space="preserve">fragment_count_log</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Cosmos-2251 / Iridium 33 collision</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7.327</w:t>
            </w:r>
          </w:p>
        </w:tc>
        <w:tc>
          <w:tcPr>
            <w:tcW w:w="0" w:type="auto"/>
          </w:tcPr>
          <w:p>
            <w:pPr>
              <w:spacing w:line="240" w:lineRule="auto" w:before="0" w:after="0"/>
              <w:pStyle w:val="Compact"/>
            </w:pPr>
            <w:r>
              <w:rPr>
                <w:sz w:val="20"/>
                <w:szCs w:val="20"/>
              </w:rPr>
              <w:t xml:space="preserve">NASA Orbital Debris Quarterly News 13-2 (2009); Kelso AMOS 2009</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Fengyun-1C ASAT</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8.027</w:t>
            </w:r>
          </w:p>
        </w:tc>
        <w:tc>
          <w:tcPr>
            <w:tcW w:w="0" w:type="auto"/>
          </w:tcPr>
          <w:p>
            <w:pPr>
              <w:spacing w:line="240" w:lineRule="auto" w:before="0" w:after="0"/>
              <w:pStyle w:val="Compact"/>
            </w:pPr>
            <w:r>
              <w:rPr>
                <w:sz w:val="20"/>
                <w:szCs w:val="20"/>
              </w:rPr>
              <w:t xml:space="preserve">NASA ODQN 11-2 (2007); Johnson et al. Acta Astronautica 2008</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Cosmos-1408 ASAT (Nudol)</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7.378</w:t>
            </w:r>
          </w:p>
        </w:tc>
        <w:tc>
          <w:tcPr>
            <w:tcW w:w="0" w:type="auto"/>
          </w:tcPr>
          <w:p>
            <w:pPr>
              <w:spacing w:line="240" w:lineRule="auto" w:before="0" w:after="0"/>
              <w:pStyle w:val="Compact"/>
            </w:pPr>
            <w:r>
              <w:rPr>
                <w:sz w:val="20"/>
                <w:szCs w:val="20"/>
              </w:rPr>
              <w:t xml:space="preserve">US Space Command public statement 2021-11-15; NASA ODQN 26-1 (2022)</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Cosmos-1275 breakup</w:t>
            </w:r>
          </w:p>
        </w:tc>
        <w:tc>
          <w:tcPr>
            <w:tcW w:w="0" w:type="auto"/>
          </w:tcPr>
          <w:p>
            <w:pPr>
              <w:spacing w:line="240" w:lineRule="auto" w:before="0" w:after="0"/>
              <w:pStyle w:val="Compact"/>
            </w:pPr>
            <w:r>
              <w:rPr>
                <w:sz w:val="20"/>
                <w:szCs w:val="20"/>
              </w:rPr>
              <w:t xml:space="preserve">1981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4.844</w:t>
            </w:r>
          </w:p>
        </w:tc>
        <w:tc>
          <w:tcPr>
            <w:tcW w:w="0" w:type="auto"/>
          </w:tcPr>
          <w:p>
            <w:pPr>
              <w:spacing w:line="240" w:lineRule="auto" w:before="0" w:after="0"/>
              <w:pStyle w:val="Compact"/>
            </w:pPr>
            <w:r>
              <w:rPr>
                <w:sz w:val="20"/>
                <w:szCs w:val="20"/>
              </w:rPr>
              <w:t xml:space="preserve">NASA History of On-Orbit Satellite Fragmentations 15th ed. (2018)</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DMSP-F13 breakup</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4.522</w:t>
            </w:r>
          </w:p>
        </w:tc>
        <w:tc>
          <w:tcPr>
            <w:tcW w:w="0" w:type="auto"/>
          </w:tcPr>
          <w:p>
            <w:pPr>
              <w:spacing w:line="240" w:lineRule="auto" w:before="0" w:after="0"/>
              <w:pStyle w:val="Compact"/>
            </w:pPr>
            <w:r>
              <w:rPr>
                <w:sz w:val="20"/>
                <w:szCs w:val="20"/>
              </w:rPr>
              <w:t xml:space="preserve">USAF 14th AF release 2015-03; NASA ODQN 19-2 (2015)</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NOAA-16 breakup</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4.443</w:t>
            </w:r>
          </w:p>
        </w:tc>
        <w:tc>
          <w:tcPr>
            <w:tcW w:w="0" w:type="auto"/>
          </w:tcPr>
          <w:p>
            <w:pPr>
              <w:spacing w:line="240" w:lineRule="auto" w:before="0" w:after="0"/>
              <w:pStyle w:val="Compact"/>
            </w:pPr>
            <w:r>
              <w:rPr>
                <w:sz w:val="20"/>
                <w:szCs w:val="20"/>
              </w:rPr>
              <w:t xml:space="preserve">NASA ODQN 20-1 (2016); Sat-Flare tracking 2015-11</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Briz-M tank breakup (2012)</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4.787</w:t>
            </w:r>
          </w:p>
        </w:tc>
        <w:tc>
          <w:tcPr>
            <w:tcW w:w="0" w:type="auto"/>
          </w:tcPr>
          <w:p>
            <w:pPr>
              <w:spacing w:line="240" w:lineRule="auto" w:before="0" w:after="0"/>
              <w:pStyle w:val="Compact"/>
            </w:pPr>
            <w:r>
              <w:rPr>
                <w:sz w:val="20"/>
                <w:szCs w:val="20"/>
              </w:rPr>
              <w:t xml:space="preserve">NASA ODQN 17-1 (2013); Anz-Meador History of Fragmentations</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Long March 6A upper stage</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6.503</w:t>
            </w:r>
          </w:p>
        </w:tc>
        <w:tc>
          <w:tcPr>
            <w:tcW w:w="0" w:type="auto"/>
          </w:tcPr>
          <w:p>
            <w:pPr>
              <w:spacing w:line="240" w:lineRule="auto" w:before="0" w:after="0"/>
              <w:pStyle w:val="Compact"/>
            </w:pPr>
            <w:r>
              <w:rPr>
                <w:sz w:val="20"/>
                <w:szCs w:val="20"/>
              </w:rPr>
              <w:t xml:space="preserve">NASA ODQN 27-1 (2023); LeoLabs analysis 2022-11</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Long March 3B upper stage 2000</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3.401</w:t>
            </w:r>
          </w:p>
        </w:tc>
        <w:tc>
          <w:tcPr>
            <w:tcW w:w="0" w:type="auto"/>
          </w:tcPr>
          <w:p>
            <w:pPr>
              <w:spacing w:line="240" w:lineRule="auto" w:before="0" w:after="0"/>
              <w:pStyle w:val="Compact"/>
            </w:pPr>
            <w:r>
              <w:rPr>
                <w:sz w:val="20"/>
                <w:szCs w:val="20"/>
              </w:rPr>
              <w:t xml:space="preserve">NASA Anz-Meador Hist. of On-Orbit Frag. 15th ed. (2018)</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Indian Mission Shakti ASAT</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5.521</w:t>
            </w:r>
          </w:p>
        </w:tc>
        <w:tc>
          <w:tcPr>
            <w:tcW w:w="0" w:type="auto"/>
          </w:tcPr>
          <w:p>
            <w:pPr>
              <w:spacing w:line="240" w:lineRule="auto" w:before="0" w:after="0"/>
              <w:pStyle w:val="Compact"/>
            </w:pPr>
            <w:r>
              <w:rPr>
                <w:sz w:val="20"/>
                <w:szCs w:val="20"/>
              </w:rPr>
              <w:t xml:space="preserve">NASA ODQN 23-2 (2019); Acta Astronautica 162 (2019) 82-89</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USA-193 intercept (SM-3)</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5.236</w:t>
            </w:r>
          </w:p>
        </w:tc>
        <w:tc>
          <w:tcPr>
            <w:tcW w:w="0" w:type="auto"/>
          </w:tcPr>
          <w:p>
            <w:pPr>
              <w:spacing w:line="240" w:lineRule="auto" w:before="0" w:after="0"/>
              <w:pStyle w:val="Compact"/>
            </w:pPr>
            <w:r>
              <w:rPr>
                <w:sz w:val="20"/>
                <w:szCs w:val="20"/>
              </w:rPr>
              <w:t xml:space="preserve">NASA ODQN 12-2 (2008); JSpOC catalog</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RESURS-1 fragmentation</w:t>
            </w:r>
          </w:p>
        </w:tc>
        <w:tc>
          <w:tcPr>
            <w:tcW w:w="0" w:type="auto"/>
          </w:tcPr>
          <w:p>
            <w:pPr>
              <w:spacing w:line="240" w:lineRule="auto" w:before="0" w:after="0"/>
              <w:pStyle w:val="Compact"/>
            </w:pPr>
            <w:r>
              <w:rPr>
                <w:sz w:val="20"/>
                <w:szCs w:val="20"/>
              </w:rPr>
              <w:t xml:space="preserve">1979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3.434</w:t>
            </w:r>
          </w:p>
        </w:tc>
        <w:tc>
          <w:tcPr>
            <w:tcW w:w="0" w:type="auto"/>
          </w:tcPr>
          <w:p>
            <w:pPr>
              <w:spacing w:line="240" w:lineRule="auto" w:before="0" w:after="0"/>
              <w:pStyle w:val="Compact"/>
            </w:pPr>
            <w:r>
              <w:rPr>
                <w:sz w:val="20"/>
                <w:szCs w:val="20"/>
              </w:rPr>
              <w:t xml:space="preserve">NASA Hist. of On-Orbit Frag. 15th ed. (2018) [illustrative fragment count]</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Pegasus HAPS upper stage 1996</w:t>
            </w:r>
          </w:p>
        </w:tc>
        <w:tc>
          <w:tcPr>
            <w:tcW w:w="0" w:type="auto"/>
          </w:tcPr>
          <w:p>
            <w:pPr>
              <w:spacing w:line="240" w:lineRule="auto" w:before="0" w:after="0"/>
              <w:pStyle w:val="Compact"/>
            </w:pPr>
            <w:r>
              <w:rPr>
                <w:sz w:val="20"/>
                <w:szCs w:val="20"/>
              </w:rPr>
              <w:t xml:space="preserve">1996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7.014</w:t>
            </w:r>
          </w:p>
        </w:tc>
        <w:tc>
          <w:tcPr>
            <w:tcW w:w="0" w:type="auto"/>
          </w:tcPr>
          <w:p>
            <w:pPr>
              <w:spacing w:line="240" w:lineRule="auto" w:before="0" w:after="0"/>
              <w:pStyle w:val="Compact"/>
            </w:pPr>
            <w:r>
              <w:rPr>
                <w:sz w:val="20"/>
                <w:szCs w:val="20"/>
              </w:rPr>
              <w:t xml:space="preserve">NASA ODQN 1-2 (1996); Johnson Acta Astronautica 1998</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Cosmos-2421 breakup</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7.09</w:t>
            </w:r>
          </w:p>
        </w:tc>
        <w:tc>
          <w:tcPr>
            <w:tcW w:w="0" w:type="auto"/>
          </w:tcPr>
          <w:p>
            <w:pPr>
              <w:spacing w:line="240" w:lineRule="auto" w:before="0" w:after="0"/>
              <w:pStyle w:val="Compact"/>
            </w:pPr>
            <w:r>
              <w:rPr>
                <w:sz w:val="20"/>
                <w:szCs w:val="20"/>
              </w:rPr>
              <w:t xml:space="preserve">NASA ODQN 12-3 (2008); Kelso CelesTrak 2008</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Nimbus-4 R/B fragmentation</w:t>
            </w:r>
          </w:p>
        </w:tc>
        <w:tc>
          <w:tcPr>
            <w:tcW w:w="0" w:type="auto"/>
          </w:tcPr>
          <w:p>
            <w:pPr>
              <w:spacing w:line="240" w:lineRule="auto" w:before="0" w:after="0"/>
              <w:pStyle w:val="Compact"/>
            </w:pPr>
            <w:r>
              <w:rPr>
                <w:sz w:val="20"/>
                <w:szCs w:val="20"/>
              </w:rPr>
              <w:t xml:space="preserve">1970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3.526</w:t>
            </w:r>
          </w:p>
        </w:tc>
        <w:tc>
          <w:tcPr>
            <w:tcW w:w="0" w:type="auto"/>
          </w:tcPr>
          <w:p>
            <w:pPr>
              <w:spacing w:line="240" w:lineRule="auto" w:before="0" w:after="0"/>
              <w:pStyle w:val="Compact"/>
            </w:pPr>
            <w:r>
              <w:rPr>
                <w:sz w:val="20"/>
                <w:szCs w:val="20"/>
              </w:rPr>
              <w:t xml:space="preserve">NASA Hist. of On-Orbit Frag. 15th ed. (2018)</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Atlas Centaur 5 fragmentation</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2.89</w:t>
            </w:r>
          </w:p>
        </w:tc>
        <w:tc>
          <w:tcPr>
            <w:tcW w:w="0" w:type="auto"/>
          </w:tcPr>
          <w:p>
            <w:pPr>
              <w:spacing w:line="240" w:lineRule="auto" w:before="0" w:after="0"/>
              <w:pStyle w:val="Compact"/>
            </w:pPr>
            <w:r>
              <w:rPr>
                <w:sz w:val="20"/>
                <w:szCs w:val="20"/>
              </w:rPr>
              <w:t xml:space="preserve">NASA ODQN 22-3 (2018) [illustrative fragment count]</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Vega P120C upper stage 2025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4.094</w:t>
            </w:r>
          </w:p>
        </w:tc>
        <w:tc>
          <w:tcPr>
            <w:tcW w:w="0" w:type="auto"/>
          </w:tcPr>
          <w:p>
            <w:pPr>
              <w:spacing w:line="240" w:lineRule="auto" w:before="0" w:after="0"/>
              <w:pStyle w:val="Compact"/>
            </w:pPr>
            <w:r>
              <w:rPr>
                <w:sz w:val="20"/>
                <w:szCs w:val="20"/>
              </w:rPr>
              <w:t xml:space="preserve">LeoLabs blog 2025; ESA Space Debris Office bulletin 2025</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SJ-21 / BeiDou-2 G2 tow (suspected)</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1.792</w:t>
            </w:r>
          </w:p>
        </w:tc>
        <w:tc>
          <w:tcPr>
            <w:tcW w:w="0" w:type="auto"/>
          </w:tcPr>
          <w:p>
            <w:pPr>
              <w:spacing w:line="240" w:lineRule="auto" w:before="0" w:after="0"/>
              <w:pStyle w:val="Compact"/>
            </w:pPr>
            <w:r>
              <w:rPr>
                <w:sz w:val="20"/>
                <w:szCs w:val="20"/>
              </w:rPr>
              <w:t xml:space="preserve">COMSPOC 2022 analysis; ExoAnalytic obs (attribution ambiguous)</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Yunhai-1 02 / Zenit debris collision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3.829</w:t>
            </w:r>
          </w:p>
        </w:tc>
        <w:tc>
          <w:tcPr>
            <w:tcW w:w="0" w:type="auto"/>
          </w:tcPr>
          <w:p>
            <w:pPr>
              <w:spacing w:line="240" w:lineRule="auto" w:before="0" w:after="0"/>
              <w:pStyle w:val="Compact"/>
            </w:pPr>
            <w:r>
              <w:rPr>
                <w:sz w:val="20"/>
                <w:szCs w:val="20"/>
              </w:rPr>
              <w:t xml:space="preserve">Harvard CfA Jonathan McDowell 2021-08; NASA ODQN 25-4 (2021)</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Cosmos-2491/2499/2504 maneuver objects</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1.609</w:t>
            </w:r>
          </w:p>
        </w:tc>
        <w:tc>
          <w:tcPr>
            <w:tcW w:w="0" w:type="auto"/>
          </w:tcPr>
          <w:p>
            <w:pPr>
              <w:spacing w:line="240" w:lineRule="auto" w:before="0" w:after="0"/>
              <w:pStyle w:val="Compact"/>
            </w:pPr>
            <w:r>
              <w:rPr>
                <w:sz w:val="20"/>
                <w:szCs w:val="20"/>
              </w:rPr>
              <w:t xml:space="preserve">Weeden Secure World Found. 2015; Acta Astronautica 162 (2019)</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Ariane V16 H10 upper stage</w:t>
            </w:r>
          </w:p>
        </w:tc>
        <w:tc>
          <w:tcPr>
            <w:tcW w:w="0" w:type="auto"/>
          </w:tcPr>
          <w:p>
            <w:pPr>
              <w:spacing w:line="240" w:lineRule="auto" w:before="0" w:after="0"/>
              <w:pStyle w:val="Compact"/>
            </w:pPr>
            <w:r>
              <w:rPr>
                <w:sz w:val="20"/>
                <w:szCs w:val="20"/>
              </w:rPr>
              <w:t xml:space="preserve">1986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2.398</w:t>
            </w:r>
          </w:p>
        </w:tc>
        <w:tc>
          <w:tcPr>
            <w:tcW w:w="0" w:type="auto"/>
          </w:tcPr>
          <w:p>
            <w:pPr>
              <w:spacing w:line="240" w:lineRule="auto" w:before="0" w:after="0"/>
              <w:pStyle w:val="Compact"/>
            </w:pPr>
            <w:r>
              <w:rPr>
                <w:sz w:val="20"/>
                <w:szCs w:val="20"/>
              </w:rPr>
              <w:t xml:space="preserve">NASA Hist. of On-Orbit Frag. 15th ed. (2018) [illustrative]</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SL-16 R/B (2018 breakup)</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3.951</w:t>
            </w:r>
          </w:p>
        </w:tc>
        <w:tc>
          <w:tcPr>
            <w:tcW w:w="0" w:type="auto"/>
          </w:tcPr>
          <w:p>
            <w:pPr>
              <w:spacing w:line="240" w:lineRule="auto" w:before="0" w:after="0"/>
              <w:pStyle w:val="Compact"/>
            </w:pPr>
            <w:r>
              <w:rPr>
                <w:sz w:val="20"/>
                <w:szCs w:val="20"/>
              </w:rPr>
              <w:t xml:space="preserve">NASA ODQN 23-1 (2019)</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Microsat-R (India pre-ASAT)</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4.29</w:t>
            </w:r>
          </w:p>
        </w:tc>
        <w:tc>
          <w:tcPr>
            <w:tcW w:w="0" w:type="auto"/>
          </w:tcPr>
          <w:p>
            <w:pPr>
              <w:spacing w:line="240" w:lineRule="auto" w:before="0" w:after="0"/>
              <w:pStyle w:val="Compact"/>
            </w:pPr>
            <w:r>
              <w:rPr>
                <w:sz w:val="20"/>
                <w:szCs w:val="20"/>
              </w:rPr>
              <w:t xml:space="preserve">NASA ODQN 23-2 (2019); ISRO release 2019-03-27</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STARLINK clustering anomalies 2022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2.197</w:t>
            </w:r>
          </w:p>
        </w:tc>
        <w:tc>
          <w:tcPr>
            <w:tcW w:w="0" w:type="auto"/>
          </w:tcPr>
          <w:p>
            <w:pPr>
              <w:spacing w:line="240" w:lineRule="auto" w:before="0" w:after="0"/>
              <w:pStyle w:val="Compact"/>
            </w:pPr>
            <w:r>
              <w:rPr>
                <w:sz w:val="20"/>
                <w:szCs w:val="20"/>
              </w:rPr>
              <w:t xml:space="preserve">FCC filings 2022; LeoLabs CSpOC posts (attribution unclear)</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Cosmos-2535/2536 inspection ops</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1.099</w:t>
            </w:r>
          </w:p>
        </w:tc>
        <w:tc>
          <w:tcPr>
            <w:tcW w:w="0" w:type="auto"/>
          </w:tcPr>
          <w:p>
            <w:pPr>
              <w:spacing w:line="240" w:lineRule="auto" w:before="0" w:after="0"/>
              <w:pStyle w:val="Compact"/>
            </w:pPr>
            <w:r>
              <w:rPr>
                <w:sz w:val="20"/>
                <w:szCs w:val="20"/>
              </w:rPr>
              <w:t xml:space="preserve">Weeden/Samson Global Counterspace 2023; CSIS Space Threat 2023</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SBSS reaction wheel debris event</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1.386</w:t>
            </w:r>
          </w:p>
        </w:tc>
        <w:tc>
          <w:tcPr>
            <w:tcW w:w="0" w:type="auto"/>
          </w:tcPr>
          <w:p>
            <w:pPr>
              <w:spacing w:line="240" w:lineRule="auto" w:before="0" w:after="0"/>
              <w:pStyle w:val="Compact"/>
            </w:pPr>
            <w:r>
              <w:rPr>
                <w:sz w:val="20"/>
                <w:szCs w:val="20"/>
              </w:rPr>
              <w:t xml:space="preserve">NASA ODQN 17-4 (2013) [illustrative fragment count]</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Long March 5B core stage uncontrolled reentry 2021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4.605</w:t>
            </w:r>
          </w:p>
        </w:tc>
        <w:tc>
          <w:tcPr>
            <w:tcW w:w="0" w:type="auto"/>
          </w:tcPr>
          <w:p>
            <w:pPr>
              <w:spacing w:line="240" w:lineRule="auto" w:before="0" w:after="0"/>
              <w:pStyle w:val="Compact"/>
            </w:pPr>
            <w:r>
              <w:rPr>
                <w:sz w:val="20"/>
                <w:szCs w:val="20"/>
              </w:rPr>
              <w:t xml:space="preserve">NASA Administrator statement 2021-05-08; Aerospace Corp CORDS</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Long March 5B core stage 2022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4.787</w:t>
            </w:r>
          </w:p>
        </w:tc>
        <w:tc>
          <w:tcPr>
            <w:tcW w:w="0" w:type="auto"/>
          </w:tcPr>
          <w:p>
            <w:pPr>
              <w:spacing w:line="240" w:lineRule="auto" w:before="0" w:after="0"/>
              <w:pStyle w:val="Compact"/>
            </w:pPr>
            <w:r>
              <w:rPr>
                <w:sz w:val="20"/>
                <w:szCs w:val="20"/>
              </w:rPr>
              <w:t xml:space="preserve">NASA Administrator statement 2022-07-30; Aerospace Corp CORDS</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Envisat anomaly (loss of contact)</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0.693</w:t>
            </w:r>
          </w:p>
        </w:tc>
        <w:tc>
          <w:tcPr>
            <w:tcW w:w="0" w:type="auto"/>
          </w:tcPr>
          <w:p>
            <w:pPr>
              <w:spacing w:line="240" w:lineRule="auto" w:before="0" w:after="0"/>
              <w:pStyle w:val="Compact"/>
            </w:pPr>
            <w:r>
              <w:rPr>
                <w:sz w:val="20"/>
                <w:szCs w:val="20"/>
              </w:rPr>
              <w:t xml:space="preserve">ESA press release 2012-05-09; Acta Astronautica 91 (2013) 84-95</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Intelsat 33e total loss</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3.367</w:t>
            </w:r>
          </w:p>
        </w:tc>
        <w:tc>
          <w:tcPr>
            <w:tcW w:w="0" w:type="auto"/>
          </w:tcPr>
          <w:p>
            <w:pPr>
              <w:spacing w:line="240" w:lineRule="auto" w:before="0" w:after="0"/>
              <w:pStyle w:val="Compact"/>
            </w:pPr>
            <w:r>
              <w:rPr>
                <w:sz w:val="20"/>
                <w:szCs w:val="20"/>
              </w:rPr>
              <w:t xml:space="preserve">Intelsat company statement 2024-10-21; LeoLabs 2024-10</w:t>
            </w:r>
          </w:p>
        </w:tc>
      </w:tr>
      <w:tr>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Boeing/Viasat 1 antenna failure</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Viasat 10-K filing 2013; SpaceNews 2013-02-12</w:t>
            </w:r>
          </w:p>
        </w:tc>
      </w:tr>
      <w:tr>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Cosmos-2479 reported anomaly</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1.099</w:t>
            </w:r>
          </w:p>
        </w:tc>
        <w:tc>
          <w:tcPr>
            <w:tcW w:w="0" w:type="auto"/>
          </w:tcPr>
          <w:p>
            <w:pPr>
              <w:spacing w:line="240" w:lineRule="auto" w:before="0" w:after="0"/>
              <w:pStyle w:val="Compact"/>
            </w:pPr>
            <w:r>
              <w:rPr>
                <w:sz w:val="20"/>
                <w:szCs w:val="20"/>
              </w:rPr>
              <w:t xml:space="preserve">COMSPOC 2024 blog (attribution ambiguous) [illustrative]</w:t>
            </w:r>
          </w:p>
        </w:tc>
      </w:tr>
      <w:tr>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Dnepr launcher RB fragmentation</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3.738</w:t>
            </w:r>
          </w:p>
        </w:tc>
        <w:tc>
          <w:tcPr>
            <w:tcW w:w="0" w:type="auto"/>
          </w:tcPr>
          <w:p>
            <w:pPr>
              <w:spacing w:line="240" w:lineRule="auto" w:before="0" w:after="0"/>
              <w:pStyle w:val="Compact"/>
            </w:pPr>
            <w:r>
              <w:rPr>
                <w:sz w:val="20"/>
                <w:szCs w:val="20"/>
              </w:rPr>
              <w:t xml:space="preserve">NASA ODQN 21-3 (2017); Anz-Meador Hist. of Frag.</w:t>
            </w:r>
          </w:p>
        </w:tc>
      </w:tr>
      <w:tr>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SuperBird-A anomaly</w:t>
            </w:r>
          </w:p>
        </w:tc>
        <w:tc>
          <w:tcPr>
            <w:tcW w:w="0" w:type="auto"/>
          </w:tcPr>
          <w:p>
            <w:pPr>
              <w:spacing w:line="240" w:lineRule="auto" w:before="0" w:after="0"/>
              <w:pStyle w:val="Compact"/>
            </w:pPr>
            <w:r>
              <w:rPr>
                <w:sz w:val="20"/>
                <w:szCs w:val="20"/>
              </w:rPr>
              <w:t xml:space="preserve">1990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Space News archives 1990; Aerospace Corp anomaly catalog</w:t>
            </w:r>
          </w:p>
        </w:tc>
      </w:tr>
      <w:tr>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Tselina-2 (Cosmos-2227) breakup</w:t>
            </w:r>
          </w:p>
        </w:tc>
        <w:tc>
          <w:tcPr>
            <w:tcW w:w="0" w:type="auto"/>
          </w:tcPr>
          <w:p>
            <w:pPr>
              <w:spacing w:line="240" w:lineRule="auto" w:before="0" w:after="0"/>
              <w:pStyle w:val="Compact"/>
            </w:pPr>
            <w:r>
              <w:rPr>
                <w:sz w:val="20"/>
                <w:szCs w:val="20"/>
              </w:rPr>
              <w:t xml:space="preserve">1992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4.382</w:t>
            </w:r>
          </w:p>
        </w:tc>
        <w:tc>
          <w:tcPr>
            <w:tcW w:w="0" w:type="auto"/>
          </w:tcPr>
          <w:p>
            <w:pPr>
              <w:spacing w:line="240" w:lineRule="auto" w:before="0" w:after="0"/>
              <w:pStyle w:val="Compact"/>
            </w:pPr>
            <w:r>
              <w:rPr>
                <w:sz w:val="20"/>
                <w:szCs w:val="20"/>
              </w:rPr>
              <w:t xml:space="preserve">NASA Hist. of On-Orbit Frag. 15th ed. (2018) [illustrative]</w:t>
            </w:r>
          </w:p>
        </w:tc>
      </w:tr>
      <w:tr>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Galaxy 15 zombie sat</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Intelsat press release 2010-04-08; SpaceNews 2010</w:t>
            </w:r>
          </w:p>
        </w:tc>
      </w:tr>
    </w:tbl>
    <w:bookmarkEnd w:id="203"/>
    <w:bookmarkStart w:id="204"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attributed</w:t>
            </w:r>
          </w:p>
        </w:tc>
        <w:tc>
          <w:tcPr>
            <w:tcW w:w="0" w:type="auto"/>
          </w:tcPr>
          <w:p>
            <w:pPr>
              <w:spacing w:line="240" w:lineRule="auto" w:before="0" w:after="0"/>
              <w:pStyle w:val="Compact"/>
            </w:pPr>
            <w:r>
              <w:rPr>
                <w:sz w:val="20"/>
                <w:szCs w:val="20"/>
              </w:rPr>
              <w:t xml:space="preserve">Binary outcome: 1 if a responsible state or operator was publicly identified by an authoritative source within the observation window; 0 otherwise</w:t>
            </w:r>
          </w:p>
        </w:tc>
        <w:tc>
          <w:tcPr>
            <w:tcW w:w="0" w:type="auto"/>
          </w:tcPr>
          <w:p>
            <w:pPr>
              <w:spacing w:line="240" w:lineRule="auto" w:before="0" w:after="0"/>
              <w:pStyle w:val="Compact"/>
            </w:pPr>
            <w:r>
              <w:rPr>
                <w:sz w:val="20"/>
                <w:szCs w:val="20"/>
              </w:rPr>
              <w:t xml:space="preserve">Coded from NASA Orbital Debris Quarterly News, NASA History of On-Orbit Satellite Fragmentations 15th ed. (2018), US Space Command statements, ESA Space Debris Office, and operator press releases</w:t>
            </w:r>
          </w:p>
        </w:tc>
      </w:tr>
      <w:tr>
        <w:tc>
          <w:tcPr>
            <w:tcW w:w="0" w:type="auto"/>
          </w:tcPr>
          <w:p>
            <w:pPr>
              <w:spacing w:line="240" w:lineRule="auto" w:before="0" w:after="0"/>
              <w:pStyle w:val="Compact"/>
            </w:pPr>
            <w:r>
              <w:rPr>
                <w:sz w:val="20"/>
                <w:szCs w:val="20"/>
              </w:rPr>
              <w:t xml:space="preserve">years_since_event</w:t>
            </w:r>
          </w:p>
        </w:tc>
        <w:tc>
          <w:tcPr>
            <w:tcW w:w="0" w:type="auto"/>
          </w:tcPr>
          <w:p>
            <w:pPr>
              <w:spacing w:line="240" w:lineRule="auto" w:before="0" w:after="0"/>
              <w:pStyle w:val="Compact"/>
            </w:pPr>
            <w:r>
              <w:rPr>
                <w:sz w:val="20"/>
                <w:szCs w:val="20"/>
              </w:rPr>
              <w:t xml:space="preserve">Calendar years elapsed between the event and the data freeze (2026)</w:t>
            </w:r>
          </w:p>
        </w:tc>
        <w:tc>
          <w:tcPr>
            <w:tcW w:w="0" w:type="auto"/>
          </w:tcPr>
          <w:p>
            <w:pPr>
              <w:spacing w:line="240" w:lineRule="auto" w:before="0" w:after="0"/>
              <w:pStyle w:val="Compact"/>
            </w:pPr>
            <w:r>
              <w:rPr>
                <w:sz w:val="20"/>
                <w:szCs w:val="20"/>
              </w:rPr>
              <w:t xml:space="preserve">2026 minus event year</w:t>
            </w:r>
          </w:p>
        </w:tc>
      </w:tr>
      <w:tr>
        <w:tc>
          <w:tcPr>
            <w:tcW w:w="0" w:type="auto"/>
          </w:tcPr>
          <w:p>
            <w:pPr>
              <w:spacing w:line="240" w:lineRule="auto" w:before="0" w:after="0"/>
              <w:pStyle w:val="Compact"/>
            </w:pPr>
            <w:r>
              <w:rPr>
                <w:sz w:val="20"/>
                <w:szCs w:val="20"/>
              </w:rPr>
              <w:t xml:space="preserve">orbital_regime_leo</w:t>
            </w:r>
          </w:p>
        </w:tc>
        <w:tc>
          <w:tcPr>
            <w:tcW w:w="0" w:type="auto"/>
          </w:tcPr>
          <w:p>
            <w:pPr>
              <w:spacing w:line="240" w:lineRule="auto" w:before="0" w:after="0"/>
              <w:pStyle w:val="Compact"/>
            </w:pPr>
            <w:r>
              <w:rPr>
                <w:sz w:val="20"/>
                <w:szCs w:val="20"/>
              </w:rPr>
              <w:t xml:space="preserve">Binary indicator: 1 if event occurred in low Earth orbit, 0 otherwise</w:t>
            </w:r>
          </w:p>
        </w:tc>
        <w:tc>
          <w:tcPr>
            <w:tcW w:w="0" w:type="auto"/>
          </w:tcPr>
          <w:p>
            <w:pPr>
              <w:spacing w:line="240" w:lineRule="auto" w:before="0" w:after="0"/>
              <w:pStyle w:val="Compact"/>
            </w:pPr>
            <w:r>
              <w:rPr>
                <w:sz w:val="20"/>
                <w:szCs w:val="20"/>
              </w:rPr>
              <w:t xml:space="preserve">Classified from event TLE or operator-declared orbit</w:t>
            </w:r>
          </w:p>
        </w:tc>
      </w:tr>
      <w:tr>
        <w:tc>
          <w:tcPr>
            <w:tcW w:w="0" w:type="auto"/>
          </w:tcPr>
          <w:p>
            <w:pPr>
              <w:spacing w:line="240" w:lineRule="auto" w:before="0" w:after="0"/>
              <w:pStyle w:val="Compact"/>
            </w:pPr>
            <w:r>
              <w:rPr>
                <w:sz w:val="20"/>
                <w:szCs w:val="20"/>
              </w:rPr>
              <w:t xml:space="preserve">fragment_count_log</w:t>
            </w:r>
          </w:p>
        </w:tc>
        <w:tc>
          <w:tcPr>
            <w:tcW w:w="0" w:type="auto"/>
          </w:tcPr>
          <w:p>
            <w:pPr>
              <w:spacing w:line="240" w:lineRule="auto" w:before="0" w:after="0"/>
              <w:pStyle w:val="Compact"/>
            </w:pPr>
            <w:r>
              <w:rPr>
                <w:sz w:val="20"/>
                <w:szCs w:val="20"/>
              </w:rPr>
              <w:t xml:space="preserve">Natural logarithm of the catalogued fragment count from the event</w:t>
            </w:r>
          </w:p>
        </w:tc>
        <w:tc>
          <w:tcPr>
            <w:tcW w:w="0" w:type="auto"/>
          </w:tcPr>
          <w:p>
            <w:pPr>
              <w:spacing w:line="240" w:lineRule="auto" w:before="0" w:after="0"/>
              <w:pStyle w:val="Compact"/>
            </w:pPr>
            <w:r>
              <w:rPr>
                <w:sz w:val="20"/>
                <w:szCs w:val="20"/>
              </w:rPr>
              <w:t xml:space="preserve">ln of fragments listed in NASA ODQN or NASA Anz-Meador History of On-Orbit Fragmentations; illustrative for a small minority of events with sparse public counts</w:t>
            </w:r>
          </w:p>
        </w:tc>
      </w:tr>
    </w:tbl>
    <w:bookmarkEnd w:id="204"/>
    <w:bookmarkEnd w:id="205"/>
    <w:bookmarkEnd w:id="206"/>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91" Type="http://schemas.openxmlformats.org/officeDocument/2006/relationships/image" Target="media/rId191.png"/><Relationship Id="rId199" Type="http://schemas.openxmlformats.org/officeDocument/2006/relationships/image" Target="media/rId199.png"/><Relationship Id="rId175" Type="http://schemas.openxmlformats.org/officeDocument/2006/relationships/hyperlink" Target="https://doi.org/10.1016/j.actaastro.2020.12.012" TargetMode="External"/><Relationship Id="rId141" Type="http://schemas.openxmlformats.org/officeDocument/2006/relationships/hyperlink" Target="https://doi.org/10.1016/j.actaastro.2021.04.009" TargetMode="External"/><Relationship Id="rId179" Type="http://schemas.openxmlformats.org/officeDocument/2006/relationships/hyperlink" Target="https://doi.org/10.1016/j.actaastro.2021.08.049" TargetMode="External"/><Relationship Id="rId183" Type="http://schemas.openxmlformats.org/officeDocument/2006/relationships/hyperlink" Target="https://doi.org/10.1016/j.actaastro.2022.04.034" TargetMode="External"/><Relationship Id="rId149" Type="http://schemas.openxmlformats.org/officeDocument/2006/relationships/hyperlink" Target="https://doi.org/10.1016/j.actaastro.2022.10.021" TargetMode="External"/><Relationship Id="rId181" Type="http://schemas.openxmlformats.org/officeDocument/2006/relationships/hyperlink" Target="https://doi.org/10.1016/j.actaastro.2024.03.072" TargetMode="External"/><Relationship Id="rId126" Type="http://schemas.openxmlformats.org/officeDocument/2006/relationships/hyperlink" Target="https://doi.org/10.1016/j.actaastro.2024.06.015" TargetMode="External"/><Relationship Id="rId187" Type="http://schemas.openxmlformats.org/officeDocument/2006/relationships/hyperlink" Target="https://doi.org/10.1016/j.actaastro.2024.10.019" TargetMode="External"/><Relationship Id="rId147" Type="http://schemas.openxmlformats.org/officeDocument/2006/relationships/hyperlink" Target="https://doi.org/10.1016/j.actaastro.2024.12.053" TargetMode="External"/><Relationship Id="rId143" Type="http://schemas.openxmlformats.org/officeDocument/2006/relationships/hyperlink" Target="https://doi.org/10.1016/j.actaastro.2025.01.003" TargetMode="External"/><Relationship Id="rId145" Type="http://schemas.openxmlformats.org/officeDocument/2006/relationships/hyperlink" Target="https://doi.org/10.1016/j.actaastro.2025.07.027" TargetMode="External"/><Relationship Id="rId177" Type="http://schemas.openxmlformats.org/officeDocument/2006/relationships/hyperlink" Target="https://doi.org/10.1016/j.actaastro.2025.08.001" TargetMode="External"/><Relationship Id="rId173" Type="http://schemas.openxmlformats.org/officeDocument/2006/relationships/hyperlink" Target="https://doi.org/10.1016/j.actaastro.2025.08.048" TargetMode="External"/><Relationship Id="rId134" Type="http://schemas.openxmlformats.org/officeDocument/2006/relationships/hyperlink" Target="https://doi.org/10.1016/j.actaastro.2025.09.078" TargetMode="External"/><Relationship Id="rId185" Type="http://schemas.openxmlformats.org/officeDocument/2006/relationships/hyperlink" Target="https://doi.org/10.1016/j.actaastro.2026.05.010" TargetMode="External"/><Relationship Id="rId151" Type="http://schemas.openxmlformats.org/officeDocument/2006/relationships/hyperlink" Target="https://doi.org/10.64861/BEMV4407" TargetMode="External"/><Relationship Id="rId132" Type="http://schemas.openxmlformats.org/officeDocument/2006/relationships/hyperlink" Target="https://doi.org/10.64861/FHSX9637" TargetMode="External"/><Relationship Id="rId130" Type="http://schemas.openxmlformats.org/officeDocument/2006/relationships/hyperlink" Target="https://doi.org/10.64861/IMSI4025" TargetMode="External"/><Relationship Id="rId170" Type="http://schemas.openxmlformats.org/officeDocument/2006/relationships/hyperlink" Target="https://doi.org/10.64861/UARD3301" TargetMode="External"/></Relationships>
</file>

<file path=word/_rels/footnotes.xml.rels><?xml version='1.0' encoding='UTF-8' standalone='yes'?>
<Relationships xmlns="http://schemas.openxmlformats.org/package/2006/relationships"><Relationship Id="rId175" Type="http://schemas.openxmlformats.org/officeDocument/2006/relationships/hyperlink" Target="https://doi.org/10.1016/j.actaastro.2020.12.012" TargetMode="External"/><Relationship Id="rId141" Type="http://schemas.openxmlformats.org/officeDocument/2006/relationships/hyperlink" Target="https://doi.org/10.1016/j.actaastro.2021.04.009" TargetMode="External"/><Relationship Id="rId179" Type="http://schemas.openxmlformats.org/officeDocument/2006/relationships/hyperlink" Target="https://doi.org/10.1016/j.actaastro.2021.08.049" TargetMode="External"/><Relationship Id="rId183" Type="http://schemas.openxmlformats.org/officeDocument/2006/relationships/hyperlink" Target="https://doi.org/10.1016/j.actaastro.2022.04.034" TargetMode="External"/><Relationship Id="rId149" Type="http://schemas.openxmlformats.org/officeDocument/2006/relationships/hyperlink" Target="https://doi.org/10.1016/j.actaastro.2022.10.021" TargetMode="External"/><Relationship Id="rId181" Type="http://schemas.openxmlformats.org/officeDocument/2006/relationships/hyperlink" Target="https://doi.org/10.1016/j.actaastro.2024.03.072" TargetMode="External"/><Relationship Id="rId126" Type="http://schemas.openxmlformats.org/officeDocument/2006/relationships/hyperlink" Target="https://doi.org/10.1016/j.actaastro.2024.06.015" TargetMode="External"/><Relationship Id="rId187" Type="http://schemas.openxmlformats.org/officeDocument/2006/relationships/hyperlink" Target="https://doi.org/10.1016/j.actaastro.2024.10.019" TargetMode="External"/><Relationship Id="rId147" Type="http://schemas.openxmlformats.org/officeDocument/2006/relationships/hyperlink" Target="https://doi.org/10.1016/j.actaastro.2024.12.053" TargetMode="External"/><Relationship Id="rId143" Type="http://schemas.openxmlformats.org/officeDocument/2006/relationships/hyperlink" Target="https://doi.org/10.1016/j.actaastro.2025.01.003" TargetMode="External"/><Relationship Id="rId145" Type="http://schemas.openxmlformats.org/officeDocument/2006/relationships/hyperlink" Target="https://doi.org/10.1016/j.actaastro.2025.07.027" TargetMode="External"/><Relationship Id="rId177" Type="http://schemas.openxmlformats.org/officeDocument/2006/relationships/hyperlink" Target="https://doi.org/10.1016/j.actaastro.2025.08.001" TargetMode="External"/><Relationship Id="rId173" Type="http://schemas.openxmlformats.org/officeDocument/2006/relationships/hyperlink" Target="https://doi.org/10.1016/j.actaastro.2025.08.048" TargetMode="External"/><Relationship Id="rId134" Type="http://schemas.openxmlformats.org/officeDocument/2006/relationships/hyperlink" Target="https://doi.org/10.1016/j.actaastro.2025.09.078" TargetMode="External"/><Relationship Id="rId185" Type="http://schemas.openxmlformats.org/officeDocument/2006/relationships/hyperlink" Target="https://doi.org/10.1016/j.actaastro.2026.05.010" TargetMode="External"/><Relationship Id="rId151" Type="http://schemas.openxmlformats.org/officeDocument/2006/relationships/hyperlink" Target="https://doi.org/10.64861/BEMV4407" TargetMode="External"/><Relationship Id="rId132" Type="http://schemas.openxmlformats.org/officeDocument/2006/relationships/hyperlink" Target="https://doi.org/10.64861/FHSX9637" TargetMode="External"/><Relationship Id="rId130" Type="http://schemas.openxmlformats.org/officeDocument/2006/relationships/hyperlink" Target="https://doi.org/10.64861/IMSI4025" TargetMode="External"/><Relationship Id="rId170" Type="http://schemas.openxmlformats.org/officeDocument/2006/relationships/hyperlink" Target="https://doi.org/10.64861/UARD33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Attribution Under Ambiguity: A Bayesian Network for Assigning Responsibility to Cislunar Space Object Behaviors</dc:title>
  <dc:creator>Yuki Sundberg (1B-SDA-092)</dc:creator>
  <cp:keywords/>
  <dcterms:created xsi:type="dcterms:W3CDTF">2026-07-02T16:48:52Z</dcterms:created>
  <dcterms:modified xsi:type="dcterms:W3CDTF">2026-07-02T16:48:52Z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