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47452363420477b9d98588e00803ff61d5f4df2"/>
    <w:p>
      <w:pPr>
        <w:pStyle w:val="Heading1"/>
      </w:pPr>
      <w:r>
        <w:t xml:space="preserve">Signal Intensity in Sensor Geometry and the Equity of Coverage Does the Public Catalog Systematical: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Rashid Whitfield (1B-SDA-169) and the dissertation project</w:t>
      </w:r>
      <w:r>
        <w:t xml:space="preserve"> </w:t>
      </w:r>
      <w:r>
        <w:rPr>
          <w:i/>
          <w:iCs/>
        </w:rPr>
        <w:t xml:space="preserve">Sensor Geometry and the Equity of Coverage: Does the Public Catalog Systematical</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R2=0.2394685116226155, R2_adj=0.15171487834830188, F=3.0603676184024735, F_p=0.045851746774718205. The exact term summary is: const coef=6.062316288669574 p=1.2677490096556038e-15; recency_index coef=-0.0205376430458807 p=0.7451330929241402; cites_num coef=0.008012604651364854 p=0.3593536612157835; venue_score coef=-1.101984855697401 p=0.020302901156610192.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Dan Oltrogge (Analytical Graphics Inc.), Patrick North (Analytical Graphics Inc.), Michael Nicolls (SRI). Multi-phenomenology Observation Network Evaluation Tool (MONET) (2014). [AMOS]</w:t>
      </w:r>
      <w:r>
        <w:t xml:space="preserve"> </w:t>
      </w:r>
      <w:bookmarkStart w:id="68" w:name="ref-2"/>
      <w:bookmarkEnd w:id="68"/>
      <w:r>
        <w:t xml:space="preserve">2. Jeff Aristoff, Numerica Corporation; Neil Dhingra, Numerica Corporation; Alex Ferris, Numerica Corporation; Austin Hariri, Numerica Corporation; Joshua Horwood, Numerica Corporation; Ari Larson, Numerica Corporation; Tyler Lyons, Numerica Corporation; Jeff Shaddix, Numerica Corporation; Navraj Singh, Numerica Corporation; Kevin Wilson, Numerica Corporation. Non-Traditional Data Collection and Exploitation for Improved GEO SSA via a Global Network of Heterogeneous Sensors (2018). [AMOS]</w:t>
      </w:r>
      <w:r>
        <w:t xml:space="preserve"> </w:t>
      </w:r>
      <w:bookmarkStart w:id="69" w:name="ref-3"/>
      <w:bookmarkEnd w:id="69"/>
      <w:r>
        <w:t xml:space="preserve">3. Peng Mun Siew, Massachusetts Institute of Technology; Tory Smith, United States Space Force, Massachusetts Institute of Technology; Richard Linares, Massachusetts Institute of Technology; Ravi Ponmalai, Aerospace Corporation. Scalable Multi-Agent Sensor Tasking Using Deep Reinforcement Learning (2023). doi:</w:t>
      </w:r>
      <w:r>
        <w:t xml:space="preserve"> </w:t>
      </w:r>
      <w:hyperlink r:id="rId70">
        <w:r>
          <w:rPr>
            <w:rStyle w:val="Hyperlink"/>
          </w:rPr>
          <w:t xml:space="preserve">10.64861/LWLF6390</w:t>
        </w:r>
      </w:hyperlink>
      <w:r>
        <w:t xml:space="preserve"> </w:t>
      </w:r>
      <w:bookmarkStart w:id="71" w:name="ref-4"/>
      <w:bookmarkEnd w:id="71"/>
      <w:r>
        <w:t xml:space="preserve">4. Matthew Bold, Lockheed Martin Space Systems Company; James Mason, Lockheed Martin Space; Jared Renshaw, Lockheed Martin; Greg Madsen, Lockheed Martin; Amy Cooprider, Lockheed Martin; Phil Bland, Curtin University; Abraham Chan, Lockheed Martin; David Ball, Lockheed Martin Australia; Robert Howie, Space Science and Technology Centre at Curtin University; Matthew Tetlow, Inovor Technologies; Brandon Adams, Lockheed Martin Space; Chloe Hutchinson, Lockheed Martin Space; Alexandra Dziaba, Lockheed Martin Space; Connick Goodwin, Lockheed Martin Space; Connor Green, Lockheed Martin Space; Camilla Leonard, Lockheed Martin Space; Zachary Rogers, Lockheed Martin Space; Julia Seba, Lockheed Martin Space; Hannah Murtha, Lockheed Martin Space; Riley Cayton, Lockheed Martin Space; Mreedul Gupta, Lockheed Martin Space; Ethan Cuenca Fregoso, Lockheed Martin Space; Benjamin Adams, Inovor Technologies; Zebb Prime, Inovor Technologies; Philip Citowicki, Lockheed Martin. Proliferated Sensor Network (PSN) Performance Study &amp; Architecture Design Optimization (2023). doi:</w:t>
      </w:r>
      <w:r>
        <w:t xml:space="preserve"> </w:t>
      </w:r>
      <w:hyperlink r:id="rId72">
        <w:r>
          <w:rPr>
            <w:rStyle w:val="Hyperlink"/>
          </w:rPr>
          <w:t xml:space="preserve">10.64861/UELE5506</w:t>
        </w:r>
      </w:hyperlink>
      <w:r>
        <w:t xml:space="preserve"> </w:t>
      </w:r>
      <w:bookmarkStart w:id="73" w:name="ref-5"/>
      <w:bookmarkEnd w:id="73"/>
      <w:r>
        <w:t xml:space="preserve">5. Tamara Payne, Applied Optimization Inc., Philip Castro, Applied Optimization, Stephen Gregory, Boeing, Phan Dao, AFRL/RVBY. Satellite Photometric Error Determination (2015). [AMOS]</w:t>
      </w:r>
      <w:r>
        <w:t xml:space="preserve"> </w:t>
      </w:r>
      <w:bookmarkStart w:id="74" w:name="ref-6"/>
      <w:bookmarkEnd w:id="74"/>
      <w:r>
        <w:t xml:space="preserve">6. Shashanka Athigiri, Digantara Research and Technologies; Ananthu Krishna S, Digantara Reasearch and Technologies; Tanveer Ahmed, Digantara Research and Technologies. Optimizing GEO Belt Observation Through Analytical Methods and the Traveling Salesman Problem (2024). doi:</w:t>
      </w:r>
      <w:r>
        <w:t xml:space="preserve"> </w:t>
      </w:r>
      <w:hyperlink r:id="rId75">
        <w:r>
          <w:rPr>
            <w:rStyle w:val="Hyperlink"/>
          </w:rPr>
          <w:t xml:space="preserve">10.64861/XTTV6756</w:t>
        </w:r>
      </w:hyperlink>
      <w:r>
        <w:t xml:space="preserve"> </w:t>
      </w:r>
      <w:bookmarkStart w:id="76" w:name="ref-7"/>
      <w:bookmarkEnd w:id="76"/>
      <w:r>
        <w:t xml:space="preserve">7. Islam I. Hussein (Worcester Polytechnic Institute), Yue Wang (Worcester Polytechnic Institute). Space-Based Sensor Coverage of Earth Orbits (2008). [AMOS]</w:t>
      </w:r>
      <w:r>
        <w:t xml:space="preserve"> </w:t>
      </w:r>
      <w:bookmarkStart w:id="77" w:name="ref-8"/>
      <w:bookmarkEnd w:id="77"/>
      <w:r>
        <w:t xml:space="preserve">8. Tanner Campbell, University of Arizona; Vishnu Reddy, University of Arizona; Richard Linares, Massachusetts Institute of Technology; Jeffery Larsen, United States Naval Academy; Roberto Furfaro, University of Arizona. Optical Tracking of Artificial Earth Satellites with COTS Sensors (2018). [AMOS]</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6.0623</w:t>
            </w:r>
          </w:p>
        </w:tc>
        <w:tc>
          <w:tcPr>
            <w:tcW w:w="0" w:type="auto"/>
          </w:tcPr>
          <w:p>
            <w:pPr>
              <w:spacing w:line="240" w:lineRule="auto" w:before="0" w:after="0"/>
              <w:pStyle w:val="Compact"/>
            </w:pPr>
            <w:r>
              <w:rPr>
                <w:sz w:val="20"/>
                <w:szCs w:val="20"/>
              </w:rPr>
              <w:t xml:space="preserve">0.758</w:t>
            </w:r>
          </w:p>
        </w:tc>
        <w:tc>
          <w:tcPr>
            <w:tcW w:w="0" w:type="auto"/>
          </w:tcPr>
          <w:p>
            <w:pPr>
              <w:spacing w:line="240" w:lineRule="auto" w:before="0" w:after="0"/>
              <w:pStyle w:val="Compact"/>
            </w:pPr>
            <w:r>
              <w:rPr>
                <w:sz w:val="20"/>
                <w:szCs w:val="20"/>
              </w:rPr>
              <w:t xml:space="preserve">7.9977</w:t>
            </w:r>
          </w:p>
        </w:tc>
        <w:tc>
          <w:tcPr>
            <w:tcW w:w="0" w:type="auto"/>
          </w:tcPr>
          <w:p>
            <w:pPr>
              <w:spacing w:line="240" w:lineRule="auto" w:before="0" w:after="0"/>
              <w:pStyle w:val="Compact"/>
            </w:pPr>
            <w:r>
              <w:rPr>
                <w:sz w:val="20"/>
                <w:szCs w:val="20"/>
              </w:rPr>
              <w:t xml:space="preserve">1.268e-15</w:t>
            </w:r>
          </w:p>
        </w:tc>
        <w:tc>
          <w:tcPr>
            <w:tcW w:w="0" w:type="auto"/>
          </w:tcPr>
          <w:p>
            <w:pPr>
              <w:spacing w:line="240" w:lineRule="auto" w:before="0" w:after="0"/>
              <w:pStyle w:val="Compact"/>
            </w:pPr>
            <w:r>
              <w:rPr>
                <w:sz w:val="20"/>
                <w:szCs w:val="20"/>
              </w:rPr>
              <w:t xml:space="preserve">[4.5766, 7.548]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-0.3251</w:t>
            </w:r>
          </w:p>
        </w:tc>
        <w:tc>
          <w:tcPr>
            <w:tcW w:w="0" w:type="auto"/>
          </w:tcPr>
          <w:p>
            <w:pPr>
              <w:spacing w:line="240" w:lineRule="auto" w:before="0" w:after="0"/>
              <w:pStyle w:val="Compact"/>
            </w:pPr>
            <w:r>
              <w:rPr>
                <w:sz w:val="20"/>
                <w:szCs w:val="20"/>
              </w:rPr>
              <w:t xml:space="preserve">0.7451</w:t>
            </w:r>
          </w:p>
        </w:tc>
        <w:tc>
          <w:tcPr>
            <w:tcW w:w="0" w:type="auto"/>
          </w:tcPr>
          <w:p>
            <w:pPr>
              <w:spacing w:line="240" w:lineRule="auto" w:before="0" w:after="0"/>
              <w:pStyle w:val="Compact"/>
            </w:pPr>
            <w:r>
              <w:rPr>
                <w:sz w:val="20"/>
                <w:szCs w:val="20"/>
              </w:rPr>
              <w:t xml:space="preserve">[-0.1444, 0.1033]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0.9166</w:t>
            </w:r>
          </w:p>
        </w:tc>
        <w:tc>
          <w:tcPr>
            <w:tcW w:w="0" w:type="auto"/>
          </w:tcPr>
          <w:p>
            <w:pPr>
              <w:spacing w:line="240" w:lineRule="auto" w:before="0" w:after="0"/>
              <w:pStyle w:val="Compact"/>
            </w:pPr>
            <w:r>
              <w:rPr>
                <w:sz w:val="20"/>
                <w:szCs w:val="20"/>
              </w:rPr>
              <w:t xml:space="preserve">0.3594</w:t>
            </w:r>
          </w:p>
        </w:tc>
        <w:tc>
          <w:tcPr>
            <w:tcW w:w="0" w:type="auto"/>
          </w:tcPr>
          <w:p>
            <w:pPr>
              <w:spacing w:line="240" w:lineRule="auto" w:before="0" w:after="0"/>
              <w:pStyle w:val="Compact"/>
            </w:pPr>
            <w:r>
              <w:rPr>
                <w:sz w:val="20"/>
                <w:szCs w:val="20"/>
              </w:rPr>
              <w:t xml:space="preserve">[-0.0091, 0.0251]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-1.102</w:t>
            </w:r>
          </w:p>
        </w:tc>
        <w:tc>
          <w:tcPr>
            <w:tcW w:w="0" w:type="auto"/>
          </w:tcPr>
          <w:p>
            <w:pPr>
              <w:spacing w:line="240" w:lineRule="auto" w:before="0" w:after="0"/>
              <w:pStyle w:val="Compact"/>
            </w:pPr>
            <w:r>
              <w:rPr>
                <w:sz w:val="20"/>
                <w:szCs w:val="20"/>
              </w:rPr>
              <w:t xml:space="preserve">0.4748</w:t>
            </w:r>
          </w:p>
        </w:tc>
        <w:tc>
          <w:tcPr>
            <w:tcW w:w="0" w:type="auto"/>
          </w:tcPr>
          <w:p>
            <w:pPr>
              <w:spacing w:line="240" w:lineRule="auto" w:before="0" w:after="0"/>
              <w:pStyle w:val="Compact"/>
            </w:pPr>
            <w:r>
              <w:rPr>
                <w:sz w:val="20"/>
                <w:szCs w:val="20"/>
              </w:rPr>
              <w:t xml:space="preserve">-2.3207</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[-2.0327, -0.1713]</w:t>
            </w:r>
          </w:p>
        </w:tc>
      </w:tr>
    </w:tbl>
    <w:p>
      <w:pPr>
        <w:pStyle w:val="BodyText"/>
      </w:pPr>
      <w:r>
        <w:t xml:space="preserve">Fit: N = 30 R2 = 0.2395 R2_adj = 0.1517 F = 3.0604 F_p = 0.0459</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SSA_SDA_03\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https://amostech.space/year/2014/multi-phenomenology-observation-network-evaluation-tool-monet/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https://amostech.space/year/2018/non-traditional-data-collection-and-exploitation-for-improved-geo-ssa-via-a-global-network-of-heterogeneous-sensors/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https://amostech.space/year/2015/satellite-photometric-error-determination/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10.64861/XTTV6756</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https://amostech.space/year/2008/space-based-sensor-coverage-of-earth-orbits/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https://amostech.space/year/2018/optical-tracking-of-artificial-earth-satellites-with-cots-sensors/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10.64861/BAJJ5826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https://amostech.space/year/2010/optimizing-orbital-debris-monitoring-with-optical-telescopes/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10.64861/GYQL8853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https://amostech.space/year/2015/geo-collisional-risk-assessment-based-on-analysis-of-nasa-wise-data-and-modeling/</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10.1016/j.actaastro.2020.05.063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10.1016/j.actaastro.2025.10.071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10.1016/j.actaastro.2025.10.065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10.1016/j.actaastro.2023.08.002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Automated Comparison of SSA to Agreed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6.0623</w:t>
            </w:r>
          </w:p>
        </w:tc>
        <w:tc>
          <w:tcPr>
            <w:tcW w:w="0" w:type="auto"/>
          </w:tcPr>
          <w:p>
            <w:pPr>
              <w:spacing w:line="240" w:lineRule="auto" w:before="0" w:after="0"/>
              <w:pStyle w:val="Compact"/>
            </w:pPr>
            <w:r>
              <w:rPr>
                <w:sz w:val="20"/>
                <w:szCs w:val="20"/>
              </w:rPr>
              <w:t xml:space="preserve">0.758</w:t>
            </w:r>
          </w:p>
        </w:tc>
        <w:tc>
          <w:tcPr>
            <w:tcW w:w="0" w:type="auto"/>
          </w:tcPr>
          <w:p>
            <w:pPr>
              <w:spacing w:line="240" w:lineRule="auto" w:before="0" w:after="0"/>
              <w:pStyle w:val="Compact"/>
            </w:pPr>
            <w:r>
              <w:rPr>
                <w:sz w:val="20"/>
                <w:szCs w:val="20"/>
              </w:rPr>
              <w:t xml:space="preserve">7.9977</w:t>
            </w:r>
          </w:p>
        </w:tc>
        <w:tc>
          <w:tcPr>
            <w:tcW w:w="0" w:type="auto"/>
          </w:tcPr>
          <w:p>
            <w:pPr>
              <w:spacing w:line="240" w:lineRule="auto" w:before="0" w:after="0"/>
              <w:pStyle w:val="Compact"/>
            </w:pPr>
            <w:r>
              <w:rPr>
                <w:sz w:val="20"/>
                <w:szCs w:val="20"/>
              </w:rPr>
              <w:t xml:space="preserve">1.268e-15</w:t>
            </w:r>
          </w:p>
        </w:tc>
        <w:tc>
          <w:tcPr>
            <w:tcW w:w="0" w:type="auto"/>
          </w:tcPr>
          <w:p>
            <w:pPr>
              <w:spacing w:line="240" w:lineRule="auto" w:before="0" w:after="0"/>
              <w:pStyle w:val="Compact"/>
            </w:pPr>
            <w:r>
              <w:rPr>
                <w:sz w:val="20"/>
                <w:szCs w:val="20"/>
              </w:rPr>
              <w:t xml:space="preserve">[4.5766, 7.548]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-0.3251</w:t>
            </w:r>
          </w:p>
        </w:tc>
        <w:tc>
          <w:tcPr>
            <w:tcW w:w="0" w:type="auto"/>
          </w:tcPr>
          <w:p>
            <w:pPr>
              <w:spacing w:line="240" w:lineRule="auto" w:before="0" w:after="0"/>
              <w:pStyle w:val="Compact"/>
            </w:pPr>
            <w:r>
              <w:rPr>
                <w:sz w:val="20"/>
                <w:szCs w:val="20"/>
              </w:rPr>
              <w:t xml:space="preserve">0.7451</w:t>
            </w:r>
          </w:p>
        </w:tc>
        <w:tc>
          <w:tcPr>
            <w:tcW w:w="0" w:type="auto"/>
          </w:tcPr>
          <w:p>
            <w:pPr>
              <w:spacing w:line="240" w:lineRule="auto" w:before="0" w:after="0"/>
              <w:pStyle w:val="Compact"/>
            </w:pPr>
            <w:r>
              <w:rPr>
                <w:sz w:val="20"/>
                <w:szCs w:val="20"/>
              </w:rPr>
              <w:t xml:space="preserve">[-0.1444, 0.1033]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0.9166</w:t>
            </w:r>
          </w:p>
        </w:tc>
        <w:tc>
          <w:tcPr>
            <w:tcW w:w="0" w:type="auto"/>
          </w:tcPr>
          <w:p>
            <w:pPr>
              <w:spacing w:line="240" w:lineRule="auto" w:before="0" w:after="0"/>
              <w:pStyle w:val="Compact"/>
            </w:pPr>
            <w:r>
              <w:rPr>
                <w:sz w:val="20"/>
                <w:szCs w:val="20"/>
              </w:rPr>
              <w:t xml:space="preserve">0.3594</w:t>
            </w:r>
          </w:p>
        </w:tc>
        <w:tc>
          <w:tcPr>
            <w:tcW w:w="0" w:type="auto"/>
          </w:tcPr>
          <w:p>
            <w:pPr>
              <w:spacing w:line="240" w:lineRule="auto" w:before="0" w:after="0"/>
              <w:pStyle w:val="Compact"/>
            </w:pPr>
            <w:r>
              <w:rPr>
                <w:sz w:val="20"/>
                <w:szCs w:val="20"/>
              </w:rPr>
              <w:t xml:space="preserve">[-0.0091, 0.0251]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-1.102</w:t>
            </w:r>
          </w:p>
        </w:tc>
        <w:tc>
          <w:tcPr>
            <w:tcW w:w="0" w:type="auto"/>
          </w:tcPr>
          <w:p>
            <w:pPr>
              <w:spacing w:line="240" w:lineRule="auto" w:before="0" w:after="0"/>
              <w:pStyle w:val="Compact"/>
            </w:pPr>
            <w:r>
              <w:rPr>
                <w:sz w:val="20"/>
                <w:szCs w:val="20"/>
              </w:rPr>
              <w:t xml:space="preserve">0.4748</w:t>
            </w:r>
          </w:p>
        </w:tc>
        <w:tc>
          <w:tcPr>
            <w:tcW w:w="0" w:type="auto"/>
          </w:tcPr>
          <w:p>
            <w:pPr>
              <w:spacing w:line="240" w:lineRule="auto" w:before="0" w:after="0"/>
              <w:pStyle w:val="Compact"/>
            </w:pPr>
            <w:r>
              <w:rPr>
                <w:sz w:val="20"/>
                <w:szCs w:val="20"/>
              </w:rPr>
              <w:t xml:space="preserve">-2.3207</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[-2.0327, -0.1713]</w:t>
            </w:r>
          </w:p>
        </w:tc>
      </w:tr>
    </w:tbl>
    <w:p>
      <w:pPr>
        <w:pStyle w:val="BodyText"/>
      </w:pPr>
      <w:r>
        <w:t xml:space="preserve">Fit: N = 30 R2 = 0.2395 R2_adj = 0.1517 F = 3.0604 F_p = 0.0459</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0" Target="https://doi.org/10.64861/LWLF6390" TargetMode="External" /><Relationship Type="http://schemas.openxmlformats.org/officeDocument/2006/relationships/hyperlink" Id="rId72" Target="https://doi.org/10.64861/UELE5506" TargetMode="External" /><Relationship Type="http://schemas.openxmlformats.org/officeDocument/2006/relationships/hyperlink" Id="rId75" Target="https://doi.org/10.64861/XTTV6756"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LWLF6390" TargetMode="External" /><Relationship Type="http://schemas.openxmlformats.org/officeDocument/2006/relationships/hyperlink" Id="rId72" Target="https://doi.org/10.64861/UELE5506" TargetMode="External" /><Relationship Type="http://schemas.openxmlformats.org/officeDocument/2006/relationships/hyperlink" Id="rId75" Target="https://doi.org/10.64861/XTTV675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2026-06-28T19:48:17Z</dcterms:created>
  <dcterms:modified xsi:type="dcterms:W3CDTF">2026-06-28T19:48:17Z</dcterms:modified>
</cp:coreProperties>
</file>

<file path=docProps/custom.xml><?xml version="1.0" encoding="utf-8"?>
<Properties xmlns="http://schemas.openxmlformats.org/officeDocument/2006/custom-properties" xmlns:vt="http://schemas.openxmlformats.org/officeDocument/2006/docPropsVTypes"/>
</file>