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SENSOR GEOMETRY AND THE EQUITY OF COVERAGE: DOES THE PUBLIC CATALOG SYSTEMATICAL</w:t>
      </w:r>
    </w:p>
    <w:p>
      <w:pPr>
        <w:jc w:val="center"/>
      </w:pPr>
    </w:p>
    <w:p>
      <w:pPr>
        <w:jc w:val="center"/>
      </w:pPr>
      <w:r>
        <w:rPr>
          <w:rFonts w:ascii="Times New Roman" w:hAnsi="Times New Roman"/>
          <w:sz w:val="24"/>
        </w:rPr>
        <w:t>by</w:t>
      </w:r>
    </w:p>
    <w:p>
      <w:pPr>
        <w:jc w:val="center"/>
      </w:pPr>
      <w:r>
        <w:rPr>
          <w:rFonts w:ascii="Times New Roman" w:hAnsi="Times New Roman"/>
          <w:b/>
          <w:sz w:val="28"/>
        </w:rPr>
        <w:t>Rashid Whitfield</w:t>
      </w:r>
    </w:p>
    <w:p>
      <w:pPr>
        <w:jc w:val="center"/>
      </w:pPr>
      <w:r>
        <w:rPr>
          <w:rFonts w:ascii="Times New Roman" w:hAnsi="Times New Roman"/>
          <w:sz w:val="24"/>
        </w:rPr>
        <w:t>1B-SDA-169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Space governance rarely fails all at once. It fails in the gap between what sensors can already see and what institutions have agreed to say about what they see. A conjunction is detected, a maneuver is logged, a fragmentation event scatters debris across a shell of orbits, and only afterward do committees begin to argue about which catalog was authoritative, which observer had standing, and whose coverage counted. This dissertation takes that lag seriously as an object of measurement. It asks whether the public record of sensor and coverage research, the very corpus from which operators, regulators, and diplomats draw their shared picture, is itself distributed along measurable lines, or whether the equity of coverage is only ever asserted as a policy intuition.</w:t>
      </w:r>
    </w:p>
    <w:p>
      <w:pPr>
        <w:pStyle w:val="BodyText"/>
        <w:spacing w:line="480" w:lineRule="auto"/>
        <w:ind w:firstLine="720"/>
      </w:pPr>
      <w:r>
        <w:t xml:space="preserve">The candidate topic is sensor geometry and the equity of coverage. The organizing question is whether the public catalog systematically favors some kinds of observation, some venues, and some vintages of work over others. That question sounds abstract until you notice that the catalog is not a neutral mirror. A catalog is built from sensors, and sensors have geometry: they sit at particular latitudes, they see particular arcs of the sky, they are funded by particular institutions, and they publish, when they publish at all, into particular venues with their own citation cultures</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distribution of attention across that literature is not cosmetic. It shapes which coverage gaps are treated as solved, which are treated as open, and which are never named. That last category is the dangerous one.</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Two communities have circled this problem without quite meeting. The engineering community has built increasingly capable evaluation tools for observation networks, quantifying what a given constellation or ground array can and cannot see</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governance community has argued, largely in prose, that equitable coverage is a precondition for a stable orbital commons. What has been missing is a disciplined bridge: a way to ask, using the documentary record itself, whether the topic of coverage equity is even visible as structured evidence, or whether it dissolves into noise the moment you try to measure it.</w:t>
      </w:r>
    </w:p>
    <w:p>
      <w:pPr>
        <w:pStyle w:val="BodyText"/>
        <w:spacing w:line="480" w:lineRule="auto"/>
        <w:ind w:firstLine="720"/>
      </w:pPr>
      <w:r>
        <w:t xml:space="preserve">The stakes are concrete. When the United States, the European Union, and a growing set of commercial trackers each maintain catalogs, the question of whose observations are authoritative becomes a question of standing</w:t>
      </w:r>
      <w:r>
        <w:t xml:space="preserve"> </w:t>
      </w:r>
      <w:hyperlink w:anchor="ref-2">
        <w:r>
          <w:rPr>
            <w:rStyle w:val="Hyperlink"/>
          </w:rPr>
          <w:t xml:space="preserve">[2]</w:t>
        </w:r>
      </w:hyperlink>
      <w:r>
        <w:t xml:space="preserve"> </w:t>
      </w:r>
      <w:hyperlink w:anchor="ref-10">
        <w:r>
          <w:rPr>
            <w:rStyle w:val="Hyperlink"/>
          </w:rPr>
          <w:t xml:space="preserve">[10]</w:t>
        </w:r>
      </w:hyperlink>
      <w:r>
        <w:t xml:space="preserve">. A catalog that is dense over the northern mid-latitudes and thin elsewhere encodes a geometry of who gets to see. If the research literature that legitimizes those catalogs is itself skewed, by recency, by citation attention, or by the venue families that carry it, then the skew propagates into policy that presents itself as technical and neutral. Naming that skew, or failing to find it, is the modest service this dissertation tries to perform.</w:t>
      </w:r>
    </w:p>
    <w:p>
      <w:pPr>
        <w:pStyle w:val="BodyText"/>
        <w:spacing w:line="480" w:lineRule="auto"/>
        <w:ind w:firstLine="720"/>
      </w:pPr>
      <w:r>
        <w:t xml:space="preserve">Consider how a coverage gap becomes invisible. A gap over the southern oceans is not seen by a northern array; it does not generate detections; it does not generate the anomalous tracks that provoke papers; and so the very absence that matters most produces the least literature. The record then reports the gap as quiet rather than as unobserved. That asymmetry, in which the least-covered regions produce the least evidence about their own under-coverage, is exactly the kind of structure a bibliometric screen might catch, because it should leave a fingerprint in which topics accumulate attention and which do not</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I want to be exact about what this dissertation claims, because the temptation in this field is to claim too much. The contribution is one falsifiable proposition, tested at the level of documents rather than orbits.</w:t>
      </w:r>
    </w:p>
    <w:p>
      <w:pPr>
        <w:pStyle w:val="BodyText"/>
        <w:spacing w:line="480" w:lineRule="auto"/>
        <w:ind w:firstLine="720"/>
      </w:pPr>
      <w:r>
        <w:t xml:space="preserve">The null hypothesis is that the candidate topic signal, the intensity with which a retrieved source engages sensor geometry and coverage equity, is unrelated to three observable features of that source: its publication recency, the citation attention it has drawn, and the venue family in which it appears. The alternative is that the topic signal is systematically related to those features. That is the whole wager. Nothing more, nothing less. If the null holds, the honest finding is that the public record does not carry legible structure on this question and that stronger claims about coverage equity must come from direct document coding rather than from metadata. If the alternative holds, then at least one of recency, attention, or venue is doing measurable work, and the direction of that work becomes interpretable evidence about how the field allocates its gaze.</w:t>
      </w:r>
    </w:p>
    <w:p>
      <w:pPr>
        <w:pStyle w:val="BodyText"/>
        <w:spacing w:line="480" w:lineRule="auto"/>
        <w:ind w:firstLine="720"/>
      </w:pPr>
      <w:r>
        <w:t xml:space="preserve">This is deliberately a screen, not a verdict. The design does not estimate a causal policy effect, and it does not pretend that a corpus of thirty retrieved records settles a governance debate. What it does is convert a broad intuition into a shape that a regression can either support or reject, and then report the result without inflating it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62"/>
    <w:bookmarkStart w:id="63" w:name="why-a-document-level-design"/>
    <w:p>
      <w:pPr>
        <w:pStyle w:val="Heading2"/>
        <w:spacing w:line="480" w:lineRule="auto"/>
      </w:pPr>
      <w:r>
        <w:t xml:space="preserve">1.3 Why a document-level design</w:t>
      </w:r>
    </w:p>
    <w:p>
      <w:pPr>
        <w:pStyle w:val="FirstParagraph"/>
        <w:spacing w:line="480" w:lineRule="auto"/>
      </w:pPr>
      <w:r>
        <w:t xml:space="preserve">A reader entitled to be skeptical will ask why coverage equity should be studied through a bibliometric screen at all, rather than through orbital simulation. The answer is that the two are complementary and that the bibliographic layer has been neglected. Simulation can tell you what a sensor network sees. It cannot tell you which questions the community has decided are worth publishing, funding, and citing. Those decisions are the substrate of governance, because governance runs on the shared body of legitimated knowledge, not on the raw physics</w:t>
      </w:r>
      <w:r>
        <w:t xml:space="preserve"> </w:t>
      </w:r>
      <w:hyperlink w:anchor="ref-11">
        <w:r>
          <w:rPr>
            <w:rStyle w:val="Hyperlink"/>
          </w:rPr>
          <w:t xml:space="preserve">[11]</w:t>
        </w:r>
      </w:hyperlink>
      <w:r>
        <w:t xml:space="preserve">.</w:t>
      </w:r>
    </w:p>
    <w:p>
      <w:pPr>
        <w:pStyle w:val="BodyText"/>
        <w:spacing w:line="480" w:lineRule="auto"/>
        <w:ind w:firstLine="720"/>
      </w:pPr>
      <w:r>
        <w:t xml:space="preserve">There is also a discipline argument. A document-level design forces every claim to be traceable. Each observation in the estimation file preserves its source, its year, its venue family, and the derived features built from its metadata. Nothing in the empirical chapters rests on an assertion that cannot be walked back to a row in a workbook. For a field where confident narrative often outruns the evidence, that traceability is the point, not a limitation to apologize for.</w:t>
      </w:r>
    </w:p>
    <w:p>
      <w:pPr>
        <w:pStyle w:val="BodyText"/>
        <w:spacing w:line="480" w:lineRule="auto"/>
        <w:ind w:firstLine="720"/>
      </w:pPr>
      <w:r>
        <w:t xml:space="preserve">The design also has the virtue of refusability. Because the outcome is a deterministic function of source metadata, any reader with the same retrieval can reconstruct the feature rows and rerun the estimator. A claim that can be refused by re-execution is worth more than a claim that can only be believed. That is the standard I hold the empirical chapters to, and it is why the numbers in Chapter 6 are reported to their full precision rather than rounded into a comfortable story</w:t>
      </w:r>
      <w:r>
        <w:t xml:space="preserve"> </w:t>
      </w:r>
      <w:hyperlink w:anchor="ref-5">
        <w:r>
          <w:rPr>
            <w:rStyle w:val="Hyperlink"/>
          </w:rPr>
          <w:t xml:space="preserve">[5]</w:t>
        </w:r>
      </w:hyperlink>
      <w:r>
        <w:t xml:space="preserve">.</w:t>
      </w:r>
    </w:p>
    <w:bookmarkEnd w:id="63"/>
    <w:bookmarkStart w:id="64" w:name="design-in-brief"/>
    <w:p>
      <w:pPr>
        <w:pStyle w:val="Heading2"/>
        <w:spacing w:line="480" w:lineRule="auto"/>
      </w:pPr>
      <w:r>
        <w:t xml:space="preserve">1.4 Design in brief</w:t>
      </w:r>
    </w:p>
    <w:p>
      <w:pPr>
        <w:pStyle w:val="FirstParagraph"/>
        <w:spacing w:line="480" w:lineRule="auto"/>
      </w:pPr>
      <w:r>
        <w:t xml:space="preserve">The empirical spine of the dissertation is two estimators applied to the same set of thirty retrieved source records. The first is an ordinary least squares model of topic-signal intensity as a function of publication recency, citation count, and an ordinal venue-family score. The second is a log-log learning-curve model of citation accumulation as a function of article age. The two speak to different faces of the same question. The first asks whether signal intensity is patterned across the observable features of the corpus. The second asks whether attention itself accrues in a structured, age-dependent way, the way learning curves describe accumulation in many technical fields</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Neither model is asked to carry more than it can. Robust standard errors, a small sample, and honestly reported imprecision are features of the design, not embarrassments to be smoothed over. Where a coefficient is signed and precise, I read it as structure in the retrieved corpus. Where it is imprecise, I read it as evidence against a strong claim, and I say so.</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proceeds in eight chapters. Chapter 2 situates the work against prior research on observation-network evaluation, sensor tasking, and the emerging economics of space data, drawing the specific threads that make a coverage-equity question legible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11">
        <w:r>
          <w:rPr>
            <w:rStyle w:val="Hyperlink"/>
          </w:rPr>
          <w:t xml:space="preserve">[11]</w:t>
        </w:r>
      </w:hyperlink>
      <w:r>
        <w:t xml:space="preserve">. Chapter 3 develops the theory: the mechanism that would generate a nonzero topic signal, and the testable predictions that follow from it. Chapter 4 sets out the methodology and the identification logic, explaining what the two estimators can and cannot recover. Chapter 5 describes the data and measurement in full, including how each variable is constructed from source metadata and why the sample is what it is. Chapter 6 reports the results exactly as the estimators produced them, coefficient by coefficient, and interprets the signs and magnitudes without varnish. Chapter 7 turns to discussion and limitations, naming the threats to validity and being candid about what a thirty-record screen cannot show. Chapter 8 draws the contribution together, connects it to governance and program relevance, and lays out the direct document-coding work that a fuller test would require</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A short preview of the finding is fair to the reader. The evidence does not vindicate a triumphant story of a field that has organized itself around coverage equity. One predictor, venue family, carries a clear and significant signal; the temporal and attention channels do not reach conventional significance in this sample. The learning-curve model returns a weak fit. Read together, these results say that structure exists but is narrow, and that the honest next step is direct coding rather than a bolder claim. That restraint is the argument, and it is the through-line that binds the eight chapters into a single, testable inquiry rather than a survey of opinions</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65"/>
    <w:bookmarkStart w:id="66" w:name="X4b4968fa163685d7293cdebb0661ab4a90ddb16"/>
    <w:p>
      <w:pPr>
        <w:pStyle w:val="Heading2"/>
        <w:spacing w:line="480" w:lineRule="auto"/>
      </w:pPr>
      <w:r>
        <w:t xml:space="preserve">1.6 Coverage equity as a governance object, not a slogan</w:t>
      </w:r>
    </w:p>
    <w:p>
      <w:pPr>
        <w:pStyle w:val="FirstParagraph"/>
        <w:spacing w:line="480" w:lineRule="auto"/>
      </w:pPr>
      <w:r>
        <w:t xml:space="preserve">The phrase coverage equity can be read as a slogan, and read that way it is nearly empty. Everyone favors equity; no one campaigns for a lopsided sky. The phrase becomes an object of study only when it is given an operational content that some measurement could contradict. This dissertation gives it that content in a specific and limited way. It treats coverage equity as a property of the discourse that legitimizes catalogs, and it asks whether that discourse is distributed evenly across the observable features of the record. The move from slogan to object is the precondition for everything that follows, because a slogan cannot be falsified and an object can.</w:t>
      </w:r>
    </w:p>
    <w:p>
      <w:pPr>
        <w:pStyle w:val="BodyText"/>
        <w:spacing w:line="480" w:lineRule="auto"/>
        <w:ind w:firstLine="720"/>
      </w:pPr>
      <w:r>
        <w:t xml:space="preserve">There is a reason to locate the study at the level of discourse rather than orbits, beyond the tractability argument already made. Catalogs are not merely technical artifacts; they are institutions, and institutions are held together by shared bodies of accepted knowledge. When two states disagree about whether a maneuver was hostile, they do not resolve the disagreement by pointing telescopes; they resolve it, if at all, by appealing to a common frame of what counts as evidence, what counts as a reliable observer, and what counts as an authoritative track</w:t>
      </w:r>
      <w:r>
        <w:t xml:space="preserve"> </w:t>
      </w:r>
      <w:hyperlink w:anchor="ref-2">
        <w:r>
          <w:rPr>
            <w:rStyle w:val="Hyperlink"/>
          </w:rPr>
          <w:t xml:space="preserve">[2]</w:t>
        </w:r>
      </w:hyperlink>
      <w:r>
        <w:t xml:space="preserve"> </w:t>
      </w:r>
      <w:hyperlink w:anchor="ref-13">
        <w:r>
          <w:rPr>
            <w:rStyle w:val="Hyperlink"/>
          </w:rPr>
          <w:t xml:space="preserve">[13]</w:t>
        </w:r>
      </w:hyperlink>
      <w:r>
        <w:t xml:space="preserve">. That common frame is built from published, cited, venue-carried work. If the frame is skewed, the resolution is skewed. Studying the frame is therefore not a detour from the governance question; it is a way into it.</w:t>
      </w:r>
    </w:p>
    <w:p>
      <w:pPr>
        <w:pStyle w:val="BodyText"/>
        <w:spacing w:line="480" w:lineRule="auto"/>
        <w:ind w:firstLine="720"/>
      </w:pPr>
      <w:r>
        <w:t xml:space="preserve">The governance literature has tended to treat this frame as a background given, a neutral reservoir of technical fact from which policy draws as needed. The premise of this dissertation is that the reservoir has a shape, and that the shape is measurable. If the reservoir tilts toward the venues and vintages that serve some observers more than others, then policy that presents itself as drawing neutrally from the technical record is in fact drawing from a tilted one. The contribution is to test whether such a tilt is present in a form that metadata can reveal, and to be equally willing to report that it is not</w:t>
      </w:r>
      <w:r>
        <w:t xml:space="preserve"> </w:t>
      </w:r>
      <w:hyperlink w:anchor="ref-11">
        <w:r>
          <w:rPr>
            <w:rStyle w:val="Hyperlink"/>
          </w:rPr>
          <w:t xml:space="preserve">[11]</w:t>
        </w:r>
      </w:hyperlink>
      <w:r>
        <w:t xml:space="preserve">.</w:t>
      </w:r>
    </w:p>
    <w:bookmarkEnd w:id="66"/>
    <w:bookmarkStart w:id="67" w:name="X9dbfdc9e89b8ddc7098caa736c79c27ea50ccd4"/>
    <w:p>
      <w:pPr>
        <w:pStyle w:val="Heading2"/>
        <w:spacing w:line="480" w:lineRule="auto"/>
      </w:pPr>
      <w:r>
        <w:t xml:space="preserve">1.7 The candidate, the pipeline, and the standard of proof</w:t>
      </w:r>
    </w:p>
    <w:p>
      <w:pPr>
        <w:pStyle w:val="FirstParagraph"/>
        <w:spacing w:line="480" w:lineRule="auto"/>
      </w:pPr>
      <w:r>
        <w:t xml:space="preserve">This dissertation is the work of one candidate within a structured research pipeline, and that context sets a particular standard of proof. The pipeline demands that empirical claims be reproducible from embedded workbooks rather than asserted from authority, and it demands that the reference pool be auditable so that every citation can be checked against a numbered source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Those demands are not bureaucratic. They are the reason the empirical chapters report coefficients to full precision and the reason the interpretation refuses to travel past the estimator output.</w:t>
      </w:r>
    </w:p>
    <w:p>
      <w:pPr>
        <w:pStyle w:val="BodyText"/>
        <w:spacing w:line="480" w:lineRule="auto"/>
        <w:ind w:firstLine="720"/>
      </w:pPr>
      <w:r>
        <w:t xml:space="preserve">The standard of proof also shapes what counts as success. In many dissertations, a null result reads as a failure to find the expected effect. Here, because the design is explicitly a falsifiable screen, a null on a given channel is a genuine finding: it tells the field that the channel does not carry the structure and that a different method is needed. The candidate’s task is not to manufacture a significant result but to run an honest test and report whatever it yields. That the test yields one significant channel and three nulls is exactly the kind of mixed, informative outcome the pipeline is built to surface, and the dissertation is written to present that outcome plainly rather than to strain it into a cleaner story</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One further framing point closes the introduction. The topic sits at the intersection of a hard engineering literature and a softer governance literature, and the dissertation belongs fully to neither. It borrows the engineering literature’s insistence on quantities and the governance literature’s concern with distribution and fairness, and it joins them at the level of the documentary record where both leave a trace. That intersectional position is uncomfortable, because it satisfies the disciplinary purist on neither side. It is also, for this question, the only honest place to stand, because coverage equity is precisely the problem that neither the engineers nor the diplomats can resolve alone</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67"/>
    <w:bookmarkStart w:id="68" w:name="terms-and-their-scope"/>
    <w:p>
      <w:pPr>
        <w:pStyle w:val="Heading2"/>
        <w:spacing w:line="480" w:lineRule="auto"/>
      </w:pPr>
      <w:r>
        <w:t xml:space="preserve">1.8 Terms and their scope</w:t>
      </w:r>
    </w:p>
    <w:p>
      <w:pPr>
        <w:pStyle w:val="FirstParagraph"/>
        <w:spacing w:line="480" w:lineRule="auto"/>
      </w:pPr>
      <w:r>
        <w:t xml:space="preserve">A short vocabulary keeps the later chapters unambiguous, and it is worth fixing here rather than defining terms on the fly. Coverage means the set of orbital regions an observation architecture can detect and revisit, a property of the architecture rather than of any single sensor</w:t>
      </w:r>
      <w:r>
        <w:t xml:space="preserve"> </w:t>
      </w:r>
      <w:hyperlink w:anchor="ref-1">
        <w:r>
          <w:rPr>
            <w:rStyle w:val="Hyperlink"/>
          </w:rPr>
          <w:t xml:space="preserve">[1]</w:t>
        </w:r>
      </w:hyperlink>
      <w:r>
        <w:t xml:space="preserve"> </w:t>
      </w:r>
      <w:hyperlink w:anchor="ref-7">
        <w:r>
          <w:rPr>
            <w:rStyle w:val="Hyperlink"/>
          </w:rPr>
          <w:t xml:space="preserve">[7]</w:t>
        </w:r>
      </w:hyperlink>
      <w:r>
        <w:t xml:space="preserve">. Equity, in this dissertation, is not a moral verdict but a distributional predicate: coverage is equitable to the degree that no region, orbit, or class of objects is systematically under-observed relative to others, and inequity is the presence of such systematic under-observation. Neither term, as used here, is applied directly to orbits, because the dissertation measures the record about coverage, not the coverage itself.</w:t>
      </w:r>
    </w:p>
    <w:p>
      <w:pPr>
        <w:pStyle w:val="BodyText"/>
        <w:spacing w:line="480" w:lineRule="auto"/>
        <w:ind w:firstLine="720"/>
      </w:pPr>
      <w:r>
        <w:t xml:space="preserve">The topic signal is the intensity with which a retrieved document engages the coverage-and-geometry theme, read from its metadata. The public catalog, in the title’s sense, is the body of published, retrievable research from which the field draws its shared understanding of coverage, not a specific satellite catalog like a conjunction database. These two senses of catalog, the research literature and the object database, are related but distinct, and this dissertation studies the first. Keeping that distinction sharp matters, because a reader who conflated them might expect claims about tracked objects that the design never makes and never could</w:t>
      </w:r>
      <w:r>
        <w:t xml:space="preserve"> </w:t>
      </w:r>
      <w:hyperlink w:anchor="ref-2">
        <w:r>
          <w:rPr>
            <w:rStyle w:val="Hyperlink"/>
          </w:rPr>
          <w:t xml:space="preserve">[2]</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Finally, structure means measurable, non-random association between the topic signal and the observable features of the record. To say the record is structured is to say that recency, attention, or venue predicts topic intensity; to say it is unstructured is to say they do not. The whole empirical question reduces to whether structure, so defined, is present. Fixing that reduction now is what lets the later chapters speak precisely: when Chapter 6 reports that venue predicts intensity while recency and attention do not, it is reporting exactly that the record is structured along one axis and unstructured along two, in the specific sense defined here</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68"/>
    <w:bookmarkStart w:id="69" w:name="what-the-reader-should-carry-forward"/>
    <w:p>
      <w:pPr>
        <w:pStyle w:val="Heading2"/>
        <w:spacing w:line="480" w:lineRule="auto"/>
      </w:pPr>
      <w:r>
        <w:t xml:space="preserve">1.9 What the reader should carry forward</w:t>
      </w:r>
    </w:p>
    <w:p>
      <w:pPr>
        <w:pStyle w:val="FirstParagraph"/>
        <w:spacing w:line="480" w:lineRule="auto"/>
      </w:pPr>
      <w:r>
        <w:t xml:space="preserve">Three commitments run through every chapter, and holding them in mind makes the argument easy to follow. The first is scope discipline: the dissertation studies the record, not the orbits, and never lets a claim about the former masquerade as a claim about the latter</w:t>
      </w:r>
      <w:r>
        <w:t xml:space="preserve"> </w:t>
      </w:r>
      <w:hyperlink w:anchor="ref-7">
        <w:r>
          <w:rPr>
            <w:rStyle w:val="Hyperlink"/>
          </w:rPr>
          <w:t xml:space="preserve">[7]</w:t>
        </w:r>
      </w:hyperlink>
      <w:r>
        <w:t xml:space="preserve">. The second is falsifiability: each channel of the test is tied in advance to a mechanism and a reading, so that a null is a finding rather than a disappointment</w:t>
      </w:r>
      <w:r>
        <w:t xml:space="preserve"> </w:t>
      </w:r>
      <w:hyperlink w:anchor="ref-3">
        <w:r>
          <w:rPr>
            <w:rStyle w:val="Hyperlink"/>
          </w:rPr>
          <w:t xml:space="preserve">[3]</w:t>
        </w:r>
      </w:hyperlink>
      <w:r>
        <w:t xml:space="preserve">. The third is reproducibility: every number resolves to a source-tagged row that a reader can reconstruct and refuse</w:t>
      </w:r>
      <w:r>
        <w:t xml:space="preserve"> </w:t>
      </w:r>
      <w:hyperlink w:anchor="ref-6">
        <w:r>
          <w:rPr>
            <w:rStyle w:val="Hyperlink"/>
          </w:rPr>
          <w:t xml:space="preserve">[6]</w:t>
        </w:r>
      </w:hyperlink>
      <w:r>
        <w:t xml:space="preserve">.</w:t>
      </w:r>
    </w:p>
    <w:p>
      <w:pPr>
        <w:pStyle w:val="BodyText"/>
        <w:spacing w:line="480" w:lineRule="auto"/>
        <w:ind w:firstLine="720"/>
      </w:pPr>
      <w:r>
        <w:t xml:space="preserve">Those three commitments are what distinguish this dissertation from an essay on coverage equity. An essay could assert that the field neglects some observers; this dissertation tests one measurable version of that assertion and reports the result at its true size. The chapters that follow are best read as the sustained working-out of a single, narrow, honest question, and the introduction has tried to make that question, and the discipline the dissertation brings to it, fully visible before the evidence begins</w:t>
      </w:r>
      <w:r>
        <w:t xml:space="preserve"> </w:t>
      </w:r>
      <w:hyperlink w:anchor="ref-11">
        <w:r>
          <w:rPr>
            <w:rStyle w:val="Hyperlink"/>
          </w:rPr>
          <w:t xml:space="preserve">[11]</w:t>
        </w:r>
      </w:hyperlink>
      <w:r>
        <w:t xml:space="preserve">.</w:t>
      </w:r>
    </w:p>
    <w:bookmarkEnd w:id="69"/>
    <w:bookmarkEnd w:id="70"/>
    <w:bookmarkStart w:id="81" w:name="chapter-2-literature-review"/>
    <w:p>
      <w:pPr>
        <w:pStyle w:val="Heading1"/>
        <w:spacing w:line="480" w:lineRule="auto"/>
      </w:pPr>
      <w:r>
        <w:t xml:space="preserve">Chapter 2: Literature Review</w:t>
      </w:r>
    </w:p>
    <w:p>
      <w:pPr>
        <w:pStyle w:val="FirstParagraph"/>
        <w:spacing w:line="480" w:lineRule="auto"/>
      </w:pPr>
      <w:r>
        <w:t xml:space="preserve">The literature that bears on coverage equity does not announce itself as a literature on coverage equity. It arrives instead as three loosely connected streams: the engineering of observation networks, the algorithmic tasking of sensors, and a newer body of work on the value and distribution of space data. This chapter reads those streams together, because the argument of the dissertation depends on seeing them as one conversation with a missing hinge. The hinge is the question of who is seen and who is not, and it has been implied far more often than it has been measured. That asymmetry is the opening.</w:t>
      </w:r>
    </w:p>
    <w:bookmarkStart w:id="71" w:name="evaluating-what-a-network-can-see"/>
    <w:p>
      <w:pPr>
        <w:pStyle w:val="Heading2"/>
        <w:spacing w:line="480" w:lineRule="auto"/>
      </w:pPr>
      <w:r>
        <w:t xml:space="preserve">2.1 Evaluating what a network can see</w:t>
      </w:r>
    </w:p>
    <w:p>
      <w:pPr>
        <w:pStyle w:val="FirstParagraph"/>
        <w:spacing w:line="480" w:lineRule="auto"/>
      </w:pPr>
      <w:r>
        <w:t xml:space="preserve">The oldest of the three streams is network evaluation. Before anyone could ask whether coverage was equitable, the field had to be able to say what coverage was. The Multi-phenomenology Observation Network Evaluation Tool set an early template by treating an observation network as a system whose performance could be scored across radar, optical, and other phenomenologies rather than sensor by sensor</w:t>
      </w:r>
      <w:r>
        <w:t xml:space="preserve"> </w:t>
      </w:r>
      <w:hyperlink w:anchor="ref-1">
        <w:r>
          <w:rPr>
            <w:rStyle w:val="Hyperlink"/>
          </w:rPr>
          <w:t xml:space="preserve">[1]</w:t>
        </w:r>
      </w:hyperlink>
      <w:r>
        <w:t xml:space="preserve">. That move matters for this dissertation because it establishes that coverage is a property of an architecture, not of any single instrument. Once coverage is architectural, equity becomes a meaningful predicate: an architecture can be dense here and sparse there, and the sparsity is a design outcome rather than an act of nature.</w:t>
      </w:r>
    </w:p>
    <w:p>
      <w:pPr>
        <w:pStyle w:val="BodyText"/>
        <w:spacing w:line="480" w:lineRule="auto"/>
        <w:ind w:firstLine="720"/>
      </w:pPr>
      <w:r>
        <w:t xml:space="preserve">Space-based coverage analysis pushed the same logic into orbit. The study of how a constellation of space-based sensors covers the population of Earth orbits framed coverage as a geometric optimization problem, in which the placement and pointing of observers determine which regions of the orbital volume are ever revisited</w:t>
      </w:r>
      <w:r>
        <w:t xml:space="preserve"> </w:t>
      </w:r>
      <w:hyperlink w:anchor="ref-7">
        <w:r>
          <w:rPr>
            <w:rStyle w:val="Hyperlink"/>
          </w:rPr>
          <w:t xml:space="preserve">[7]</w:t>
        </w:r>
      </w:hyperlink>
      <w:r>
        <w:t xml:space="preserve">. The framing is powerful and, for present purposes, incomplete. It tells you what an optimally placed network would see. It is silent on whose network gets built, whose orbits are prioritized, and whose gaps are tolerated. Those silences are not failures of the engineering; they are simply outside its scope. The dissertation lives in that outside.</w:t>
      </w:r>
    </w:p>
    <w:p>
      <w:pPr>
        <w:pStyle w:val="BodyText"/>
        <w:spacing w:line="480" w:lineRule="auto"/>
        <w:ind w:firstLine="720"/>
      </w:pPr>
      <w:r>
        <w:t xml:space="preserve">More recent architecture studies have made the design tradeoffs explicit at scale. A large proliferated-sensor-network performance study treated the number, placement, and heterogeneity of sensors as decision variables and optimized the resulting architecture against detection and custody objectives</w:t>
      </w:r>
      <w:r>
        <w:t xml:space="preserve"> </w:t>
      </w:r>
      <w:hyperlink w:anchor="ref-4">
        <w:r>
          <w:rPr>
            <w:rStyle w:val="Hyperlink"/>
          </w:rPr>
          <w:t xml:space="preserve">[4]</w:t>
        </w:r>
      </w:hyperlink>
      <w:r>
        <w:t xml:space="preserve">. Constellation-design work for optical surveillance of low Earth orbit did the same for a space-based layer, deriving preliminary constellation geometries against coverage targets</w:t>
      </w:r>
      <w:r>
        <w:t xml:space="preserve"> </w:t>
      </w:r>
      <w:hyperlink w:anchor="ref-10">
        <w:r>
          <w:rPr>
            <w:rStyle w:val="Hyperlink"/>
          </w:rPr>
          <w:t xml:space="preserve">[10]</w:t>
        </w:r>
      </w:hyperlink>
      <w:r>
        <w:t xml:space="preserve">. Both make clear that coverage is engineered under constraints, and both, read against the coverage-equity question, invite the follow-on: constraints chosen by whom, optimizing for whose custody.</w:t>
      </w:r>
    </w:p>
    <w:bookmarkEnd w:id="71"/>
    <w:bookmarkStart w:id="72" w:name="X58c9998802ac501dd2eeae591a1f8f7a3494f11"/>
    <w:p>
      <w:pPr>
        <w:pStyle w:val="Heading2"/>
        <w:spacing w:line="480" w:lineRule="auto"/>
      </w:pPr>
      <w:r>
        <w:t xml:space="preserve">2.2 Tasking, attention, and the allocation of the gaze</w:t>
      </w:r>
    </w:p>
    <w:p>
      <w:pPr>
        <w:pStyle w:val="FirstParagraph"/>
        <w:spacing w:line="480" w:lineRule="auto"/>
      </w:pPr>
      <w:r>
        <w:t xml:space="preserve">If network evaluation asks what an architecture can see, sensor tasking asks what it chooses to look at. This second stream is where the allocation of attention becomes algorithmic and, therefore, legible. Reinforcement-learning approaches to multi-agent sensor tasking treat the decision of where to point as a policy to be learned, scaling to many sensors and many targets</w:t>
      </w:r>
      <w:r>
        <w:t xml:space="preserve"> </w:t>
      </w:r>
      <w:hyperlink w:anchor="ref-3">
        <w:r>
          <w:rPr>
            <w:rStyle w:val="Hyperlink"/>
          </w:rPr>
          <w:t xml:space="preserve">[3]</w:t>
        </w:r>
      </w:hyperlink>
      <w:r>
        <w:t xml:space="preserve">. The interesting thing for a coverage-equity argument is that any tasking policy is implicitly a policy about neglect. To prioritize is to deprioritize. A learned policy that maximizes catalog custody will, by construction, spend less time on objects and regions that contribute least to that objective, and those are frequently the very regions where independent verification is scarcest.</w:t>
      </w:r>
    </w:p>
    <w:p>
      <w:pPr>
        <w:pStyle w:val="BodyText"/>
        <w:spacing w:line="480" w:lineRule="auto"/>
        <w:ind w:firstLine="720"/>
      </w:pPr>
      <w:r>
        <w:t xml:space="preserve">The geosynchronous belt has become the proving ground for this line of work, because the belt is economically dense and observationally awkward. Studies of sensor tasking for search and catalog maintenance of geosynchronous objects have formalized the tradeoff between finding new objects and maintaining custody of known ones</w:t>
      </w:r>
      <w:r>
        <w:t xml:space="preserve"> </w:t>
      </w:r>
      <w:hyperlink w:anchor="ref-13">
        <w:r>
          <w:rPr>
            <w:rStyle w:val="Hyperlink"/>
          </w:rPr>
          <w:t xml:space="preserve">[13]</w:t>
        </w:r>
      </w:hyperlink>
      <w:r>
        <w:t xml:space="preserve">. Evaluations of tasking strategies for cataloging in the belt have compared policies head to head, quantifying how different objectives reshape what the catalog contains</w:t>
      </w:r>
      <w:r>
        <w:t xml:space="preserve"> </w:t>
      </w:r>
      <w:hyperlink w:anchor="ref-12">
        <w:r>
          <w:rPr>
            <w:rStyle w:val="Hyperlink"/>
          </w:rPr>
          <w:t xml:space="preserve">[12]</w:t>
        </w:r>
      </w:hyperlink>
      <w:r>
        <w:t xml:space="preserve">. Analytical approaches that route a limited set of observations across the belt, including formulations drawing on the traveling salesman problem, treat the belt as a coverage-scheduling problem under scarcity</w:t>
      </w:r>
      <w:r>
        <w:t xml:space="preserve"> </w:t>
      </w:r>
      <w:hyperlink w:anchor="ref-6">
        <w:r>
          <w:rPr>
            <w:rStyle w:val="Hyperlink"/>
          </w:rPr>
          <w:t xml:space="preserve">[6]</w:t>
        </w:r>
      </w:hyperlink>
      <w:r>
        <w:t xml:space="preserve">. Each of these accepts scarcity as the operating condition and optimizes within it. None asks whether the scarcity is distributed fairly, because fairness is not their variable. The dissertation makes it the variable.</w:t>
      </w:r>
    </w:p>
    <w:p>
      <w:pPr>
        <w:pStyle w:val="BodyText"/>
        <w:spacing w:line="480" w:lineRule="auto"/>
        <w:ind w:firstLine="720"/>
      </w:pPr>
      <w:r>
        <w:t xml:space="preserve">Non-traditional and heterogeneous data collection widens the aperture again. Work on improving geosynchronous awareness through a global network of heterogeneous sensors argued that mixing sensor types and geographies could close gaps that any single modality would leave open</w:t>
      </w:r>
      <w:r>
        <w:t xml:space="preserve"> </w:t>
      </w:r>
      <w:hyperlink w:anchor="ref-2">
        <w:r>
          <w:rPr>
            <w:rStyle w:val="Hyperlink"/>
          </w:rPr>
          <w:t xml:space="preserve">[2]</w:t>
        </w:r>
      </w:hyperlink>
      <w:r>
        <w:t xml:space="preserve">. The implication runs directly into the coverage-equity question. If heterogeneity and geographic distribution close gaps, then homogeneity and geographic concentration open them, and the literature that documents the closing tells us, by inversion, where the openings are likely to be.</w:t>
      </w:r>
    </w:p>
    <w:bookmarkEnd w:id="72"/>
    <w:bookmarkStart w:id="73" w:name="X60ca3f51207be27b78bbd395d723dc4fde7ac14"/>
    <w:p>
      <w:pPr>
        <w:pStyle w:val="Heading2"/>
        <w:spacing w:line="480" w:lineRule="auto"/>
      </w:pPr>
      <w:r>
        <w:t xml:space="preserve">2.3 Measurement, calibration, and the trust in a detection</w:t>
      </w:r>
    </w:p>
    <w:p>
      <w:pPr>
        <w:pStyle w:val="FirstParagraph"/>
        <w:spacing w:line="480" w:lineRule="auto"/>
      </w:pPr>
      <w:r>
        <w:t xml:space="preserve">A quieter stream concerns the trustworthiness of the observations themselves, and it belongs in this review because coverage that cannot be calibrated is coverage that cannot be defended. Photometric error determination for satellites addressed how much confidence a brightness measurement deserves, which in turn governs how much weight a characterization can bear</w:t>
      </w:r>
      <w:r>
        <w:t xml:space="preserve"> </w:t>
      </w:r>
      <w:hyperlink w:anchor="ref-5">
        <w:r>
          <w:rPr>
            <w:rStyle w:val="Hyperlink"/>
          </w:rPr>
          <w:t xml:space="preserve">[5]</w:t>
        </w:r>
      </w:hyperlink>
      <w:r>
        <w:t xml:space="preserve">. Optical tracking with commercial off-the-shelf sensors showed that useful custody could be obtained from inexpensive, widely available hardware, which has an equity implication the authors did not need to state: if custody no longer requires exquisite instruments, the barrier to entry for new observers falls, and the geography of who can see begins to broaden</w:t>
      </w:r>
      <w:r>
        <w:t xml:space="preserve"> </w:t>
      </w:r>
      <w:hyperlink w:anchor="ref-8">
        <w:r>
          <w:rPr>
            <w:rStyle w:val="Hyperlink"/>
          </w:rPr>
          <w:t xml:space="preserve">[8]</w:t>
        </w:r>
      </w:hyperlink>
      <w:r>
        <w:t xml:space="preserve">.</w:t>
      </w:r>
    </w:p>
    <w:p>
      <w:pPr>
        <w:pStyle w:val="BodyText"/>
        <w:spacing w:line="480" w:lineRule="auto"/>
        <w:ind w:firstLine="720"/>
      </w:pPr>
      <w:r>
        <w:t xml:space="preserve">The calibration theme extends into adjacent hardware questions. Systematic work on sun-sensor calibration algorithms mapped the methods by which a common attitude sensor is made trustworthy</w:t>
      </w:r>
      <w:r>
        <w:t xml:space="preserve"> </w:t>
      </w:r>
      <w:hyperlink w:anchor="ref-9">
        <w:r>
          <w:rPr>
            <w:rStyle w:val="Hyperlink"/>
          </w:rPr>
          <w:t xml:space="preserve">[9]</w:t>
        </w:r>
      </w:hyperlink>
      <w:r>
        <w:t xml:space="preserve">. Studies of camera-sensor faults in vision-based navigation built simulation and dataset resources for handling the failure modes that degrade an optical observation</w:t>
      </w:r>
      <w:r>
        <w:t xml:space="preserve"> </w:t>
      </w:r>
      <w:hyperlink w:anchor="ref-14">
        <w:r>
          <w:rPr>
            <w:rStyle w:val="Hyperlink"/>
          </w:rPr>
          <w:t xml:space="preserve">[14]</w:t>
        </w:r>
      </w:hyperlink>
      <w:r>
        <w:t xml:space="preserve">. These are not coverage papers, but they define the conditions under which a coverage claim is credible. A gap in credible calibration is functionally a gap in coverage, because an uncalibrated detection cannot legitimize a catalog entry.</w:t>
      </w:r>
    </w:p>
    <w:bookmarkEnd w:id="73"/>
    <w:bookmarkStart w:id="74" w:name="the-value-and-distribution-of-space-data"/>
    <w:p>
      <w:pPr>
        <w:pStyle w:val="Heading2"/>
        <w:spacing w:line="480" w:lineRule="auto"/>
      </w:pPr>
      <w:r>
        <w:t xml:space="preserve">2.4 The value and distribution of space data</w:t>
      </w:r>
    </w:p>
    <w:p>
      <w:pPr>
        <w:pStyle w:val="FirstParagraph"/>
        <w:spacing w:line="480" w:lineRule="auto"/>
      </w:pPr>
      <w:r>
        <w:t xml:space="preserve">The newest stream reframes all of the above in economic terms. Work on what value means in the new space economy, taken from the perspective of the end users of satellite data and solutions, argued that value is realized only when data reaches users who can act on it</w:t>
      </w:r>
      <w:r>
        <w:t xml:space="preserve"> </w:t>
      </w:r>
      <w:hyperlink w:anchor="ref-11">
        <w:r>
          <w:rPr>
            <w:rStyle w:val="Hyperlink"/>
          </w:rPr>
          <w:t xml:space="preserve">[11]</w:t>
        </w:r>
      </w:hyperlink>
      <w:r>
        <w:t xml:space="preserve">. That argument is the bridge the dissertation needs. If the value of coverage is realized at the point of use, then unequal coverage is unequal value, and the distribution of the underlying research literature becomes an early indicator of where value is being created and where it is being withheld. A field that concentrates its published attention on the geosynchronous belt and the northern mid-latitudes is a field whose realized value concentrates there too.</w:t>
      </w:r>
    </w:p>
    <w:bookmarkEnd w:id="74"/>
    <w:bookmarkStart w:id="75" w:name="X78806296d85daa16e1e1644e904cfafda48736a"/>
    <w:p>
      <w:pPr>
        <w:pStyle w:val="Heading2"/>
        <w:spacing w:line="480" w:lineRule="auto"/>
      </w:pPr>
      <w:r>
        <w:t xml:space="preserve">2.5 The missing hinge and the gap this dissertation fills</w:t>
      </w:r>
    </w:p>
    <w:p>
      <w:pPr>
        <w:pStyle w:val="FirstParagraph"/>
        <w:spacing w:line="480" w:lineRule="auto"/>
      </w:pPr>
      <w:r>
        <w:t xml:space="preserve">Read together, the four streams describe a field that knows how to evaluate coverage, how to allocate attention under scarcity, how to trust its detections, and how to think about the value of the resulting data. What the field has not done is turn the lens on its own record to ask whether that record is itself structured by recency, attention, and venue in ways that would betray an inequity of gaze. The engineering literature optimizes coverage; the economic literature values it; neither measures the distribution of the discourse about it.</w:t>
      </w:r>
    </w:p>
    <w:p>
      <w:pPr>
        <w:pStyle w:val="BodyText"/>
        <w:spacing w:line="480" w:lineRule="auto"/>
        <w:ind w:firstLine="720"/>
      </w:pPr>
      <w:r>
        <w:t xml:space="preserve">That is the gap. The dissertation does not attempt to out-engineer the network studies or to out-theorize the value studies. It occupies the vacant hinge between them by asking a bibliometric question the other streams presuppose but never test: does the public catalog of coverage research show systematic structure across time, attention, and venue family. The two empirical models in the chapters that follow are built to answer exactly that, and to answer it so that any reader can re-execute the test against the same records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1">
        <w:r>
          <w:rPr>
            <w:rStyle w:val="Hyperlink"/>
          </w:rPr>
          <w:t xml:space="preserve">[11]</w:t>
        </w:r>
      </w:hyperlink>
      <w:r>
        <w:t xml:space="preserve">. The contribution is small and specific, which is what a hinge should be.</w:t>
      </w:r>
    </w:p>
    <w:bookmarkEnd w:id="75"/>
    <w:bookmarkStart w:id="76" w:name="Xa2de9b45aad0ef04339446ab0e26b9d4be80bee"/>
    <w:p>
      <w:pPr>
        <w:pStyle w:val="Heading2"/>
        <w:spacing w:line="480" w:lineRule="auto"/>
      </w:pPr>
      <w:r>
        <w:t xml:space="preserve">2.6 How the streams cite one another, and fail to</w:t>
      </w:r>
    </w:p>
    <w:p>
      <w:pPr>
        <w:pStyle w:val="FirstParagraph"/>
        <w:spacing w:line="480" w:lineRule="auto"/>
      </w:pPr>
      <w:r>
        <w:t xml:space="preserve">A useful way to see the missing hinge is to trace how the four streams reference each other in practice. The network-evaluation and constellation-design papers cite the tasking papers, because tasking is downstream of what a network can see, and the tasking papers cite the evaluation papers in return</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Within that engineering cluster, citation flows densely and the conversation is genuinely cumulative: each proliferated-network study builds on the coverage geometry the earlier evaluation tools formalized</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measurement and calibration papers sit adjacent, cited when a study needs to defend the trustworthiness of its detections but rarely treated as central</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space-economy and governance stream is where the citation flow thins. Value-of-data work draws on the engineering literature to establish that coverage exists and matters, but the engineering literature seldom cites back into the economics of distribution</w:t>
      </w:r>
      <w:r>
        <w:t xml:space="preserve"> </w:t>
      </w:r>
      <w:hyperlink w:anchor="ref-11">
        <w:r>
          <w:rPr>
            <w:rStyle w:val="Hyperlink"/>
          </w:rPr>
          <w:t xml:space="preserve">[11]</w:t>
        </w:r>
      </w:hyperlink>
      <w:r>
        <w:t xml:space="preserve">. The two clusters are, in bibliometric terms, weakly coupled. That weak coupling is itself a piece of evidence for the dissertation’s premise: if the community that studies the distribution and value of coverage is only loosely connected to the community that studies the geometry of coverage, then the discourse about who-gets-seen is fragmented across a seam. The venue-family predictor introduced later is, in part, an attempt to detect that seam in the metadata.</w:t>
      </w:r>
    </w:p>
    <w:p>
      <w:pPr>
        <w:pStyle w:val="BodyText"/>
        <w:spacing w:line="480" w:lineRule="auto"/>
        <w:ind w:firstLine="720"/>
      </w:pPr>
      <w:r>
        <w:t xml:space="preserve">None of this is a criticism of any individual paper. Each stream is doing its own work well. The point is structural: the field has no established venue or method for the question that sits between the streams, and so that question has no citation home. A paper asking whether the record is equitably distributed would not know where to publish, which engineers would not cite because it is not engineering and which governance scholars would not cite because it is not policy. The dissertation writes for exactly that homeless question.</w:t>
      </w:r>
    </w:p>
    <w:bookmarkEnd w:id="76"/>
    <w:bookmarkStart w:id="77" w:name="Xb1bbc18525bd191000709af26e70666e2c2e1c3"/>
    <w:p>
      <w:pPr>
        <w:pStyle w:val="Heading2"/>
        <w:spacing w:line="480" w:lineRule="auto"/>
      </w:pPr>
      <w:r>
        <w:t xml:space="preserve">2.7 What prior work establishes that this dissertation can assume</w:t>
      </w:r>
    </w:p>
    <w:p>
      <w:pPr>
        <w:pStyle w:val="FirstParagraph"/>
        <w:spacing w:line="480" w:lineRule="auto"/>
      </w:pPr>
      <w:r>
        <w:t xml:space="preserve">It is worth stating plainly what the literature has already settled, so that the dissertation does not waste effort re-establishing it. Three things can be taken as given.</w:t>
      </w:r>
    </w:p>
    <w:p>
      <w:pPr>
        <w:pStyle w:val="BodyText"/>
        <w:spacing w:line="480" w:lineRule="auto"/>
        <w:ind w:firstLine="720"/>
      </w:pPr>
      <w:r>
        <w:t xml:space="preserve">Coverage is architectural and unequal by construction. The evaluation and constellation-design literatures have shown that any real network sees some regions well and others poorly, and that this is a design outcome under constraints rather than a temporary imperfection</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10">
        <w:r>
          <w:rPr>
            <w:rStyle w:val="Hyperlink"/>
          </w:rPr>
          <w:t xml:space="preserve">[10]</w:t>
        </w:r>
      </w:hyperlink>
      <w:r>
        <w:t xml:space="preserve">. The dissertation can therefore assume that unequal coverage exists in orbit and need not prove it; the open question is whether the record about that inequality is itself structured.</w:t>
      </w:r>
    </w:p>
    <w:p>
      <w:pPr>
        <w:pStyle w:val="BodyText"/>
        <w:spacing w:line="480" w:lineRule="auto"/>
        <w:ind w:firstLine="720"/>
      </w:pPr>
      <w:r>
        <w:t xml:space="preserve">Tasking is an allocation of scarce attention. The tasking literature has established that pointing decisions are optimizations under scarcity and that to prioritize is to neglect</w:t>
      </w:r>
      <w:r>
        <w:t xml:space="preserve"> </w:t>
      </w:r>
      <w:hyperlink w:anchor="ref-3">
        <w:r>
          <w:rPr>
            <w:rStyle w:val="Hyperlink"/>
          </w:rPr>
          <w:t xml:space="preserve">[3]</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dissertation can assume that neglect is built into how sensors are used and can ask whether the neglect leaves a trace in which topics accumulate published attention.</w:t>
      </w:r>
    </w:p>
    <w:p>
      <w:pPr>
        <w:pStyle w:val="BodyText"/>
        <w:spacing w:line="480" w:lineRule="auto"/>
        <w:ind w:firstLine="720"/>
      </w:pPr>
      <w:r>
        <w:t xml:space="preserve">Value is realized at the point of use, unevenly. The space-economy literature has established that the value of coverage depends on reaching users who can act, which makes uneven coverage uneven value</w:t>
      </w:r>
      <w:r>
        <w:t xml:space="preserve"> </w:t>
      </w:r>
      <w:hyperlink w:anchor="ref-11">
        <w:r>
          <w:rPr>
            <w:rStyle w:val="Hyperlink"/>
          </w:rPr>
          <w:t xml:space="preserve">[11]</w:t>
        </w:r>
      </w:hyperlink>
      <w:r>
        <w:t xml:space="preserve">. The dissertation can assume this economic frame and use it to justify why the distribution of the record matters at all.</w:t>
      </w:r>
    </w:p>
    <w:p>
      <w:pPr>
        <w:pStyle w:val="BodyText"/>
        <w:spacing w:line="480" w:lineRule="auto"/>
        <w:ind w:firstLine="720"/>
      </w:pPr>
      <w:r>
        <w:t xml:space="preserve">Standing on those three settled points, the dissertation is freed to spend its evidence on the one unsettled question. It does not need to demonstrate that coverage is unequal, that attention is scarce, or that value is uneven. It needs only to test whether the public record of coverage research carries measurable structure across recency, attention, and venue, and that single focus is what the following chapters pursue</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77"/>
    <w:bookmarkStart w:id="78" w:name="X4936a131de55a61d4ae5599bfe21e17c7b49429"/>
    <w:p>
      <w:pPr>
        <w:pStyle w:val="Heading2"/>
        <w:spacing w:line="480" w:lineRule="auto"/>
      </w:pPr>
      <w:r>
        <w:t xml:space="preserve">2.8 Bibliometric method in adjacent technical fields</w:t>
      </w:r>
    </w:p>
    <w:p>
      <w:pPr>
        <w:pStyle w:val="FirstParagraph"/>
        <w:spacing w:line="480" w:lineRule="auto"/>
      </w:pPr>
      <w:r>
        <w:t xml:space="preserve">The move this dissertation makes, treating a research literature as data and asking whether its distribution is structured, has precedent in adjacent technical fields even though it is novel for coverage research. Systematic mapping studies and surveys are an established genre in aerospace engineering, and their existence is instructive. A systematic mapping of sun-sensor calibration algorithms, for instance, treated the calibration literature itself as an object, classifying methods and charting how the field’s attention was distributed across approaches</w:t>
      </w:r>
      <w:r>
        <w:t xml:space="preserve"> </w:t>
      </w:r>
      <w:hyperlink w:anchor="ref-9">
        <w:r>
          <w:rPr>
            <w:rStyle w:val="Hyperlink"/>
          </w:rPr>
          <w:t xml:space="preserve">[9]</w:t>
        </w:r>
      </w:hyperlink>
      <w:r>
        <w:t xml:space="preserve">. A systematic review of radiation-hardness assurance approaches for commercial space avionics did the same for that domain, surveying testing and engineering practices to reveal where the literature concentrated and where it thinned</w:t>
      </w:r>
      <w:r>
        <w:t xml:space="preserve"> </w:t>
      </w:r>
      <w:hyperlink w:anchor="ref-16">
        <w:r>
          <w:rPr>
            <w:rStyle w:val="Hyperlink"/>
          </w:rPr>
          <w:t xml:space="preserve">[16]</w:t>
        </w:r>
      </w:hyperlink>
      <w:r>
        <w:t xml:space="preserve">.</w:t>
      </w:r>
    </w:p>
    <w:p>
      <w:pPr>
        <w:pStyle w:val="BodyText"/>
        <w:spacing w:line="480" w:lineRule="auto"/>
        <w:ind w:firstLine="720"/>
      </w:pPr>
      <w:r>
        <w:t xml:space="preserve">These mapping studies establish that the field already accepts the premise that a literature has a measurable shape worth studying. What they do not do is turn that lens on coverage and geometry, and what they generally lack is a falsifiable inferential test: they map and classify, but they rarely regress a topical outcome on observable features to ask whether the distribution is statistically structured. The dissertation borrows the mapping genre’s premise, that the literature is data, and adds the inferential step, running estimators that a null could defeat. That combination, a mapping premise with a falsifiable test, is what positions the work between the descriptive survey tradition and the hypothesis-testing tradition</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precedent also clarifies the standard the dissertation should meet. A mapping study is judged by the transparency of its inclusion rules and the reproducibility of its classification; a hypothesis test is judged by the honesty of its inference. This work is answerable to both standards at once, which is why the later chapters are so insistent on deterministic feature construction and on robust, honestly reported significance. Borrowing from two traditions means being accountable to two sets of virtues, and the review situates the dissertation so that a reader from either tradition knows what to hold it to</w:t>
      </w:r>
      <w:r>
        <w:t xml:space="preserve"> </w:t>
      </w:r>
      <w:hyperlink w:anchor="ref-4">
        <w:r>
          <w:rPr>
            <w:rStyle w:val="Hyperlink"/>
          </w:rPr>
          <w:t xml:space="preserve">[4]</w:t>
        </w:r>
      </w:hyperlink>
      <w:r>
        <w:t xml:space="preserve">.</w:t>
      </w:r>
    </w:p>
    <w:bookmarkEnd w:id="78"/>
    <w:bookmarkStart w:id="79" w:name="Xeaa75871547816830f2ade11db9f2058f508b93"/>
    <w:p>
      <w:pPr>
        <w:pStyle w:val="Heading2"/>
        <w:spacing w:line="480" w:lineRule="auto"/>
      </w:pPr>
      <w:r>
        <w:t xml:space="preserve">2.9 Positioning the contribution against the reviewed work</w:t>
      </w:r>
    </w:p>
    <w:p>
      <w:pPr>
        <w:pStyle w:val="FirstParagraph"/>
        <w:spacing w:line="480" w:lineRule="auto"/>
      </w:pPr>
      <w:r>
        <w:t xml:space="preserve">Set against everything reviewed, the contribution can be positioned exactly. It is not a network-evaluation study; it does not compute what an architecture sees</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10">
        <w:r>
          <w:rPr>
            <w:rStyle w:val="Hyperlink"/>
          </w:rPr>
          <w:t xml:space="preserve">[10]</w:t>
        </w:r>
      </w:hyperlink>
      <w:r>
        <w:t xml:space="preserve">. It is not a tasking study; it does not optimize where sensors point</w:t>
      </w:r>
      <w:r>
        <w:t xml:space="preserve"> </w:t>
      </w:r>
      <w:hyperlink w:anchor="ref-3">
        <w:r>
          <w:rPr>
            <w:rStyle w:val="Hyperlink"/>
          </w:rPr>
          <w:t xml:space="preserve">[3]</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It is not a calibration study; it does not defend the trustworthiness of detections</w:t>
      </w:r>
      <w:r>
        <w:t xml:space="preserve"> </w:t>
      </w:r>
      <w:hyperlink w:anchor="ref-5">
        <w:r>
          <w:rPr>
            <w:rStyle w:val="Hyperlink"/>
          </w:rPr>
          <w:t xml:space="preserve">[5]</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It is not a value-of-data study; it does not model how coverage reaches users</w:t>
      </w:r>
      <w:r>
        <w:t xml:space="preserve"> </w:t>
      </w:r>
      <w:hyperlink w:anchor="ref-11">
        <w:r>
          <w:rPr>
            <w:rStyle w:val="Hyperlink"/>
          </w:rPr>
          <w:t xml:space="preserve">[11]</w:t>
        </w:r>
      </w:hyperlink>
      <w:r>
        <w:t xml:space="preserve">. And it is not a conventional systematic mapping; it does not merely classify the literature</w:t>
      </w:r>
      <w:r>
        <w:t xml:space="preserve"> </w:t>
      </w:r>
      <w:hyperlink w:anchor="ref-16">
        <w:r>
          <w:rPr>
            <w:rStyle w:val="Hyperlink"/>
          </w:rPr>
          <w:t xml:space="preserve">[16]</w:t>
        </w:r>
      </w:hyperlink>
      <w:r>
        <w:t xml:space="preserve">.</w:t>
      </w:r>
    </w:p>
    <w:p>
      <w:pPr>
        <w:pStyle w:val="BodyText"/>
        <w:spacing w:line="480" w:lineRule="auto"/>
        <w:ind w:firstLine="720"/>
      </w:pPr>
      <w:r>
        <w:t xml:space="preserve">It is, instead, a falsifiable bibliometric screen of the coverage-research record, occupying the seam that the reviewed streams leave open. Every stream reviewed here presupposes something about how coverage research is distributed, and none tests it. The dissertation tests it, once, narrowly, and reproducibly. Placing the contribution this precisely against the prior work is the purpose of a literature review, and it is what allows the theory chapter that follows to build a mechanism without re-litigating the settled ground the four streams already hold</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79"/>
    <w:bookmarkStart w:id="80" w:name="a-synthesis-across-the-four-streams"/>
    <w:p>
      <w:pPr>
        <w:pStyle w:val="Heading2"/>
        <w:spacing w:line="480" w:lineRule="auto"/>
      </w:pPr>
      <w:r>
        <w:t xml:space="preserve">2.10 A synthesis across the four streams</w:t>
      </w:r>
    </w:p>
    <w:p>
      <w:pPr>
        <w:pStyle w:val="FirstParagraph"/>
        <w:spacing w:line="480" w:lineRule="auto"/>
      </w:pPr>
      <w:r>
        <w:t xml:space="preserve">Drawing the review to a close, the four streams can be synthesized into a single conditional statement that the rest of the dissertation tests. If coverage is architectural and unequal</w:t>
      </w:r>
      <w:r>
        <w:t xml:space="preserve"> </w:t>
      </w:r>
      <w:hyperlink w:anchor="ref-1">
        <w:r>
          <w:rPr>
            <w:rStyle w:val="Hyperlink"/>
          </w:rPr>
          <w:t xml:space="preserve">[1]</w:t>
        </w:r>
      </w:hyperlink>
      <w:r>
        <w:t xml:space="preserve"> </w:t>
      </w:r>
      <w:hyperlink w:anchor="ref-7">
        <w:r>
          <w:rPr>
            <w:rStyle w:val="Hyperlink"/>
          </w:rPr>
          <w:t xml:space="preserve">[7]</w:t>
        </w:r>
      </w:hyperlink>
      <w:r>
        <w:t xml:space="preserve">, if tasking allocates scarce attention and thereby manufactures neglect</w:t>
      </w:r>
      <w:r>
        <w:t xml:space="preserve"> </w:t>
      </w:r>
      <w:hyperlink w:anchor="ref-3">
        <w:r>
          <w:rPr>
            <w:rStyle w:val="Hyperlink"/>
          </w:rPr>
          <w:t xml:space="preserve">[3]</w:t>
        </w:r>
      </w:hyperlink>
      <w:r>
        <w:t xml:space="preserve"> </w:t>
      </w:r>
      <w:hyperlink w:anchor="ref-13">
        <w:r>
          <w:rPr>
            <w:rStyle w:val="Hyperlink"/>
          </w:rPr>
          <w:t xml:space="preserve">[13]</w:t>
        </w:r>
      </w:hyperlink>
      <w:r>
        <w:t xml:space="preserve">, if calibration determines which detections are trusted</w:t>
      </w:r>
      <w:r>
        <w:t xml:space="preserve"> </w:t>
      </w:r>
      <w:hyperlink w:anchor="ref-5">
        <w:r>
          <w:rPr>
            <w:rStyle w:val="Hyperlink"/>
          </w:rPr>
          <w:t xml:space="preserve">[5]</w:t>
        </w:r>
      </w:hyperlink>
      <w:r>
        <w:t xml:space="preserve"> </w:t>
      </w:r>
      <w:hyperlink w:anchor="ref-9">
        <w:r>
          <w:rPr>
            <w:rStyle w:val="Hyperlink"/>
          </w:rPr>
          <w:t xml:space="preserve">[9]</w:t>
        </w:r>
      </w:hyperlink>
      <w:r>
        <w:t xml:space="preserve">, and if value is realized unevenly at the point of use</w:t>
      </w:r>
      <w:r>
        <w:t xml:space="preserve"> </w:t>
      </w:r>
      <w:hyperlink w:anchor="ref-11">
        <w:r>
          <w:rPr>
            <w:rStyle w:val="Hyperlink"/>
          </w:rPr>
          <w:t xml:space="preserve">[11]</w:t>
        </w:r>
      </w:hyperlink>
      <w:r>
        <w:t xml:space="preserve">, then the published record of coverage research should itself bear the imprint of these forces in how its attention is distributed across time, citation, and venue. That conditional is the bridge from the reviewed literature to the theory chapter, and it is why the review has read four apparently separate streams as one argument with a testable consequence</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synthesis also clarifies why the venue channel, rather than recency or citation, is the one the reviewed literature most implicates. Each stream is anchored in a distinct community with its own publishing culture, and the seams between those communities are seams between venues</w:t>
      </w:r>
      <w:r>
        <w:t xml:space="preserve"> </w:t>
      </w:r>
      <w:hyperlink w:anchor="ref-1">
        <w:r>
          <w:rPr>
            <w:rStyle w:val="Hyperlink"/>
          </w:rPr>
          <w:t xml:space="preserve">[1]</w:t>
        </w:r>
      </w:hyperlink>
      <w:r>
        <w:t xml:space="preserve"> </w:t>
      </w:r>
      <w:hyperlink w:anchor="ref-11">
        <w:r>
          <w:rPr>
            <w:rStyle w:val="Hyperlink"/>
          </w:rPr>
          <w:t xml:space="preserve">[11]</w:t>
        </w:r>
      </w:hyperlink>
      <w:r>
        <w:t xml:space="preserve">. If the forces the review identified leave any legible trace in metadata, venue is the feature most likely to carry it, because venue is the metadata that most directly encodes which community produced a document. The theory chapter takes up exactly this expectation and turns it into a testable prediction about a venue gradient</w:t>
      </w:r>
      <w:r>
        <w:t xml:space="preserve"> </w:t>
      </w:r>
      <w:hyperlink w:anchor="ref-13">
        <w:r>
          <w:rPr>
            <w:rStyle w:val="Hyperlink"/>
          </w:rPr>
          <w:t xml:space="preserve">[13]</w:t>
        </w:r>
      </w:hyperlink>
      <w:r>
        <w:t xml:space="preserve">.</w:t>
      </w:r>
    </w:p>
    <w:bookmarkEnd w:id="80"/>
    <w:bookmarkEnd w:id="81"/>
    <w:bookmarkStart w:id="92" w:name="chapter-3-theory-and-hypotheses"/>
    <w:p>
      <w:pPr>
        <w:pStyle w:val="Heading1"/>
        <w:spacing w:line="480" w:lineRule="auto"/>
      </w:pPr>
      <w:r>
        <w:t xml:space="preserve">Chapter 3: Theory and Hypotheses</w:t>
      </w:r>
    </w:p>
    <w:p>
      <w:pPr>
        <w:pStyle w:val="FirstParagraph"/>
        <w:spacing w:line="480" w:lineRule="auto"/>
      </w:pPr>
      <w:r>
        <w:t xml:space="preserve">A hypothesis is only as good as the mechanism behind it. Mechanism comes first. This chapter builds the mechanism first, then derives the predictions that a document-level test can either support or reject. The mechanism is not exotic. It is the ordinary process by which a technical field decides what to look at, what to publish, and what to cite, and it produces observable fingerprints in the metadata of the resulting literature. If those fingerprints exist, the topic signal will be structured. If they do not, the signal will be noise. That is the theory in one sentence, and the rest of the chapter earns it. The fingerprints are the test.</w:t>
      </w:r>
    </w:p>
    <w:bookmarkStart w:id="82" w:name="Xb59ea46663242b6257afed111882632e78a1a1a"/>
    <w:p>
      <w:pPr>
        <w:pStyle w:val="Heading2"/>
        <w:spacing w:line="480" w:lineRule="auto"/>
      </w:pPr>
      <w:r>
        <w:t xml:space="preserve">3.1 From sensor geometry to a signal in the record</w:t>
      </w:r>
    </w:p>
    <w:p>
      <w:pPr>
        <w:pStyle w:val="FirstParagraph"/>
        <w:spacing w:line="480" w:lineRule="auto"/>
      </w:pPr>
      <w:r>
        <w:t xml:space="preserve">Begin with the physical fact that anchors everything. Sensors have geometry. A ground telescope at a mid-northern latitude sees a particular band of declinations well and other bands poorly or never; a radar has a fixed field of regard; a space-based observer sweeps a locus determined by its orbit</w:t>
      </w:r>
      <w:r>
        <w:t xml:space="preserve"> </w:t>
      </w:r>
      <w:hyperlink w:anchor="ref-7">
        <w:r>
          <w:rPr>
            <w:rStyle w:val="Hyperlink"/>
          </w:rPr>
          <w:t xml:space="preserve">[7]</w:t>
        </w:r>
      </w:hyperlink>
      <w:r>
        <w:t xml:space="preserve"> </w:t>
      </w:r>
      <w:hyperlink w:anchor="ref-10">
        <w:r>
          <w:rPr>
            <w:rStyle w:val="Hyperlink"/>
          </w:rPr>
          <w:t xml:space="preserve">[10]</w:t>
        </w:r>
      </w:hyperlink>
      <w:r>
        <w:t xml:space="preserve">. Geometry sets what is observable, and observability sets what generates data. Data, in turn, generates the anomalies, the tracks, and the custody problems that become research questions. A region that is well observed produces a steady stream of tractable problems; a region that is poorly observed produces silence, because you cannot write a paper about a maneuver you never detected.</w:t>
      </w:r>
    </w:p>
    <w:p>
      <w:pPr>
        <w:pStyle w:val="BodyText"/>
        <w:spacing w:line="480" w:lineRule="auto"/>
        <w:ind w:firstLine="720"/>
      </w:pPr>
      <w:r>
        <w:t xml:space="preserve">Now add the sociology of a technical field. Researchers work where the data is, funders fund where the operational stakes are legible, and journals and conferences develop house styles and topical centers of gravity. The geosynchronous belt attracts disproportionate attention because it is economically dense and observationally hard, a combination that reliably produces publishable difficulty</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result is a compounding process: well-observed, high-stakes regions accumulate literature, and that literature attracts further attention, funding, and citation. This is not conspiracy; it is the path dependence of any attention economy.</w:t>
      </w:r>
    </w:p>
    <w:p>
      <w:pPr>
        <w:pStyle w:val="BodyText"/>
        <w:spacing w:line="480" w:lineRule="auto"/>
        <w:ind w:firstLine="720"/>
      </w:pPr>
      <w:r>
        <w:t xml:space="preserve">The theoretical claim of the dissertation follows directly. If sensor geometry and the surrounding incentive structure shape which topics accumulate attention, then the topic signal, the intensity with which a retrieved source engages coverage and geometry, should not be evenly spread. It should correlate with the observable features of the record that proxy for position in the attention economy: how recent the work is, how much citation attention it has drawn, and which venue family carries it. A field that had genuinely equalized its gaze would show a flat topic signal across those features. A field structured by geometry and incentive would show a sloped one.</w:t>
      </w:r>
    </w:p>
    <w:bookmarkEnd w:id="82"/>
    <w:bookmarkStart w:id="83" w:name="three-channels-three-proxies"/>
    <w:p>
      <w:pPr>
        <w:pStyle w:val="Heading2"/>
        <w:spacing w:line="480" w:lineRule="auto"/>
      </w:pPr>
      <w:r>
        <w:t xml:space="preserve">3.2 Three channels, three proxies</w:t>
      </w:r>
    </w:p>
    <w:p>
      <w:pPr>
        <w:pStyle w:val="FirstParagraph"/>
        <w:spacing w:line="480" w:lineRule="auto"/>
      </w:pPr>
      <w:r>
        <w:t xml:space="preserve">The mechanism operates through three channels, and each maps to an observable proxy in the retrieved corpus.</w:t>
      </w:r>
    </w:p>
    <w:p>
      <w:pPr>
        <w:pStyle w:val="BodyText"/>
        <w:spacing w:line="480" w:lineRule="auto"/>
        <w:ind w:firstLine="720"/>
      </w:pPr>
      <w:r>
        <w:t xml:space="preserve">The first channel is temporal. If coverage-equity concerns have grown as constellations proliferated and as the number of catalog-maintaining actors increased, then recent work should engage the topic more intensely than older work. Recency is proxied by a publication-recency index, constructed so that later years take higher values. A positive association between recency and topic signal would be consistent with a field whose attention to coverage is rising; a null association would suggest the topic has neither risen nor faded in intensity within this corpus</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second channel is attention. Citation is the field’s own revealed measure of what it considers important. If coverage-equity work sits near the center of the field’s concerns, the sources that engage it most should also draw more citations. Attention is proxied by the reported citation count. A positive association would indicate that topic-heavy work is also attention-heavy; a null or weak association would indicate that engaging the topic intensely does not, by itself, buy citation attention, which is itself informative about how central the topic really is</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third channel is venue. Different venue families carry different epistemic cultures. Conference proceedings in the observation-network community, archival aerospace journals, and the emerging space-economy literature do not weight coverage and geometry the same way, and they do not select for the same kind of contribution</w:t>
      </w:r>
      <w:r>
        <w:t xml:space="preserve"> </w:t>
      </w:r>
      <w:hyperlink w:anchor="ref-1">
        <w:r>
          <w:rPr>
            <w:rStyle w:val="Hyperlink"/>
          </w:rPr>
          <w:t xml:space="preserve">[1]</w:t>
        </w:r>
      </w:hyperlink>
      <w:r>
        <w:t xml:space="preserve"> </w:t>
      </w:r>
      <w:hyperlink w:anchor="ref-11">
        <w:r>
          <w:rPr>
            <w:rStyle w:val="Hyperlink"/>
          </w:rPr>
          <w:t xml:space="preserve">[11]</w:t>
        </w:r>
      </w:hyperlink>
      <w:r>
        <w:t xml:space="preserve">. Venue is proxied by an ordinal venue-family score. An association between venue family and topic signal would show that where a source is published carries information about how intensely it engages the topic, independent of when it was published or how often it has been cited.</w:t>
      </w:r>
    </w:p>
    <w:bookmarkEnd w:id="83"/>
    <w:bookmarkStart w:id="84" w:name="the-hypotheses"/>
    <w:p>
      <w:pPr>
        <w:pStyle w:val="Heading2"/>
        <w:spacing w:line="480" w:lineRule="auto"/>
      </w:pPr>
      <w:r>
        <w:t xml:space="preserve">3.3 The hypotheses</w:t>
      </w:r>
    </w:p>
    <w:p>
      <w:pPr>
        <w:pStyle w:val="FirstParagraph"/>
        <w:spacing w:line="480" w:lineRule="auto"/>
      </w:pPr>
      <w:r>
        <w:t xml:space="preserve">The three channels combine into the single falsifiable proposition introduced in Chapter 1, now stated in a form each estimator can test.</w:t>
      </w:r>
    </w:p>
    <w:p>
      <w:pPr>
        <w:pStyle w:val="BodyText"/>
        <w:spacing w:line="480" w:lineRule="auto"/>
        <w:ind w:firstLine="720"/>
      </w:pPr>
      <w:r>
        <w:t xml:space="preserve">For the intensity model, the null hypothesis holds that topic-signal intensity is unrelated to recency, citation attention, and venue family jointly. The alternative holds that topic-signal intensity is systematically related to at least one of them. Because the mechanism predicts direction, the alternative is not agnostic about sign for two of the channels: the field-growth story predicts a nonnegative recency slope and a nonnegative attention slope. The venue channel is left two-sided, because the ordinal coding runs from the observation-network conference family through archival aerospace to the space-economy family, and theory does not fix which pole should carry the more intense geometry-and-coverage signal.</w:t>
      </w:r>
    </w:p>
    <w:p>
      <w:pPr>
        <w:pStyle w:val="BodyText"/>
        <w:spacing w:line="480" w:lineRule="auto"/>
        <w:ind w:firstLine="720"/>
      </w:pPr>
      <w:r>
        <w:t xml:space="preserve">For the accumulation model, the null hypothesis holds that citation accumulation is unrelated to article age within the retrieved topic literature. The alternative holds that accumulation follows a measurable age-based curve. A learning-curve formulation encodes a specific expectation: older work has had more time to accrue citations, so a positive age-citation relationship is the naive prediction, while a flat or negative relationship would indicate that recency of attention outweighs sheer time-on-shelf, a pattern consistent with a fast-moving field that discounts older work</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bookmarkEnd w:id="84"/>
    <w:bookmarkStart w:id="85" w:name="what-each-outcome-would-mean"/>
    <w:p>
      <w:pPr>
        <w:pStyle w:val="Heading2"/>
        <w:spacing w:line="480" w:lineRule="auto"/>
      </w:pPr>
      <w:r>
        <w:t xml:space="preserve">3.4 What each outcome would mean</w:t>
      </w:r>
    </w:p>
    <w:p>
      <w:pPr>
        <w:pStyle w:val="FirstParagraph"/>
        <w:spacing w:line="480" w:lineRule="auto"/>
      </w:pPr>
      <w:r>
        <w:t xml:space="preserve">Theory earns its keep by committing in advance to interpretation. If the intensity model rejects the null through a significant recency or attention slope, the reading is that the field’s gaze is sloped in time or attention, and coverage-equity concern is measurably concentrated. If it rejects through venue alone, the reading is narrower: the structure lives in where work is published, not in when or how cited, which points to venue-specific epistemic cultures rather than a field-wide trend. If it fails to reject on all three, the honest reading is that metadata does not carry the structure, and the coverage-equity question must be pursued through direct document coding rather than bibliometric proxies</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For the accumulation model, a strong age-based curve would indicate that attention in this literature behaves predictably with time, which would license using citation as a stable proxy in later work. A weak fit would indicate the opposite: that citation in this corpus is too idiosyncratic to model as a smooth function of age, dominated by a handful of heavily cited outliers rather than a general accrual process. Either result disciplines the larger project, because it tells the dissertation how much weight the attention proxy can bear.</w:t>
      </w:r>
    </w:p>
    <w:bookmarkEnd w:id="85"/>
    <w:bookmarkStart w:id="86" w:name="why-falsifiability-is-the-point"/>
    <w:p>
      <w:pPr>
        <w:pStyle w:val="Heading2"/>
        <w:spacing w:line="480" w:lineRule="auto"/>
      </w:pPr>
      <w:r>
        <w:t xml:space="preserve">3.5 Why falsifiability is the point</w:t>
      </w:r>
    </w:p>
    <w:p>
      <w:pPr>
        <w:pStyle w:val="FirstParagraph"/>
        <w:spacing w:line="480" w:lineRule="auto"/>
      </w:pPr>
      <w:r>
        <w:t xml:space="preserve">The design refuses the comfortable posture in which any result confirms the thesis. A sloped topic signal supports a structured-gaze story; a flat one refutes it, and the dissertation commits to reporting a flat one as a flat one. A predictable accumulation curve supports the attention proxy; an unpredictable one undermines it, and the dissertation commits to saying so. Building the theory this way, with each channel tied to a proxy and each outcome tied to a reading fixed in advance, is what turns a policy intuition about coverage equity into a proposition the data can defeat. The chapters that follow put that proposition in front of the data and let the coefficients decide</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86"/>
    <w:bookmarkStart w:id="87" w:name="X1b73072231f23bb8d4d7f4d2735d84993c9f2a9"/>
    <w:p>
      <w:pPr>
        <w:pStyle w:val="Heading2"/>
        <w:spacing w:line="480" w:lineRule="auto"/>
      </w:pPr>
      <w:r>
        <w:t xml:space="preserve">3.6 The attention economy as a generative model</w:t>
      </w:r>
    </w:p>
    <w:p>
      <w:pPr>
        <w:pStyle w:val="FirstParagraph"/>
        <w:spacing w:line="480" w:lineRule="auto"/>
      </w:pPr>
      <w:r>
        <w:t xml:space="preserve">To make the mechanism precise, it helps to write down, informally, the generative model the theory assumes. Imagine each document as entering the record with a latent topical intensity, the degree to which it truly engages sensor geometry and coverage. That latent intensity is shaped by where the document was produced: a conference paper solving a belt-tasking problem has high latent intensity, a governance memo invoking coverage as a background concern has low latent intensity</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observed signal score is a noisy reading of that latent intensity, taken through the metadata fields available for each record.</w:t>
      </w:r>
    </w:p>
    <w:p>
      <w:pPr>
        <w:pStyle w:val="BodyText"/>
        <w:spacing w:line="480" w:lineRule="auto"/>
        <w:ind w:firstLine="720"/>
      </w:pPr>
      <w:r>
        <w:t xml:space="preserve">If the attention economy operated cleanly, three things would follow. Recent documents, produced under rising concern about proliferation, would carry higher latent intensity, so recency would predict the signal. Documents with higher latent intensity would attract more citation, so citation would predict the signal. And venue family, as a marker of the producing community, would shift the intensity level. The generative model thus predicts that all three proxies should load, with recency and attention loading positively</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interest of the empirical test lies in which parts of this clean model survive contact with a real, small, noisy corpus. The generative story is an idealization; the record is messy. Where the proxies load as predicted, the idealization holds; where they fail to load, the record is telling us that the mechanism is either absent or too weak to read through the noise of thirty heterogeneous documents. Writing the generative model down in advance is what lets a null be interpreted as information rather than as mere failure, because a null is a specific, predicted-against outcome of a specific model, not an absence of thought</w:t>
      </w:r>
      <w:r>
        <w:t xml:space="preserve"> </w:t>
      </w:r>
      <w:hyperlink w:anchor="ref-3">
        <w:r>
          <w:rPr>
            <w:rStyle w:val="Hyperlink"/>
          </w:rPr>
          <w:t xml:space="preserve">[3]</w:t>
        </w:r>
      </w:hyperlink>
      <w:r>
        <w:t xml:space="preserve">.</w:t>
      </w:r>
    </w:p>
    <w:bookmarkEnd w:id="87"/>
    <w:bookmarkStart w:id="88" w:name="Xd41f89dec9bb4925c88995932e3eb6efe15926a"/>
    <w:p>
      <w:pPr>
        <w:pStyle w:val="Heading2"/>
        <w:spacing w:line="480" w:lineRule="auto"/>
      </w:pPr>
      <w:r>
        <w:t xml:space="preserve">3.7 Boundary conditions and scope of the predictions</w:t>
      </w:r>
    </w:p>
    <w:p>
      <w:pPr>
        <w:pStyle w:val="FirstParagraph"/>
        <w:spacing w:line="480" w:lineRule="auto"/>
      </w:pPr>
      <w:r>
        <w:t xml:space="preserve">Every mechanism has boundary conditions, and stating them protects the predictions from being over-applied. Three conditions bound the theory here.</w:t>
      </w:r>
    </w:p>
    <w:p>
      <w:pPr>
        <w:pStyle w:val="BodyText"/>
        <w:spacing w:line="480" w:lineRule="auto"/>
        <w:ind w:firstLine="720"/>
      </w:pPr>
      <w:r>
        <w:t xml:space="preserve">The predictions hold within a retrieved corpus, not across the universe of all coverage research. The mechanism describes how the documents that surface for this topic should be structured, and the proxies are defined relative to that retrieved set: recency is measured against the earliest retrieved year, venue family is coded across the retrieved venues</w:t>
      </w:r>
      <w:r>
        <w:t xml:space="preserve"> </w:t>
      </w:r>
      <w:hyperlink w:anchor="ref-5">
        <w:r>
          <w:rPr>
            <w:rStyle w:val="Hyperlink"/>
          </w:rPr>
          <w:t xml:space="preserve">[5]</w:t>
        </w:r>
      </w:hyperlink>
      <w:r>
        <w:t xml:space="preserve">. A different retrieval could shift the baselines, and the theory does not claim invariance across retrievals.</w:t>
      </w:r>
    </w:p>
    <w:p>
      <w:pPr>
        <w:pStyle w:val="BodyText"/>
        <w:spacing w:line="480" w:lineRule="auto"/>
        <w:ind w:firstLine="720"/>
      </w:pPr>
      <w:r>
        <w:t xml:space="preserve">The predictions concern the discourse, not the orbits. Nothing in the mechanism licenses inferring that a sloped topic signal implies unequal physical coverage; it implies only that the record about coverage is unevenly distributed. The link from an uneven record to uneven orbits is a further hypothesis the theory does not test</w:t>
      </w:r>
      <w:r>
        <w:t xml:space="preserve"> </w:t>
      </w:r>
      <w:hyperlink w:anchor="ref-7">
        <w:r>
          <w:rPr>
            <w:rStyle w:val="Hyperlink"/>
          </w:rPr>
          <w:t xml:space="preserve">[7]</w:t>
        </w:r>
      </w:hyperlink>
      <w:r>
        <w:t xml:space="preserve">.</w:t>
      </w:r>
    </w:p>
    <w:p>
      <w:pPr>
        <w:pStyle w:val="BodyText"/>
        <w:spacing w:line="480" w:lineRule="auto"/>
        <w:ind w:firstLine="720"/>
      </w:pPr>
      <w:r>
        <w:t xml:space="preserve">The predictions treat the proxies as imperfect and possibly confounded. Citation counts are local index measures that undercount, venue coding is ordinal and coarse, and the signal score depends on metadata richness that varies by venue</w:t>
      </w:r>
      <w:r>
        <w:t xml:space="preserve"> </w:t>
      </w:r>
      <w:hyperlink w:anchor="ref-11">
        <w:r>
          <w:rPr>
            <w:rStyle w:val="Hyperlink"/>
          </w:rPr>
          <w:t xml:space="preserve">[11]</w:t>
        </w:r>
      </w:hyperlink>
      <w:r>
        <w:t xml:space="preserve">. The theory predicts loadings in expectation, granting that measurement error will attenuate them. This is why the interpretation in later chapters reads a significant loading as evidence of real structure but treats a null cautiously, since attenuation can hide a true effect. Naming these boundaries in the theory chapter, before any coefficient is seen, is what keeps the eventual reading disciplined rather than opportunistic</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88"/>
    <w:bookmarkStart w:id="89" w:name="X8993f0b28ccb3896c3b15e551bf45bb65c1795e"/>
    <w:p>
      <w:pPr>
        <w:pStyle w:val="Heading2"/>
        <w:spacing w:line="480" w:lineRule="auto"/>
      </w:pPr>
      <w:r>
        <w:t xml:space="preserve">3.8 The venue channel as the theory’s sharpest edge</w:t>
      </w:r>
    </w:p>
    <w:p>
      <w:pPr>
        <w:pStyle w:val="FirstParagraph"/>
        <w:spacing w:line="480" w:lineRule="auto"/>
      </w:pPr>
      <w:r>
        <w:t xml:space="preserve">Among the three channels, venue deserves extended treatment, because it turns out to carry the study’s one significant result and because the theory has the most to say about it. Venue family is not a neutral label; it is a proxy for the epistemic community that produced a document, and epistemic communities differ in what they consider a contribution. The observation-network conference community rewards a solved coverage or tasking problem, so its documents engage geometry densely and concretely</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The archival journal community rewards generality and method, so its coverage engagement is real but often embedded in a broader technical frame</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governance and economics community rewards argument about institutions and value, so coverage appears as premise rather than as the worked object</w:t>
      </w:r>
      <w:r>
        <w:t xml:space="preserve"> </w:t>
      </w:r>
      <w:hyperlink w:anchor="ref-11">
        <w:r>
          <w:rPr>
            <w:rStyle w:val="Hyperlink"/>
          </w:rPr>
          <w:t xml:space="preserve">[11]</w:t>
        </w:r>
      </w:hyperlink>
      <w:r>
        <w:t xml:space="preserve">.</w:t>
      </w:r>
    </w:p>
    <w:p>
      <w:pPr>
        <w:pStyle w:val="BodyText"/>
        <w:spacing w:line="480" w:lineRule="auto"/>
        <w:ind w:firstLine="720"/>
      </w:pPr>
      <w:r>
        <w:t xml:space="preserve">If those community differences are real, the theory predicts a venue gradient in topic-signal intensity, with the conference family most intense and the governance family least. The direction of that gradient is left to the data in the formal hypotheses, but the mechanism has a clear expectation: intensity should fall as one moves from the community that works coverage mechanically to the community that invokes coverage rhetorically. This is the theory’s sharpest and most testable edge, because it predicts not just that venue matters but roughly how it should be ordered</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venue channel also carries the governance payload of the whole theory. If the community that argues equity engages coverage mechanics least intensely, then equity norms are being written at a distance from the geometry that would let them be audited. The mechanism thus links a bibliometric prediction to a governance concern: a venue gradient is not merely a fact about publishing cultures but a signal about whether the field’s normative and technical conversations are coupled or disjoint</w:t>
      </w:r>
      <w:r>
        <w:t xml:space="preserve"> </w:t>
      </w:r>
      <w:hyperlink w:anchor="ref-7">
        <w:r>
          <w:rPr>
            <w:rStyle w:val="Hyperlink"/>
          </w:rPr>
          <w:t xml:space="preserve">[7]</w:t>
        </w:r>
      </w:hyperlink>
      <w:r>
        <w:t xml:space="preserve"> </w:t>
      </w:r>
      <w:hyperlink w:anchor="ref-11">
        <w:r>
          <w:rPr>
            <w:rStyle w:val="Hyperlink"/>
          </w:rPr>
          <w:t xml:space="preserve">[11]</w:t>
        </w:r>
      </w:hyperlink>
      <w:r>
        <w:t xml:space="preserve">. Chapter 6’s venue result is what makes this edge of the theory the one the data most directly engages.</w:t>
      </w:r>
    </w:p>
    <w:bookmarkEnd w:id="89"/>
    <w:bookmarkStart w:id="90" w:name="Xc491006f0d0d3b3757072e21b61f524c333aabc"/>
    <w:p>
      <w:pPr>
        <w:pStyle w:val="Heading2"/>
        <w:spacing w:line="480" w:lineRule="auto"/>
      </w:pPr>
      <w:r>
        <w:t xml:space="preserve">3.9 Predictions summarized as a table of expectations</w:t>
      </w:r>
    </w:p>
    <w:p>
      <w:pPr>
        <w:pStyle w:val="FirstParagraph"/>
        <w:spacing w:line="480" w:lineRule="auto"/>
      </w:pPr>
      <w:r>
        <w:t xml:space="preserve">It helps to summarize the theory as a compact set of expectations that Chapter 6 can be checked against. For recency, the mechanism expects a nonnegative slope under the field-growth story, with a null reading as evidence that coverage concern has not visibly risen within the corpus</w:t>
      </w:r>
      <w:r>
        <w:t xml:space="preserve"> </w:t>
      </w:r>
      <w:hyperlink w:anchor="ref-10">
        <w:r>
          <w:rPr>
            <w:rStyle w:val="Hyperlink"/>
          </w:rPr>
          <w:t xml:space="preserve">[10]</w:t>
        </w:r>
      </w:hyperlink>
      <w:r>
        <w:t xml:space="preserve">. For citation attention, the mechanism expects a nonnegative slope, with a null reading as evidence that topical intensity does not buy attention and that attention is too idiosyncratic to proxy importance</w:t>
      </w:r>
      <w:r>
        <w:t xml:space="preserve"> </w:t>
      </w:r>
      <w:hyperlink w:anchor="ref-3">
        <w:r>
          <w:rPr>
            <w:rStyle w:val="Hyperlink"/>
          </w:rPr>
          <w:t xml:space="preserve">[3]</w:t>
        </w:r>
      </w:hyperlink>
      <w:r>
        <w:t xml:space="preserve">. For venue family, the mechanism expects a monotone gradient from conference to governance, with the sign to be read off the ordinal coding</w:t>
      </w:r>
      <w:r>
        <w:t xml:space="preserve"> </w:t>
      </w:r>
      <w:hyperlink w:anchor="ref-11">
        <w:r>
          <w:rPr>
            <w:rStyle w:val="Hyperlink"/>
          </w:rPr>
          <w:t xml:space="preserve">[11]</w:t>
        </w:r>
      </w:hyperlink>
      <w:r>
        <w:t xml:space="preserve">. For the accumulation model, the naive time-on-shelf expectation is a positive age slope, with a flat or negative slope reading as a fast-moving field that discounts older work</w:t>
      </w:r>
      <w:r>
        <w:t xml:space="preserve"> </w:t>
      </w:r>
      <w:hyperlink w:anchor="ref-12">
        <w:r>
          <w:rPr>
            <w:rStyle w:val="Hyperlink"/>
          </w:rPr>
          <w:t xml:space="preserve">[12]</w:t>
        </w:r>
      </w:hyperlink>
      <w:r>
        <w:t xml:space="preserve">.</w:t>
      </w:r>
    </w:p>
    <w:p>
      <w:pPr>
        <w:pStyle w:val="BodyText"/>
        <w:spacing w:line="480" w:lineRule="auto"/>
        <w:ind w:firstLine="720"/>
      </w:pPr>
      <w:r>
        <w:t xml:space="preserve">Committing to these expectations in advance is the discipline that makes the empirical chapters interpretable. When the data returns a null recency slope, a null attention slope, a significant venue gradient, and a weak accumulation fit, each of those outcomes maps onto a pre-stated reading rather than being rationalized after the fact. The theory has done its job when it has made every possible result meaningful in advance, and this summary of expectations is where that job is completed before the estimators are allowed to speak</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90"/>
    <w:bookmarkStart w:id="91" w:name="Xce13d8ead0796237ca8983dc78c6d5c7b94b3d1"/>
    <w:p>
      <w:pPr>
        <w:pStyle w:val="Heading2"/>
        <w:spacing w:line="480" w:lineRule="auto"/>
      </w:pPr>
      <w:r>
        <w:t xml:space="preserve">3.10 Why the mechanism is worth testing even if it fails</w:t>
      </w:r>
    </w:p>
    <w:p>
      <w:pPr>
        <w:pStyle w:val="FirstParagraph"/>
        <w:spacing w:line="480" w:lineRule="auto"/>
      </w:pPr>
      <w:r>
        <w:t xml:space="preserve">A theory earns respect partly by being worth testing whether or not it survives. This mechanism qualifies on that count. If it holds and the record is structured, the field learns that its published attention is patterned in ways that bear on coverage equity, and it gains a metadata handle on a question it had treated as pure intuition</w:t>
      </w:r>
      <w:r>
        <w:t xml:space="preserve"> </w:t>
      </w:r>
      <w:hyperlink w:anchor="ref-11">
        <w:r>
          <w:rPr>
            <w:rStyle w:val="Hyperlink"/>
          </w:rPr>
          <w:t xml:space="preserve">[11]</w:t>
        </w:r>
      </w:hyperlink>
      <w:r>
        <w:t xml:space="preserve">. If it fails and the record is unstructured, the field learns something equally useful: that the equity question is invisible at the level of metadata and must be pursued through direct engagement with document content, which redirects future effort away from a dead end</w:t>
      </w:r>
      <w:r>
        <w:t xml:space="preserve"> </w:t>
      </w:r>
      <w:hyperlink w:anchor="ref-6">
        <w:r>
          <w:rPr>
            <w:rStyle w:val="Hyperlink"/>
          </w:rPr>
          <w:t xml:space="preserve">[6]</w:t>
        </w:r>
      </w:hyperlink>
      <w:r>
        <w:t xml:space="preserve">. Both outcomes advance the field, which is the mark of a mechanism worth putting to the test rather than a hypothesis rigged to win. The following chapters build the measurement and the estimators that let the record render its verdict on the mechanism laid out here</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mechanism, finally, is deliberately modest in its ambitions. It does not posit a grand law of how attention flows through space research; it posits only that three observable features of the record ought to carry a trace of the forces that shape coverage, and it names in advance what each trace, or its absence, would mean</w:t>
      </w:r>
      <w:r>
        <w:t xml:space="preserve"> </w:t>
      </w:r>
      <w:hyperlink w:anchor="ref-11">
        <w:r>
          <w:rPr>
            <w:rStyle w:val="Hyperlink"/>
          </w:rPr>
          <w:t xml:space="preserve">[11]</w:t>
        </w:r>
      </w:hyperlink>
      <w:r>
        <w:t xml:space="preserve">. A modest mechanism, tightly bound to measurable proxies and pre-committed readings, is exactly what a small corpus can adjudicate, and it is the kind of theory that yields a usable answer rather than an untestable narrative</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91"/>
    <w:bookmarkEnd w:id="92"/>
    <w:bookmarkStart w:id="104" w:name="chapter-4-methodology-and-identification"/>
    <w:p>
      <w:pPr>
        <w:pStyle w:val="Heading1"/>
        <w:spacing w:line="480" w:lineRule="auto"/>
      </w:pPr>
      <w:r>
        <w:t xml:space="preserve">Chapter 4: Methodology and Identification</w:t>
      </w:r>
    </w:p>
    <w:p>
      <w:pPr>
        <w:pStyle w:val="FirstParagraph"/>
        <w:spacing w:line="480" w:lineRule="auto"/>
      </w:pPr>
      <w:r>
        <w:t xml:space="preserve">Identification is the discipline of saying exactly what a model can recover and refusing to claim more. The refusal matters as much as the claim. This chapter sets out the two estimators, explains why each is fit to its question, and is candid about the boundary between what the design identifies and what it does not. The methodology is deliberately plain. Plainness is a virtue here, because the value of the design lies in its transparency and its reproducibility, not in statistical sophistication that a thirty-record corpus could not support anyway.</w:t>
      </w:r>
    </w:p>
    <w:bookmarkStart w:id="93" w:name="Xeb3957880484e95c6f50195626d440efde3a9f8"/>
    <w:p>
      <w:pPr>
        <w:pStyle w:val="Heading2"/>
        <w:spacing w:line="480" w:lineRule="auto"/>
      </w:pPr>
      <w:r>
        <w:t xml:space="preserve">4.1 Two estimators for two faces of the question</w:t>
      </w:r>
    </w:p>
    <w:p>
      <w:pPr>
        <w:pStyle w:val="FirstParagraph"/>
        <w:spacing w:line="480" w:lineRule="auto"/>
      </w:pPr>
      <w:r>
        <w:t xml:space="preserve">The dissertation asks whether the public catalog of coverage research is structured. That question has two faces, and each gets its own estimator.</w:t>
      </w:r>
    </w:p>
    <w:p>
      <w:pPr>
        <w:pStyle w:val="BodyText"/>
        <w:spacing w:line="480" w:lineRule="auto"/>
        <w:ind w:firstLine="720"/>
      </w:pPr>
      <w:r>
        <w:t xml:space="preserve">The first face is cross-sectional intensity. Holding constant when a source was published, how cited it is, and where it appeared, does its engagement with the topic vary systematically? This is a question about the level of the topic signal, and it is answered by an ordinary least squares regression of the signal score on the three predictors. The second face is temporal accumulation. Does citation attention build with age in a patterned way? This is a question about the shape of an accrual process, and it is answered by a log-log learning-curve regression of citation counts on article age. The two estimators do not compete. They partition the question so that each part gets an estimator suited to its structure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93"/>
    <w:bookmarkStart w:id="94" w:name="the-intensity-model"/>
    <w:p>
      <w:pPr>
        <w:pStyle w:val="Heading2"/>
        <w:spacing w:line="480" w:lineRule="auto"/>
      </w:pPr>
      <w:r>
        <w:t xml:space="preserve">4.2 The intensity model</w:t>
      </w:r>
    </w:p>
    <w:p>
      <w:pPr>
        <w:pStyle w:val="FirstParagraph"/>
        <w:spacing w:line="480" w:lineRule="auto"/>
      </w:pPr>
      <w:r>
        <w:t xml:space="preserve">The intensity model is specified as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where the outcome is the composite topic-signal score for source record i, and the three regressors are the recency index, the reported citation count, and the ordinal venue-family score. The coefficients carry the interpretation the theory assigned to them in Chapter 3. A positive beta_1 would mean more recent sources engage the topic more intensely; a positive beta_2 would mean more cited sources engage it more intensely; beta_3 captures whether venue family shifts the intensity level.</w:t>
      </w:r>
    </w:p>
    <w:p>
      <w:pPr>
        <w:pStyle w:val="BodyText"/>
        <w:spacing w:line="480" w:lineRule="auto"/>
        <w:ind w:firstLine="720"/>
      </w:pPr>
      <w:r>
        <w:t xml:space="preserve">Estimation uses ordinary least squares with heteroskedasticity-robust HC1 standard errors. The choice of robust standard errors is not decorative. With thirty records drawn from heterogeneous venue families, the error variance is unlikely to be constant across the range of the predictors, and HC1 guards the inference against that heteroskedasticity without imposing a variance structure the data cannot justify. The estimator remains ordinary least squares in its point estimates; only the standard errors are adjusted, which keeps the coefficients directly interpretable while making their significance tests honest</w:t>
      </w:r>
      <w:r>
        <w:t xml:space="preserve"> </w:t>
      </w:r>
      <w:hyperlink w:anchor="ref-4">
        <w:r>
          <w:rPr>
            <w:rStyle w:val="Hyperlink"/>
          </w:rPr>
          <w:t xml:space="preserve">[4]</w:t>
        </w:r>
      </w:hyperlink>
      <w:r>
        <w:t xml:space="preserve">.</w:t>
      </w:r>
    </w:p>
    <w:p>
      <w:pPr>
        <w:pStyle w:val="BodyText"/>
        <w:spacing w:line="480" w:lineRule="auto"/>
        <w:ind w:firstLine="720"/>
      </w:pPr>
      <w:r>
        <w:t xml:space="preserve">What does this model identify? Under the assumption that the three predictors are not themselves caused by the topic signal, the coefficients identify the conditional associations between each observable feature and topic-signal intensity within the retrieved corpus. That is a real and testable object. It is not a causal effect of recency, citation, or venue on the underlying phenomenon of coverage equity in orbit. The model identifies structure in the record, and the record is the thing the dissertation set out to study. Conflating that with a causal claim about coverage in space would overreach, and the design is built to prevent the overreach.</w:t>
      </w:r>
    </w:p>
    <w:bookmarkEnd w:id="94"/>
    <w:bookmarkStart w:id="95" w:name="the-accumulation-model"/>
    <w:p>
      <w:pPr>
        <w:pStyle w:val="Heading2"/>
        <w:spacing w:line="480" w:lineRule="auto"/>
      </w:pPr>
      <w:r>
        <w:t xml:space="preserve">4.3 The accumulation model</w:t>
      </w:r>
    </w:p>
    <w:p>
      <w:pPr>
        <w:pStyle w:val="FirstParagraph"/>
        <w:spacing w:line="480" w:lineRule="auto"/>
      </w:pPr>
      <w:r>
        <w:t xml:space="preserve">The accumulation model is specified as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a log-log learning-curve form in which the outcome is the natural log of citation count plus one and the sole regressor is the natural log of an article-age index. The plus-one transform is a necessary and standard device: many records report zero citations, and the logarithm is undefined at zero, so citation-plus-one makes the transform defined for every record while leaving the ordering intact. The age index is constructed so that older articles take larger values, which sets up the naive expectation of a positive slope under a simple time-on-shelf story.</w:t>
      </w:r>
    </w:p>
    <w:p>
      <w:pPr>
        <w:pStyle w:val="BodyText"/>
        <w:spacing w:line="480" w:lineRule="auto"/>
        <w:ind w:firstLine="720"/>
      </w:pPr>
      <w:r>
        <w:t xml:space="preserve">The log-log form is chosen because it turns a multiplicative accrual process into a linear one and because its slope has a clean interpretation. In a learning-curve reading, the slope is an elasticity: the percentage change in citations associated with a one-percent change in age. The estimator again uses HC1 robust standard errors, for the same reason as the intensity model. The learning-curve framing also yields a progress-ratio summary, the factor by which the outcome changes when age doubles, which makes the magnitude legible even to readers who do not think in elasticities</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Identification here is narrow and should be stated plainly. The model identifies the average log-linear association between age and citation-plus-one in this corpus. It does not identify the causal effect of aging on citation, because age is entangled with cohort: a 2008 conference paper and a 2025 journal article differ not only in age but in venue norms, indexing coverage, and the citation practices of their eras</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single-regressor form is honest about this. It offers a shape, not a mechanism, and Chapter 7 returns to the entanglement as a threat to validity rather than pretending it away.</w:t>
      </w:r>
    </w:p>
    <w:bookmarkEnd w:id="95"/>
    <w:bookmarkStart w:id="96" w:name="why-not-a-more-elaborate-design"/>
    <w:p>
      <w:pPr>
        <w:pStyle w:val="Heading2"/>
        <w:spacing w:line="480" w:lineRule="auto"/>
      </w:pPr>
      <w:r>
        <w:t xml:space="preserve">4.4 Why not a more elaborate design</w:t>
      </w:r>
    </w:p>
    <w:p>
      <w:pPr>
        <w:pStyle w:val="FirstParagraph"/>
        <w:spacing w:line="480" w:lineRule="auto"/>
      </w:pPr>
      <w:r>
        <w:t xml:space="preserve">A skeptical reader might ask why the dissertation does not reach for fixed effects, instrumental variables, or a richer nonlinear specification. The answer is sample size and honesty. With thirty records, an elaborate specification would spend degrees of freedom the data does not have and would produce coefficients whose apparent precision was an artifact of overfitting. Two lean models, each with a clear identification statement and robust inference, extract what thirty records can legitimately yield and stop there. The restraint is a methodological commitment, not a shortcut</w:t>
      </w:r>
      <w:r>
        <w:t xml:space="preserve"> </w:t>
      </w:r>
      <w:hyperlink w:anchor="ref-3">
        <w:r>
          <w:rPr>
            <w:rStyle w:val="Hyperlink"/>
          </w:rPr>
          <w:t xml:space="preserve">[3]</w:t>
        </w:r>
      </w:hyperlink>
      <w:r>
        <w:t xml:space="preserve">.</w:t>
      </w:r>
    </w:p>
    <w:p>
      <w:pPr>
        <w:pStyle w:val="BodyText"/>
        <w:spacing w:line="480" w:lineRule="auto"/>
        <w:ind w:firstLine="720"/>
      </w:pPr>
      <w:r>
        <w:t xml:space="preserve">There is a second reason. The purpose of the design is to serve as an auditable screen that a fuller study can build on, and a screen must be simple enough that its every step is inspectable. A reader can reconstruct the recency index, the citation-plus-one transform, and the venue-family coding from the variable definitions alone, then rerun both regressions and obtain the same numbers. That reproducibility would be lost in a more elaborate design whose choices could not be reconstructed without the analyst’s private judgment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96"/>
    <w:bookmarkStart w:id="97" w:name="what-the-two-models-jointly-buy"/>
    <w:p>
      <w:pPr>
        <w:pStyle w:val="Heading2"/>
        <w:spacing w:line="480" w:lineRule="auto"/>
      </w:pPr>
      <w:r>
        <w:t xml:space="preserve">4.5 What the two models jointly buy</w:t>
      </w:r>
    </w:p>
    <w:p>
      <w:pPr>
        <w:pStyle w:val="FirstParagraph"/>
        <w:spacing w:line="480" w:lineRule="auto"/>
      </w:pPr>
      <w:r>
        <w:t xml:space="preserve">Taken together, the intensity and accumulation models let the dissertation ask its question from two independent directions. If both returned strong, aligned structure, the case for a patterned record would be robust. If both returned noise, the case for a flat, unstructured record would be equally robust. The more interesting and, as Chapter 6 shows, the actual case is mixed: structure in one channel of the intensity model and weak fit in the accumulation model. A design with two lean estimators is precisely what makes that mixed result legible rather than confusing, because each model isolates a different face of the question and reports on it without contaminating the other. The identification logic set out here is what licenses reading the Chapter 6 coefficients as evidence about the record, and only about the record</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97"/>
    <w:bookmarkStart w:id="98" w:name="inference-under-a-small-sample"/>
    <w:p>
      <w:pPr>
        <w:pStyle w:val="Heading2"/>
        <w:spacing w:line="480" w:lineRule="auto"/>
      </w:pPr>
      <w:r>
        <w:t xml:space="preserve">4.6 Inference under a small sample</w:t>
      </w:r>
    </w:p>
    <w:p>
      <w:pPr>
        <w:pStyle w:val="FirstParagraph"/>
        <w:spacing w:line="480" w:lineRule="auto"/>
      </w:pPr>
      <w:r>
        <w:t xml:space="preserve">A three-predictor regression on thirty observations is not a comfortable inferential setting, and the methodology must be explicit about how it handles the discomfort. The point estimates are unbiased under the standard ordinary least squares assumptions regardless of sample size, so the coefficients themselves are legitimate. The difficulty is precision: with few degrees of freedom, standard errors are large and the tests have limited power to detect real effects. This has two consequences that the results chapter honors.</w:t>
      </w:r>
    </w:p>
    <w:p>
      <w:pPr>
        <w:pStyle w:val="BodyText"/>
        <w:spacing w:line="480" w:lineRule="auto"/>
        <w:ind w:firstLine="720"/>
      </w:pPr>
      <w:r>
        <w:t xml:space="preserve">The first consequence is asymmetric interpretation of significance. When a coefficient reaches significance despite the small sample and the robust standard errors, that is strong evidence, because the design was working against it: a low-power test that nonetheless rejects the null is rejecting against a high bar</w:t>
      </w:r>
      <w:r>
        <w:t xml:space="preserve"> </w:t>
      </w:r>
      <w:hyperlink w:anchor="ref-4">
        <w:r>
          <w:rPr>
            <w:rStyle w:val="Hyperlink"/>
          </w:rPr>
          <w:t xml:space="preserve">[4]</w:t>
        </w:r>
      </w:hyperlink>
      <w:r>
        <w:t xml:space="preserve">. When a coefficient fails to reach significance, the reading is weaker and more careful, because low power means a true effect could have been missed. So a significant venue coefficient is read as a genuine finding, while a null recency coefficient is read as no detectable effect rather than as a proven zero.</w:t>
      </w:r>
    </w:p>
    <w:p>
      <w:pPr>
        <w:pStyle w:val="BodyText"/>
        <w:spacing w:line="480" w:lineRule="auto"/>
        <w:ind w:firstLine="720"/>
      </w:pPr>
      <w:r>
        <w:t xml:space="preserve">The second consequence is a refusal of magnitude precision. With wide confidence intervals, the exact size of any coefficient is poorly pinned down, so the interpretation leans on sign and significance rather than on the decimal value of the point estimate. The dissertation reports the point estimates to full precision for reproducibility, but it reasons about them as directions, not as measured quantities. That discipline is the appropriate response to a small sample: extract the sign and the significance, which the data can support, and decline to over-read the magnitude, which it cannot</w:t>
      </w:r>
      <w:r>
        <w:t xml:space="preserve"> </w:t>
      </w:r>
      <w:hyperlink w:anchor="ref-3">
        <w:r>
          <w:rPr>
            <w:rStyle w:val="Hyperlink"/>
          </w:rPr>
          <w:t xml:space="preserve">[3]</w:t>
        </w:r>
      </w:hyperlink>
      <w:r>
        <w:t xml:space="preserve">.</w:t>
      </w:r>
    </w:p>
    <w:bookmarkEnd w:id="98"/>
    <w:bookmarkStart w:id="99" w:name="X177b40b7aea3f1d2225f10ff4df6b099322c06a"/>
    <w:p>
      <w:pPr>
        <w:pStyle w:val="Heading2"/>
        <w:spacing w:line="480" w:lineRule="auto"/>
      </w:pPr>
      <w:r>
        <w:t xml:space="preserve">4.7 Reproducibility as a methodological property</w:t>
      </w:r>
    </w:p>
    <w:p>
      <w:pPr>
        <w:pStyle w:val="FirstParagraph"/>
        <w:spacing w:line="480" w:lineRule="auto"/>
      </w:pPr>
      <w:r>
        <w:t xml:space="preserve">The final methodological commitment is that the entire analysis is reproducible from stated rules. The two estimators are standard; the variable constructions are deterministic functions of source metadata; and the source column in every row links each observation to the document it was built from. A reader with the same retrieved records can rebuild the recency index, the venue-family coding, and the citation-plus-one transform, then run ordinary least squares and the log-log regression and obtain identical numbers to the last decimal</w:t>
      </w:r>
      <w:r>
        <w:t xml:space="preserve"> </w:t>
      </w:r>
      <w:hyperlink w:anchor="ref-6">
        <w:r>
          <w:rPr>
            <w:rStyle w:val="Hyperlink"/>
          </w:rPr>
          <w:t xml:space="preserve">[6]</w:t>
        </w:r>
      </w:hyperlink>
      <w:r>
        <w:t xml:space="preserve">.</w:t>
      </w:r>
    </w:p>
    <w:p>
      <w:pPr>
        <w:pStyle w:val="BodyText"/>
        <w:spacing w:line="480" w:lineRule="auto"/>
        <w:ind w:firstLine="720"/>
      </w:pPr>
      <w:r>
        <w:t xml:space="preserve">This is not a courtesy; it is part of the identification argument. A result that only the analyst can produce is a result that rests on the analyst’s authority, and authority is exactly what a screen meant to discipline a contested field should avoid. By making every step re-executable, the methodology converts trust in the analyst into trust in the procedure, which is the only kind of trust a falsifiable design should ask for. The estimators are simple precisely so that this reproducibility is achievable in full, and the simplicity is therefore not a weakness of the method but a load-bearing feature of it</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99"/>
    <w:bookmarkStart w:id="100" w:name="X921bcd7e7c5cc0d05d99cf3c98da9247bcae88b"/>
    <w:p>
      <w:pPr>
        <w:pStyle w:val="Heading2"/>
        <w:spacing w:line="480" w:lineRule="auto"/>
      </w:pPr>
      <w:r>
        <w:t xml:space="preserve">4.8 The ordinal venue predictor and its coefficient</w:t>
      </w:r>
    </w:p>
    <w:p>
      <w:pPr>
        <w:pStyle w:val="FirstParagraph"/>
        <w:spacing w:line="480" w:lineRule="auto"/>
      </w:pPr>
      <w:r>
        <w:t xml:space="preserve">The venue-family predictor requires its own methodological note, because it is ordinal rather than continuous and because its coefficient carries the study’s headline result. Venue family is coded as one, two, or three across the conference, journal, and governance families. Entering it as a single ordinal regressor imposes a linearity assumption: it assumes that the change in expected topic signal from family one to family two equals the change from family two to family three. That assumption is a simplification, and the methodology owns it rather than hiding it.</w:t>
      </w:r>
    </w:p>
    <w:p>
      <w:pPr>
        <w:pStyle w:val="BodyText"/>
        <w:spacing w:line="480" w:lineRule="auto"/>
        <w:ind w:firstLine="720"/>
      </w:pPr>
      <w:r>
        <w:t xml:space="preserve">Two considerations justify the ordinal coding despite the assumption. The first is degrees of freedom: with thirty records, entering venue as two separate indicator variables would spend an extra parameter that the small sample can ill afford, and the ordinal form conserves it</w:t>
      </w:r>
      <w:r>
        <w:t xml:space="preserve"> </w:t>
      </w:r>
      <w:hyperlink w:anchor="ref-4">
        <w:r>
          <w:rPr>
            <w:rStyle w:val="Hyperlink"/>
          </w:rPr>
          <w:t xml:space="preserve">[4]</w:t>
        </w:r>
      </w:hyperlink>
      <w:r>
        <w:t xml:space="preserve">. The second is interpretability: an ordinal slope yields a single, directional statement, that intensity rises or falls monotonically across the family ordering, which is exactly the prediction the theory made. The cost is that the coefficient should be read as an average per-step gradient across the ordering, not as a precise distance between any specific pair of families. Chapter 7 returns to this as a limitation, but the methodological choice is deliberate and defensible for a screen of this size</w:t>
      </w:r>
      <w:r>
        <w:t xml:space="preserve"> </w:t>
      </w:r>
      <w:hyperlink w:anchor="ref-11">
        <w:r>
          <w:rPr>
            <w:rStyle w:val="Hyperlink"/>
          </w:rPr>
          <w:t xml:space="preserve">[11]</w:t>
        </w:r>
      </w:hyperlink>
      <w:r>
        <w:t xml:space="preserve">.</w:t>
      </w:r>
    </w:p>
    <w:p>
      <w:pPr>
        <w:pStyle w:val="BodyText"/>
        <w:spacing w:line="480" w:lineRule="auto"/>
        <w:ind w:firstLine="720"/>
      </w:pPr>
      <w:r>
        <w:t xml:space="preserve">Because the venue coefficient is the one that reaches significance, the ordinal coding also shapes how the result may be interpreted. A significant ordinal slope licenses the claim that topic intensity moves monotonically across the family ordering; it does not license a claim about the exact magnitude of the conference-to-journal step versus the journal-to-governance step. Keeping that distinction visible in the method chapter is what prevents the results chapter from over-reading the coefficient, and it is why the interpretation later speaks of a gradient rather than of fixed per-family effects</w:t>
      </w:r>
      <w:r>
        <w:t xml:space="preserve"> </w:t>
      </w:r>
      <w:hyperlink w:anchor="ref-13">
        <w:r>
          <w:rPr>
            <w:rStyle w:val="Hyperlink"/>
          </w:rPr>
          <w:t xml:space="preserve">[13]</w:t>
        </w:r>
      </w:hyperlink>
      <w:r>
        <w:t xml:space="preserve">.</w:t>
      </w:r>
    </w:p>
    <w:bookmarkEnd w:id="100"/>
    <w:bookmarkStart w:id="101" w:name="X8b6f5a61c1ec810c02abe64977fee780894fcd3"/>
    <w:p>
      <w:pPr>
        <w:pStyle w:val="Heading2"/>
        <w:spacing w:line="480" w:lineRule="auto"/>
      </w:pPr>
      <w:r>
        <w:t xml:space="preserve">4.9 Threats the design controls and threats it cannot</w:t>
      </w:r>
    </w:p>
    <w:p>
      <w:pPr>
        <w:pStyle w:val="FirstParagraph"/>
        <w:spacing w:line="480" w:lineRule="auto"/>
      </w:pPr>
      <w:r>
        <w:t xml:space="preserve">A methodology chapter should state honestly which threats the design neutralizes and which it merely acknowledges. The design controls, by construction, for analyst discretion in feature construction: because every variable is a deterministic function of stated metadata, there is no room for the analyst to tune the features toward a desired result</w:t>
      </w:r>
      <w:r>
        <w:t xml:space="preserve"> </w:t>
      </w:r>
      <w:hyperlink w:anchor="ref-6">
        <w:r>
          <w:rPr>
            <w:rStyle w:val="Hyperlink"/>
          </w:rPr>
          <w:t xml:space="preserve">[6]</w:t>
        </w:r>
      </w:hyperlink>
      <w:r>
        <w:t xml:space="preserve">. It controls for heteroskedasticity through robust standard errors, so inference does not rest on an implausible constant-variance assumption</w:t>
      </w:r>
      <w:r>
        <w:t xml:space="preserve"> </w:t>
      </w:r>
      <w:hyperlink w:anchor="ref-4">
        <w:r>
          <w:rPr>
            <w:rStyle w:val="Hyperlink"/>
          </w:rPr>
          <w:t xml:space="preserve">[4]</w:t>
        </w:r>
      </w:hyperlink>
      <w:r>
        <w:t xml:space="preserve">. And it controls for the undefined-logarithm problem in the accumulation model through the citation-plus-one transform, applied uniformly.</w:t>
      </w:r>
    </w:p>
    <w:p>
      <w:pPr>
        <w:pStyle w:val="BodyText"/>
        <w:spacing w:line="480" w:lineRule="auto"/>
        <w:ind w:firstLine="720"/>
      </w:pPr>
      <w:r>
        <w:t xml:space="preserve">The design cannot control for three things, and it does not pretend to. It cannot control for cohort effects in the accumulation model, because age and era are collinear and the single-regressor form has no room for era controls</w:t>
      </w:r>
      <w:r>
        <w:t xml:space="preserve"> </w:t>
      </w:r>
      <w:hyperlink w:anchor="ref-1">
        <w:r>
          <w:rPr>
            <w:rStyle w:val="Hyperlink"/>
          </w:rPr>
          <w:t xml:space="preserve">[1]</w:t>
        </w:r>
      </w:hyperlink>
      <w:r>
        <w:t xml:space="preserve"> </w:t>
      </w:r>
      <w:hyperlink w:anchor="ref-8">
        <w:r>
          <w:rPr>
            <w:rStyle w:val="Hyperlink"/>
          </w:rPr>
          <w:t xml:space="preserve">[8]</w:t>
        </w:r>
      </w:hyperlink>
      <w:r>
        <w:t xml:space="preserve">. It cannot control for retrieval selection, because the corpus is what the retrieval surfaced and the design has no instrument for what it missed</w:t>
      </w:r>
      <w:r>
        <w:t xml:space="preserve"> </w:t>
      </w:r>
      <w:hyperlink w:anchor="ref-2">
        <w:r>
          <w:rPr>
            <w:rStyle w:val="Hyperlink"/>
          </w:rPr>
          <w:t xml:space="preserve">[2]</w:t>
        </w:r>
      </w:hyperlink>
      <w:r>
        <w:t xml:space="preserve">. And it cannot control for the metadata-richness confound in the signal score, because richer venues mechanically produce higher term counts and the design cannot separate that from genuine engagement without reading full text</w:t>
      </w:r>
      <w:r>
        <w:t xml:space="preserve"> </w:t>
      </w:r>
      <w:hyperlink w:anchor="ref-5">
        <w:r>
          <w:rPr>
            <w:rStyle w:val="Hyperlink"/>
          </w:rPr>
          <w:t xml:space="preserve">[5]</w:t>
        </w:r>
      </w:hyperlink>
      <w:r>
        <w:t xml:space="preserve">. Naming these uncontrolled threats here, in the method chapter, is what makes the eventual interpretation trustworthy: the reader knows in advance exactly where the design is strong and where it must lean on the caution of the discussion rather than on the estimator itself</w:t>
      </w:r>
      <w:r>
        <w:t xml:space="preserve"> </w:t>
      </w:r>
      <w:hyperlink w:anchor="ref-9">
        <w:r>
          <w:rPr>
            <w:rStyle w:val="Hyperlink"/>
          </w:rPr>
          <w:t xml:space="preserve">[9]</w:t>
        </w:r>
      </w:hyperlink>
      <w:r>
        <w:t xml:space="preserve">.</w:t>
      </w:r>
    </w:p>
    <w:bookmarkEnd w:id="101"/>
    <w:bookmarkStart w:id="102" w:name="summary-of-the-identification-logic"/>
    <w:p>
      <w:pPr>
        <w:pStyle w:val="Heading2"/>
        <w:spacing w:line="480" w:lineRule="auto"/>
      </w:pPr>
      <w:r>
        <w:t xml:space="preserve">4.10 Summary of the identification logic</w:t>
      </w:r>
    </w:p>
    <w:p>
      <w:pPr>
        <w:pStyle w:val="FirstParagraph"/>
        <w:spacing w:line="480" w:lineRule="auto"/>
      </w:pPr>
      <w:r>
        <w:t xml:space="preserve">The identification logic reduces to a single disciplined statement. The two estimators identify conditional associations within a retrieved corpus of thirty records: the intensity model recovers how topic signal relates to recency, citation, and venue family, and the accumulation model recovers how citation relates to age. Neither recovers a causal effect, and neither speaks for the physical coverage of orbits or for documents the retrieval never surfaced</w:t>
      </w:r>
      <w:r>
        <w:t xml:space="preserve"> </w:t>
      </w:r>
      <w:hyperlink w:anchor="ref-7">
        <w:r>
          <w:rPr>
            <w:rStyle w:val="Hyperlink"/>
          </w:rPr>
          <w:t xml:space="preserve">[7]</w:t>
        </w:r>
      </w:hyperlink>
      <w:r>
        <w:t xml:space="preserve"> </w:t>
      </w:r>
      <w:hyperlink w:anchor="ref-11">
        <w:r>
          <w:rPr>
            <w:rStyle w:val="Hyperlink"/>
          </w:rPr>
          <w:t xml:space="preserve">[11]</w:t>
        </w:r>
      </w:hyperlink>
      <w:r>
        <w:t xml:space="preserve">. What they do recover is exactly the object the dissertation set out to study, the structure of the record, and they recover it in a form that robust inference protects and that any reader can reproduce. Holding the estimators to that precise and limited claim is what lets the results chapter report coefficients as evidence about the record without the overreach that would undermine the whole design</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bookmarkEnd w:id="102"/>
    <w:bookmarkStart w:id="103" w:name="estimation-procedure-step-by-step"/>
    <w:p>
      <w:pPr>
        <w:pStyle w:val="Heading2"/>
        <w:spacing w:line="480" w:lineRule="auto"/>
      </w:pPr>
      <w:r>
        <w:t xml:space="preserve">4.11 Estimation procedure step by step</w:t>
      </w:r>
    </w:p>
    <w:p>
      <w:pPr>
        <w:pStyle w:val="FirstParagraph"/>
        <w:spacing w:line="480" w:lineRule="auto"/>
      </w:pPr>
      <w:r>
        <w:t xml:space="preserve">For completeness, the estimation procedure is worth walking through as a sequence, because its very ordinariness is part of the argument for trusting it. First, the thirty source records are assembled into a feature matrix by applying the deterministic construction rules to each record’s metadata, producing the recency index, citation count, venue score, signal score, age index, and citation-plus-one values. Second, the intensity model regresses the signal score on recency, citation, and venue with an intercept, using ordinary least squares, and the covariance matrix is adjusted to HC1 form to yield robust standard errors</w:t>
      </w:r>
      <w:r>
        <w:t xml:space="preserve"> </w:t>
      </w:r>
      <w:hyperlink w:anchor="ref-4">
        <w:r>
          <w:rPr>
            <w:rStyle w:val="Hyperlink"/>
          </w:rPr>
          <w:t xml:space="preserve">[4]</w:t>
        </w:r>
      </w:hyperlink>
      <w:r>
        <w:t xml:space="preserve">. Third, the fit statistics, the coefficient of determination, its adjusted form, the joint F-statistic and its p-value, are computed from the residuals.</w:t>
      </w:r>
    </w:p>
    <w:p>
      <w:pPr>
        <w:pStyle w:val="BodyText"/>
        <w:spacing w:line="480" w:lineRule="auto"/>
        <w:ind w:firstLine="720"/>
      </w:pPr>
      <w:r>
        <w:t xml:space="preserve">Fourth, the accumulation model takes the natural logarithm of citation-plus-one and of the age index, regresses the former on the latter with an intercept, again under ordinary least squares with HC1 standard errors, and reports the elasticity and the implied progress ratio at doubling</w:t>
      </w:r>
      <w:r>
        <w:t xml:space="preserve"> </w:t>
      </w:r>
      <w:hyperlink w:anchor="ref-12">
        <w:r>
          <w:rPr>
            <w:rStyle w:val="Hyperlink"/>
          </w:rPr>
          <w:t xml:space="preserve">[12]</w:t>
        </w:r>
      </w:hyperlink>
      <w:r>
        <w:t xml:space="preserve">. Fifth, both models emit their full term summaries, coefficient and p-value for every parameter, at native numerical precision. No step involves a tuning choice or a discretionary threshold; each is a mechanical consequence of the data and the stated specification. That mechanical quality is precisely what makes the whole procedure reproducible from the definitions alone, and it is why the results chapter can report the output as fact rather than as the analyst’s rendering of the data</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procedure’s transparency has one more benefit worth naming. Because every step is mechanical and every input is source-tagged, an error anywhere in the chain would be locatable rather than hidden: a mistaken feature value would trace to a specific record, a mistaken coefficient to a specific specification. A design whose faults are locatable is a design that can be corrected, and correctability is the quiet virtue that distinguishes a screen built for scrutiny from an analysis built for persuasion</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bookmarkEnd w:id="103"/>
    <w:bookmarkEnd w:id="104"/>
    <w:bookmarkStart w:id="115" w:name="chapter-5-data-and-measurement"/>
    <w:p>
      <w:pPr>
        <w:pStyle w:val="Heading1"/>
        <w:spacing w:line="480" w:lineRule="auto"/>
      </w:pPr>
      <w:r>
        <w:t xml:space="preserve">Chapter 5: Data and Measurement</w:t>
      </w:r>
    </w:p>
    <w:p>
      <w:pPr>
        <w:pStyle w:val="FirstParagraph"/>
        <w:spacing w:line="480" w:lineRule="auto"/>
      </w:pPr>
      <w:r>
        <w:t xml:space="preserve">Every claim in this dissertation resolves to a row in a workbook. Nothing floats free of the data. This chapter describes those rows: where they come from, how each variable is built, and what the sample can and cannot represent. The measurement philosophy is deterministic. Given the same retrieved records and the same construction rules, any reader would produce the same feature values, because no step depends on private judgment that cannot be reconstructed from the definitions stated here.</w:t>
      </w:r>
    </w:p>
    <w:bookmarkStart w:id="105" w:name="the-unit-of-observation-and-the-sample"/>
    <w:p>
      <w:pPr>
        <w:pStyle w:val="Heading2"/>
        <w:spacing w:line="480" w:lineRule="auto"/>
      </w:pPr>
      <w:r>
        <w:t xml:space="preserve">5.1 The unit of observation and the sample</w:t>
      </w:r>
    </w:p>
    <w:p>
      <w:pPr>
        <w:pStyle w:val="FirstParagraph"/>
        <w:spacing w:line="480" w:lineRule="auto"/>
      </w:pPr>
      <w:r>
        <w:t xml:space="preserve">The unit of observation is a retrieved source record. Each record corresponds to one document in the candidate retrieval: a conference paper, an archival journal article, or an entry from the space-economy and governance material. The estimation file contains thirty such records. That number is not an accident of convenience; it is the size of the retrieved corpus for this candidate topic once the deterministic retrieval and screening were applied, and it is reported honestly as the sample the design must work within.</w:t>
      </w:r>
    </w:p>
    <w:p>
      <w:pPr>
        <w:pStyle w:val="BodyText"/>
        <w:spacing w:line="480" w:lineRule="auto"/>
        <w:ind w:firstLine="720"/>
      </w:pPr>
      <w:r>
        <w:t xml:space="preserve">The records span a wide range of years, from a 2008 conference paper on space-based sensor coverage to 2026 journal articles, which gives the recency and age variables real variation to work with</w:t>
      </w:r>
      <w:r>
        <w:t xml:space="preserve"> </w:t>
      </w:r>
      <w:hyperlink w:anchor="ref-7">
        <w:r>
          <w:rPr>
            <w:rStyle w:val="Hyperlink"/>
          </w:rPr>
          <w:t xml:space="preserve">[7]</w:t>
        </w:r>
      </w:hyperlink>
      <w:r>
        <w:t xml:space="preserve"> </w:t>
      </w:r>
      <w:hyperlink w:anchor="ref-9">
        <w:r>
          <w:rPr>
            <w:rStyle w:val="Hyperlink"/>
          </w:rPr>
          <w:t xml:space="preserve">[9]</w:t>
        </w:r>
      </w:hyperlink>
      <w:r>
        <w:t xml:space="preserve">. They also span three venue families: the observation-network conference community, the archival aerospace journal literature, and a smaller set of space-economy and governance sources. The spread across venues is what makes the venue-family predictor meaningful rather than degenerate, and the spread across years is what makes the temporal predictors identifiable.</w:t>
      </w:r>
    </w:p>
    <w:p>
      <w:pPr>
        <w:pStyle w:val="BodyText"/>
        <w:spacing w:line="480" w:lineRule="auto"/>
        <w:ind w:firstLine="720"/>
      </w:pPr>
      <w:r>
        <w:t xml:space="preserve">Two features of the sample deserve early acknowledgment. It is small, which limits statistical power and is discussed as a threat to validity in Chapter 7. It is also a retrieved sample rather than a census, which means it represents the documents the retrieval surfaced for this topic, not the universe of all coverage research ever published. The dissertation’s claims are scoped to that retrieved corpus throughout, and no coefficient is asked to speak for documents the retrieval never saw</w:t>
      </w:r>
      <w:r>
        <w:t xml:space="preserve"> </w:t>
      </w:r>
      <w:hyperlink w:anchor="ref-2">
        <w:r>
          <w:rPr>
            <w:rStyle w:val="Hyperlink"/>
          </w:rPr>
          <w:t xml:space="preserve">[2]</w:t>
        </w:r>
      </w:hyperlink>
      <w:r>
        <w:t xml:space="preserve">.</w:t>
      </w:r>
    </w:p>
    <w:bookmarkEnd w:id="105"/>
    <w:bookmarkStart w:id="106" w:name="the-outcome-topic-signal-score"/>
    <w:p>
      <w:pPr>
        <w:pStyle w:val="Heading2"/>
        <w:spacing w:line="480" w:lineRule="auto"/>
      </w:pPr>
      <w:r>
        <w:t xml:space="preserve">5.2 The outcome: topic-signal score</w:t>
      </w:r>
    </w:p>
    <w:p>
      <w:pPr>
        <w:pStyle w:val="FirstParagraph"/>
        <w:spacing w:line="480" w:lineRule="auto"/>
      </w:pPr>
      <w:r>
        <w:t xml:space="preserve">The outcome variable in the intensity model is the topic-signal score, a composite count of how intensely a record engages the candidate theme. It is built deterministically from the metadata of each source: term hits for the candidate theme are counted across the source title, the retrieved snippet, the keyword field, and the author metadata, and the composite score aggregates those hits. Because the count is a fixed function of the recorded text fields, it is fully reconstructible; two analysts applying the same term set to the same records obtain the same score.</w:t>
      </w:r>
    </w:p>
    <w:p>
      <w:pPr>
        <w:pStyle w:val="BodyText"/>
        <w:spacing w:line="480" w:lineRule="auto"/>
        <w:ind w:firstLine="720"/>
      </w:pPr>
      <w:r>
        <w:t xml:space="preserve">The signal score in the retrieved corpus ranges from a low of 1, seen in several of the space-economy and governance records whose snippet and keyword fields were sparse, to a high of 7, seen in records whose titles and keyword fields densely engaged sensor geometry and coverage. A 2015 archival record on collisional risk assessment and a 2025 journal article on lunar navigation coverage both reach the top of the range, while several short governance entries sit at the floor. That spread is the variation the intensity model explains, and its construction from visible text fields is what keeps the outcome auditable rather than impressionistic</w:t>
      </w:r>
      <w:r>
        <w:t xml:space="preserve"> </w:t>
      </w:r>
      <w:hyperlink w:anchor="ref-5">
        <w:r>
          <w:rPr>
            <w:rStyle w:val="Hyperlink"/>
          </w:rPr>
          <w:t xml:space="preserve">[5]</w:t>
        </w:r>
      </w:hyperlink>
      <w:r>
        <w:t xml:space="preserve"> </w:t>
      </w:r>
      <w:hyperlink w:anchor="ref-15">
        <w:r>
          <w:rPr>
            <w:rStyle w:val="Hyperlink"/>
          </w:rPr>
          <w:t xml:space="preserve">[15]</w:t>
        </w:r>
      </w:hyperlink>
      <w:r>
        <w:t xml:space="preserve">.</w:t>
      </w:r>
    </w:p>
    <w:bookmarkEnd w:id="106"/>
    <w:bookmarkStart w:id="107" w:name="the-predictors-in-the-intensity-model"/>
    <w:p>
      <w:pPr>
        <w:pStyle w:val="Heading2"/>
        <w:spacing w:line="480" w:lineRule="auto"/>
      </w:pPr>
      <w:r>
        <w:t xml:space="preserve">5.3 The predictors in the intensity model</w:t>
      </w:r>
    </w:p>
    <w:p>
      <w:pPr>
        <w:pStyle w:val="FirstParagraph"/>
        <w:spacing w:line="480" w:lineRule="auto"/>
      </w:pPr>
      <w:r>
        <w:t xml:space="preserve">Three predictors enter the intensity model, each built from source metadata by a stated rule.</w:t>
      </w:r>
    </w:p>
    <w:p>
      <w:pPr>
        <w:pStyle w:val="BodyText"/>
        <w:spacing w:line="480" w:lineRule="auto"/>
        <w:ind w:firstLine="720"/>
      </w:pPr>
      <w:r>
        <w:t xml:space="preserve">The recency index is computed as the publication year minus the minimum publication year in the sample, plus one. With the earliest record dated 2008, the index runs from 1 for that record up to 19 for the 2026 records. The plus-one offset keeps the earliest record at a positive value rather than zero, which matters for interpretability without distorting the spacing. The index is a linear re-centering of the publication year, nothing more, and it is chosen so that larger values mean more recent work, matching the theoretical prediction that recency should raise topic intensity if the field’s gaze is sloped in time</w:t>
      </w:r>
      <w:r>
        <w:t xml:space="preserve"> </w:t>
      </w:r>
      <w:hyperlink w:anchor="ref-10">
        <w:r>
          <w:rPr>
            <w:rStyle w:val="Hyperlink"/>
          </w:rPr>
          <w:t xml:space="preserve">[10]</w:t>
        </w:r>
      </w:hyperlink>
      <w:r>
        <w:t xml:space="preserve">.</w:t>
      </w:r>
    </w:p>
    <w:p>
      <w:pPr>
        <w:pStyle w:val="BodyText"/>
        <w:spacing w:line="480" w:lineRule="auto"/>
        <w:ind w:firstLine="720"/>
      </w:pPr>
      <w:r>
        <w:t xml:space="preserve">The citation count is the reported figure from the local index, parsed directly from the retrieved metadata, and set to zero where the index reported no count. The distribution is highly skewed. Many records, particularly the conference papers and the governance entries, carry zero reported citations, while a handful of archival journal articles carry substantial counts, including one 2021 article reporting 71 citations and one 2023 article reporting 36</w:t>
      </w:r>
      <w:r>
        <w:t xml:space="preserve"> </w:t>
      </w:r>
      <w:hyperlink w:anchor="ref-11">
        <w:r>
          <w:rPr>
            <w:rStyle w:val="Hyperlink"/>
          </w:rPr>
          <w:t xml:space="preserve">[11]</w:t>
        </w:r>
      </w:hyperlink>
      <w:r>
        <w:t xml:space="preserve">. This skew is exactly why the accumulation model uses a log transform, and it is a substantive fact about the corpus: attention is concentrated in a few archival works rather than spread evenly.</w:t>
      </w:r>
    </w:p>
    <w:p>
      <w:pPr>
        <w:pStyle w:val="BodyText"/>
        <w:spacing w:line="480" w:lineRule="auto"/>
        <w:ind w:firstLine="720"/>
      </w:pPr>
      <w:r>
        <w:t xml:space="preserve">The venue-family score is an ordinal code: the observation-network conference family takes the value 1, the archival aerospace journal family takes 2, and the space-economy and governance family takes 3. The ordering reflects a move from the operational-engineering conference culture, through the archival journal culture, to the economics-and-governance culture. Because the code is ordinal, Chapter 7 cautions against reading its coefficient as a cardinal distance; a one-unit change from conference to journal is not asserted to be the same size as a one-unit change from journal to governance. The code exists to test whether venue family shifts topic intensity at all, not to measure the exact spacing between families</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bookmarkEnd w:id="107"/>
    <w:bookmarkStart w:id="108" w:name="the-accumulation-model-variables"/>
    <w:p>
      <w:pPr>
        <w:pStyle w:val="Heading2"/>
        <w:spacing w:line="480" w:lineRule="auto"/>
      </w:pPr>
      <w:r>
        <w:t xml:space="preserve">5.4 The accumulation-model variables</w:t>
      </w:r>
    </w:p>
    <w:p>
      <w:pPr>
        <w:pStyle w:val="FirstParagraph"/>
        <w:spacing w:line="480" w:lineRule="auto"/>
      </w:pPr>
      <w:r>
        <w:t xml:space="preserve">The accumulation model uses two variables built by their own stated rules. The outcome is citation count plus one, formed by adding one to the reported citation count so that the logarithm is defined even for the many uncited records; this preserves the ordering of citation counts while making the log transform legal across the whole sample. The regressor is the article-age index, computed as 2026 minus the publication year plus one, so that a 2026 article takes the value 1 and the 2008 article takes the value 19. Older work carries a larger age index, which sets up the naive expectation that citations, having had more time to accrue, would rise with age.</w:t>
      </w:r>
    </w:p>
    <w:p>
      <w:pPr>
        <w:pStyle w:val="BodyText"/>
        <w:spacing w:line="480" w:lineRule="auto"/>
        <w:ind w:firstLine="720"/>
      </w:pPr>
      <w:r>
        <w:t xml:space="preserve">The two constructions are intentionally symmetric with the intensity-model variables. Recency and age are mirror images of the same publication-year field, re-centered in opposite directions, and citation-plus-one is the log-ready form of the same citation field. Building the accumulation variables from the same underlying fields keeps the two models commensurable: they analyze the same thirty records through two lenses rather than two different datasets that happen to share a topic</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bookmarkEnd w:id="108"/>
    <w:bookmarkStart w:id="109" w:name="provenance-and-auditability"/>
    <w:p>
      <w:pPr>
        <w:pStyle w:val="Heading2"/>
        <w:spacing w:line="480" w:lineRule="auto"/>
      </w:pPr>
      <w:r>
        <w:t xml:space="preserve">5.5 Provenance and auditability</w:t>
      </w:r>
    </w:p>
    <w:p>
      <w:pPr>
        <w:pStyle w:val="FirstParagraph"/>
        <w:spacing w:line="480" w:lineRule="auto"/>
      </w:pPr>
      <w:r>
        <w:t xml:space="preserve">Each row in the estimation file preserves a source column, a direct pointer back to the document it was built from, whether that is a conference URL, a digital object identifier, or a named governance entry. This provenance is not incidental. It is the mechanism by which the entire empirical chain remains inspectable: a reader who doubts a signal score can open the named source and recount the term hits, and a reader who doubts a citation figure can trace it to the index entry that reported it. The design treats provenance as a first-class variable rather than as documentation added after the fact</w:t>
      </w:r>
      <w:r>
        <w:t xml:space="preserve"> </w:t>
      </w:r>
      <w:hyperlink w:anchor="ref-6">
        <w:r>
          <w:rPr>
            <w:rStyle w:val="Hyperlink"/>
          </w:rPr>
          <w:t xml:space="preserve">[6]</w:t>
        </w:r>
      </w:hyperlink>
      <w:r>
        <w:t xml:space="preserve">.</w:t>
      </w:r>
    </w:p>
    <w:p>
      <w:pPr>
        <w:pStyle w:val="BodyText"/>
        <w:spacing w:line="480" w:lineRule="auto"/>
        <w:ind w:firstLine="720"/>
      </w:pPr>
      <w:r>
        <w:t xml:space="preserve">Measurement error is present and named rather than hidden. Topic-signal scores depend on the term set and on the completeness of the snippet and keyword fields, which vary in richness across venue families; the governance entries in particular carry sparse snippets, which mechanically lowers their signal scores. Citation counts are local index measures, not universal citation totals, and they undercount relative to a comprehensive citation database. Venue coding is ordinal and coarse. None of these is fatal to a screen whose purpose is to detect gross structure, but each bounds how finely the results can be read, and Chapter 6 interprets the coefficients with those bounds in view rather than treating the thirty records as if they were a clean census</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09"/>
    <w:bookmarkStart w:id="110" w:name="X9c62b1a8546d31963bdfdb2cf5f082565200940"/>
    <w:p>
      <w:pPr>
        <w:pStyle w:val="Heading2"/>
        <w:spacing w:line="480" w:lineRule="auto"/>
      </w:pPr>
      <w:r>
        <w:t xml:space="preserve">5.6 The composition of the three venue families</w:t>
      </w:r>
    </w:p>
    <w:p>
      <w:pPr>
        <w:pStyle w:val="FirstParagraph"/>
        <w:spacing w:line="480" w:lineRule="auto"/>
      </w:pPr>
      <w:r>
        <w:t xml:space="preserve">Because the venue-family predictor turns out to carry the study’s one significant result, the composition of the three families deserves a closer look. The first family, coded 1, is the observation-network conference literature, drawn largely from the AMOS proceedings. These records engage the mechanics of coverage directly: network evaluation tools, heterogeneous sensor collection, optical tracking with commodity hardware, and photometric error</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Their titles and keyword fields are dense with the vocabulary of sensors and geometry, which is why their signal scores tend to sit toward the middle and upper part of the range.</w:t>
      </w:r>
    </w:p>
    <w:p>
      <w:pPr>
        <w:pStyle w:val="BodyText"/>
        <w:spacing w:line="480" w:lineRule="auto"/>
        <w:ind w:firstLine="720"/>
      </w:pPr>
      <w:r>
        <w:t xml:space="preserve">The second family, coded 2, is the archival aerospace journal literature, represented here by Acta Astronautica articles spanning constellation design for low Earth orbit surveillance, sensor-tasking evaluation in the geosynchronous belt, camera-fault handling in vision-based navigation, and lunar navigation coverage</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This family is where the reported citation counts concentrate, including the two heavily cited articles that dominate the attention distribution. Its signal scores are varied, because the family mixes tightly coverage-focused work with adjacent hardware and navigation studies whose engagement with coverage geometry is real but partial.</w:t>
      </w:r>
    </w:p>
    <w:p>
      <w:pPr>
        <w:pStyle w:val="BodyText"/>
        <w:spacing w:line="480" w:lineRule="auto"/>
        <w:ind w:firstLine="720"/>
      </w:pPr>
      <w:r>
        <w:t xml:space="preserve">The third family, coded 3, is the space-economy and governance material, including value-of-data work, sustainability-rating and integrated-deterrence entries, blockchain-enabled traffic-awareness concepts, and a doctoral thesis on an international space reference architecture</w:t>
      </w:r>
      <w:r>
        <w:t xml:space="preserve"> </w:t>
      </w:r>
      <w:hyperlink w:anchor="ref-11">
        <w:r>
          <w:rPr>
            <w:rStyle w:val="Hyperlink"/>
          </w:rPr>
          <w:t xml:space="preserve">[11]</w:t>
        </w:r>
      </w:hyperlink>
      <w:r>
        <w:t xml:space="preserve">. These records carry the sparsest metadata: several have empty snippet and keyword fields, which mechanically drives their signal scores to the floor of the range. This is the family whose thin engagement with coverage mechanics the venue coefficient will later register, and one caveat belongs here, in advance: part of that thinness is a metadata artifact and part is likely genuine.</w:t>
      </w:r>
    </w:p>
    <w:bookmarkEnd w:id="110"/>
    <w:bookmarkStart w:id="111" w:name="descriptive-patterns-before-estimation"/>
    <w:p>
      <w:pPr>
        <w:pStyle w:val="Heading2"/>
        <w:spacing w:line="480" w:lineRule="auto"/>
      </w:pPr>
      <w:r>
        <w:t xml:space="preserve">5.7 Descriptive patterns before estimation</w:t>
      </w:r>
    </w:p>
    <w:p>
      <w:pPr>
        <w:pStyle w:val="FirstParagraph"/>
        <w:spacing w:line="480" w:lineRule="auto"/>
      </w:pPr>
      <w:r>
        <w:t xml:space="preserve">Before any model is run, the raw descriptive patterns already hint at what the estimators will find, and setting them out here makes the Chapter 6 results less of a surprise and more of a confirmation. The citation distribution is severely right-skewed: a large majority of records report zero citations, while a handful of archival journal articles carry counts of 71, 36, 15, and 12</w:t>
      </w:r>
      <w:r>
        <w:t xml:space="preserve"> </w:t>
      </w:r>
      <w:hyperlink w:anchor="ref-11">
        <w:r>
          <w:rPr>
            <w:rStyle w:val="Hyperlink"/>
          </w:rPr>
          <w:t xml:space="preserve">[11]</w:t>
        </w:r>
      </w:hyperlink>
      <w:r>
        <w:t xml:space="preserve">. Any model of citation will be dominated by these few outliers, which foreshadows the weak fit of the accumulation model.</w:t>
      </w:r>
    </w:p>
    <w:p>
      <w:pPr>
        <w:pStyle w:val="BodyText"/>
        <w:spacing w:line="480" w:lineRule="auto"/>
        <w:ind w:firstLine="720"/>
      </w:pPr>
      <w:r>
        <w:t xml:space="preserve">The signal-score distribution, by contrast, is more even, ranging across the 1-to-7 scale with mass in the middle. Its variation tracks venue family visibly: the governance-family records cluster at the low end, the conference-family records sit higher, and the journal family spreads across the middle. That visible association between venue and signal is the descriptive shadow of the significant venue coefficient the intensity model will report</w:t>
      </w:r>
      <w:r>
        <w:t xml:space="preserve"> </w:t>
      </w:r>
      <w:hyperlink w:anchor="ref-1">
        <w:r>
          <w:rPr>
            <w:rStyle w:val="Hyperlink"/>
          </w:rPr>
          <w:t xml:space="preserve">[1]</w:t>
        </w:r>
      </w:hyperlink>
      <w:r>
        <w:t xml:space="preserve">.</w:t>
      </w:r>
    </w:p>
    <w:p>
      <w:pPr>
        <w:pStyle w:val="BodyText"/>
        <w:spacing w:line="480" w:lineRule="auto"/>
        <w:ind w:firstLine="720"/>
      </w:pPr>
      <w:r>
        <w:t xml:space="preserve">The temporal spread is wide but not obviously associated with signal intensity. Records from 2008, 2015, 2020, and 2025 all appear at both high and low signal scores, which foreshadows the null recency result: eyeballing the data, there is no evident tilt of intensity toward recent years</w:t>
      </w:r>
      <w:r>
        <w:t xml:space="preserve"> </w:t>
      </w:r>
      <w:hyperlink w:anchor="ref-10">
        <w:r>
          <w:rPr>
            <w:rStyle w:val="Hyperlink"/>
          </w:rPr>
          <w:t xml:space="preserve">[10]</w:t>
        </w:r>
      </w:hyperlink>
      <w:r>
        <w:t xml:space="preserve">. Laying out these descriptive patterns is not a substitute for the estimators, but it grounds them. When Chapter 6 reports a significant venue slope and null recency and citation slopes, the reader will already have seen those patterns in the raw distributions, which is the kind of coherence between description and inference that a trustworthy empirical chapter should exhibit</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11"/>
    <w:bookmarkStart w:id="112" w:name="a-worked-example-of-feature-construction"/>
    <w:p>
      <w:pPr>
        <w:pStyle w:val="Heading2"/>
        <w:spacing w:line="480" w:lineRule="auto"/>
      </w:pPr>
      <w:r>
        <w:t xml:space="preserve">5.8 A worked example of feature construction</w:t>
      </w:r>
    </w:p>
    <w:p>
      <w:pPr>
        <w:pStyle w:val="FirstParagraph"/>
        <w:spacing w:line="480" w:lineRule="auto"/>
      </w:pPr>
      <w:r>
        <w:t xml:space="preserve">To make the deterministic construction concrete rather than abstract, consider a single record end to end. The 2008 conference paper on space-based sensor coverage of Earth orbits is the earliest document in the sample</w:t>
      </w:r>
      <w:r>
        <w:t xml:space="preserve"> </w:t>
      </w:r>
      <w:hyperlink w:anchor="ref-7">
        <w:r>
          <w:rPr>
            <w:rStyle w:val="Hyperlink"/>
          </w:rPr>
          <w:t xml:space="preserve">[7]</w:t>
        </w:r>
      </w:hyperlink>
      <w:r>
        <w:t xml:space="preserve">. Its publication year of 2008 is the minimum year, so its recency index is 2008 minus 2008 plus one, which equals one, the floor of the recency scale. Its age index is 2026 minus 2008 plus one, which equals nineteen, the ceiling of the age scale. The record reports zero citations in the local index, so its citation count is zero and its citation-plus-one value is one. It belongs to the observation-network conference family, so its venue score is one.</w:t>
      </w:r>
    </w:p>
    <w:p>
      <w:pPr>
        <w:pStyle w:val="BodyText"/>
        <w:spacing w:line="480" w:lineRule="auto"/>
        <w:ind w:firstLine="720"/>
      </w:pPr>
      <w:r>
        <w:t xml:space="preserve">The signal score for this record is a count of candidate-theme term hits across its title, snippet, keyword, and author fields, and it comes to five on the 1-to-7 scale. Every one of these values follows mechanically from the record’s metadata and the stated rules; no judgment enters that a second analyst could not reproduce. This single row illustrates the whole construction philosophy: a document becomes a vector of features by the application of fixed rules to visible metadata, and the source column preserves the link back to the original so the vector can be checked</w:t>
      </w:r>
      <w:r>
        <w:t xml:space="preserve"> </w:t>
      </w:r>
      <w:hyperlink w:anchor="ref-6">
        <w:r>
          <w:rPr>
            <w:rStyle w:val="Hyperlink"/>
          </w:rPr>
          <w:t xml:space="preserve">[6]</w:t>
        </w:r>
      </w:hyperlink>
      <w:r>
        <w:t xml:space="preserve">.</w:t>
      </w:r>
    </w:p>
    <w:p>
      <w:pPr>
        <w:pStyle w:val="BodyText"/>
        <w:spacing w:line="480" w:lineRule="auto"/>
        <w:ind w:firstLine="720"/>
      </w:pPr>
      <w:r>
        <w:t xml:space="preserve">Working one record in full also exposes the design’s honesty about its own limits. This 2008 paper is substantively central to coverage geometry, yet it reports zero citations in the local index, a figure that a comprehensive citation database would surely exceed</w:t>
      </w:r>
      <w:r>
        <w:t xml:space="preserve"> </w:t>
      </w:r>
      <w:hyperlink w:anchor="ref-11">
        <w:r>
          <w:rPr>
            <w:rStyle w:val="Hyperlink"/>
          </w:rPr>
          <w:t xml:space="preserve">[11]</w:t>
        </w:r>
      </w:hyperlink>
      <w:r>
        <w:t xml:space="preserve">. The gap between its true influence and its recorded citation count is exactly the measurement error the design acknowledges, and seeing it in a single concrete record makes the later caution about the citation channel tangible rather than abstract</w:t>
      </w:r>
      <w:r>
        <w:t xml:space="preserve"> </w:t>
      </w:r>
      <w:hyperlink w:anchor="ref-8">
        <w:r>
          <w:rPr>
            <w:rStyle w:val="Hyperlink"/>
          </w:rPr>
          <w:t xml:space="preserve">[8]</w:t>
        </w:r>
      </w:hyperlink>
      <w:r>
        <w:t xml:space="preserve">.</w:t>
      </w:r>
    </w:p>
    <w:bookmarkEnd w:id="112"/>
    <w:bookmarkStart w:id="113" w:name="Xef9cc689e2629f20070948affd2bd388960311c"/>
    <w:p>
      <w:pPr>
        <w:pStyle w:val="Heading2"/>
        <w:spacing w:line="480" w:lineRule="auto"/>
      </w:pPr>
      <w:r>
        <w:t xml:space="preserve">5.9 Why these thirty records are the right test bed</w:t>
      </w:r>
    </w:p>
    <w:p>
      <w:pPr>
        <w:pStyle w:val="FirstParagraph"/>
        <w:spacing w:line="480" w:lineRule="auto"/>
      </w:pPr>
      <w:r>
        <w:t xml:space="preserve">A reader might wonder whether thirty records is too thin a test bed to deserve a dissertation. The answer turns on what the design is for. The purpose is a falsifiable screen, and a screen is valuable when it can rule proxies in or out even on a modest corpus. Thirty records with wide variation in year, citation, venue, and signal is enough to detect a gross venue gradient and to reveal that recency and citation carry no signal; it is not enough to estimate subtle magnitudes, and the design never claims it is</w:t>
      </w:r>
      <w:r>
        <w:t xml:space="preserve"> </w:t>
      </w:r>
      <w:hyperlink w:anchor="ref-4">
        <w:r>
          <w:rPr>
            <w:rStyle w:val="Hyperlink"/>
          </w:rPr>
          <w:t xml:space="preserve">[4]</w:t>
        </w:r>
      </w:hyperlink>
      <w:r>
        <w:t xml:space="preserve">.</w:t>
      </w:r>
    </w:p>
    <w:p>
      <w:pPr>
        <w:pStyle w:val="BodyText"/>
        <w:spacing w:line="480" w:lineRule="auto"/>
        <w:ind w:firstLine="720"/>
      </w:pPr>
      <w:r>
        <w:t xml:space="preserve">The corpus is also the right test bed because it is the actual retrieved literature for this candidate topic, not a convenience sample assembled to produce a result. Its skews, the citation concentration in a few journal articles, the sparse metadata of the governance entries, the wide temporal spread, are properties of the real record rather than artifacts of selection for effect</w:t>
      </w:r>
      <w:r>
        <w:t xml:space="preserve"> </w:t>
      </w:r>
      <w:hyperlink w:anchor="ref-2">
        <w:r>
          <w:rPr>
            <w:rStyle w:val="Hyperlink"/>
          </w:rPr>
          <w:t xml:space="preserve">[2]</w:t>
        </w:r>
      </w:hyperlink>
      <w:r>
        <w:t xml:space="preserve"> </w:t>
      </w:r>
      <w:hyperlink w:anchor="ref-11">
        <w:r>
          <w:rPr>
            <w:rStyle w:val="Hyperlink"/>
          </w:rPr>
          <w:t xml:space="preserve">[11]</w:t>
        </w:r>
      </w:hyperlink>
      <w:r>
        <w:t xml:space="preserve">. A screen run on the genuine retrieved corpus, with all its warts, is more informative about the state of the field than a cleaner but artificial sample would be. That authenticity, more than size, is what makes these thirty records a legitimate foundation for the falsifiable test the following chapter reports</w:t>
      </w:r>
      <w:r>
        <w:t xml:space="preserve"> </w:t>
      </w:r>
      <w:hyperlink w:anchor="ref-9">
        <w:r>
          <w:rPr>
            <w:rStyle w:val="Hyperlink"/>
          </w:rPr>
          <w:t xml:space="preserve">[9]</w:t>
        </w:r>
      </w:hyperlink>
      <w:r>
        <w:t xml:space="preserve">.</w:t>
      </w:r>
    </w:p>
    <w:bookmarkEnd w:id="113"/>
    <w:bookmarkStart w:id="114" w:name="from-measurement-to-inference"/>
    <w:p>
      <w:pPr>
        <w:pStyle w:val="Heading2"/>
        <w:spacing w:line="480" w:lineRule="auto"/>
      </w:pPr>
      <w:r>
        <w:t xml:space="preserve">5.10 From measurement to inference</w:t>
      </w:r>
    </w:p>
    <w:p>
      <w:pPr>
        <w:pStyle w:val="FirstParagraph"/>
        <w:spacing w:line="480" w:lineRule="auto"/>
      </w:pPr>
      <w:r>
        <w:t xml:space="preserve">The measurement decisions in this chapter are the hinge on which the inference in the next one turns, and it is worth naming that dependence explicitly. The venue result rests on the ordinal coding and on the term-hit signal score; the recency null rests on the year-based index; the citation results rest on the local index counts and the plus-one transform</w:t>
      </w:r>
      <w:r>
        <w:t xml:space="preserve"> </w:t>
      </w:r>
      <w:hyperlink w:anchor="ref-4">
        <w:r>
          <w:rPr>
            <w:rStyle w:val="Hyperlink"/>
          </w:rPr>
          <w:t xml:space="preserve">[4]</w:t>
        </w:r>
      </w:hyperlink>
      <w:r>
        <w:t xml:space="preserve">. Each of those constructions was defined by a fixed rule and illustrated on concrete records, so the coefficients the estimators produce are traceable all the way back to visible metadata. A reader who accepts the constructions can accept the coefficients, and a reader who doubts a coefficient can locate the doubt in a specific construction and a specific record rather than in an opaque analytic black box. That traceable chain, from raw source through deterministic feature to reported estimate, is the measurement chapter’s central deliverable, and it is what the results chapter now builds upon</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measurement philosophy, in sum, trades reach for rigor. It accepts a small, imperfect, thirty-record corpus and coarse ordinal coding in exchange for total reproducibility and full provenance</w:t>
      </w:r>
      <w:r>
        <w:t xml:space="preserve"> </w:t>
      </w:r>
      <w:hyperlink w:anchor="ref-2">
        <w:r>
          <w:rPr>
            <w:rStyle w:val="Hyperlink"/>
          </w:rPr>
          <w:t xml:space="preserve">[2]</w:t>
        </w:r>
      </w:hyperlink>
      <w:r>
        <w:t xml:space="preserve"> </w:t>
      </w:r>
      <w:hyperlink w:anchor="ref-11">
        <w:r>
          <w:rPr>
            <w:rStyle w:val="Hyperlink"/>
          </w:rPr>
          <w:t xml:space="preserve">[11]</w:t>
        </w:r>
      </w:hyperlink>
      <w:r>
        <w:t xml:space="preserve">. That trade is the right one for a falsifiable screen, because a screen earns its authority not from the size of its data but from the honesty of its construction. Every subsequent claim in this dissertation inherits that honesty, and the results chapter reports its coefficients knowing that each one can be walked back to a rule and a record</w:t>
      </w:r>
      <w:r>
        <w:t xml:space="preserve"> </w:t>
      </w:r>
      <w:hyperlink w:anchor="ref-4">
        <w:r>
          <w:rPr>
            <w:rStyle w:val="Hyperlink"/>
          </w:rPr>
          <w:t xml:space="preserve">[4]</w:t>
        </w:r>
      </w:hyperlink>
      <w:r>
        <w:t xml:space="preserve">.</w:t>
      </w:r>
    </w:p>
    <w:bookmarkEnd w:id="114"/>
    <w:bookmarkEnd w:id="115"/>
    <w:bookmarkStart w:id="126" w:name="chapter-6-results"/>
    <w:p>
      <w:pPr>
        <w:pStyle w:val="Heading1"/>
        <w:spacing w:line="480" w:lineRule="auto"/>
      </w:pPr>
      <w:r>
        <w:t xml:space="preserve">Chapter 6: Results</w:t>
      </w:r>
    </w:p>
    <w:p>
      <w:pPr>
        <w:pStyle w:val="FirstParagraph"/>
        <w:spacing w:line="480" w:lineRule="auto"/>
      </w:pPr>
      <w:r>
        <w:t xml:space="preserve">This chapter reports the estimator output exactly as the two models produced it and interprets the signs and magnitudes without softening. The numbers are the numbers. They do not bend to the thesis. Where a coefficient is precise, I read it as structure in the retrieved corpus; where it is imprecise, I read it as evidence against a strong claim and refuse to dress it up. Both models were estimated on the same thirty source records described in Chapter 5, using ordinary least squares point estimation with heteroskedasticity-robust HC1 standard errors.</w:t>
      </w:r>
    </w:p>
    <w:bookmarkStart w:id="116" w:name="the-intensity-model-1"/>
    <w:p>
      <w:pPr>
        <w:pStyle w:val="Heading2"/>
        <w:spacing w:line="480" w:lineRule="auto"/>
      </w:pPr>
      <w:r>
        <w:t xml:space="preserve">6.1 The intensity model</w:t>
      </w:r>
    </w:p>
    <w:p>
      <w:pPr>
        <w:pStyle w:val="FirstParagraph"/>
        <w:spacing w:line="480" w:lineRule="auto"/>
      </w:pPr>
      <w:r>
        <w:t xml:space="preserve">The intensity model regresses the topic-signal score on the recency index, the reported citation count, and the ordinal venue-family score. The overall fit is as follows. The model was estimated on N equal to 30 records. The coefficient of determination is R-squared equal to 0.2394685116226155, with an adjusted R-squared of 0.15171487834830188. The joint test of the model returns an F-statistic of 3.0603676184024735 with an associated p-value of 0.045851746774718205.</w:t>
      </w:r>
    </w:p>
    <w:p>
      <w:pPr>
        <w:pStyle w:val="BodyText"/>
        <w:spacing w:line="480" w:lineRule="auto"/>
        <w:ind w:firstLine="720"/>
      </w:pPr>
      <w:r>
        <w:t xml:space="preserve">Read that fit honestly. The model accounts for roughly twenty-four percent of the variation in topic-signal intensity across the thirty records, and about fifteen percent after adjusting for the three predictors it spends. The joint F-test clears the conventional five-percent threshold, though only just, at a p-value of about 0.046. So the three predictors together carry some genuine explanatory content, but the bulk of the variation in topic intensity, roughly three-quarters of it, lives outside recency, citation, and venue family. That is the first substantive result: the record is structured, but weakly, and most of what drives topic intensity in this corpus is not captured by these three metadata channels</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term-by-term output locates where that structure lives. The intercept, const, has a coefficient of 6.062316288669574 with a p-value of 1.2677490096556038e-15. The recency index has a coefficient of -0.0205376430458807 with a p-value of 0.7451330929241402. The citation count, cites_num, has a coefficient of 0.008012604651364854 with a p-value of 0.3593536612157835. The venue-family score has a coefficient of -1.101984855697401 with a p-value of 0.020302901156610192.</w:t>
      </w:r>
    </w:p>
    <w:bookmarkEnd w:id="116"/>
    <w:bookmarkStart w:id="117" w:name="interpreting-the-intensity-coefficients"/>
    <w:p>
      <w:pPr>
        <w:pStyle w:val="Heading2"/>
        <w:spacing w:line="480" w:lineRule="auto"/>
      </w:pPr>
      <w:r>
        <w:t xml:space="preserve">6.2 Interpreting the intensity coefficients</w:t>
      </w:r>
    </w:p>
    <w:p>
      <w:pPr>
        <w:pStyle w:val="FirstParagraph"/>
        <w:spacing w:line="480" w:lineRule="auto"/>
      </w:pPr>
      <w:r>
        <w:t xml:space="preserve">Take the predictors in the order the theory ranked them.</w:t>
      </w:r>
    </w:p>
    <w:p>
      <w:pPr>
        <w:pStyle w:val="BodyText"/>
        <w:spacing w:line="480" w:lineRule="auto"/>
        <w:ind w:firstLine="720"/>
      </w:pPr>
      <w:r>
        <w:t xml:space="preserve">The recency channel is null. Flat, and not by a little. The recency coefficient is -0.0205, essentially zero, and its p-value of 0.745 is nowhere near significance. The theory in Chapter 3 predicted a nonnegative recency slope under a field-growth story, in which coverage-equity concern rises as constellations proliferate. The data does not deliver it. Within this retrieved corpus, more recent sources do not engage the topic more intensely than older ones; the sign is even faintly negative, though the imprecision means the honest reading is simply no detectable temporal slope. The field-growth story finds no support in the timing of these records</w:t>
      </w:r>
      <w:r>
        <w:t xml:space="preserve"> </w:t>
      </w:r>
      <w:hyperlink w:anchor="ref-10">
        <w:r>
          <w:rPr>
            <w:rStyle w:val="Hyperlink"/>
          </w:rPr>
          <w:t xml:space="preserve">[10]</w:t>
        </w:r>
      </w:hyperlink>
      <w:r>
        <w:t xml:space="preserve">.</w:t>
      </w:r>
    </w:p>
    <w:p>
      <w:pPr>
        <w:pStyle w:val="BodyText"/>
        <w:spacing w:line="480" w:lineRule="auto"/>
        <w:ind w:firstLine="720"/>
      </w:pPr>
      <w:r>
        <w:t xml:space="preserve">The attention channel is also null. It points the right way but says nothing firm. The citation coefficient is 0.0080, positive as the theory predicted, but with a p-value of 0.359 it does not approach significance. The point estimate says that each additional reported citation is associated with a topic-signal score higher by about eight one-thousandths, a magnitude so small that even a heavily cited article would gain only a fraction of a signal point from its attention. The direction matches the prediction that topic-heavy work would also be attention-heavy, but the estimate is too imprecise to sustain the claim. Engaging the coverage topic intensely does not, in this corpus, buy citation attention</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venue channel is where the structure lives. The venue-family coefficient is -1.1020 with a p-value of 0.020, significant at the five-percent level. The sign is negative against the ordinal coding that runs from the conference family at 1, through the archival journal family at 2, to the space-economy and governance family at 3. So each step up that ordering is associated with a topic-signal score lower by about 1.1 points, on an outcome that ranges from 1 to 7. In plain terms, the observation-network conference literature carries the most intense engagement with sensor geometry and coverage, the archival journals somewhat less, and the space-economy and governance sources the least. That is a real and interpretable pattern: the intensity of coverage-and-geometry discourse is concentrated in the operational-engineering venues and thins as one moves toward the economics-and-governance venues</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intercept of 6.06 is the fitted signal score for the baseline, a highly significant anchor that simply locates the outcome scale and carries no independent theoretical weight. What matters is that of the three substantive channels, only venue family reaches significance, and it does so with a sign that says the governance literature engages the mechanics of coverage least intensely of the three families</w:t>
      </w:r>
      <w:r>
        <w:t xml:space="preserve"> </w:t>
      </w:r>
      <w:hyperlink w:anchor="ref-5">
        <w:r>
          <w:rPr>
            <w:rStyle w:val="Hyperlink"/>
          </w:rPr>
          <w:t xml:space="preserve">[5]</w:t>
        </w:r>
      </w:hyperlink>
      <w:r>
        <w:t xml:space="preserve">.</w:t>
      </w:r>
    </w:p>
    <w:bookmarkEnd w:id="117"/>
    <w:bookmarkStart w:id="118" w:name="the-accumulation-model-1"/>
    <w:p>
      <w:pPr>
        <w:pStyle w:val="Heading2"/>
        <w:spacing w:line="480" w:lineRule="auto"/>
      </w:pPr>
      <w:r>
        <w:t xml:space="preserve">6.3 The accumulation model</w:t>
      </w:r>
    </w:p>
    <w:p>
      <w:pPr>
        <w:pStyle w:val="FirstParagraph"/>
        <w:spacing w:line="480" w:lineRule="auto"/>
      </w:pPr>
      <w:r>
        <w:t xml:space="preserve">The accumulation model regresses the natural log of citation-count-plus-one on the natural log of the article-age index, in the log-log learning-curve form. It was estimated on the same N equal to 30 records. The fit is weak. The R-squared is 0.015057056743580821. The estimated elasticity, the coefficient on log age, is -0.19053413399675817, which the learning-curve framing converts to a progress ratio at doubling of 0.8762812326065944.</w:t>
      </w:r>
    </w:p>
    <w:p>
      <w:pPr>
        <w:pStyle w:val="BodyText"/>
        <w:spacing w:line="480" w:lineRule="auto"/>
        <w:ind w:firstLine="720"/>
      </w:pPr>
      <w:r>
        <w:t xml:space="preserve">The term output is as follows. The intercept, const, has a coefficient of 0.9511415056749869 with a p-value of 0.006390370136216763. The log-age regressor, _ln_x, has a coefficient of -0.19053413399675817 with a p-value of 0.2760190879142692.</w:t>
      </w:r>
    </w:p>
    <w:bookmarkEnd w:id="118"/>
    <w:bookmarkStart w:id="119" w:name="X8ae8693f6629ba4d04f4fbc79660f037a9bc6ba"/>
    <w:p>
      <w:pPr>
        <w:pStyle w:val="Heading2"/>
        <w:spacing w:line="480" w:lineRule="auto"/>
      </w:pPr>
      <w:r>
        <w:t xml:space="preserve">6.4 Interpreting the accumulation coefficients</w:t>
      </w:r>
    </w:p>
    <w:p>
      <w:pPr>
        <w:pStyle w:val="FirstParagraph"/>
        <w:spacing w:line="480" w:lineRule="auto"/>
      </w:pPr>
      <w:r>
        <w:t xml:space="preserve">The headline is the fit. An R-squared of about 0.015 means the age index explains roughly one and a half percent of the variation in log citations across these records. That is negligible. Article age, in this corpus, does not predict citation accumulation in any meaningful sense. Whatever governs which of these documents get cited, it is overwhelmingly something other than how long they have been on the shelf</w:t>
      </w:r>
      <w:r>
        <w:t xml:space="preserve"> </w:t>
      </w:r>
      <w:hyperlink w:anchor="ref-12">
        <w:r>
          <w:rPr>
            <w:rStyle w:val="Hyperlink"/>
          </w:rPr>
          <w:t xml:space="preserve">[12]</w:t>
        </w:r>
      </w:hyperlink>
      <w:r>
        <w:t xml:space="preserve">.</w:t>
      </w:r>
    </w:p>
    <w:p>
      <w:pPr>
        <w:pStyle w:val="BodyText"/>
        <w:spacing w:line="480" w:lineRule="auto"/>
        <w:ind w:firstLine="720"/>
      </w:pPr>
      <w:r>
        <w:t xml:space="preserve">The slope reinforces the point. The elasticity is -0.1905, and its p-value of 0.276 is not significant. The naive time-on-shelf story predicted a positive slope: older work, having had more years to accrue citations, should carry more of them. The point estimate runs the other way, faintly negative, which would be consistent with a fast-moving field that discounts older work in favor of recent contributions. Given the p-value, though, the disciplined reading is that the age-citation relationship is indistinguishable from flat. The progress ratio of about 0.876 says that, taking the point estimate at face value, doubling an article’s age is associated with citations falling to roughly 88 percent of their prior level, but the imprecision means this magnitude should not be leaned on</w:t>
      </w:r>
      <w:r>
        <w:t xml:space="preserve"> </w:t>
      </w:r>
      <w:hyperlink w:anchor="ref-5">
        <w:r>
          <w:rPr>
            <w:rStyle w:val="Hyperlink"/>
          </w:rPr>
          <w:t xml:space="preserve">[5]</w:t>
        </w:r>
      </w:hyperlink>
      <w:r>
        <w:t xml:space="preserve">.</w:t>
      </w:r>
    </w:p>
    <w:p>
      <w:pPr>
        <w:pStyle w:val="BodyText"/>
        <w:spacing w:line="480" w:lineRule="auto"/>
        <w:ind w:firstLine="720"/>
      </w:pPr>
      <w:r>
        <w:t xml:space="preserve">The intercept of 0.951 is significant, which only reflects that citation-plus-one is bounded below by one and that the baseline log-citation level is well determined; it is not evidence for an age effect. The substantive result of the accumulation model is a non-result, and it is an informative one: citation attention in this retrieved corpus is not a smooth function of age but is instead dominated by a few heavily cited archival outliers, the 71-citation and 36-citation articles noted in Chapter 5, against a large mass of zero-citation records</w:t>
      </w:r>
      <w:r>
        <w:t xml:space="preserve"> </w:t>
      </w:r>
      <w:hyperlink w:anchor="ref-11">
        <w:r>
          <w:rPr>
            <w:rStyle w:val="Hyperlink"/>
          </w:rPr>
          <w:t xml:space="preserve">[11]</w:t>
        </w:r>
      </w:hyperlink>
      <w:r>
        <w:t xml:space="preserve">.</w:t>
      </w:r>
    </w:p>
    <w:bookmarkEnd w:id="119"/>
    <w:bookmarkStart w:id="120" w:name="the-two-models-read-together"/>
    <w:p>
      <w:pPr>
        <w:pStyle w:val="Heading2"/>
        <w:spacing w:line="480" w:lineRule="auto"/>
      </w:pPr>
      <w:r>
        <w:t xml:space="preserve">6.5 The two models read together</w:t>
      </w:r>
    </w:p>
    <w:p>
      <w:pPr>
        <w:pStyle w:val="FirstParagraph"/>
        <w:spacing w:line="480" w:lineRule="auto"/>
      </w:pPr>
      <w:r>
        <w:t xml:space="preserve">The two estimators tell a consistent, restrained story. The intensity model finds that the record is structured, but that the structure is narrow: venue family carries a significant signal while recency and citation attention do not. The accumulation model finds that citation attention does not accrue predictably with age at all, which independently corroborates why the citation channel in the intensity model was too noisy to reach significance. Attention in this corpus is lumpy and idiosyncratic rather than systematic, so neither model can lean on it.</w:t>
      </w:r>
    </w:p>
    <w:p>
      <w:pPr>
        <w:pStyle w:val="BodyText"/>
        <w:spacing w:line="480" w:lineRule="auto"/>
        <w:ind w:firstLine="720"/>
      </w:pPr>
      <w:r>
        <w:t xml:space="preserve">What survives is the venue result. Across thirty records, the most intense engagement with sensor geometry and coverage sits in the observation-network conference literature and thins toward the governance venues, a pattern significant at the five-percent level and stable in sign. That single finding is the empirical yield of the design. It is smaller than a triumphant thesis would want and larger than nothing, and reporting it at exactly that size, with the recency, attention, and accumulation channels all returning nulls, is the honest result the two models produce</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bookmarkEnd w:id="120"/>
    <w:bookmarkStart w:id="121" w:name="magnitude-in-context"/>
    <w:p>
      <w:pPr>
        <w:pStyle w:val="Heading2"/>
        <w:spacing w:line="480" w:lineRule="auto"/>
      </w:pPr>
      <w:r>
        <w:t xml:space="preserve">6.6 Magnitude in context</w:t>
      </w:r>
    </w:p>
    <w:p>
      <w:pPr>
        <w:pStyle w:val="FirstParagraph"/>
        <w:spacing w:line="480" w:lineRule="auto"/>
      </w:pPr>
      <w:r>
        <w:t xml:space="preserve">Numbers acquire meaning only against a scale, so it is worth placing the two headline magnitudes against the ranges established in Chapter 5. The venue coefficient of -1.1020 operates on an outcome that runs from 1 to 7, a span of six points. A full move across the venue ordering, from the conference family at 1 to the governance family at 3, implies a fitted change of roughly 2.2 points, which is about a third of the entire outcome range. That is not a negligible shift. A third of the scale, attributable to venue family alone, is a substantively meaningful gradient, and it is the reason the venue result is treated as the design’s real yield rather than as a statistical curiosity that happened to clear a threshold</w:t>
      </w:r>
      <w:r>
        <w:t xml:space="preserve"> </w:t>
      </w:r>
      <w:hyperlink w:anchor="ref-11">
        <w:r>
          <w:rPr>
            <w:rStyle w:val="Hyperlink"/>
          </w:rPr>
          <w:t xml:space="preserve">[11]</w:t>
        </w:r>
      </w:hyperlink>
      <w:r>
        <w:t xml:space="preserve">.</w:t>
      </w:r>
    </w:p>
    <w:p>
      <w:pPr>
        <w:pStyle w:val="BodyText"/>
        <w:spacing w:line="480" w:lineRule="auto"/>
        <w:ind w:firstLine="720"/>
      </w:pPr>
      <w:r>
        <w:t xml:space="preserve">Set that against the citation coefficient of 0.0080. The most-cited record in the corpus reports 71 citations</w:t>
      </w:r>
      <w:r>
        <w:t xml:space="preserve"> </w:t>
      </w:r>
      <w:hyperlink w:anchor="ref-11">
        <w:r>
          <w:rPr>
            <w:rStyle w:val="Hyperlink"/>
          </w:rPr>
          <w:t xml:space="preserve">[11]</w:t>
        </w:r>
      </w:hyperlink>
      <w:r>
        <w:t xml:space="preserve">. Multiplying that by the coefficient gives a fitted contribution of about 0.57 signal points from citation attention, and that is for the single most extreme outlier in the whole sample; for the typical record with zero or a handful of citations, the citation contribution is essentially nothing. So even taking the imprecise point estimate at face value, citation attention moves the outcome by a fraction of a point across almost the entire sample, which is why the channel is both insignificant and, in practical terms, inert. The recency coefficient of -0.0205 tells the same story: across the full recency range of 1 to 19, the implied swing is under 0.4 points, and it is not distinguishable from zero</w:t>
      </w:r>
      <w:r>
        <w:t xml:space="preserve"> </w:t>
      </w:r>
      <w:hyperlink w:anchor="ref-10">
        <w:r>
          <w:rPr>
            <w:rStyle w:val="Hyperlink"/>
          </w:rPr>
          <w:t xml:space="preserve">[10]</w:t>
        </w:r>
      </w:hyperlink>
      <w:r>
        <w:t xml:space="preserve">.</w:t>
      </w:r>
    </w:p>
    <w:p>
      <w:pPr>
        <w:pStyle w:val="BodyText"/>
        <w:spacing w:line="480" w:lineRule="auto"/>
        <w:ind w:firstLine="720"/>
      </w:pPr>
      <w:r>
        <w:t xml:space="preserve">These magnitude comparisons matter because significance and substance can diverge. Here they align. The one channel that is statistically significant, venue, is also the one channel whose fitted effect spans a meaningful fraction of the outcome scale, while the two insignificant channels are also substantively small. A screen that produced a significant but trivially small effect, or a large but insignificant one, would be harder to interpret; this one produces a coherent picture in which the surviving effect is both real and sizeable</w:t>
      </w:r>
      <w:r>
        <w:t xml:space="preserve"> </w:t>
      </w:r>
      <w:hyperlink w:anchor="ref-4">
        <w:r>
          <w:rPr>
            <w:rStyle w:val="Hyperlink"/>
          </w:rPr>
          <w:t xml:space="preserve">[4]</w:t>
        </w:r>
      </w:hyperlink>
      <w:r>
        <w:t xml:space="preserve">.</w:t>
      </w:r>
    </w:p>
    <w:bookmarkEnd w:id="121"/>
    <w:bookmarkStart w:id="122" w:name="robustness-of-the-reported-output"/>
    <w:p>
      <w:pPr>
        <w:pStyle w:val="Heading2"/>
        <w:spacing w:line="480" w:lineRule="auto"/>
      </w:pPr>
      <w:r>
        <w:t xml:space="preserve">6.7 Robustness of the reported output</w:t>
      </w:r>
    </w:p>
    <w:p>
      <w:pPr>
        <w:pStyle w:val="FirstParagraph"/>
        <w:spacing w:line="480" w:lineRule="auto"/>
      </w:pPr>
      <w:r>
        <w:t xml:space="preserve">A reader should ask how fragile these numbers are, and the honest answer is that the design was built to make that question answerable rather than to make the numbers look sturdier than they are. The standard errors are HC1-robust, so the significance of the venue coefficient does not depend on an assumption of constant error variance across the venue families, which given their differing metadata richness would have been indefensible</w:t>
      </w:r>
      <w:r>
        <w:t xml:space="preserve"> </w:t>
      </w:r>
      <w:hyperlink w:anchor="ref-4">
        <w:r>
          <w:rPr>
            <w:rStyle w:val="Hyperlink"/>
          </w:rPr>
          <w:t xml:space="preserve">[4]</w:t>
        </w:r>
      </w:hyperlink>
      <w:r>
        <w:t xml:space="preserve">. The venue result survives that robustness adjustment, which is part of why it is trusted.</w:t>
      </w:r>
    </w:p>
    <w:p>
      <w:pPr>
        <w:pStyle w:val="BodyText"/>
        <w:spacing w:line="480" w:lineRule="auto"/>
        <w:ind w:firstLine="720"/>
      </w:pPr>
      <w:r>
        <w:t xml:space="preserve">The accumulation model’s weakness is also robust, in the sense that it is not an artifact of a single specification choice. The R-squared near 0.015 reflects a genuine feature of the data, the dominance of a few heavily cited outliers over a mass of zero-citation records, and no reasonable respecification of a single-regressor age model would rescue a fit from that distribution</w:t>
      </w:r>
      <w:r>
        <w:t xml:space="preserve"> </w:t>
      </w:r>
      <w:hyperlink w:anchor="ref-12">
        <w:r>
          <w:rPr>
            <w:rStyle w:val="Hyperlink"/>
          </w:rPr>
          <w:t xml:space="preserve">[12]</w:t>
        </w:r>
      </w:hyperlink>
      <w:r>
        <w:t xml:space="preserve">. The citation-plus-one transform is the standard remedy for the zeros, and it is applied uniformly; the weak fit persists through it because the underlying attention process is lumpy, not because the transform distorted anything.</w:t>
      </w:r>
    </w:p>
    <w:p>
      <w:pPr>
        <w:pStyle w:val="BodyText"/>
        <w:spacing w:line="480" w:lineRule="auto"/>
        <w:ind w:firstLine="720"/>
      </w:pPr>
      <w:r>
        <w:t xml:space="preserve">What the output cannot claim is stability against a different corpus. Thirty records is a small foundation, and the specific coefficients would move if the retrieval surfaced different documents. The venue direction is likely to be robust, since it reflects a structural difference between engineering and governance venues that a larger sample would probably preserve, but the exact -1.1020 is not a fixed constant of the field. Reporting the numbers to full precision is a commitment to reproducibility from these records, not a claim that these are the field’s true parameters. That distinction, between reproducible and universal, is the last thing the results chapter asks the reader to hold onto before the discussion turns to what the pattern means</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122"/>
    <w:bookmarkStart w:id="123" w:name="X77990b8e689daf3a20c599778c09311c111ee64"/>
    <w:p>
      <w:pPr>
        <w:pStyle w:val="Heading2"/>
        <w:spacing w:line="480" w:lineRule="auto"/>
      </w:pPr>
      <w:r>
        <w:t xml:space="preserve">6.8 Checking the results against the pre-stated expectations</w:t>
      </w:r>
    </w:p>
    <w:p>
      <w:pPr>
        <w:pStyle w:val="FirstParagraph"/>
        <w:spacing w:line="480" w:lineRule="auto"/>
      </w:pPr>
      <w:r>
        <w:t xml:space="preserve">The theory chapter committed to a set of expectations before any coefficient was seen, and intellectual discipline requires checking the output against them rather than reinterpreting the theory to fit. Four expectations were on the record. Recency was expected to carry a nonnegative slope under the field-growth story; the estimate is -0.0205 and insignificant, so the expectation is not met and the field-growth reading is rejected for this corpus</w:t>
      </w:r>
      <w:r>
        <w:t xml:space="preserve"> </w:t>
      </w:r>
      <w:hyperlink w:anchor="ref-10">
        <w:r>
          <w:rPr>
            <w:rStyle w:val="Hyperlink"/>
          </w:rPr>
          <w:t xml:space="preserve">[10]</w:t>
        </w:r>
      </w:hyperlink>
      <w:r>
        <w:t xml:space="preserve">. Citation attention was expected to carry a nonnegative slope; the estimate is a positive 0.0080 but insignificant, so the sign matches while the significance does not, and the honest verdict is no detectable effect</w:t>
      </w:r>
      <w:r>
        <w:t xml:space="preserve"> </w:t>
      </w:r>
      <w:hyperlink w:anchor="ref-3">
        <w:r>
          <w:rPr>
            <w:rStyle w:val="Hyperlink"/>
          </w:rPr>
          <w:t xml:space="preserve">[3]</w:t>
        </w:r>
      </w:hyperlink>
      <w:r>
        <w:t xml:space="preserve">.</w:t>
      </w:r>
    </w:p>
    <w:p>
      <w:pPr>
        <w:pStyle w:val="BodyText"/>
        <w:spacing w:line="480" w:lineRule="auto"/>
        <w:ind w:firstLine="720"/>
      </w:pPr>
      <w:r>
        <w:t xml:space="preserve">Venue family was expected to show a monotone gradient across the ordering, with the sign left to the data; the estimate is -1.1020 and significant, delivering exactly the monotone gradient the theory anticipated, with intensity falling from the conference family toward the governance family</w:t>
      </w:r>
      <w:r>
        <w:t xml:space="preserve"> </w:t>
      </w:r>
      <w:hyperlink w:anchor="ref-11">
        <w:r>
          <w:rPr>
            <w:rStyle w:val="Hyperlink"/>
          </w:rPr>
          <w:t xml:space="preserve">[11]</w:t>
        </w:r>
      </w:hyperlink>
      <w:r>
        <w:t xml:space="preserve">. The accumulation model’s naive time-on-shelf expectation was a positive age slope; the estimate is a negative -0.1905 and insignificant against a near-zero fit, so the naive expectation is rejected and the fast-moving-field reading is weakly and inconclusively suggested</w:t>
      </w:r>
      <w:r>
        <w:t xml:space="preserve"> </w:t>
      </w:r>
      <w:hyperlink w:anchor="ref-12">
        <w:r>
          <w:rPr>
            <w:rStyle w:val="Hyperlink"/>
          </w:rPr>
          <w:t xml:space="preserve">[12]</w:t>
        </w:r>
      </w:hyperlink>
      <w:r>
        <w:t xml:space="preserve">. Three of four expectations were not met in the direction of a strong effect, and the one that was met, venue, was met cleanly.</w:t>
      </w:r>
    </w:p>
    <w:p>
      <w:pPr>
        <w:pStyle w:val="BodyText"/>
        <w:spacing w:line="480" w:lineRule="auto"/>
        <w:ind w:firstLine="720"/>
      </w:pPr>
      <w:r>
        <w:t xml:space="preserve">This scorecard is the proper way to close the results, because it prevents the retrospective rescue of the theory. The dissertation predicted four things, found one, and reports the tally honestly. A study that had quietly adjusted its expectations after seeing the coefficients would have learned nothing falsifiable; this one committed in advance and now records which commitments survived contact with the data</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23"/>
    <w:bookmarkStart w:id="124" w:name="the-figure-and-what-it-shows"/>
    <w:p>
      <w:pPr>
        <w:pStyle w:val="Heading2"/>
        <w:spacing w:line="480" w:lineRule="auto"/>
      </w:pPr>
      <w:r>
        <w:t xml:space="preserve">6.9 The figure and what it shows</w:t>
      </w:r>
    </w:p>
    <w:p>
      <w:pPr>
        <w:pStyle w:val="FirstParagraph"/>
        <w:spacing w:line="480" w:lineRule="auto"/>
      </w:pPr>
      <w:r>
        <w:t xml:space="preserve">The intensity model is accompanied by a plot of topic-signal score against the recency index, conditioning on citation attention and venue family, and reading that figure reinforces the coefficient story. The scatter shows no upward drift of signal score as the recency index rises: high-signal records appear at low recency values, such as the 2008 and 2010 conference papers, and low-signal records appear at high recency values, such as several 2025 governance-adjacent entries</w:t>
      </w:r>
      <w:r>
        <w:t xml:space="preserve"> </w:t>
      </w:r>
      <w:hyperlink w:anchor="ref-7">
        <w:r>
          <w:rPr>
            <w:rStyle w:val="Hyperlink"/>
          </w:rPr>
          <w:t xml:space="preserve">[7]</w:t>
        </w:r>
      </w:hyperlink>
      <w:r>
        <w:t xml:space="preserve"> </w:t>
      </w:r>
      <w:hyperlink w:anchor="ref-10">
        <w:r>
          <w:rPr>
            <w:rStyle w:val="Hyperlink"/>
          </w:rPr>
          <w:t xml:space="preserve">[10]</w:t>
        </w:r>
      </w:hyperlink>
      <w:r>
        <w:t xml:space="preserve">. The visual flatness of the recency relationship is the eye’s confirmation of the insignificant recency coefficient.</w:t>
      </w:r>
    </w:p>
    <w:p>
      <w:pPr>
        <w:pStyle w:val="BodyText"/>
        <w:spacing w:line="480" w:lineRule="auto"/>
        <w:ind w:firstLine="720"/>
      </w:pPr>
      <w:r>
        <w:t xml:space="preserve">What the figure does show, if one marks the points by venue family, is the vertical separation that the venue coefficient captures. Conference-family points sit higher on the signal axis on average, governance-family points sit lower, and journal-family points spread between them, exactly the gradient the -1.1020 coefficient encodes</w:t>
      </w:r>
      <w:r>
        <w:t xml:space="preserve"> </w:t>
      </w:r>
      <w:hyperlink w:anchor="ref-11">
        <w:r>
          <w:rPr>
            <w:rStyle w:val="Hyperlink"/>
          </w:rPr>
          <w:t xml:space="preserve">[11]</w:t>
        </w:r>
      </w:hyperlink>
      <w:r>
        <w:t xml:space="preserve">. The figure thus carries the same message as the regression table: no temporal slope, a clear venue separation. Presenting the visual alongside the numbers is not decoration; it lets a reader who trusts a scatter more than a coefficient reach the same conclusion by a different route, and the agreement between the two is part of what makes the venue finding credible and the recency null convincing</w:t>
      </w:r>
      <w:r>
        <w:t xml:space="preserve"> </w:t>
      </w:r>
      <w:hyperlink w:anchor="ref-13">
        <w:r>
          <w:rPr>
            <w:rStyle w:val="Hyperlink"/>
          </w:rPr>
          <w:t xml:space="preserve">[13]</w:t>
        </w:r>
      </w:hyperlink>
      <w:r>
        <w:t xml:space="preserve">.</w:t>
      </w:r>
    </w:p>
    <w:bookmarkEnd w:id="124"/>
    <w:bookmarkStart w:id="125" w:name="what-the-results-chapter-does-not-claim"/>
    <w:p>
      <w:pPr>
        <w:pStyle w:val="Heading2"/>
        <w:spacing w:line="480" w:lineRule="auto"/>
      </w:pPr>
      <w:r>
        <w:t xml:space="preserve">6.10 What the results chapter does not claim</w:t>
      </w:r>
    </w:p>
    <w:p>
      <w:pPr>
        <w:pStyle w:val="FirstParagraph"/>
        <w:spacing w:line="480" w:lineRule="auto"/>
      </w:pPr>
      <w:r>
        <w:t xml:space="preserve">Before handing off to the discussion, it is worth stating flatly what these numbers do not say, so that no reader carries a claim the coefficients never made. They do not say that orbits are inequitably covered; the outcome is a topic signal in the record, not a coverage measure in space</w:t>
      </w:r>
      <w:r>
        <w:t xml:space="preserve"> </w:t>
      </w:r>
      <w:hyperlink w:anchor="ref-7">
        <w:r>
          <w:rPr>
            <w:rStyle w:val="Hyperlink"/>
          </w:rPr>
          <w:t xml:space="preserve">[7]</w:t>
        </w:r>
      </w:hyperlink>
      <w:r>
        <w:t xml:space="preserve">. They do not say that venue causes topic intensity; the venue coefficient is an association within a retrieved corpus. They do not say that the field is failing or succeeding at coverage equity; that verdict is beyond a metadata screen</w:t>
      </w:r>
      <w:r>
        <w:t xml:space="preserve"> </w:t>
      </w:r>
      <w:hyperlink w:anchor="ref-11">
        <w:r>
          <w:rPr>
            <w:rStyle w:val="Hyperlink"/>
          </w:rPr>
          <w:t xml:space="preserve">[11]</w:t>
        </w:r>
      </w:hyperlink>
      <w:r>
        <w:t xml:space="preserve">. And they do not say that these exact coefficients would recur in a different corpus. The results chapter reports four estimates and their precision, interprets their signs and magnitudes against the pre-stated expectations, and stops. Everything past that boundary belongs to the discussion, where the evidence is weighed rather than merely reported</w:t>
      </w:r>
      <w:r>
        <w:t xml:space="preserve"> </w:t>
      </w:r>
      <w:hyperlink w:anchor="ref-9">
        <w:r>
          <w:rPr>
            <w:rStyle w:val="Hyperlink"/>
          </w:rPr>
          <w:t xml:space="preserve">[9]</w:t>
        </w:r>
      </w:hyperlink>
      <w:r>
        <w:t xml:space="preserve">.</w:t>
      </w:r>
    </w:p>
    <w:bookmarkEnd w:id="125"/>
    <w:bookmarkEnd w:id="126"/>
    <w:bookmarkStart w:id="137"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modest, and a modest result deserves a careful discussion rather than an inflated one. Modesty is not the same as emptiness. This chapter asks what the venue finding means, what the nulls mean, and where the design could mislead a reader who leaned on it too hard. The governing posture is that a screen has done its job when it tells you which claims the record can support and which it cannot, and this screen has been clear on both counts.</w:t>
      </w:r>
    </w:p>
    <w:bookmarkStart w:id="127" w:name="what-the-venue-finding-means"/>
    <w:p>
      <w:pPr>
        <w:pStyle w:val="Heading2"/>
        <w:spacing w:line="480" w:lineRule="auto"/>
      </w:pPr>
      <w:r>
        <w:t xml:space="preserve">7.1 What the venue finding means</w:t>
      </w:r>
    </w:p>
    <w:p>
      <w:pPr>
        <w:pStyle w:val="FirstParagraph"/>
        <w:spacing w:line="480" w:lineRule="auto"/>
      </w:pPr>
      <w:r>
        <w:t xml:space="preserve">The one significant result is that topic-signal intensity declines as one moves from the observation-network conference family, through the archival aerospace journals, to the space-economy and governance sources, with a coefficient of about -1.1 points on a 1-to-7 scale and a p-value of 0.020. Two readings are available, and they are not mutually exclusive.</w:t>
      </w:r>
    </w:p>
    <w:p>
      <w:pPr>
        <w:pStyle w:val="BodyText"/>
        <w:spacing w:line="480" w:lineRule="auto"/>
        <w:ind w:firstLine="720"/>
      </w:pPr>
      <w:r>
        <w:t xml:space="preserve">The first reading is epistemic culture. The observation-network conference literature exists to solve coverage and geometry problems, so it is unsurprising that its documents engage those themes most densely; the governance sources exist to argue about norms, institutions, and value, so they engage the mechanics of coverage more glancingly even when coverage is their ultimate subject</w:t>
      </w:r>
      <w:r>
        <w:t xml:space="preserve"> </w:t>
      </w:r>
      <w:hyperlink w:anchor="ref-1">
        <w:r>
          <w:rPr>
            <w:rStyle w:val="Hyperlink"/>
          </w:rPr>
          <w:t xml:space="preserve">[1]</w:t>
        </w:r>
      </w:hyperlink>
      <w:r>
        <w:t xml:space="preserve"> </w:t>
      </w:r>
      <w:hyperlink w:anchor="ref-11">
        <w:r>
          <w:rPr>
            <w:rStyle w:val="Hyperlink"/>
          </w:rPr>
          <w:t xml:space="preserve">[11]</w:t>
        </w:r>
      </w:hyperlink>
      <w:r>
        <w:t xml:space="preserve">. On this reading, the venue coefficient is a fingerprint of what each community is for, and it says something the field already half-knew but had not measured: the discourse about the physics of who-gets-seen is concentrated among the engineers, while the governance community talks around coverage rather than through its mechanics.</w:t>
      </w:r>
    </w:p>
    <w:p>
      <w:pPr>
        <w:pStyle w:val="BodyText"/>
        <w:spacing w:line="480" w:lineRule="auto"/>
        <w:ind w:firstLine="720"/>
      </w:pPr>
      <w:r>
        <w:t xml:space="preserve">The second reading is the one that matters for coverage equity. If the intense, mechanistic engagement with sensor geometry lives in the conference venues and thins toward the governance venues, then the governance conversation is operating at a distance from the technical substance that would let it adjudicate equity claims. A norm about equitable coverage that is not anchored in the geometry of who can see which orbits is a norm that can be asserted but not audited</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venue finding, small as it is, points at exactly this gap: the community best positioned to argue equity engages the coverage mechanics least intensely in its published record.</w:t>
      </w:r>
    </w:p>
    <w:p>
      <w:pPr>
        <w:pStyle w:val="BodyText"/>
        <w:spacing w:line="480" w:lineRule="auto"/>
        <w:ind w:firstLine="720"/>
      </w:pPr>
      <w:r>
        <w:t xml:space="preserve">Neither reading should be pushed past the evidence. The venue score is ordinal and coarse, and its coefficient measures an association within thirty retrieved records, not a law of the field. What the finding licenses is a direction for the fuller study, not a policy prescription on its own.</w:t>
      </w:r>
    </w:p>
    <w:bookmarkEnd w:id="127"/>
    <w:bookmarkStart w:id="128" w:name="what-the-nulls-mean"/>
    <w:p>
      <w:pPr>
        <w:pStyle w:val="Heading2"/>
        <w:spacing w:line="480" w:lineRule="auto"/>
      </w:pPr>
      <w:r>
        <w:t xml:space="preserve">7.2 What the nulls mean</w:t>
      </w:r>
    </w:p>
    <w:p>
      <w:pPr>
        <w:pStyle w:val="FirstParagraph"/>
        <w:spacing w:line="480" w:lineRule="auto"/>
      </w:pPr>
      <w:r>
        <w:t xml:space="preserve">The recency and attention nulls are results, not absences, and they discipline the larger project. The absence of a recency slope means that within this corpus, coverage-and-geometry intensity has not visibly risen over time, which cuts against a simple field-growth narrative in which proliferation mechanically raised attention to coverage</w:t>
      </w:r>
      <w:r>
        <w:t xml:space="preserve"> </w:t>
      </w:r>
      <w:hyperlink w:anchor="ref-10">
        <w:r>
          <w:rPr>
            <w:rStyle w:val="Hyperlink"/>
          </w:rPr>
          <w:t xml:space="preserve">[10]</w:t>
        </w:r>
      </w:hyperlink>
      <w:r>
        <w:t xml:space="preserve">. The absence of an attention slope, together with the weak accumulation fit, means that citation cannot be used as a reliable proxy for topical importance in this literature: the most-cited records are not the most topic-intense, and citation does not accrue smoothly with age</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Those nulls have a practical payoff. They tell the next stage of the research to stop treating recency and citation as informative sorting variables for this topic and to invest instead in direct document coding, where topical engagement is read from the text rather than inferred from metadata. A screen that rules out two of three proxies has narrowed the design space usefully, even though it did not deliver a dramatic positive</w:t>
      </w:r>
      <w:r>
        <w:t xml:space="preserve"> </w:t>
      </w:r>
      <w:hyperlink w:anchor="ref-6">
        <w:r>
          <w:rPr>
            <w:rStyle w:val="Hyperlink"/>
          </w:rPr>
          <w:t xml:space="preserve">[6]</w:t>
        </w:r>
      </w:hyperlink>
      <w:r>
        <w:t xml:space="preserve">.</w:t>
      </w:r>
    </w:p>
    <w:bookmarkEnd w:id="128"/>
    <w:bookmarkStart w:id="129" w:name="threats-to-validity"/>
    <w:p>
      <w:pPr>
        <w:pStyle w:val="Heading2"/>
        <w:spacing w:line="480" w:lineRule="auto"/>
      </w:pPr>
      <w:r>
        <w:t xml:space="preserve">7.3 Threats to validity</w:t>
      </w:r>
    </w:p>
    <w:p>
      <w:pPr>
        <w:pStyle w:val="FirstParagraph"/>
        <w:spacing w:line="480" w:lineRule="auto"/>
      </w:pPr>
      <w:r>
        <w:t xml:space="preserve">Honesty about threats is the price of trusting the results, and several threats bear directly on how far the coefficients travel.</w:t>
      </w:r>
    </w:p>
    <w:p>
      <w:pPr>
        <w:pStyle w:val="BodyText"/>
        <w:spacing w:line="480" w:lineRule="auto"/>
        <w:ind w:firstLine="720"/>
      </w:pPr>
      <w:r>
        <w:t xml:space="preserve">Sample size is the first and largest. Thirty records is a small sample for a three-predictor regression, and small samples produce imprecise estimates and unstable inference. The intensity model’s joint F-test cleared five percent only narrowly, and a handful of different records could have moved it either way. The venue coefficient is significant, but its confidence interval is wide, and the responsible claim is that venue matters in direction, not that its magnitude is pinned down</w:t>
      </w:r>
      <w:r>
        <w:t xml:space="preserve"> </w:t>
      </w:r>
      <w:hyperlink w:anchor="ref-4">
        <w:r>
          <w:rPr>
            <w:rStyle w:val="Hyperlink"/>
          </w:rPr>
          <w:t xml:space="preserve">[4]</w:t>
        </w:r>
      </w:hyperlink>
      <w:r>
        <w:t xml:space="preserve">.</w:t>
      </w:r>
    </w:p>
    <w:p>
      <w:pPr>
        <w:pStyle w:val="BodyText"/>
        <w:spacing w:line="480" w:lineRule="auto"/>
        <w:ind w:firstLine="720"/>
      </w:pPr>
      <w:r>
        <w:t xml:space="preserve">Measurement of the outcome is the second threat. The topic-signal score is a deterministic count of term hits across title, snippet, keyword, and author fields, and those fields vary in richness across venue families. The governance entries carry sparse snippets, which mechanically depresses their signal scores. Some of the venue coefficient may therefore reflect differential field richness rather than genuinely thinner engagement, a confound between what a venue publishes and what its metadata records</w:t>
      </w:r>
      <w:r>
        <w:t xml:space="preserve"> </w:t>
      </w:r>
      <w:hyperlink w:anchor="ref-5">
        <w:r>
          <w:rPr>
            <w:rStyle w:val="Hyperlink"/>
          </w:rPr>
          <w:t xml:space="preserve">[5]</w:t>
        </w:r>
      </w:hyperlink>
      <w:r>
        <w:t xml:space="preserve">. The design cannot separate these two with metadata alone, which is precisely why direct coding is the recommended next step.</w:t>
      </w:r>
    </w:p>
    <w:p>
      <w:pPr>
        <w:pStyle w:val="BodyText"/>
        <w:spacing w:line="480" w:lineRule="auto"/>
        <w:ind w:firstLine="720"/>
      </w:pPr>
      <w:r>
        <w:t xml:space="preserve">Cohort entanglement is the third threat, and it falls hardest on the accumulation model. Age is inseparable from era: older records were published under different indexing coverage, different citation norms, and different venue practices than recent ones</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weak, insignificant age slope could reflect a genuine absence of an accrual process, or it could reflect these cohort differences canceling a true age effect. The single-regressor form cannot adjudicate, and the honest position is that the accumulation model identifies a shape in this corpus and not a causal law of citation aging.</w:t>
      </w:r>
    </w:p>
    <w:p>
      <w:pPr>
        <w:pStyle w:val="BodyText"/>
        <w:spacing w:line="480" w:lineRule="auto"/>
        <w:ind w:firstLine="720"/>
      </w:pPr>
      <w:r>
        <w:t xml:space="preserve">Citation measurement is the fourth threat. The counts are local index figures, not universal citation totals, and they undercount relative to a comprehensive database. If the undercounting is uneven across venue families, favoring the archival journals that the index covers best, then the citation channel is biased in a direction the design cannot correct. This reinforces the decision not to lean on the attention results</w:t>
      </w:r>
      <w:r>
        <w:t xml:space="preserve"> </w:t>
      </w:r>
      <w:hyperlink w:anchor="ref-11">
        <w:r>
          <w:rPr>
            <w:rStyle w:val="Hyperlink"/>
          </w:rPr>
          <w:t xml:space="preserve">[11]</w:t>
        </w:r>
      </w:hyperlink>
      <w:r>
        <w:t xml:space="preserve">.</w:t>
      </w:r>
    </w:p>
    <w:bookmarkEnd w:id="129"/>
    <w:bookmarkStart w:id="130" w:name="what-the-data-cannot-show"/>
    <w:p>
      <w:pPr>
        <w:pStyle w:val="Heading2"/>
        <w:spacing w:line="480" w:lineRule="auto"/>
      </w:pPr>
      <w:r>
        <w:t xml:space="preserve">7.4 What the data cannot show</w:t>
      </w:r>
    </w:p>
    <w:p>
      <w:pPr>
        <w:pStyle w:val="FirstParagraph"/>
        <w:spacing w:line="480" w:lineRule="auto"/>
      </w:pPr>
      <w:r>
        <w:t xml:space="preserve">It is worth being explicit about the questions this design does not answer, so that no reader borrows authority it did not earn. The design cannot show whether coverage in orbit is actually inequitable; it studies the record about coverage, not the coverage itself. It cannot show causation among its variables; the coefficients are conditional associations within a retrieved corpus. It cannot speak for documents the retrieval never surfaced; its claims are scoped to the thirty records throughout. And it cannot convert its one significant venue result into a governance recommendation without the direct document coding that would confirm whether the venue pattern reflects genuine engagement differences or mere metadata richness</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Stating these boundaries is not throat-clearing. It is the substance of a design whose entire value proposition is that its claims are exactly the size the evidence supports. A dissertation that measured the record and then quietly spoke as though it had measured the orbits would betray its own method. This one measured the record, found narrow structure, and stops where the record stops.</w:t>
      </w:r>
    </w:p>
    <w:bookmarkEnd w:id="130"/>
    <w:bookmarkStart w:id="131" w:name="toward-a-defensible-interpretation"/>
    <w:p>
      <w:pPr>
        <w:pStyle w:val="Heading2"/>
        <w:spacing w:line="480" w:lineRule="auto"/>
      </w:pPr>
      <w:r>
        <w:t xml:space="preserve">7.5 Toward a defensible interpretation</w:t>
      </w:r>
    </w:p>
    <w:p>
      <w:pPr>
        <w:pStyle w:val="FirstParagraph"/>
        <w:spacing w:line="480" w:lineRule="auto"/>
      </w:pPr>
      <w:r>
        <w:t xml:space="preserve">Pulling the threads together, the defensible interpretation is this. The public catalog of coverage research, as retrieved for this candidate topic, shows one legible form of structure: the intensity of engagement with sensor geometry and coverage is concentrated in the operational-engineering conference venues and thins toward the governance venues. It does not show a temporal trend, and it does not show that citation attention tracks topical intensity or accrues predictably with age. That combination points to a field whose technical and governance conversations about coverage are partly disjoint, with the mechanistic substance living where the norms are not written and the norms being written where the substance is thin</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Whether that disjunction is benign division of labor or a genuine obstacle to auditable equity norms is the question the next stage must resolve, and the venue finding is the reason to ask it directly rather than through metadata again</w:t>
      </w:r>
      <w:r>
        <w:t xml:space="preserve"> </w:t>
      </w:r>
      <w:hyperlink w:anchor="ref-9">
        <w:r>
          <w:rPr>
            <w:rStyle w:val="Hyperlink"/>
          </w:rPr>
          <w:t xml:space="preserve">[9]</w:t>
        </w:r>
      </w:hyperlink>
      <w:r>
        <w:t xml:space="preserve">.</w:t>
      </w:r>
    </w:p>
    <w:bookmarkEnd w:id="131"/>
    <w:bookmarkStart w:id="132" w:name="X37bd9fb0507134dc9363fffc96f0f58091941ca"/>
    <w:p>
      <w:pPr>
        <w:pStyle w:val="Heading2"/>
        <w:spacing w:line="480" w:lineRule="auto"/>
      </w:pPr>
      <w:r>
        <w:t xml:space="preserve">7.6 Alternative explanations for the venue result</w:t>
      </w:r>
    </w:p>
    <w:p>
      <w:pPr>
        <w:pStyle w:val="FirstParagraph"/>
        <w:spacing w:line="480" w:lineRule="auto"/>
      </w:pPr>
      <w:r>
        <w:t xml:space="preserve">Intellectual honesty requires taking seriously the explanations for the venue result that would deflate it, and there are two worth confronting directly. The first is the metadata-richness confound already flagged: governance-family records carry sparse snippet and keyword fields, so their low signal scores may reflect thin metadata rather than thin engagement</w:t>
      </w:r>
      <w:r>
        <w:t xml:space="preserve"> </w:t>
      </w:r>
      <w:hyperlink w:anchor="ref-5">
        <w:r>
          <w:rPr>
            <w:rStyle w:val="Hyperlink"/>
          </w:rPr>
          <w:t xml:space="preserve">[5]</w:t>
        </w:r>
      </w:hyperlink>
      <w:r>
        <w:t xml:space="preserve">. If this confound drives the whole result, then the venue coefficient is measuring a documentation artifact, not a real difference in how communities engage coverage. The design cannot rule this out with metadata alone, which is why direct coding is the recommended next step, and the discussion refuses to claim the venue result is confound-free.</w:t>
      </w:r>
    </w:p>
    <w:p>
      <w:pPr>
        <w:pStyle w:val="BodyText"/>
        <w:spacing w:line="480" w:lineRule="auto"/>
        <w:ind w:firstLine="720"/>
      </w:pPr>
      <w:r>
        <w:t xml:space="preserve">The second alternative is selection in the retrieval. The corpus is a retrieved sample, and the retrieval may itself favor engineering venues for their denser topical vocabulary, so that the governance records that surfaced are systematically the ones least engaged with coverage mechanics</w:t>
      </w:r>
      <w:r>
        <w:t xml:space="preserve"> </w:t>
      </w:r>
      <w:hyperlink w:anchor="ref-2">
        <w:r>
          <w:rPr>
            <w:rStyle w:val="Hyperlink"/>
          </w:rPr>
          <w:t xml:space="preserve">[2]</w:t>
        </w:r>
      </w:hyperlink>
      <w:r>
        <w:t xml:space="preserve">. On this reading, the venue gradient is partly an artifact of what the retrieval let through rather than a property of the underlying literatures. This too cannot be excluded here, and it argues for the corpus-expansion step, in which a broader and more systematic retrieval would test whether the gradient survives a less selective net.</w:t>
      </w:r>
    </w:p>
    <w:p>
      <w:pPr>
        <w:pStyle w:val="BodyText"/>
        <w:spacing w:line="480" w:lineRule="auto"/>
        <w:ind w:firstLine="720"/>
      </w:pPr>
      <w:r>
        <w:t xml:space="preserve">Granting both alternatives, the venue result does not collapse. Even if metadata richness and retrieval selection each contribute, it remains true that within this retrieved and measured corpus the engineering venues carry denser coverage engagement than the governance venues, and that difference is real in the record as observed</w:t>
      </w:r>
      <w:r>
        <w:t xml:space="preserve"> </w:t>
      </w:r>
      <w:hyperlink w:anchor="ref-1">
        <w:r>
          <w:rPr>
            <w:rStyle w:val="Hyperlink"/>
          </w:rPr>
          <w:t xml:space="preserve">[1]</w:t>
        </w:r>
      </w:hyperlink>
      <w:r>
        <w:t xml:space="preserve"> </w:t>
      </w:r>
      <w:hyperlink w:anchor="ref-11">
        <w:r>
          <w:rPr>
            <w:rStyle w:val="Hyperlink"/>
          </w:rPr>
          <w:t xml:space="preserve">[11]</w:t>
        </w:r>
      </w:hyperlink>
      <w:r>
        <w:t xml:space="preserve">. What the alternatives do is bound the interpretation: they forbid reading the venue coefficient as a clean measure of communities’ intrinsic engagement and require reading it as a pattern in the observed record whose deeper source is not yet identified. That bounded reading is the defensible one, and stating the alternatives is what earns the right to it.</w:t>
      </w:r>
    </w:p>
    <w:bookmarkEnd w:id="132"/>
    <w:bookmarkStart w:id="133" w:name="Xa4e9e2e73d5f7f84ba32990f3221a210521c317"/>
    <w:p>
      <w:pPr>
        <w:pStyle w:val="Heading2"/>
        <w:spacing w:line="480" w:lineRule="auto"/>
      </w:pPr>
      <w:r>
        <w:t xml:space="preserve">7.7 What a null-heavy result offers a contested field</w:t>
      </w:r>
    </w:p>
    <w:p>
      <w:pPr>
        <w:pStyle w:val="FirstParagraph"/>
        <w:spacing w:line="480" w:lineRule="auto"/>
      </w:pPr>
      <w:r>
        <w:t xml:space="preserve">There is a temptation, in a field crowded with strong claims, to regard a study that returns three nulls and one modest effect as having little to offer. The discussion resists that temptation on principle. A contested field is contested precisely because assertions outrun evidence, and the most useful contribution such a field can receive is often a credible demonstration of what the available evidence cannot support</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Here, the nulls do concrete work. They tell anyone tempted to rank coverage research by recency that recency carries no topical signal in this corpus. They tell anyone tempted to treat citation as a measure of topical importance that citation is lumpy, outlier-driven, and unrelated to topical intensity here</w:t>
      </w:r>
      <w:r>
        <w:t xml:space="preserve"> </w:t>
      </w:r>
      <w:hyperlink w:anchor="ref-12">
        <w:r>
          <w:rPr>
            <w:rStyle w:val="Hyperlink"/>
          </w:rPr>
          <w:t xml:space="preserve">[12]</w:t>
        </w:r>
      </w:hyperlink>
      <w:r>
        <w:t xml:space="preserve">. And they tell anyone tempted to settle the coverage-equity question from bibliometric metadata that the metadata will not settle it. Each of those is a guardrail against a plausible mistake, and guardrails are valuable in exact proportion to how tempting the mistakes are. The dissertation offers the field a small, firm set of guardrails and one directional lead, which is a more durable contribution than a bolder claim the evidence could not hold</w:t>
      </w:r>
      <w:r>
        <w:t xml:space="preserve"> </w:t>
      </w:r>
      <w:hyperlink w:anchor="ref-9">
        <w:r>
          <w:rPr>
            <w:rStyle w:val="Hyperlink"/>
          </w:rPr>
          <w:t xml:space="preserve">[9]</w:t>
        </w:r>
      </w:hyperlink>
      <w:r>
        <w:t xml:space="preserve">.</w:t>
      </w:r>
    </w:p>
    <w:bookmarkEnd w:id="133"/>
    <w:bookmarkStart w:id="134" w:name="X5ad7172036a856ca8723ae2304458819ca96a68"/>
    <w:p>
      <w:pPr>
        <w:pStyle w:val="Heading2"/>
        <w:spacing w:line="480" w:lineRule="auto"/>
      </w:pPr>
      <w:r>
        <w:t xml:space="preserve">7.8 Implications for how catalogs are legitimized</w:t>
      </w:r>
    </w:p>
    <w:p>
      <w:pPr>
        <w:pStyle w:val="FirstParagraph"/>
        <w:spacing w:line="480" w:lineRule="auto"/>
      </w:pPr>
      <w:r>
        <w:t xml:space="preserve">Step back from the coefficients to the governance stakes, and the venue finding acquires a sharper edge. Catalogs of orbital objects are legitimized, in part, by the research literature that vouches for the sensors, methods, and coverage behind them. If the intense, mechanistic engagement with coverage geometry lives in the conference venues while the governance venues that shape norms engage it only glancingly, then the legitimation chain has a weak link</w:t>
      </w:r>
      <w:r>
        <w:t xml:space="preserve"> </w:t>
      </w:r>
      <w:hyperlink w:anchor="ref-1">
        <w:r>
          <w:rPr>
            <w:rStyle w:val="Hyperlink"/>
          </w:rPr>
          <w:t xml:space="preserve">[1]</w:t>
        </w:r>
      </w:hyperlink>
      <w:r>
        <w:t xml:space="preserve"> </w:t>
      </w:r>
      <w:hyperlink w:anchor="ref-11">
        <w:r>
          <w:rPr>
            <w:rStyle w:val="Hyperlink"/>
          </w:rPr>
          <w:t xml:space="preserve">[11]</w:t>
        </w:r>
      </w:hyperlink>
      <w:r>
        <w:t xml:space="preserve">. Norms about equitable coverage would be drafted by a community that, on the evidence of its own published record, engages the underlying geometry least intensely.</w:t>
      </w:r>
    </w:p>
    <w:p>
      <w:pPr>
        <w:pStyle w:val="BodyText"/>
        <w:spacing w:line="480" w:lineRule="auto"/>
        <w:ind w:firstLine="720"/>
      </w:pPr>
      <w:r>
        <w:t xml:space="preserve">That weak link matters because equity claims are auditable only to the degree that they are anchored in the geometry of who can see which orbits</w:t>
      </w:r>
      <w:r>
        <w:t xml:space="preserve"> </w:t>
      </w:r>
      <w:hyperlink w:anchor="ref-7">
        <w:r>
          <w:rPr>
            <w:rStyle w:val="Hyperlink"/>
          </w:rPr>
          <w:t xml:space="preserve">[7]</w:t>
        </w:r>
      </w:hyperlink>
      <w:r>
        <w:t xml:space="preserve"> </w:t>
      </w:r>
      <w:hyperlink w:anchor="ref-10">
        <w:r>
          <w:rPr>
            <w:rStyle w:val="Hyperlink"/>
          </w:rPr>
          <w:t xml:space="preserve">[10]</w:t>
        </w:r>
      </w:hyperlink>
      <w:r>
        <w:t xml:space="preserve">. A norm that says coverage should be equitable, but that is not tied to a concrete account of which regions and orbits are under-observed, is a norm that cannot be checked against reality. The venue gradient, if it survives direct coding, would be bibliometric evidence that the governance conversation is operating at exactly that unanchored distance, drafting equity language without the mechanistic engagement that would let the language be enforced</w:t>
      </w:r>
      <w:r>
        <w:t xml:space="preserve"> </w:t>
      </w:r>
      <w:hyperlink w:anchor="ref-13">
        <w:r>
          <w:rPr>
            <w:rStyle w:val="Hyperlink"/>
          </w:rPr>
          <w:t xml:space="preserve">[13]</w:t>
        </w:r>
      </w:hyperlink>
      <w:r>
        <w:t xml:space="preserve">.</w:t>
      </w:r>
    </w:p>
    <w:p>
      <w:pPr>
        <w:pStyle w:val="BodyText"/>
        <w:spacing w:line="480" w:lineRule="auto"/>
        <w:ind w:firstLine="720"/>
      </w:pPr>
      <w:r>
        <w:t xml:space="preserve">The implication is not that governance venues should become engineering venues. It is that the legitimation of catalogs would be strengthened by tighter coupling between the communities that hold the coverage substance and the communities that write the coverage norms. A concrete step would be for governance-venue work on coverage equity to cite and build on the specific geometry and tasking results rather than invoking coverage as an undifferentiated premise</w:t>
      </w:r>
      <w:r>
        <w:t xml:space="preserve"> </w:t>
      </w:r>
      <w:hyperlink w:anchor="ref-3">
        <w:r>
          <w:rPr>
            <w:rStyle w:val="Hyperlink"/>
          </w:rPr>
          <w:t xml:space="preserve">[3]</w:t>
        </w:r>
      </w:hyperlink>
      <w:r>
        <w:t xml:space="preserve"> </w:t>
      </w:r>
      <w:hyperlink w:anchor="ref-12">
        <w:r>
          <w:rPr>
            <w:rStyle w:val="Hyperlink"/>
          </w:rPr>
          <w:t xml:space="preserve">[12]</w:t>
        </w:r>
      </w:hyperlink>
      <w:r>
        <w:t xml:space="preserve">. The dissertation cannot mandate that coupling, but its venue finding is a reason to pursue it, and that is a governance implication earned honestly from a single significant coefficient rather than asserted</w:t>
      </w:r>
      <w:r>
        <w:t xml:space="preserve"> </w:t>
      </w:r>
      <w:hyperlink w:anchor="ref-11">
        <w:r>
          <w:rPr>
            <w:rStyle w:val="Hyperlink"/>
          </w:rPr>
          <w:t xml:space="preserve">[11]</w:t>
        </w:r>
      </w:hyperlink>
      <w:r>
        <w:t xml:space="preserve">.</w:t>
      </w:r>
    </w:p>
    <w:bookmarkEnd w:id="134"/>
    <w:bookmarkStart w:id="135" w:name="X4c6e90f52b58d22aeec811942f3b27c28e65d90"/>
    <w:p>
      <w:pPr>
        <w:pStyle w:val="Heading2"/>
        <w:spacing w:line="480" w:lineRule="auto"/>
      </w:pPr>
      <w:r>
        <w:t xml:space="preserve">7.9 The limits of a screen and the honesty of stopping</w:t>
      </w:r>
    </w:p>
    <w:p>
      <w:pPr>
        <w:pStyle w:val="FirstParagraph"/>
        <w:spacing w:line="480" w:lineRule="auto"/>
      </w:pPr>
      <w:r>
        <w:t xml:space="preserve">A recurring temptation in empirical work is to keep interpreting until the data seems to say something large. This discussion has tried to resist that temptation by stopping where the evidence stops. The screen found a venue gradient and three nulls; it did not find, and cannot find, that orbits are inequitably covered, that the field is failing, or that any specific observer is disadvantaged. Those larger claims may be true, but this design does not bear on them, and saying so plainly is the discipline the whole dissertation rests on</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Stopping honestly is not the same as concluding nothing. The screen concluded that metadata carries one legible structure and not three others, and it handed the field a specific, testable lead in the venue gradient. That is a genuine result, and its value is precisely that it can be trusted, because the interpretation never exceeded what thirty records through two lean estimators could support. A discussion that knows where its evidence ends, and refuses to spend authority past that boundary, is doing the harder and more useful thing than a discussion that reaches for a grander conclusion the data cannot underwrite</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bookmarkEnd w:id="135"/>
    <w:bookmarkStart w:id="136" w:name="X672ea5052ff77b009e0f87179ff81674a4205d7"/>
    <w:p>
      <w:pPr>
        <w:pStyle w:val="Heading2"/>
        <w:spacing w:line="480" w:lineRule="auto"/>
      </w:pPr>
      <w:r>
        <w:t xml:space="preserve">7.10 Situating the discussion against the reviewed streams</w:t>
      </w:r>
    </w:p>
    <w:p>
      <w:pPr>
        <w:pStyle w:val="FirstParagraph"/>
        <w:spacing w:line="480" w:lineRule="auto"/>
      </w:pPr>
      <w:r>
        <w:t xml:space="preserve">The discussion also closes a loop with the literature. The engineering streams established that coverage is architectural and that tasking manufactures neglect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 the discussion here suggests that the neglect may not surface as a temporal or citation signal in the record, since both channels returned nulls, but does surface as a venue gradient. The value-of-data stream established that coverage value is realized unevenly at the point of use</w:t>
      </w:r>
      <w:r>
        <w:t xml:space="preserve"> </w:t>
      </w:r>
      <w:hyperlink w:anchor="ref-11">
        <w:r>
          <w:rPr>
            <w:rStyle w:val="Hyperlink"/>
          </w:rPr>
          <w:t xml:space="preserve">[11]</w:t>
        </w:r>
      </w:hyperlink>
      <w:r>
        <w:t xml:space="preserve">; the venue finding sharpens that into a specific worry, that the community closest to the value-and-governance conversation engages the coverage mechanics least. Read against the reviewed work, then, the results neither overturn nor merely echo it. They add one measured fact, the venue gradient, to a set of otherwise unmeasured presuppositions, and they retire two tempting proxies, recency and citation, that the reviewed streams had never tested. That is the discussion’s precise contribution to the conversation the literature opened</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Seen this way, the modesty of the result is a feature of its fit with the reviewed work rather than a shortfall against it. The literature had established the forces; it had not measured their trace in the record. The discussion measures one trace, retires two false leads, and points at the direct-coding work that would confirm or dissolve the trace it found</w:t>
      </w:r>
      <w:r>
        <w:t xml:space="preserve"> </w:t>
      </w:r>
      <w:hyperlink w:anchor="ref-9">
        <w:r>
          <w:rPr>
            <w:rStyle w:val="Hyperlink"/>
          </w:rPr>
          <w:t xml:space="preserve">[9]</w:t>
        </w:r>
      </w:hyperlink>
      <w:r>
        <w:t xml:space="preserve"> </w:t>
      </w:r>
      <w:hyperlink w:anchor="ref-11">
        <w:r>
          <w:rPr>
            <w:rStyle w:val="Hyperlink"/>
          </w:rPr>
          <w:t xml:space="preserve">[11]</w:t>
        </w:r>
      </w:hyperlink>
      <w:r>
        <w:t xml:space="preserve">. A discussion that leaves the reviewed streams better anchored in evidence than it found them, by exactly one measured fact and two retired proxies, has done proportionate and honest work</w:t>
      </w:r>
      <w:r>
        <w:t xml:space="preserve"> </w:t>
      </w:r>
      <w:hyperlink w:anchor="ref-4">
        <w:r>
          <w:rPr>
            <w:rStyle w:val="Hyperlink"/>
          </w:rPr>
          <w:t xml:space="preserve">[4]</w:t>
        </w:r>
      </w:hyperlink>
      <w:r>
        <w:t xml:space="preserve">. Proportion, in a field prone to overclaiming, is not a lesser virtue than discovery; it is the virtue that makes discovery trustworthy when it eventually comes, and this discussion has tried to embody it at every turn</w:t>
      </w:r>
      <w:r>
        <w:t xml:space="preserve"> </w:t>
      </w:r>
      <w:hyperlink w:anchor="ref-9">
        <w:r>
          <w:rPr>
            <w:rStyle w:val="Hyperlink"/>
          </w:rPr>
          <w:t xml:space="preserve">[9]</w:t>
        </w:r>
      </w:hyperlink>
      <w:r>
        <w:t xml:space="preserve">.</w:t>
      </w:r>
    </w:p>
    <w:bookmarkEnd w:id="136"/>
    <w:bookmarkEnd w:id="137"/>
    <w:bookmarkStart w:id="177"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 broad intuition, that the public catalog of coverage research might systematically favor some kinds of work over others, into a single falsifiable test the data could defeat. It ran that test through two lean estimators on thirty retrieved source records and reported the output at exactly the size the evidence supports. This closing chapter states the contribution plainly, draws out its relevance for governance and program work, and lays a concrete path for the fuller study the screen was designed to enable. The account is short by design.</w:t>
      </w:r>
    </w:p>
    <w:bookmarkStart w:id="138" w:name="the-contribution-stated-exactly"/>
    <w:p>
      <w:pPr>
        <w:pStyle w:val="Heading2"/>
        <w:spacing w:line="480" w:lineRule="auto"/>
      </w:pPr>
      <w:r>
        <w:t xml:space="preserve">8.1 The contribution, stated exactly</w:t>
      </w:r>
    </w:p>
    <w:p>
      <w:pPr>
        <w:pStyle w:val="FirstParagraph"/>
        <w:spacing w:line="480" w:lineRule="auto"/>
      </w:pPr>
      <w:r>
        <w:t xml:space="preserve">The contribution is one falsifiable proposition, tested and partly resolved. The null hypothesis held that topic-signal intensity is unrelated to recency, citation attention, and venue family. The data rejected that null, but through a single channel: venue family carries a significant negative slope of about -1.1 points, with a p-value of 0.020, while recency and citation attention returned nulls at p-values of 0.745 and 0.359 respectively</w:t>
      </w:r>
      <w:r>
        <w:t xml:space="preserve"> </w:t>
      </w:r>
      <w:hyperlink w:anchor="ref-4">
        <w:r>
          <w:rPr>
            <w:rStyle w:val="Hyperlink"/>
          </w:rPr>
          <w:t xml:space="preserve">[4]</w:t>
        </w:r>
      </w:hyperlink>
      <w:r>
        <w:t xml:space="preserve">. The accumulation model returned a weak fit, with an R-squared near 0.015 and an insignificant age elasticity of about -0.19, meaning citation attention does not accrue predictably with age in this corpus</w:t>
      </w:r>
      <w:r>
        <w:t xml:space="preserve"> </w:t>
      </w:r>
      <w:hyperlink w:anchor="ref-12">
        <w:r>
          <w:rPr>
            <w:rStyle w:val="Hyperlink"/>
          </w:rPr>
          <w:t xml:space="preserve">[12]</w:t>
        </w:r>
      </w:hyperlink>
      <w:r>
        <w:t xml:space="preserve">.</w:t>
      </w:r>
    </w:p>
    <w:p>
      <w:pPr>
        <w:pStyle w:val="BodyText"/>
        <w:spacing w:line="480" w:lineRule="auto"/>
        <w:ind w:firstLine="720"/>
      </w:pPr>
      <w:r>
        <w:t xml:space="preserve">Put together, the finding is that the record shows narrow structure. Engagement with sensor geometry and coverage is concentrated in the observation-network conference venues and thins toward the governance venues, while the temporal and attention channels carry no detectable signal. That is smaller than a sweeping claim about coverage inequity and larger than a null result. Reporting it at that exact size, with the venue result affirmed and the other three channels refused, is the contribution. A dissertation that had inflated the venue coefficient into a verdict on orbital equity would have been less true and less useful than one that held the line</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bookmarkEnd w:id="138"/>
    <w:bookmarkStart w:id="139" w:name="why-the-restraint-is-the-result"/>
    <w:p>
      <w:pPr>
        <w:pStyle w:val="Heading2"/>
        <w:spacing w:line="480" w:lineRule="auto"/>
      </w:pPr>
      <w:r>
        <w:t xml:space="preserve">8.2 Why the restraint is the result</w:t>
      </w:r>
    </w:p>
    <w:p>
      <w:pPr>
        <w:pStyle w:val="FirstParagraph"/>
        <w:spacing w:line="480" w:lineRule="auto"/>
      </w:pPr>
      <w:r>
        <w:t xml:space="preserve">It is worth dwelling on why a partly-null finding is a genuine contribution rather than a disappointment. The field around this topic is thick with confident narrative and thin with falsifiable measurement. Claims about equitable coverage circulate as intuitions that no one has tried to defeat with data</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By committing in advance to read a flat topic signal as a flat topic signal, and then finding exactly that in two of three channels, the design demonstrates that the coverage-equity question cannot be settled by bibliometric proxies alone. That demonstration has value precisely because it closes off a tempting shortcut and points toward the harder work that a real answer requires</w:t>
      </w:r>
      <w:r>
        <w:t xml:space="preserve"> </w:t>
      </w:r>
      <w:hyperlink w:anchor="ref-6">
        <w:r>
          <w:rPr>
            <w:rStyle w:val="Hyperlink"/>
          </w:rPr>
          <w:t xml:space="preserve">[6]</w:t>
        </w:r>
      </w:hyperlink>
      <w:r>
        <w:t xml:space="preserve">.</w:t>
      </w:r>
    </w:p>
    <w:p>
      <w:pPr>
        <w:pStyle w:val="BodyText"/>
        <w:spacing w:line="480" w:lineRule="auto"/>
        <w:ind w:firstLine="720"/>
      </w:pPr>
      <w:r>
        <w:t xml:space="preserve">The venue result, meanwhile, is not merely a leftover after the nulls. It is a directional finding with a governance edge: the community best positioned to argue equity, the governance venues, engages the coverage mechanics least intensely in its published record, while the mechanistic substance concentrates among the engineers</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That disjunction is a hypothesis the field can now test directly, and it exists because the screen ran honestly rather than searching for a flattering result.</w:t>
      </w:r>
    </w:p>
    <w:bookmarkEnd w:id="139"/>
    <w:bookmarkStart w:id="140" w:name="X227732717b6e31427b1bfdc988658fe0233f4d1"/>
    <w:p>
      <w:pPr>
        <w:pStyle w:val="Heading2"/>
        <w:spacing w:line="480" w:lineRule="auto"/>
      </w:pPr>
      <w:r>
        <w:t xml:space="preserve">8.3 Relevance for governance and program work</w:t>
      </w:r>
    </w:p>
    <w:p>
      <w:pPr>
        <w:pStyle w:val="FirstParagraph"/>
        <w:spacing w:line="480" w:lineRule="auto"/>
      </w:pPr>
      <w:r>
        <w:t xml:space="preserve">For governance, the implication is a caution and a target. The caution is that norms about equitable coverage are being developed in venues whose published engagement with the geometry of coverage is comparatively thin, which raises the risk that such norms are asserted rather than audited against the physics of who can see which orbits</w:t>
      </w:r>
      <w:r>
        <w:t xml:space="preserve"> </w:t>
      </w:r>
      <w:hyperlink w:anchor="ref-7">
        <w:r>
          <w:rPr>
            <w:rStyle w:val="Hyperlink"/>
          </w:rPr>
          <w:t xml:space="preserve">[7]</w:t>
        </w:r>
      </w:hyperlink>
      <w:r>
        <w:t xml:space="preserve"> </w:t>
      </w:r>
      <w:hyperlink w:anchor="ref-10">
        <w:r>
          <w:rPr>
            <w:rStyle w:val="Hyperlink"/>
          </w:rPr>
          <w:t xml:space="preserve">[10]</w:t>
        </w:r>
      </w:hyperlink>
      <w:r>
        <w:t xml:space="preserve">. The target is the disjunction itself: closing the gap between the engineering venues that hold the coverage substance and the governance venues that write the coverage norms would strengthen any equity standard by anchoring it in auditable geometry rather than in intuition.</w:t>
      </w:r>
    </w:p>
    <w:p>
      <w:pPr>
        <w:pStyle w:val="BodyText"/>
        <w:spacing w:line="480" w:lineRule="auto"/>
        <w:ind w:firstLine="720"/>
      </w:pPr>
      <w:r>
        <w:t xml:space="preserve">For program work, the implication is about evidence discipline. Programs that justify sensor investments by appeal to coverage gaps would benefit from the traceable, re-executable style this design models, in which every claim resolves to a source-tagged row that a reviewer can reconstruct</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nulls also carry a practical lesson for program analysts: within this literature, neither recency nor citation count is a reliable sorting signal for topical importance, so a program that ranked coverage research by citation would misallocate its attention. Direct engagement with the documents, not their metadata, is what the evidence supports.</w:t>
      </w:r>
    </w:p>
    <w:p>
      <w:pPr>
        <w:pStyle w:val="BodyText"/>
        <w:spacing w:line="480" w:lineRule="auto"/>
        <w:ind w:firstLine="720"/>
      </w:pPr>
      <w:r>
        <w:t xml:space="preserve">For the broader project of building an auditable orbital commons, the dissertation offers a method as much as a finding. The value of an auditable catalog is realized only when its underlying evidence can be inspected and refused, and the same standard should apply to the research that legitimizes the catalog</w:t>
      </w:r>
      <w:r>
        <w:t xml:space="preserve"> </w:t>
      </w:r>
      <w:hyperlink w:anchor="ref-11">
        <w:r>
          <w:rPr>
            <w:rStyle w:val="Hyperlink"/>
          </w:rPr>
          <w:t xml:space="preserve">[11]</w:t>
        </w:r>
      </w:hyperlink>
      <w:r>
        <w:t xml:space="preserve">. A record that can be screened, and whose screen can rule proxies out, is a healthier basis for governance than a record trusted on narrative alone.</w:t>
      </w:r>
    </w:p>
    <w:bookmarkEnd w:id="140"/>
    <w:bookmarkStart w:id="141" w:name="future-work"/>
    <w:p>
      <w:pPr>
        <w:pStyle w:val="Heading2"/>
        <w:spacing w:line="480" w:lineRule="auto"/>
      </w:pPr>
      <w:r>
        <w:t xml:space="preserve">8.4 Future work</w:t>
      </w:r>
    </w:p>
    <w:p>
      <w:pPr>
        <w:pStyle w:val="FirstParagraph"/>
        <w:spacing w:line="480" w:lineRule="auto"/>
      </w:pPr>
      <w:r>
        <w:t xml:space="preserve">The design was built as a screen, and a screen earns its keep by specifying what comes next. Three lines follow directly.</w:t>
      </w:r>
    </w:p>
    <w:p>
      <w:pPr>
        <w:pStyle w:val="BodyText"/>
        <w:spacing w:line="480" w:lineRule="auto"/>
        <w:ind w:firstLine="720"/>
      </w:pPr>
      <w:r>
        <w:t xml:space="preserve">The first is direct document coding. The venue finding could reflect genuine engagement differences or mere metadata richness, and only reading the full text of each source, coding topical engagement from the argument rather than from title-and-snippet term hits, can separate the two</w:t>
      </w:r>
      <w:r>
        <w:t xml:space="preserve"> </w:t>
      </w:r>
      <w:hyperlink w:anchor="ref-5">
        <w:r>
          <w:rPr>
            <w:rStyle w:val="Hyperlink"/>
          </w:rPr>
          <w:t xml:space="preserve">[5]</w:t>
        </w:r>
      </w:hyperlink>
      <w:r>
        <w:t xml:space="preserve"> </w:t>
      </w:r>
      <w:hyperlink w:anchor="ref-6">
        <w:r>
          <w:rPr>
            <w:rStyle w:val="Hyperlink"/>
          </w:rPr>
          <w:t xml:space="preserve">[6]</w:t>
        </w:r>
      </w:hyperlink>
      <w:r>
        <w:t xml:space="preserve">. This is the single most important next step, because it converts the metadata screen into a substantive measurement and either confirms or dissolves the venue result.</w:t>
      </w:r>
    </w:p>
    <w:p>
      <w:pPr>
        <w:pStyle w:val="BodyText"/>
        <w:spacing w:line="480" w:lineRule="auto"/>
        <w:ind w:firstLine="720"/>
      </w:pPr>
      <w:r>
        <w:t xml:space="preserve">The second is expansion of the corpus. Thirty records is a screen, not a census, and the imprecision that made the intensity model’s F-test clear five percent only narrowly would shrink with a larger, systematically retrieved sample spanning more venues and more years</w:t>
      </w:r>
      <w:r>
        <w:t xml:space="preserve"> </w:t>
      </w:r>
      <w:hyperlink w:anchor="ref-2">
        <w:r>
          <w:rPr>
            <w:rStyle w:val="Hyperlink"/>
          </w:rPr>
          <w:t xml:space="preserve">[2]</w:t>
        </w:r>
      </w:hyperlink>
      <w:r>
        <w:t xml:space="preserve"> </w:t>
      </w:r>
      <w:hyperlink w:anchor="ref-10">
        <w:r>
          <w:rPr>
            <w:rStyle w:val="Hyperlink"/>
          </w:rPr>
          <w:t xml:space="preserve">[10]</w:t>
        </w:r>
      </w:hyperlink>
      <w:r>
        <w:t xml:space="preserve">. A larger corpus would also let the accumulation model separate age from cohort by adding era controls, which the single-regressor form could not support.</w:t>
      </w:r>
    </w:p>
    <w:p>
      <w:pPr>
        <w:pStyle w:val="BodyText"/>
        <w:spacing w:line="480" w:lineRule="auto"/>
        <w:ind w:firstLine="720"/>
      </w:pPr>
      <w:r>
        <w:t xml:space="preserve">The third is triangulation against the orbital layer. The bibliometric screen studies the record about coverage; the network-evaluation and constellation-design literatures study coverage itself</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10">
        <w:r>
          <w:rPr>
            <w:rStyle w:val="Hyperlink"/>
          </w:rPr>
          <w:t xml:space="preserve">[10]</w:t>
        </w:r>
      </w:hyperlink>
      <w:r>
        <w:t xml:space="preserve">. A study that joined the two, asking whether the venues that engage coverage most intensely also correspond to the regions and orbits that are best physically observed, would test whether the discourse structure mirrors the geometry structure. That join is where a metadata screen and a physical coverage model would finally meet, and where the coverage-equity question could be answered rather than only framed</w:t>
      </w:r>
      <w:r>
        <w:t xml:space="preserve"> </w:t>
      </w:r>
      <w:hyperlink w:anchor="ref-13">
        <w:r>
          <w:rPr>
            <w:rStyle w:val="Hyperlink"/>
          </w:rPr>
          <w:t xml:space="preserve">[13]</w:t>
        </w:r>
      </w:hyperlink>
      <w:r>
        <w:t xml:space="preserve">.</w:t>
      </w:r>
    </w:p>
    <w:bookmarkEnd w:id="141"/>
    <w:bookmarkStart w:id="142" w:name="closing"/>
    <w:p>
      <w:pPr>
        <w:pStyle w:val="Heading2"/>
        <w:spacing w:line="480" w:lineRule="auto"/>
      </w:pPr>
      <w:r>
        <w:t xml:space="preserve">8.5 Closing</w:t>
      </w:r>
    </w:p>
    <w:p>
      <w:pPr>
        <w:pStyle w:val="FirstParagraph"/>
        <w:spacing w:line="480" w:lineRule="auto"/>
      </w:pPr>
      <w:r>
        <w:t xml:space="preserve">The public catalog of coverage research, as retrieved for this topic, is structured in one legible way and unstructured in three others. Its engagement with sensor geometry and coverage concentrates in the engineering venues and thins toward governance; it shows no temporal trend and no reliable link between topical intensity and citation attention. That is a small, exact, and honest map of a corner of the record. It refuses the shortcut of settling coverage equity from metadata, it names one directional pattern worth pursuing, and it hands the next researcher a clear task and a re-executable method for doing it</w:t>
      </w:r>
      <w:r>
        <w:t xml:space="preserve"> </w:t>
      </w:r>
      <w:hyperlink w:anchor="ref-9">
        <w:r>
          <w:rPr>
            <w:rStyle w:val="Hyperlink"/>
          </w:rPr>
          <w:t xml:space="preserve">[9]</w:t>
        </w:r>
      </w:hyperlink>
      <w:r>
        <w:t xml:space="preserve"> </w:t>
      </w:r>
      <w:hyperlink w:anchor="ref-11">
        <w:r>
          <w:rPr>
            <w:rStyle w:val="Hyperlink"/>
          </w:rPr>
          <w:t xml:space="preserve">[11]</w:t>
        </w:r>
      </w:hyperlink>
      <w:r>
        <w:t xml:space="preserve">. A dissertation that leaves that much behind, no more and no less than the evidence allows, has done the work it promised.</w:t>
      </w:r>
    </w:p>
    <w:bookmarkEnd w:id="142"/>
    <w:bookmarkStart w:id="143" w:name="X93a19cc5c214ee63e173be2de521ced0804f6e9"/>
    <w:p>
      <w:pPr>
        <w:pStyle w:val="Heading2"/>
        <w:spacing w:line="480" w:lineRule="auto"/>
      </w:pPr>
      <w:r>
        <w:t xml:space="preserve">8.6 The method as a transferable contribution</w:t>
      </w:r>
    </w:p>
    <w:p>
      <w:pPr>
        <w:pStyle w:val="FirstParagraph"/>
        <w:spacing w:line="480" w:lineRule="auto"/>
      </w:pPr>
      <w:r>
        <w:t xml:space="preserve">Beyond its findings, the dissertation contributes a transferable way of interrogating a research literature about a governance-relevant technical topic. The method is simple to state and general in application: retrieve a topical corpus, build deterministic metadata features that proxy for position in the attention economy, run lean estimators with robust inference, and commit in advance to reading each channel’s outcome as evidence for or against a specific mechanism</w:t>
      </w:r>
      <w:r>
        <w:t xml:space="preserve"> </w:t>
      </w:r>
      <w:hyperlink w:anchor="ref-3">
        <w:r>
          <w:rPr>
            <w:rStyle w:val="Hyperlink"/>
          </w:rPr>
          <w:t xml:space="preserve">[3]</w:t>
        </w:r>
      </w:hyperlink>
      <w:r>
        <w:t xml:space="preserve"> </w:t>
      </w:r>
      <w:hyperlink w:anchor="ref-4">
        <w:r>
          <w:rPr>
            <w:rStyle w:val="Hyperlink"/>
          </w:rPr>
          <w:t xml:space="preserve">[4]</w:t>
        </w:r>
      </w:hyperlink>
      <w:r>
        <w:t xml:space="preserve">. That recipe is not specific to coverage equity. It would apply equally to debris-removal research, to spectrum-coordination work, or to any domain where the distribution of the record is itself a governance concern.</w:t>
      </w:r>
    </w:p>
    <w:p>
      <w:pPr>
        <w:pStyle w:val="BodyText"/>
        <w:spacing w:line="480" w:lineRule="auto"/>
        <w:ind w:firstLine="720"/>
      </w:pPr>
      <w:r>
        <w:t xml:space="preserve">The transferability rests on the reproducibility built into every step. Because the features are deterministic functions of source metadata and every row carries its provenance, a different analyst on a different topic can adopt the same recipe and produce results that others can refuse by re-execution</w:t>
      </w:r>
      <w:r>
        <w:t xml:space="preserve"> </w:t>
      </w:r>
      <w:hyperlink w:anchor="ref-6">
        <w:r>
          <w:rPr>
            <w:rStyle w:val="Hyperlink"/>
          </w:rPr>
          <w:t xml:space="preserve">[6]</w:t>
        </w:r>
      </w:hyperlink>
      <w:r>
        <w:t xml:space="preserve">. A field that adopted this style of screening as a routine first pass would waste less effort on claims that metadata cannot support and would arrive faster at the questions that require direct coding. The dissertation demonstrates the recipe on one topic; its wider value is as a template for disciplining discourse-level claims across the space-governance domain</w:t>
      </w:r>
      <w:r>
        <w:t xml:space="preserve"> </w:t>
      </w:r>
      <w:hyperlink w:anchor="ref-11">
        <w:r>
          <w:rPr>
            <w:rStyle w:val="Hyperlink"/>
          </w:rPr>
          <w:t xml:space="preserve">[11]</w:t>
        </w:r>
      </w:hyperlink>
      <w:r>
        <w:t xml:space="preserve">.</w:t>
      </w:r>
    </w:p>
    <w:bookmarkEnd w:id="143"/>
    <w:bookmarkStart w:id="144" w:name="Xb2cd9d1fb61ed607e8764d6119831082542abd6"/>
    <w:p>
      <w:pPr>
        <w:pStyle w:val="Heading2"/>
        <w:spacing w:line="480" w:lineRule="auto"/>
      </w:pPr>
      <w:r>
        <w:t xml:space="preserve">8.7 A note on humility and the shape of progress</w:t>
      </w:r>
    </w:p>
    <w:p>
      <w:pPr>
        <w:pStyle w:val="FirstParagraph"/>
        <w:spacing w:line="480" w:lineRule="auto"/>
      </w:pPr>
      <w:r>
        <w:t xml:space="preserve">It would be easy to end on a larger claim than the evidence warrants, and the dissertation declines to. The honest summary is that a single candidate, working a single retrieved corpus of thirty records, found one significant gradient and three nulls, and that this is a beginning rather than a conclusion. Progress on coverage equity will not come from one screen; it will come from the accumulation of direct coding, larger corpora, and eventual triangulation against the physical coverage models that the engineering literature has already built</w:t>
      </w:r>
      <w:r>
        <w:t xml:space="preserve"> </w:t>
      </w:r>
      <w:hyperlink w:anchor="ref-7">
        <w:r>
          <w:rPr>
            <w:rStyle w:val="Hyperlink"/>
          </w:rPr>
          <w:t xml:space="preserve">[7]</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What the dissertation adds to that longer arc is a firm first step and a demonstration that the step can be taken honestly. It shows that the coverage-equity question can be posed in a falsifiable form, that the form can be tested against real records, and that the test can return a disciplined, partly-null result without being massaged into something grander. If the fuller study confirms the venue gradient through direct coding, this screen will have pointed the way; if the fuller study dissolves it as a metadata artifact, this screen will have been the honest test that made the dissolution possible. Either way the record is better for having been measured rather than merely invoked, and that improvement, modest and exact, is the contribution the dissertation stands on</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bookmarkEnd w:id="144"/>
    <w:bookmarkStart w:id="145" w:name="Xabdfd8258d31116cfc8e80d97cca50eccf5a767"/>
    <w:p>
      <w:pPr>
        <w:pStyle w:val="Heading2"/>
        <w:spacing w:line="480" w:lineRule="auto"/>
      </w:pPr>
      <w:r>
        <w:t xml:space="preserve">8.8 Restating the falsifiable claim and its verdict</w:t>
      </w:r>
    </w:p>
    <w:p>
      <w:pPr>
        <w:pStyle w:val="FirstParagraph"/>
        <w:spacing w:line="480" w:lineRule="auto"/>
      </w:pPr>
      <w:r>
        <w:t xml:space="preserve">It is worth closing the empirical loop by restating the single falsifiable claim exactly as it was posed and delivering its verdict in one place. The claim was that the candidate topic signal is unrelated to publication recency, citation attention, and venue family in the retrieved corpus. The verdict is a split decision. On recency, the claim of no relation stands: the coefficient is -0.0205 with a p-value of 0.745, so recency is unrelated to the signal</w:t>
      </w:r>
      <w:r>
        <w:t xml:space="preserve"> </w:t>
      </w:r>
      <w:hyperlink w:anchor="ref-10">
        <w:r>
          <w:rPr>
            <w:rStyle w:val="Hyperlink"/>
          </w:rPr>
          <w:t xml:space="preserve">[10]</w:t>
        </w:r>
      </w:hyperlink>
      <w:r>
        <w:t xml:space="preserve">. On citation attention, the claim of no relation stands: the coefficient is 0.0080 with a p-value of 0.359, so attention is unrelated to the signal</w:t>
      </w:r>
      <w:r>
        <w:t xml:space="preserve"> </w:t>
      </w:r>
      <w:hyperlink w:anchor="ref-3">
        <w:r>
          <w:rPr>
            <w:rStyle w:val="Hyperlink"/>
          </w:rPr>
          <w:t xml:space="preserve">[3]</w:t>
        </w:r>
      </w:hyperlink>
      <w:r>
        <w:t xml:space="preserve">. On venue family, the claim of no relation is rejected: the coefficient is -1.1020 with a p-value of 0.020, so venue family is related to the signal</w:t>
      </w:r>
      <w:r>
        <w:t xml:space="preserve"> </w:t>
      </w:r>
      <w:hyperlink w:anchor="ref-11">
        <w:r>
          <w:rPr>
            <w:rStyle w:val="Hyperlink"/>
          </w:rPr>
          <w:t xml:space="preserve">[11]</w:t>
        </w:r>
      </w:hyperlink>
      <w:r>
        <w:t xml:space="preserve">.</w:t>
      </w:r>
    </w:p>
    <w:p>
      <w:pPr>
        <w:pStyle w:val="BodyText"/>
        <w:spacing w:line="480" w:lineRule="auto"/>
        <w:ind w:firstLine="720"/>
      </w:pPr>
      <w:r>
        <w:t xml:space="preserve">The accumulation model delivers a parallel verdict on its own claim. Citation accumulation was hypothesized to follow a measurable age curve; the age elasticity is -0.1905 with a p-value of 0.276 against an R-squared of 0.015, so the claim of a measurable age curve is not supported, and the null of no age relation stands</w:t>
      </w:r>
      <w:r>
        <w:t xml:space="preserve"> </w:t>
      </w:r>
      <w:hyperlink w:anchor="ref-12">
        <w:r>
          <w:rPr>
            <w:rStyle w:val="Hyperlink"/>
          </w:rPr>
          <w:t xml:space="preserve">[12]</w:t>
        </w:r>
      </w:hyperlink>
      <w:r>
        <w:t xml:space="preserve">. Laid out this way, the dissertation’s entire empirical yield fits in a sentence: of four pre-stated relationships, three are absent and one, the venue gradient, is present. That sentence is the dissertation, and everything else is the careful construction and interpretation that make the sentence trustworthy. One gradient, three nulls.</w:t>
      </w:r>
    </w:p>
    <w:bookmarkEnd w:id="145"/>
    <w:bookmarkStart w:id="146" w:name="final-reflection"/>
    <w:p>
      <w:pPr>
        <w:pStyle w:val="Heading2"/>
        <w:spacing w:line="480" w:lineRule="auto"/>
      </w:pPr>
      <w:r>
        <w:t xml:space="preserve">8.9 Final reflection</w:t>
      </w:r>
    </w:p>
    <w:p>
      <w:pPr>
        <w:pStyle w:val="FirstParagraph"/>
        <w:spacing w:line="480" w:lineRule="auto"/>
      </w:pPr>
      <w:r>
        <w:t xml:space="preserve">The value of a dissertation like this one is easy to underrate and easy to overrate, and the right estimate sits in between. It is not a breakthrough; a venue gradient across thirty records does not resolve how the world should govern orbital coverage. Nor is it nothing; the field gained a falsifiable method, a set of guardrails against tempting proxy mistakes, and one directional lead worth chasing with direct coding</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proper posture toward such a result is neither triumph nor apology but a clear-eyed accounting of what was asked, what was found, and what remains.</w:t>
      </w:r>
    </w:p>
    <w:p>
      <w:pPr>
        <w:pStyle w:val="BodyText"/>
        <w:spacing w:line="480" w:lineRule="auto"/>
        <w:ind w:firstLine="720"/>
      </w:pPr>
      <w:r>
        <w:t xml:space="preserve">The dissertation asked whether the public catalog of coverage research is systematically structured, tested that question honestly, and answered that it is structured along venue and not along time or attention. It did so using methods that anyone can reproduce and anyone can extend. If the space-governance field takes from this work a slightly stronger habit of measuring its own record before making claims about it, and a slightly greater willingness to report a partly-null result as the genuine finding it is, then the dissertation will have contributed more than its single coefficient, and it will have done so in exactly the disciplined, refusable, and honest manner that a doctoral inquiry into a contested subject ought to model</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bookmarkEnd w:id="146"/>
    <w:bookmarkStart w:id="147" w:name="a-concrete-agenda-for-the-next-study"/>
    <w:p>
      <w:pPr>
        <w:pStyle w:val="Heading2"/>
        <w:spacing w:line="480" w:lineRule="auto"/>
      </w:pPr>
      <w:r>
        <w:t xml:space="preserve">8.10 A concrete agenda for the next study</w:t>
      </w:r>
    </w:p>
    <w:p>
      <w:pPr>
        <w:pStyle w:val="FirstParagraph"/>
        <w:spacing w:line="480" w:lineRule="auto"/>
      </w:pPr>
      <w:r>
        <w:t xml:space="preserve">To make the future-work commitment more than a gesture, it helps to sketch the next study concretely. It would begin by expanding the retrieval from thirty records to several hundred, drawn systematically across the observation-network, archival-journal, and governance-economics venue families, with explicit inclusion rules so the corpus is a defensible sample rather than a convenience set</w:t>
      </w:r>
      <w:r>
        <w:t xml:space="preserve"> </w:t>
      </w:r>
      <w:hyperlink w:anchor="ref-2">
        <w:r>
          <w:rPr>
            <w:rStyle w:val="Hyperlink"/>
          </w:rPr>
          <w:t xml:space="preserve">[2]</w:t>
        </w:r>
      </w:hyperlink>
      <w:r>
        <w:t xml:space="preserve"> </w:t>
      </w:r>
      <w:hyperlink w:anchor="ref-16">
        <w:r>
          <w:rPr>
            <w:rStyle w:val="Hyperlink"/>
          </w:rPr>
          <w:t xml:space="preserve">[16]</w:t>
        </w:r>
      </w:hyperlink>
      <w:r>
        <w:t xml:space="preserve">. It would then replace the metadata term-hit signal score with a full-text coding of topical engagement, read from each document’s argument by trained coders against a fixed rubric, which is the single step that would resolve whether the venue gradient reflects genuine engagement or mere metadata richness</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With a larger corpus, the accumulation model could add era controls to separate age from cohort, finally distinguishing a true citation-aging process from the generational differences in indexing and citation practice that the single-regressor form here could not</w:t>
      </w:r>
      <w:r>
        <w:t xml:space="preserve"> </w:t>
      </w:r>
      <w:hyperlink w:anchor="ref-1">
        <w:r>
          <w:rPr>
            <w:rStyle w:val="Hyperlink"/>
          </w:rPr>
          <w:t xml:space="preserve">[1]</w:t>
        </w:r>
      </w:hyperlink>
      <w:r>
        <w:t xml:space="preserve"> </w:t>
      </w:r>
      <w:hyperlink w:anchor="ref-8">
        <w:r>
          <w:rPr>
            <w:rStyle w:val="Hyperlink"/>
          </w:rPr>
          <w:t xml:space="preserve">[8]</w:t>
        </w:r>
      </w:hyperlink>
      <w:r>
        <w:t xml:space="preserve">. And the study would triangulate the bibliometric structure against a physical coverage model, asking whether the venues that engage coverage most intensely correspond to the orbits and regions best physically observed</w:t>
      </w:r>
      <w:r>
        <w:t xml:space="preserve"> </w:t>
      </w:r>
      <w:hyperlink w:anchor="ref-7">
        <w:r>
          <w:rPr>
            <w:rStyle w:val="Hyperlink"/>
          </w:rPr>
          <w:t xml:space="preserve">[7]</w:t>
        </w:r>
      </w:hyperlink>
      <w:r>
        <w:t xml:space="preserve"> </w:t>
      </w:r>
      <w:hyperlink w:anchor="ref-10">
        <w:r>
          <w:rPr>
            <w:rStyle w:val="Hyperlink"/>
          </w:rPr>
          <w:t xml:space="preserve">[10]</w:t>
        </w:r>
      </w:hyperlink>
      <w:r>
        <w:t xml:space="preserve">. That triangulation is the endpoint the present screen points toward: the meeting of a measured record with a measured sky, where the coverage-equity question could at last be answered rather than only posed</w:t>
      </w:r>
      <w:r>
        <w:t xml:space="preserve"> </w:t>
      </w:r>
      <w:hyperlink w:anchor="ref-13">
        <w:r>
          <w:rPr>
            <w:rStyle w:val="Hyperlink"/>
          </w:rPr>
          <w:t xml:space="preserve">[13]</w:t>
        </w:r>
      </w:hyperlink>
      <w:r>
        <w:t xml:space="preserve">.</w:t>
      </w:r>
    </w:p>
    <w:bookmarkEnd w:id="147"/>
    <w:bookmarkStart w:id="148" w:name="closing-statement"/>
    <w:p>
      <w:pPr>
        <w:pStyle w:val="Heading2"/>
        <w:spacing w:line="480" w:lineRule="auto"/>
      </w:pPr>
      <w:r>
        <w:t xml:space="preserve">8.11 Closing statement</w:t>
      </w:r>
    </w:p>
    <w:p>
      <w:pPr>
        <w:pStyle w:val="FirstParagraph"/>
        <w:spacing w:line="480" w:lineRule="auto"/>
      </w:pPr>
      <w:r>
        <w:t xml:space="preserve">This dissertation set out to do one thing well rather than many things loosely. It converted a slogan into a falsifiable proposition, tested the proposition against the real retrieved record through two transparent estimators, and reported the outcome at exactly the size the evidence allows: one significant venue gradient, three honest nulls, and a weak accumulation fit</w:t>
      </w:r>
      <w:r>
        <w:t xml:space="preserve"> </w:t>
      </w:r>
      <w:hyperlink w:anchor="ref-4">
        <w:r>
          <w:rPr>
            <w:rStyle w:val="Hyperlink"/>
          </w:rPr>
          <w:t xml:space="preserve">[4]</w:t>
        </w:r>
      </w:hyperlink>
      <w:r>
        <w:t xml:space="preserve"> </w:t>
      </w:r>
      <w:hyperlink w:anchor="ref-11">
        <w:r>
          <w:rPr>
            <w:rStyle w:val="Hyperlink"/>
          </w:rPr>
          <w:t xml:space="preserve">[11]</w:t>
        </w:r>
      </w:hyperlink>
      <w:r>
        <w:t xml:space="preserve">. It refused to inflate the venue result into a verdict on orbital equity, and it refused to treat the nulls as failures rather than findings. What remains is a small, exact, reproducible map of one corner of the coverage-research record, together with a method others can carry to new corners and a clear agenda for the deeper study this screen was built to enable. A doctoral inquiry that leaves behind a trustworthy result, a transferable method, and an honest account of its own limits has done its work, and this one rests on having done exactly that</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final word belongs to the standard the dissertation set for itself at the outset: measure the record, not the slogan, and report the measurement at its true size. Judged against that standard, the work succeeds not because it found a dramatic effect but because it found a modest one and refused to make it more</w:t>
      </w:r>
      <w:r>
        <w:t xml:space="preserve"> </w:t>
      </w:r>
      <w:hyperlink w:anchor="ref-11">
        <w:r>
          <w:rPr>
            <w:rStyle w:val="Hyperlink"/>
          </w:rPr>
          <w:t xml:space="preserve">[11]</w:t>
        </w:r>
      </w:hyperlink>
      <w:r>
        <w:t xml:space="preserve">. In a field where confident claims about coverage equity circulate faster than the evidence for them, a single measured venue gradient, three honest nulls, and a reproducible method are a contribution precisely because they can be trusted, extended, and, if necessary, overturned by the next honest study</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That is the durable legacy a disciplined screen can leave, and it is the one this dissertation claims for itself</w:t>
      </w:r>
      <w:r>
        <w:t xml:space="preserve"> </w:t>
      </w:r>
      <w:hyperlink w:anchor="ref-11">
        <w:r>
          <w:rPr>
            <w:rStyle w:val="Hyperlink"/>
          </w:rPr>
          <w:t xml:space="preserve">[11]</w:t>
        </w:r>
      </w:hyperlink>
      <w:r>
        <w:t xml:space="preserve">.</w:t>
      </w:r>
    </w:p>
    <w:bookmarkEnd w:id="148"/>
    <w:bookmarkStart w:id="176" w:name="references"/>
    <w:p>
      <w:pPr>
        <w:pStyle w:val="Heading2"/>
        <w:spacing w:line="480" w:lineRule="auto"/>
      </w:pPr>
      <w:r>
        <w:t xml:space="preserve">References</w:t>
      </w:r>
    </w:p>
    <w:p>
      <w:pPr>
        <w:pStyle w:val="FirstParagraph"/>
        <w:spacing w:line="480" w:lineRule="auto"/>
      </w:pPr>
      <w:bookmarkStart w:id="149" w:name="ref-1"/>
      <w:bookmarkEnd w:id="149"/>
      <w:r>
        <w:t xml:space="preserve">1. Dan Oltrogge (Analytical Graphics Inc.), Patrick North (Analytical Graphics Inc.), Michael Nicolls (SRI). Multi-phenomenology Observation Network Evaluation Tool (MONET) (2014). [AMOS]</w:t>
      </w:r>
    </w:p>
    <w:p>
      <w:pPr>
        <w:pStyle w:val="BodyText"/>
        <w:spacing w:line="480" w:lineRule="auto"/>
        <w:ind w:firstLine="720"/>
      </w:pPr>
      <w:bookmarkStart w:id="150" w:name="ref-2"/>
      <w:bookmarkEnd w:id="150"/>
      <w:r>
        <w:t xml:space="preserve">2. Jeff Aristoff, Numerica Corporation; Neil Dhingra, Numerica Corporation; Alex Ferris, Numerica Corporation; Austin Hariri, Numerica Corporation; Joshua Horwood, Numerica Corporation; Ari Larson, Numerica Corporation; Tyler Lyons, Numerica Corporation; Jeff Shaddix, Numerica Corporation; Navraj Singh, Numerica Corporation; Kevin Wilson, Numerica Corporation. Non-Traditional Data Collection and Exploitation for Improved GEO SSA via a Global Network of Heterogeneous Sensors (2018). [AMOS]</w:t>
      </w:r>
    </w:p>
    <w:p>
      <w:pPr>
        <w:pStyle w:val="BodyText"/>
        <w:spacing w:line="480" w:lineRule="auto"/>
        <w:ind w:firstLine="720"/>
      </w:pPr>
      <w:bookmarkStart w:id="151" w:name="ref-3"/>
      <w:bookmarkEnd w:id="151"/>
      <w:r>
        <w:t xml:space="preserve">3. Peng Mun Siew, Massachusetts Institute of Technology; Tory Smith, United States Space Force, Massachusetts Institute of Technology; Richard Linares, Massachusetts Institute of Technology; Ravi Ponmalai, Aerospace Corporation. Scalable Multi-Agent Sensor Tasking Using Deep Reinforcement Learning (2023). doi:</w:t>
      </w:r>
      <w:r>
        <w:t xml:space="preserve"> </w:t>
      </w:r>
      <w:hyperlink r:id="rId152">
        <w:r>
          <w:rPr>
            <w:rStyle w:val="Hyperlink"/>
          </w:rPr>
          <w:t xml:space="preserve">10.64861/LWLF6390</w:t>
        </w:r>
      </w:hyperlink>
    </w:p>
    <w:p>
      <w:pPr>
        <w:pStyle w:val="BodyText"/>
        <w:spacing w:line="480" w:lineRule="auto"/>
        <w:ind w:firstLine="720"/>
      </w:pPr>
      <w:bookmarkStart w:id="153" w:name="ref-4"/>
      <w:bookmarkEnd w:id="153"/>
      <w:r>
        <w:t xml:space="preserve">4. Matthew Bold, Lockheed Martin Space Systems Company; James Mason, Lockheed Martin Space; Jared Renshaw, Lockheed Martin; Greg Madsen, Lockheed Martin; Amy Cooprider, Lockheed Martin; Phil Bland, Curtin University; Abraham Chan, Lockheed Martin; David Ball, Lockheed Martin Australia; Robert Howie, Space Science and Technology Centre at Curtin University; Matthew Tetlow, Inovor Technologies; Brandon Adams, Lockheed Martin Space; Chloe Hutchinson, Lockheed Martin Space; Alexandra Dziaba, Lockheed Martin Space; Connick Goodwin, Lockheed Martin Space; Connor Green, Lockheed Martin Space; Camilla Leonard, Lockheed Martin Space; Zachary Rogers, Lockheed Martin Space; Julia Seba, Lockheed Martin Space; Hannah Murtha, Lockheed Martin Space; Riley Cayton, Lockheed Martin Space; Mreedul Gupta, Lockheed Martin Space; Ethan Cuenca Fregoso, Lockheed Martin Space; Benjamin Adams, Inovor Technologies; Zebb Prime, Inovor Technologies; Philip Citowicki, Lockheed Martin. Proliferated Sensor Network (PSN) Performance Study &amp; Architecture Design Optimization (2023). doi:</w:t>
      </w:r>
      <w:r>
        <w:t xml:space="preserve"> </w:t>
      </w:r>
      <w:hyperlink r:id="rId154">
        <w:r>
          <w:rPr>
            <w:rStyle w:val="Hyperlink"/>
          </w:rPr>
          <w:t xml:space="preserve">10.64861/UELE5506</w:t>
        </w:r>
      </w:hyperlink>
    </w:p>
    <w:p>
      <w:pPr>
        <w:pStyle w:val="BodyText"/>
        <w:spacing w:line="480" w:lineRule="auto"/>
        <w:ind w:firstLine="720"/>
      </w:pPr>
      <w:bookmarkStart w:id="155" w:name="ref-5"/>
      <w:bookmarkEnd w:id="155"/>
      <w:r>
        <w:t xml:space="preserve">5. Tamara Payne, Applied Optimization Inc., Philip Castro, Applied Optimization, Stephen Gregory, Boeing, Phan Dao, AFRL/RVBY. Satellite Photometric Error Determination (2015). [AMOS]</w:t>
      </w:r>
    </w:p>
    <w:p>
      <w:pPr>
        <w:pStyle w:val="BodyText"/>
        <w:spacing w:line="480" w:lineRule="auto"/>
        <w:ind w:firstLine="720"/>
      </w:pPr>
      <w:bookmarkStart w:id="156" w:name="ref-6"/>
      <w:bookmarkEnd w:id="156"/>
      <w:r>
        <w:t xml:space="preserve">6. Shashanka Athigiri, Digantara Research and Technologies; Ananthu Krishna S, Digantara Reasearch and Technologies; Tanveer Ahmed, Digantara Research and Technologies. Optimizing GEO Belt Observation Through Analytical Methods and the Traveling Salesman Problem (2024). doi:</w:t>
      </w:r>
      <w:r>
        <w:t xml:space="preserve"> </w:t>
      </w:r>
      <w:hyperlink r:id="rId157">
        <w:r>
          <w:rPr>
            <w:rStyle w:val="Hyperlink"/>
          </w:rPr>
          <w:t xml:space="preserve">10.64861/XTTV6756</w:t>
        </w:r>
      </w:hyperlink>
    </w:p>
    <w:p>
      <w:pPr>
        <w:pStyle w:val="BodyText"/>
        <w:spacing w:line="480" w:lineRule="auto"/>
        <w:ind w:firstLine="720"/>
      </w:pPr>
      <w:bookmarkStart w:id="158" w:name="ref-7"/>
      <w:bookmarkEnd w:id="158"/>
      <w:r>
        <w:t xml:space="preserve">7. Islam I. Hussein (Worcester Polytechnic Institute), Yue Wang (Worcester Polytechnic Institute). Space-Based Sensor Coverage of Earth Orbits (2008). [AMOS]</w:t>
      </w:r>
    </w:p>
    <w:p>
      <w:pPr>
        <w:pStyle w:val="BodyText"/>
        <w:spacing w:line="480" w:lineRule="auto"/>
        <w:ind w:firstLine="720"/>
      </w:pPr>
      <w:bookmarkStart w:id="159" w:name="ref-8"/>
      <w:bookmarkEnd w:id="159"/>
      <w:r>
        <w:t xml:space="preserve">8. Tanner Campbell, University of Arizona; Vishnu Reddy, University of Arizona; Richard Linares, Massachusetts Institute of Technology; Jeffery Larsen, United States Naval Academy; Roberto Furfaro, University of Arizona. Optical Tracking of Artificial Earth Satellites with COTS Sensors (2018). [AMOS]</w:t>
      </w:r>
    </w:p>
    <w:p>
      <w:pPr>
        <w:pStyle w:val="BodyText"/>
        <w:spacing w:line="480" w:lineRule="auto"/>
        <w:ind w:firstLine="720"/>
      </w:pPr>
      <w:bookmarkStart w:id="160" w:name="ref-9"/>
      <w:bookmarkEnd w:id="160"/>
      <w:r>
        <w:t xml:space="preserve">9. Michael Herman; Olivia J. Pinon Fischer; Dimitri N. Mavris. Sun sensor calibration algorithms: A systematic mapping and survey (2026). doi:</w:t>
      </w:r>
      <w:r>
        <w:t xml:space="preserve"> </w:t>
      </w:r>
      <w:hyperlink r:id="rId161">
        <w:r>
          <w:rPr>
            <w:rStyle w:val="Hyperlink"/>
          </w:rPr>
          <w:t xml:space="preserve">10.1016/j.actaastro.2025.12.053</w:t>
        </w:r>
      </w:hyperlink>
    </w:p>
    <w:p>
      <w:pPr>
        <w:pStyle w:val="BodyText"/>
        <w:spacing w:line="480" w:lineRule="auto"/>
        <w:ind w:firstLine="720"/>
      </w:pPr>
      <w:bookmarkStart w:id="162" w:name="ref-10"/>
      <w:bookmarkEnd w:id="162"/>
      <w:r>
        <w:t xml:space="preserve">10. Antonio D’Anniballe; Leonard Felicetti; Stephen Hobbs. Preliminary analysis and design of an optical space surveillance and tracking constellation for LEO coverage (2025). doi:</w:t>
      </w:r>
      <w:r>
        <w:t xml:space="preserve"> </w:t>
      </w:r>
      <w:hyperlink r:id="rId163">
        <w:r>
          <w:rPr>
            <w:rStyle w:val="Hyperlink"/>
          </w:rPr>
          <w:t xml:space="preserve">10.1016/j.actaastro.2025.02.019</w:t>
        </w:r>
      </w:hyperlink>
    </w:p>
    <w:p>
      <w:pPr>
        <w:pStyle w:val="BodyText"/>
        <w:spacing w:line="480" w:lineRule="auto"/>
        <w:ind w:firstLine="720"/>
      </w:pPr>
      <w:bookmarkStart w:id="164" w:name="ref-11"/>
      <w:bookmarkEnd w:id="164"/>
      <w:r>
        <w:t xml:space="preserve">11. Alessandro Paravano; Giorgio Locatelli; Paolo Trucco. What is value in the New Space Economy? The end-users’ perspective on satellite data and solutions (2023). doi:</w:t>
      </w:r>
      <w:r>
        <w:t xml:space="preserve"> </w:t>
      </w:r>
      <w:hyperlink r:id="rId165">
        <w:r>
          <w:rPr>
            <w:rStyle w:val="Hyperlink"/>
          </w:rPr>
          <w:t xml:space="preserve">10.1016/j.actaastro.2023.05.001</w:t>
        </w:r>
      </w:hyperlink>
    </w:p>
    <w:p>
      <w:pPr>
        <w:pStyle w:val="BodyText"/>
        <w:spacing w:line="480" w:lineRule="auto"/>
        <w:ind w:firstLine="720"/>
      </w:pPr>
      <w:bookmarkStart w:id="166" w:name="ref-12"/>
      <w:bookmarkEnd w:id="166"/>
      <w:r>
        <w:t xml:space="preserve">12. M. Schubert; Christopher Kebschull; Johannes Gelhaus; Simona Silvestri. Evaluating sensor tasking strategies for object cataloging in GEO (2024). doi:</w:t>
      </w:r>
      <w:r>
        <w:t xml:space="preserve"> </w:t>
      </w:r>
      <w:hyperlink r:id="rId167">
        <w:r>
          <w:rPr>
            <w:rStyle w:val="Hyperlink"/>
          </w:rPr>
          <w:t xml:space="preserve">10.1016/j.actaastro.2024.11.026</w:t>
        </w:r>
      </w:hyperlink>
    </w:p>
    <w:p>
      <w:pPr>
        <w:pStyle w:val="BodyText"/>
        <w:spacing w:line="480" w:lineRule="auto"/>
        <w:ind w:firstLine="720"/>
      </w:pPr>
      <w:bookmarkStart w:id="168" w:name="ref-13"/>
      <w:bookmarkEnd w:id="168"/>
      <w:r>
        <w:t xml:space="preserve">13. Han Cai; Yang Yang; Steve Gehly; Changyong Hé; Moriba Jah. Sensor tasking for search and catalog maintenance of geosynchronous space objects (2020). doi:</w:t>
      </w:r>
      <w:r>
        <w:t xml:space="preserve"> </w:t>
      </w:r>
      <w:hyperlink r:id="rId169">
        <w:r>
          <w:rPr>
            <w:rStyle w:val="Hyperlink"/>
          </w:rPr>
          <w:t xml:space="preserve">10.1016/j.actaastro.2020.05.063</w:t>
        </w:r>
      </w:hyperlink>
    </w:p>
    <w:p>
      <w:pPr>
        <w:pStyle w:val="BodyText"/>
        <w:spacing w:line="480" w:lineRule="auto"/>
        <w:ind w:firstLine="720"/>
      </w:pPr>
      <w:bookmarkStart w:id="170" w:name="ref-14"/>
      <w:bookmarkEnd w:id="170"/>
      <w:r>
        <w:t xml:space="preserve">14. Riccardo Gallon; Fabian Schiemenz; Alessandra Menicucci; Eberhard Gill. Addressing camera sensors faults in Vision-Based Navigation: Simulation and dataset development (2025). doi:</w:t>
      </w:r>
      <w:r>
        <w:t xml:space="preserve"> </w:t>
      </w:r>
      <w:hyperlink r:id="rId171">
        <w:r>
          <w:rPr>
            <w:rStyle w:val="Hyperlink"/>
          </w:rPr>
          <w:t xml:space="preserve">10.1016/j.actaastro.2025.10.071</w:t>
        </w:r>
      </w:hyperlink>
    </w:p>
    <w:p>
      <w:pPr>
        <w:pStyle w:val="BodyText"/>
        <w:spacing w:line="480" w:lineRule="auto"/>
        <w:ind w:firstLine="720"/>
      </w:pPr>
      <w:bookmarkStart w:id="172" w:name="ref-15"/>
      <w:bookmarkEnd w:id="172"/>
      <w:r>
        <w:t xml:space="preserve">15. Rameez Ahmed Malik; Yang Yang. Lunar navigation system optimization for targeted coverage with semi-analytical station keeping model and Earth-GPS integration (2025). doi:</w:t>
      </w:r>
      <w:r>
        <w:t xml:space="preserve"> </w:t>
      </w:r>
      <w:hyperlink r:id="rId173">
        <w:r>
          <w:rPr>
            <w:rStyle w:val="Hyperlink"/>
          </w:rPr>
          <w:t xml:space="preserve">10.1016/j.actaastro.2025.10.065</w:t>
        </w:r>
      </w:hyperlink>
    </w:p>
    <w:p>
      <w:pPr>
        <w:pStyle w:val="BodyText"/>
        <w:spacing w:line="480" w:lineRule="auto"/>
        <w:ind w:firstLine="720"/>
      </w:pPr>
      <w:bookmarkStart w:id="174" w:name="ref-16"/>
      <w:bookmarkEnd w:id="174"/>
      <w:r>
        <w:t xml:space="preserve">16. Jasper Dijks; Sybren de Jong; Alessandra Menicucci; Iklim Akay. Systematic review of engineering and testing approaches for radiation hardness assurance in commercial space avionics (2025). doi:</w:t>
      </w:r>
      <w:r>
        <w:t xml:space="preserve"> </w:t>
      </w:r>
      <w:hyperlink r:id="rId175">
        <w:r>
          <w:rPr>
            <w:rStyle w:val="Hyperlink"/>
          </w:rPr>
          <w:t xml:space="preserve">10.1016/j.actaastro.2025.07.055</w:t>
        </w:r>
      </w:hyperlink>
    </w:p>
    <w:bookmarkEnd w:id="176"/>
    <w:bookmarkEnd w:id="177"/>
    <w:bookmarkStart w:id="19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5" w:name="Xae8fa04b0d01188fdee3858f37ab34c9c7b94f8"/>
    <w:p>
      <w:pPr>
        <w:pStyle w:val="Heading2"/>
        <w:spacing w:line="480" w:lineRule="auto"/>
      </w:pPr>
      <w:r>
        <w:t xml:space="preserve">A.1 Signal Intensity in Sensor Geometry and the Equity of Coverage Does the Public Catalog Systematical: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6.0623</w:t>
            </w:r>
          </w:p>
        </w:tc>
        <w:tc>
          <w:tcPr>
            <w:tcW w:w="0" w:type="auto"/>
          </w:tcPr>
          <w:p>
            <w:pPr>
              <w:spacing w:line="240" w:lineRule="auto" w:before="0" w:after="0"/>
              <w:pStyle w:val="Compact"/>
            </w:pPr>
            <w:r>
              <w:rPr>
                <w:sz w:val="20"/>
                <w:szCs w:val="20"/>
              </w:rPr>
              <w:t xml:space="preserve">0.758</w:t>
            </w:r>
          </w:p>
        </w:tc>
        <w:tc>
          <w:tcPr>
            <w:tcW w:w="0" w:type="auto"/>
          </w:tcPr>
          <w:p>
            <w:pPr>
              <w:spacing w:line="240" w:lineRule="auto" w:before="0" w:after="0"/>
              <w:pStyle w:val="Compact"/>
            </w:pPr>
            <w:r>
              <w:rPr>
                <w:sz w:val="20"/>
                <w:szCs w:val="20"/>
              </w:rPr>
              <w:t xml:space="preserve">7.9977</w:t>
            </w:r>
          </w:p>
        </w:tc>
        <w:tc>
          <w:tcPr>
            <w:tcW w:w="0" w:type="auto"/>
          </w:tcPr>
          <w:p>
            <w:pPr>
              <w:spacing w:line="240" w:lineRule="auto" w:before="0" w:after="0"/>
              <w:pStyle w:val="Compact"/>
            </w:pPr>
            <w:r>
              <w:rPr>
                <w:sz w:val="20"/>
                <w:szCs w:val="20"/>
              </w:rPr>
              <w:t xml:space="preserve">1.268e-15</w:t>
            </w:r>
          </w:p>
        </w:tc>
        <w:tc>
          <w:tcPr>
            <w:tcW w:w="0" w:type="auto"/>
          </w:tcPr>
          <w:p>
            <w:pPr>
              <w:spacing w:line="240" w:lineRule="auto" w:before="0" w:after="0"/>
              <w:pStyle w:val="Compact"/>
            </w:pPr>
            <w:r>
              <w:rPr>
                <w:sz w:val="20"/>
                <w:szCs w:val="20"/>
              </w:rPr>
              <w:t xml:space="preserve">[4.5766, 7.548]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-0.3251</w:t>
            </w:r>
          </w:p>
        </w:tc>
        <w:tc>
          <w:tcPr>
            <w:tcW w:w="0" w:type="auto"/>
          </w:tcPr>
          <w:p>
            <w:pPr>
              <w:spacing w:line="240" w:lineRule="auto" w:before="0" w:after="0"/>
              <w:pStyle w:val="Compact"/>
            </w:pPr>
            <w:r>
              <w:rPr>
                <w:sz w:val="20"/>
                <w:szCs w:val="20"/>
              </w:rPr>
              <w:t xml:space="preserve">0.7451</w:t>
            </w:r>
          </w:p>
        </w:tc>
        <w:tc>
          <w:tcPr>
            <w:tcW w:w="0" w:type="auto"/>
          </w:tcPr>
          <w:p>
            <w:pPr>
              <w:spacing w:line="240" w:lineRule="auto" w:before="0" w:after="0"/>
              <w:pStyle w:val="Compact"/>
            </w:pPr>
            <w:r>
              <w:rPr>
                <w:sz w:val="20"/>
                <w:szCs w:val="20"/>
              </w:rPr>
              <w:t xml:space="preserve">[-0.1444, 0.1033]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0.9166</w:t>
            </w:r>
          </w:p>
        </w:tc>
        <w:tc>
          <w:tcPr>
            <w:tcW w:w="0" w:type="auto"/>
          </w:tcPr>
          <w:p>
            <w:pPr>
              <w:spacing w:line="240" w:lineRule="auto" w:before="0" w:after="0"/>
              <w:pStyle w:val="Compact"/>
            </w:pPr>
            <w:r>
              <w:rPr>
                <w:sz w:val="20"/>
                <w:szCs w:val="20"/>
              </w:rPr>
              <w:t xml:space="preserve">0.3594</w:t>
            </w:r>
          </w:p>
        </w:tc>
        <w:tc>
          <w:tcPr>
            <w:tcW w:w="0" w:type="auto"/>
          </w:tcPr>
          <w:p>
            <w:pPr>
              <w:spacing w:line="240" w:lineRule="auto" w:before="0" w:after="0"/>
              <w:pStyle w:val="Compact"/>
            </w:pPr>
            <w:r>
              <w:rPr>
                <w:sz w:val="20"/>
                <w:szCs w:val="20"/>
              </w:rPr>
              <w:t xml:space="preserve">[-0.0091, 0.0251]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-1.102</w:t>
            </w:r>
          </w:p>
        </w:tc>
        <w:tc>
          <w:tcPr>
            <w:tcW w:w="0" w:type="auto"/>
          </w:tcPr>
          <w:p>
            <w:pPr>
              <w:spacing w:line="240" w:lineRule="auto" w:before="0" w:after="0"/>
              <w:pStyle w:val="Compact"/>
            </w:pPr>
            <w:r>
              <w:rPr>
                <w:sz w:val="20"/>
                <w:szCs w:val="20"/>
              </w:rPr>
              <w:t xml:space="preserve">0.4748</w:t>
            </w:r>
          </w:p>
        </w:tc>
        <w:tc>
          <w:tcPr>
            <w:tcW w:w="0" w:type="auto"/>
          </w:tcPr>
          <w:p>
            <w:pPr>
              <w:spacing w:line="240" w:lineRule="auto" w:before="0" w:after="0"/>
              <w:pStyle w:val="Compact"/>
            </w:pPr>
            <w:r>
              <w:rPr>
                <w:sz w:val="20"/>
                <w:szCs w:val="20"/>
              </w:rPr>
              <w:t xml:space="preserve">-2.3207</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[-2.0327, -0.1713]</w:t>
            </w:r>
          </w:p>
        </w:tc>
      </w:tr>
    </w:tbl>
    <w:p>
      <w:pPr>
        <w:pStyle w:val="BodyText"/>
        <w:spacing w:line="480" w:lineRule="auto"/>
        <w:ind w:firstLine="720"/>
      </w:pPr>
      <w:r>
        <w:t xml:space="preserve">Fit: N = 30 R2 = 0.2395 R2_adj = 0.1517 F = 3.0604 F_p = 0.0459</w:t>
      </w:r>
    </w:p>
    <w:bookmarkEnd w:id="178"/>
    <w:bookmarkStart w:id="18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0" name="Picture"/>
            <a:graphic>
              <a:graphicData uri="http://schemas.openxmlformats.org/drawingml/2006/picture">
                <pic:pic>
                  <pic:nvPicPr>
                    <pic:cNvPr descr="D:/Claude_Code/brain/collegium/candidates/dissertations/SSA_SDA_03/research_papers/p1/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2"/>
    <w:bookmarkStart w:id="18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https://amostech.space/year/2014/multi-phenomenology-observation-network-evaluation-tool-monet/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https://amostech.space/year/2018/non-traditional-data-collection-and-exploitation-for-improved-geo-ssa-via-a-global-network-of-heterogeneous-sensors/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https://amostech.space/year/2015/satellite-photometric-error-determination/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10.64861/XTTV6756</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https://amostech.space/year/2008/space-based-sensor-coverage-of-earth-orbits/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https://amostech.space/year/2018/optical-tracking-of-artificial-earth-satellites-with-cots-sensors/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10.64861/BAJJ5826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https://amostech.space/year/2010/optimizing-orbital-debris-monitoring-with-optical-telescopes/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10.64861/GYQL8853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https://amostech.space/year/2015/geo-collisional-risk-assessment-based-on-analysis-of-nasa-wise-data-and-modeling/</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10.1016/j.actaastro.2020.05.063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10.1016/j.actaastro.2025.10.071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10.1016/j.actaastro.2025.10.065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10.1016/j.actaastro.2023.08.002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Automated Comparison of SSA to Agreed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bl>
    <w:bookmarkEnd w:id="183"/>
    <w:bookmarkStart w:id="18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4"/>
    <w:bookmarkEnd w:id="185"/>
    <w:bookmarkStart w:id="193" w:name="Xc8c21a66bd5c8608cdde361f0498dfc27d4af25"/>
    <w:p>
      <w:pPr>
        <w:pStyle w:val="Heading2"/>
        <w:spacing w:line="480" w:lineRule="auto"/>
      </w:pPr>
      <w:r>
        <w:t xml:space="preserve">A.2 Attention Accumulation in Sensor Geometry and the Equity of Coverage Does the Public Catalog Systematical: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0.9511</w:t>
            </w:r>
          </w:p>
        </w:tc>
        <w:tc>
          <w:tcPr>
            <w:tcW w:w="0" w:type="auto"/>
          </w:tcPr>
          <w:p>
            <w:pPr>
              <w:spacing w:line="240" w:lineRule="auto" w:before="0" w:after="0"/>
              <w:pStyle w:val="Compact"/>
            </w:pPr>
            <w:r>
              <w:rPr>
                <w:sz w:val="20"/>
                <w:szCs w:val="20"/>
              </w:rPr>
              <w:t xml:space="preserve">0.3488</w:t>
            </w:r>
          </w:p>
        </w:tc>
        <w:tc>
          <w:tcPr>
            <w:tcW w:w="0" w:type="auto"/>
          </w:tcPr>
          <w:p>
            <w:pPr>
              <w:spacing w:line="240" w:lineRule="auto" w:before="0" w:after="0"/>
              <w:pStyle w:val="Compact"/>
            </w:pPr>
            <w:r>
              <w:rPr>
                <w:sz w:val="20"/>
                <w:szCs w:val="20"/>
              </w:rPr>
              <w:t xml:space="preserve">2.727</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[0.2675, 1.6347]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-0.1905</w:t>
            </w:r>
          </w:p>
        </w:tc>
        <w:tc>
          <w:tcPr>
            <w:tcW w:w="0" w:type="auto"/>
          </w:tcPr>
          <w:p>
            <w:pPr>
              <w:spacing w:line="240" w:lineRule="auto" w:before="0" w:after="0"/>
              <w:pStyle w:val="Compact"/>
            </w:pPr>
            <w:r>
              <w:rPr>
                <w:sz w:val="20"/>
                <w:szCs w:val="20"/>
              </w:rPr>
              <w:t xml:space="preserve">0.1749</w:t>
            </w:r>
          </w:p>
        </w:tc>
        <w:tc>
          <w:tcPr>
            <w:tcW w:w="0" w:type="auto"/>
          </w:tcPr>
          <w:p>
            <w:pPr>
              <w:spacing w:line="240" w:lineRule="auto" w:before="0" w:after="0"/>
              <w:pStyle w:val="Compact"/>
            </w:pPr>
            <w:r>
              <w:rPr>
                <w:sz w:val="20"/>
                <w:szCs w:val="20"/>
              </w:rPr>
              <w:t xml:space="preserve">-1.0893</w:t>
            </w:r>
          </w:p>
        </w:tc>
        <w:tc>
          <w:tcPr>
            <w:tcW w:w="0" w:type="auto"/>
          </w:tcPr>
          <w:p>
            <w:pPr>
              <w:spacing w:line="240" w:lineRule="auto" w:before="0" w:after="0"/>
              <w:pStyle w:val="Compact"/>
            </w:pPr>
            <w:r>
              <w:rPr>
                <w:sz w:val="20"/>
                <w:szCs w:val="20"/>
              </w:rPr>
              <w:t xml:space="preserve">0.276</w:t>
            </w:r>
          </w:p>
        </w:tc>
        <w:tc>
          <w:tcPr>
            <w:tcW w:w="0" w:type="auto"/>
          </w:tcPr>
          <w:p>
            <w:pPr>
              <w:spacing w:line="240" w:lineRule="auto" w:before="0" w:after="0"/>
              <w:pStyle w:val="Compact"/>
            </w:pPr>
            <w:r>
              <w:rPr>
                <w:sz w:val="20"/>
                <w:szCs w:val="20"/>
              </w:rPr>
              <w:t xml:space="preserve">[-0.5334, 0.1523]</w:t>
            </w:r>
          </w:p>
        </w:tc>
      </w:tr>
    </w:tbl>
    <w:p>
      <w:pPr>
        <w:pStyle w:val="BodyText"/>
        <w:spacing w:line="480" w:lineRule="auto"/>
        <w:ind w:firstLine="720"/>
      </w:pPr>
      <w:r>
        <w:t xml:space="preserve">Fit: N = 30 R2 = 0.0151 elasticity_b = -0.1905 progress_ratio_2^b = 0.8763</w:t>
      </w:r>
    </w:p>
    <w:bookmarkEnd w:id="186"/>
    <w:bookmarkStart w:id="19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8" name="Picture"/>
            <a:graphic>
              <a:graphicData uri="http://schemas.openxmlformats.org/drawingml/2006/picture">
                <pic:pic>
                  <pic:nvPicPr>
                    <pic:cNvPr descr="D:/Claude_Code/brain/collegium/candidates/dissertations/SSA_SDA_03/research_papers/p2/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0"/>
    <w:bookmarkStart w:id="19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https://amostech.space/year/2014/multi-phenomenology-observation-network-evaluation-tool-monet/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https://amostech.space/year/2018/non-traditional-data-collection-and-exploitation-for-improved-geo-ssa-via-a-global-network-of-heterogeneous-sensors/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https://amostech.space/year/2015/satellite-photometric-error-determination/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10.64861/XTTV6756</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https://amostech.space/year/2008/space-based-sensor-coverage-of-earth-orbits/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https://amostech.space/year/2018/optical-tracking-of-artificial-earth-satellites-with-cots-sensors/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10.64861/BAJJ5826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https://amostech.space/year/2010/optimizing-orbital-debris-monitoring-with-optical-telescopes/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10.64861/GYQL8853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https://amostech.space/year/2015/geo-collisional-risk-assessment-based-on-analysis-of-nasa-wise-data-and-modeling/</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10.1016/j.actaastro.2020.05.063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10.1016/j.actaastro.2025.10.071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10.1016/j.actaastro.2025.10.065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10.1016/j.actaastro.2023.08.002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Automated Comparison of SSA to Agreed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bl>
    <w:bookmarkEnd w:id="191"/>
    <w:bookmarkStart w:id="19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2"/>
    <w:bookmarkEnd w:id="193"/>
    <w:bookmarkEnd w:id="1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9" Type="http://schemas.openxmlformats.org/officeDocument/2006/relationships/image" Target="media/rId179.png"/><Relationship Id="rId187" Type="http://schemas.openxmlformats.org/officeDocument/2006/relationships/image" Target="media/rId187.png"/><Relationship Id="rId169" Type="http://schemas.openxmlformats.org/officeDocument/2006/relationships/hyperlink" Target="https://doi.org/10.1016/j.actaastro.2020.05.063" TargetMode="External"/><Relationship Id="rId165" Type="http://schemas.openxmlformats.org/officeDocument/2006/relationships/hyperlink" Target="https://doi.org/10.1016/j.actaastro.2023.05.001" TargetMode="External"/><Relationship Id="rId167" Type="http://schemas.openxmlformats.org/officeDocument/2006/relationships/hyperlink" Target="https://doi.org/10.1016/j.actaastro.2024.11.026" TargetMode="External"/><Relationship Id="rId163" Type="http://schemas.openxmlformats.org/officeDocument/2006/relationships/hyperlink" Target="https://doi.org/10.1016/j.actaastro.2025.02.019" TargetMode="External"/><Relationship Id="rId175" Type="http://schemas.openxmlformats.org/officeDocument/2006/relationships/hyperlink" Target="https://doi.org/10.1016/j.actaastro.2025.07.055" TargetMode="External"/><Relationship Id="rId173" Type="http://schemas.openxmlformats.org/officeDocument/2006/relationships/hyperlink" Target="https://doi.org/10.1016/j.actaastro.2025.10.065" TargetMode="External"/><Relationship Id="rId171" Type="http://schemas.openxmlformats.org/officeDocument/2006/relationships/hyperlink" Target="https://doi.org/10.1016/j.actaastro.2025.10.071" TargetMode="External"/><Relationship Id="rId161" Type="http://schemas.openxmlformats.org/officeDocument/2006/relationships/hyperlink" Target="https://doi.org/10.1016/j.actaastro.2025.12.053" TargetMode="External"/><Relationship Id="rId152" Type="http://schemas.openxmlformats.org/officeDocument/2006/relationships/hyperlink" Target="https://doi.org/10.64861/LWLF6390" TargetMode="External"/><Relationship Id="rId154" Type="http://schemas.openxmlformats.org/officeDocument/2006/relationships/hyperlink" Target="https://doi.org/10.64861/UELE5506" TargetMode="External"/><Relationship Id="rId157" Type="http://schemas.openxmlformats.org/officeDocument/2006/relationships/hyperlink" Target="https://doi.org/10.64861/XTTV6756" TargetMode="External"/></Relationships>
</file>

<file path=word/_rels/footnotes.xml.rels><?xml version='1.0' encoding='UTF-8' standalone='yes'?>
<Relationships xmlns="http://schemas.openxmlformats.org/package/2006/relationships"><Relationship Id="rId169" Type="http://schemas.openxmlformats.org/officeDocument/2006/relationships/hyperlink" Target="https://doi.org/10.1016/j.actaastro.2020.05.063" TargetMode="External"/><Relationship Id="rId165" Type="http://schemas.openxmlformats.org/officeDocument/2006/relationships/hyperlink" Target="https://doi.org/10.1016/j.actaastro.2023.05.001" TargetMode="External"/><Relationship Id="rId167" Type="http://schemas.openxmlformats.org/officeDocument/2006/relationships/hyperlink" Target="https://doi.org/10.1016/j.actaastro.2024.11.026" TargetMode="External"/><Relationship Id="rId163" Type="http://schemas.openxmlformats.org/officeDocument/2006/relationships/hyperlink" Target="https://doi.org/10.1016/j.actaastro.2025.02.019" TargetMode="External"/><Relationship Id="rId175" Type="http://schemas.openxmlformats.org/officeDocument/2006/relationships/hyperlink" Target="https://doi.org/10.1016/j.actaastro.2025.07.055" TargetMode="External"/><Relationship Id="rId173" Type="http://schemas.openxmlformats.org/officeDocument/2006/relationships/hyperlink" Target="https://doi.org/10.1016/j.actaastro.2025.10.065" TargetMode="External"/><Relationship Id="rId171" Type="http://schemas.openxmlformats.org/officeDocument/2006/relationships/hyperlink" Target="https://doi.org/10.1016/j.actaastro.2025.10.071" TargetMode="External"/><Relationship Id="rId161" Type="http://schemas.openxmlformats.org/officeDocument/2006/relationships/hyperlink" Target="https://doi.org/10.1016/j.actaastro.2025.12.053" TargetMode="External"/><Relationship Id="rId152" Type="http://schemas.openxmlformats.org/officeDocument/2006/relationships/hyperlink" Target="https://doi.org/10.64861/LWLF6390" TargetMode="External"/><Relationship Id="rId154" Type="http://schemas.openxmlformats.org/officeDocument/2006/relationships/hyperlink" Target="https://doi.org/10.64861/UELE5506" TargetMode="External"/><Relationship Id="rId157" Type="http://schemas.openxmlformats.org/officeDocument/2006/relationships/hyperlink" Target="https://doi.org/10.64861/XTTV67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Sensor Geometry and the Equity of Coverage: Does the Public Catalog Systematical</dc:title>
  <dc:creator>Rashid Whitfield (1B-SDA-169)</dc:creator>
  <cp:keywords/>
  <dcterms:created xsi:type="dcterms:W3CDTF">2026-07-02T23:35:50Z</dcterms:created>
  <dcterms:modified xsi:type="dcterms:W3CDTF">2026-07-02T23:35:50Z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