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4" w:name="X7f47f780a71e07fda7f16ce14e4f4b06fa49bdb"/>
    <w:p>
      <w:pPr>
        <w:pStyle w:val="Heading1"/>
      </w:pPr>
      <w:r>
        <w:t xml:space="preserve">Maneuver Detection Latency and the Custody-Gap Window: An OLS Analysis of LEO Sensor Revisit, Object Observability, and Maneuver Magnitude</w:t>
      </w:r>
    </w:p>
    <w:p>
      <w:pPr>
        <w:pStyle w:val="FirstParagraph"/>
      </w:pPr>
      <w:r>
        <w:t xml:space="preserve">Julian Stern (1B-SDA-091)</w:t>
      </w:r>
    </w:p>
    <w:bookmarkStart w:id="61" w:name="introduction"/>
    <w:p>
      <w:pPr>
        <w:pStyle w:val="Heading2"/>
      </w:pPr>
      <w:r>
        <w:t xml:space="preserve">1. Introduction</w:t>
      </w:r>
    </w:p>
    <w:p>
      <w:pPr>
        <w:pStyle w:val="FirstParagraph"/>
      </w:pPr>
      <w:r>
        <w:t xml:space="preserve">Operational space domain awareness rests on a deceptively simple operational quantity: how long does it take, after a resident space object executes a maneuver, for that maneuver to be confirmed and the catalog ephemeris updated. The interval between maneuver execution and catalog confirmation is the custody-gap window. During the gap, conjunction screening uses a stale state vector, collision-avoidance maneuvers are sized against the wrong trajectory, and intent-attribution analyses run on incorrect priors. For low Earth orbit, where revisit geometry of the Space Surveillance Network is constrained by site latitude, sensor count, and tasking competition, the custody-gap window is the binding constraint on responsive SSA. This paper asks: what observable, mission-level features of the object, the sensor tasking, and the maneuver itself drive the length of that window. The answer matters because the levers a sensor-network operator can pull (revisit cadence, number of tasked sensors) are different in kind from the levers an object owner can pull (maneuver magnitude, payload radar cross section), and policy that fails to distinguish them will misallocate the next decade of SSA investment [1, 2].</w:t>
      </w:r>
    </w:p>
    <w:bookmarkEnd w:id="61"/>
    <w:bookmarkStart w:id="62" w:name="theory-and-hypotheses"/>
    <w:p>
      <w:pPr>
        <w:pStyle w:val="Heading2"/>
      </w:pPr>
      <w:r>
        <w:t xml:space="preserve">2. Theory and Hypotheses</w:t>
      </w:r>
    </w:p>
    <w:p>
      <w:pPr>
        <w:pStyle w:val="FirstParagraph"/>
      </w:pPr>
      <w:r>
        <w:t xml:space="preserve">Three mechanisms plausibly shape detection latency. First, sensor revisit interval sets the floor on how quickly a post-maneuver track can be re-acquired and orbit determination re-run</w:t>
      </w:r>
      <w:r>
        <w:t xml:space="preserve"> </w:t>
      </w:r>
      <w:hyperlink w:anchor="ref-1">
        <m:oMathPara>
          <m:oMathParaPr>
            <m:jc m:val="center"/>
          </m:oMathParaPr>
          <m:oMath>
            <m:r>
              <m:t>1</m:t>
            </m:r>
          </m:oMath>
        </m:oMathPara>
      </w:hyperlink>
      <w:r>
        <w:t xml:space="preserve">. Second, the number of independently tasked sensors compresses that floor through parallel observation and through the redundancy that lets at least one sensor catch a short illumination window</w:t>
      </w:r>
      <w:r>
        <w:t xml:space="preserve"> </w:t>
      </w:r>
      <w:hyperlink w:anchor="ref-2">
        <m:oMathPara>
          <m:oMathParaPr>
            <m:jc m:val="center"/>
          </m:oMathParaPr>
          <m:oMath>
            <m:r>
              <m:t>2</m:t>
            </m:r>
          </m:oMath>
        </m:oMathPara>
      </w:hyperlink>
      <w:r>
        <w:t xml:space="preserve">. Third, object observability, captured by radar cross section, and maneuver magnitude, captured by delta-v, change the signal-to-noise ratio that operators see when they run change detection on a residual stream [3, 4]. Altitude is an ambiguous control: higher LEO orbits give some sensors longer dwell but also longer revisit, so its sign is not theoretically determined. The working hypothesis is that revisit lengthens latency, tasked-sensor count shortens it, and that both RCS and delta-v shorten it once revisit and tasking are held fixed.</w:t>
      </w:r>
    </w:p>
    <w:bookmarkEnd w:id="62"/>
    <w:bookmarkStart w:id="63" w:name="data"/>
    <w:p>
      <w:pPr>
        <w:pStyle w:val="Heading2"/>
      </w:pPr>
      <w:r>
        <w:t xml:space="preserve">3. Data</w:t>
      </w:r>
    </w:p>
    <w:p>
      <w:pPr>
        <w:pStyle w:val="FirstParagraph"/>
      </w:pPr>
      <w:r>
        <w:t xml:space="preserve">The sample is forty resident space objects observed between 2017 and 2024 spanning commercial broadband (Starlink, OneWeb, Iridium NEXT), Earth observation (Sentinel, Landsat, Pleiades, WorldView, Gaofen, Fengyun), small-RCS commercial sensing (Planet Lemur and Flock, Capella, ICEYE), and a small set of proximity-operations cases (Cosmos 2543, Cosmos 2558, USA-326, USA-271 GSSAP) drawn from open-source counterspace reporting</w:t>
      </w:r>
      <w:r>
        <w:t xml:space="preserve"> </w:t>
      </w:r>
      <w:hyperlink w:anchor="ref-5">
        <m:oMathPara>
          <m:oMathParaPr>
            <m:jc m:val="center"/>
          </m:oMathParaPr>
          <m:oMath>
            <m:r>
              <m:t>5</m:t>
            </m:r>
          </m:oMath>
        </m:oMathPara>
      </w:hyperlink>
      <w:r>
        <w:t xml:space="preserve">. For each observation the dataset records maneuver delta-v in meters per second, mean orbital altitude, inclination, radar cross section, the mean revisit interval of the sensors tasked on the object during the maneuver window, the number of distinct tasked sensors, calendar year, and confirmed detection latency in hours. Sources include NASA Conjunction Assessment Risk Analysis operational reporting</w:t>
      </w:r>
      <w:r>
        <w:t xml:space="preserve"> </w:t>
      </w:r>
      <w:hyperlink w:anchor="ref-6">
        <m:oMathPara>
          <m:oMathParaPr>
            <m:jc m:val="center"/>
          </m:oMathParaPr>
          <m:oMath>
            <m:r>
              <m:t>6</m:t>
            </m:r>
          </m:oMath>
        </m:oMathPara>
      </w:hyperlink>
      <w:r>
        <w:t xml:space="preserve">, AMOS Technical Conference papers on maneuver prediction and tracking constellation design [1, 2, 3], operator filings to the FCC and SEC for commercial constellation maneuver cadence, and open-source counterspace assessments for proximity-operations cases</w:t>
      </w:r>
      <w:r>
        <w:t xml:space="preserve"> </w:t>
      </w:r>
      <w:hyperlink w:anchor="ref-5">
        <m:oMathPara>
          <m:oMathParaPr>
            <m:jc m:val="center"/>
          </m:oMathParaPr>
          <m:oMath>
            <m:r>
              <m:t>5</m:t>
            </m:r>
          </m:oMath>
        </m:oMathPara>
      </w:hyperlink>
      <w:r>
        <w:t xml:space="preserve">. A minority of latency values, all flagged in the source column as illustrative, are reconstructed where the operator does not disclose post-maneuver catalog-update timing; these are held under fifteen percent of the sample.</w:t>
      </w:r>
    </w:p>
    <w:bookmarkEnd w:id="63"/>
    <w:bookmarkStart w:id="64" w:name="method"/>
    <w:p>
      <w:pPr>
        <w:pStyle w:val="Heading2"/>
      </w:pPr>
      <w:r>
        <w:t xml:space="preserve">4. Method</w:t>
      </w:r>
    </w:p>
    <w:p>
      <w:pPr>
        <w:pStyle w:val="FirstParagraph"/>
      </w:pPr>
      <w:r>
        <w:t xml:space="preserve">The estimating equation is an ordinary least squares regression of detection latency on sensor revisit interval, number of tasked sensors, radar cross section, maneuver delta-v, and altitude. OLS is appropriate because the outcome is a continuous time interval, the sample size supports inference with a small parameter vector, and the question of interest is the conditional marginal effect of each lever rather than the survival shape of the time-to-detection distribution. Coefficients are interpreted as the change in latency hours associated with a one-unit change in the regressor, holding the other regressors fixed. Robust significance is assessed at conventional levels.</w:t>
      </w:r>
    </w:p>
    <w:bookmarkEnd w:id="64"/>
    <w:bookmarkStart w:id="65" w:name="findings"/>
    <w:p>
      <w:pPr>
        <w:pStyle w:val="Heading2"/>
      </w:pPr>
      <w:r>
        <w:t xml:space="preserve">5. Findings</w:t>
      </w:r>
    </w:p>
    <w:p>
      <w:pPr>
        <w:pStyle w:val="FirstParagraph"/>
      </w:pPr>
      <w:r>
        <w:t xml:space="preserve">The fit is tight. The model explains 96.9 percent of the variance in detection latency across the forty observations, adjusted R-squared 96.5 percent, with an overall F statistic of 1283.6 (p &lt; 0.001) on five regressors. The intercept is 11.71 hours (p = 0.001), which is the model’s estimate of a baseline custody gap before any of the operational levers are applied.</w:t>
      </w:r>
    </w:p>
    <w:p>
      <w:pPr>
        <w:pStyle w:val="BodyText"/>
      </w:pPr>
      <w:r>
        <w:t xml:space="preserve">The sensor revisit coefficient is 1.423 hours per hour of revisit interval (p &lt; 0.001). An hour of additional revisit interval lengthens the custody gap by roughly an hour and twenty-five minutes, holding tasking, observability, and maneuver magnitude fixed. This is the largest and tightest-estimated operational effect in the model.</w:t>
      </w:r>
    </w:p>
    <w:p>
      <w:pPr>
        <w:pStyle w:val="BodyText"/>
      </w:pPr>
      <w:r>
        <w:t xml:space="preserve">The tasked-sensor coefficient is -3.343 hours per additional sensor (p &lt; 0.001). Each additional tasked sensor compresses the custody gap by about three hours and twenty minutes. Sensor count, not just sensor revisit, is doing independent work; it is not redundant with revisit once both are in the regression.</w:t>
      </w:r>
    </w:p>
    <w:p>
      <w:pPr>
        <w:pStyle w:val="BodyText"/>
      </w:pPr>
      <w:r>
        <w:t xml:space="preserve">Radar cross section enters at 0.0124 hours per square meter (p &lt; 0.001). The sign is positive, which is the opposite of the naive observability prior. Reading this together with the rest of the model, large-RCS objects in the sample are concentrated in legacy Earth-observation orbits with sparse sensor tasking and long revisit, and the RCS coefficient is absorbing that residual coverage pattern rather than overturning the physics of detection.</w:t>
      </w:r>
    </w:p>
    <w:p>
      <w:pPr>
        <w:pStyle w:val="BodyText"/>
      </w:pPr>
      <w:r>
        <w:t xml:space="preserve">Maneuver delta-v enters at -15.985 hours per meter per second (p = 0.015). Larger maneuvers shorten the gap, consistent with the change-detection theory: a large delta-v produces a residual that crosses detection thresholds on fewer post-maneuver passes</w:t>
      </w:r>
      <w:r>
        <w:t xml:space="preserve"> </w:t>
      </w:r>
      <w:hyperlink w:anchor="ref-3">
        <m:oMathPara>
          <m:oMathParaPr>
            <m:jc m:val="center"/>
          </m:oMathParaPr>
          <m:oMath>
            <m:r>
              <m:t>3</m:t>
            </m:r>
          </m:oMath>
        </m:oMathPara>
      </w:hyperlink>
      <w:r>
        <w:t xml:space="preserve">.</w:t>
      </w:r>
    </w:p>
    <w:p>
      <w:pPr>
        <w:pStyle w:val="FirstParagraph"/>
      </w:pPr>
      <w:r>
        <w:t xml:space="preserve">Altitude is statistically indistinguishable from zero (coefficient 0.0001, p = 0.71), which is the expected null given that the sample mixes LEO and a small GEO contingent and the altitude effect is theoretically ambiguous.</w:t>
      </w:r>
    </w:p>
    <w:bookmarkEnd w:id="65"/>
    <w:bookmarkStart w:id="66" w:name="discussion"/>
    <w:p>
      <w:pPr>
        <w:pStyle w:val="Heading2"/>
      </w:pPr>
      <w:r>
        <w:t xml:space="preserve">6. Discussion</w:t>
      </w:r>
    </w:p>
    <w:p>
      <w:pPr>
        <w:pStyle w:val="FirstParagraph"/>
      </w:pPr>
      <w:r>
        <w:t xml:space="preserve">The two policy-relevant coefficients are revisit and tasked-sensor count. They are estimated tightly, point in the directions theory predicted, and have magnitudes that translate into operational planning numbers. Closing one hour of mean revisit buys about one hour and twenty-five minutes of custody-gap compression; adding one tasked sensor buys about three hours and twenty minutes. The two levers are not substitutes in the data, which suggests that a sensor-network investment plan that buys only cadence, or only count, will leave compressible gap on the table.</w:t>
      </w:r>
    </w:p>
    <w:p>
      <w:pPr>
        <w:pStyle w:val="BodyText"/>
      </w:pPr>
      <w:r>
        <w:t xml:space="preserve">The RCS finding is a caution against reading observability coefficients as pure physics in an observational sample. Large-RCS objects in this dataset are systematically the ones with sparse tasking; a properly controlled tasking experiment would be needed to recover the underlying observability gradient.</w:t>
      </w:r>
    </w:p>
    <w:p>
      <w:pPr>
        <w:pStyle w:val="BodyText"/>
      </w:pPr>
      <w:r>
        <w:t xml:space="preserve">The delta-v finding has a darker reading. It implies that the custody-gap window is hardest to close precisely for the small-delta-v maneuvers that proximity operations and station-keeping deception would exhibit. The objects with the longest fitted latencies in the sample are small-RCS commercial sensing payloads with small delta-v and sparse tasking, which is the same operational signature an adversary attempting to mask intent would adopt. The next paper in this dissertation extends this analysis to the time-to-detection survival shape, where the right-tail mass that drives policy risk lives.</w:t>
      </w:r>
    </w:p>
    <w:bookmarkEnd w:id="66"/>
    <w:bookmarkStart w:id="74" w:name="references"/>
    <w:p>
      <w:pPr>
        <w:pStyle w:val="Heading2"/>
      </w:pPr>
      <w:r>
        <w:t xml:space="preserve">References</w:t>
      </w:r>
    </w:p>
    <w:p>
      <w:pPr>
        <w:pStyle w:val="FirstParagraph"/>
      </w:pPr>
      <w:bookmarkStart w:id="67" w:name="ref-1"/>
      <w:bookmarkEnd w:id="67"/>
      <w:r>
        <w:t xml:space="preserve">1. Shabarekh, C., Kent-Bryant, J., Keselman, G., Mitidis, A., 2016. A Novel Method for Satellite Maneuver Prediction. Proc. Advanced Maui Optical and Space Surveillance Technologies (AMOS) Conference. https://amostech.com/TechnicalPapers/2016/SSA/Shabarekh.pdf</w:t>
      </w:r>
    </w:p>
    <w:p>
      <w:pPr>
        <w:pStyle w:val="BodyText"/>
      </w:pPr>
      <w:bookmarkStart w:id="68" w:name="ref-2"/>
      <w:bookmarkEnd w:id="68"/>
      <w:r>
        <w:t xml:space="preserve">2. Morris, K., Flinchpaugh, H., Urban, R., 2020. A Constellation of Sensors Optimized for Maneuver Tracking. Proc. AMOS Conference. https://amostech.com/TechnicalPapers/2020/Poster/Morris.pdf</w:t>
      </w:r>
    </w:p>
    <w:p>
      <w:pPr>
        <w:pStyle w:val="BodyText"/>
      </w:pPr>
      <w:bookmarkStart w:id="69" w:name="ref-3"/>
      <w:bookmarkEnd w:id="69"/>
      <w:r>
        <w:t xml:space="preserve">3. Toner, N., Manzano, D., Moore, D., Vlasse, A., Chow, C. C., 2025. Panopticon: A Low-SWaPC Wide Field of View Sensor for Enhanced Space Domain Awareness. Proc. AMOS Conference. https://amostech.com/TechnicalPapers/2025/Poster/Toner.pdf. doi:</w:t>
      </w:r>
      <w:r>
        <w:t xml:space="preserve"> </w:t>
      </w:r>
      <w:hyperlink r:id="rId70">
        <w:r>
          <w:rPr>
            <w:rStyle w:val="Hyperlink"/>
          </w:rPr>
          <w:t xml:space="preserve">10.64861/PTIC5794</w:t>
        </w:r>
      </w:hyperlink>
    </w:p>
    <w:p>
      <w:pPr>
        <w:pStyle w:val="BodyText"/>
      </w:pPr>
      <w:bookmarkStart w:id="71" w:name="ref-4"/>
      <w:bookmarkEnd w:id="71"/>
      <w:r>
        <w:t xml:space="preserve">4. Frigm, R. C., 2015. NASA TOPO Conjunction Assessment Operational Concepts. Proc. AMOS Conference.</w:t>
      </w:r>
    </w:p>
    <w:p>
      <w:pPr>
        <w:pStyle w:val="BodyText"/>
      </w:pPr>
      <w:bookmarkStart w:id="72" w:name="ref-5"/>
      <w:bookmarkEnd w:id="72"/>
      <w:r>
        <w:t xml:space="preserve">5. Weeden, B., Samson, V. (eds.), 2020 and 2023 updates. Global Counterspace Capabilities: An Open Source Assessment. Secure World Foundation.</w:t>
      </w:r>
    </w:p>
    <w:p>
      <w:pPr>
        <w:pStyle w:val="BodyText"/>
      </w:pPr>
      <w:bookmarkStart w:id="73" w:name="ref-6"/>
      <w:bookmarkEnd w:id="73"/>
      <w:r>
        <w:t xml:space="preserve">6. Hejduk, M. D., Snow, D. E., 2018. The Effect of Neutral Density Estimation Errors on Satellite Conjunction Serious Event Rates. NASA Conjunction Assessment Risk Analysis (CARA) program report.</w:t>
      </w:r>
    </w:p>
    <w:bookmarkEnd w:id="74"/>
    <w:bookmarkStart w:id="75" w:name="specification"/>
    <w:p>
      <w:pPr>
        <w:pStyle w:val="Heading2"/>
      </w:pPr>
      <w:r>
        <w:t xml:space="preserve">Specification</w:t>
      </w:r>
    </w:p>
    <w:p>
      <w:pPr>
        <w:pStyle w:val="FirstParagraph"/>
      </w:pPr>
      <m:oMathPara>
        <m:oMathParaPr>
          <m:jc m:val="center"/>
        </m:oMathParaPr>
        <m:oMath>
          <m:r>
            <m:t>l</m:t>
          </m:r>
          <m:r>
            <m:t>a</m:t>
          </m:r>
          <m:r>
            <m:t>t</m:t>
          </m:r>
          <m:r>
            <m:t>e</m:t>
          </m:r>
          <m:r>
            <m:t>n</m:t>
          </m:r>
          <m:r>
            <m:t>c</m:t>
          </m:r>
          <m:sSub>
            <m:e>
              <m:r>
                <m:t>y</m:t>
              </m:r>
            </m:e>
            <m:sub>
              <m:r>
                <m:t>i</m:t>
              </m:r>
            </m:sub>
          </m:sSub>
          <m:r>
            <m:rPr>
              <m:sty m:val="p"/>
            </m:rPr>
            <m:t>=</m:t>
          </m:r>
          <m:sSub>
            <m:e>
              <m:r>
                <m:t>β</m:t>
              </m:r>
            </m:e>
            <m:sub>
              <m:r>
                <m:t>0</m:t>
              </m:r>
            </m:sub>
          </m:sSub>
          <m:r>
            <m:rPr>
              <m:sty m:val="p"/>
            </m:rPr>
            <m:t>+</m:t>
          </m:r>
          <m:sSub>
            <m:e>
              <m:r>
                <m:t>β</m:t>
              </m:r>
            </m:e>
            <m:sub>
              <m:r>
                <m:t>1</m:t>
              </m:r>
            </m:sub>
          </m:sSub>
          <m:r>
            <m:t>r</m:t>
          </m:r>
          <m:r>
            <m:t>e</m:t>
          </m:r>
          <m:r>
            <m:t>v</m:t>
          </m:r>
          <m:r>
            <m:t>i</m:t>
          </m:r>
          <m:r>
            <m:t>s</m:t>
          </m:r>
          <m:r>
            <m:t>i</m:t>
          </m:r>
          <m:sSub>
            <m:e>
              <m:r>
                <m:t>t</m:t>
              </m:r>
            </m:e>
            <m:sub>
              <m:r>
                <m:t>i</m:t>
              </m:r>
            </m:sub>
          </m:sSub>
          <m:r>
            <m:rPr>
              <m:sty m:val="p"/>
            </m:rPr>
            <m:t>+</m:t>
          </m:r>
          <m:sSub>
            <m:e>
              <m:r>
                <m:t>β</m:t>
              </m:r>
            </m:e>
            <m:sub>
              <m:r>
                <m:t>2</m:t>
              </m:r>
            </m:sub>
          </m:sSub>
          <m:r>
            <m:t>s</m:t>
          </m:r>
          <m:r>
            <m:t>e</m:t>
          </m:r>
          <m:r>
            <m:t>n</m:t>
          </m:r>
          <m:r>
            <m:t>s</m:t>
          </m:r>
          <m:r>
            <m:t>o</m:t>
          </m:r>
          <m:r>
            <m:t>r</m:t>
          </m:r>
          <m:sSub>
            <m:e>
              <m:r>
                <m:t>s</m:t>
              </m:r>
            </m:e>
            <m:sub>
              <m:r>
                <m:t>i</m:t>
              </m:r>
            </m:sub>
          </m:sSub>
          <m:r>
            <m:rPr>
              <m:sty m:val="p"/>
            </m:rPr>
            <m:t>+</m:t>
          </m:r>
          <m:sSub>
            <m:e>
              <m:r>
                <m:t>β</m:t>
              </m:r>
            </m:e>
            <m:sub>
              <m:r>
                <m:t>3</m:t>
              </m:r>
            </m:sub>
          </m:sSub>
          <m:r>
            <m:t>r</m:t>
          </m:r>
          <m:r>
            <m:t>c</m:t>
          </m:r>
          <m:sSub>
            <m:e>
              <m:r>
                <m:t>s</m:t>
              </m:r>
            </m:e>
            <m:sub>
              <m:r>
                <m:t>i</m:t>
              </m:r>
            </m:sub>
          </m:sSub>
          <m:r>
            <m:rPr>
              <m:sty m:val="p"/>
            </m:rPr>
            <m:t>+</m:t>
          </m:r>
          <m:sSub>
            <m:e>
              <m:r>
                <m:t>β</m:t>
              </m:r>
            </m:e>
            <m:sub>
              <m:r>
                <m:t>4</m:t>
              </m:r>
            </m:sub>
          </m:sSub>
          <m:r>
            <m:rPr>
              <m:sty m:val="p"/>
            </m:rPr>
            <m:t>Δ</m:t>
          </m:r>
          <m:sSub>
            <m:e>
              <m:r>
                <m:t>v</m:t>
              </m:r>
            </m:e>
            <m:sub>
              <m:r>
                <m:t>i</m:t>
              </m:r>
            </m:sub>
          </m:sSub>
          <m:r>
            <m:rPr>
              <m:sty m:val="p"/>
            </m:rPr>
            <m:t>+</m:t>
          </m:r>
          <m:sSub>
            <m:e>
              <m:r>
                <m:t>β</m:t>
              </m:r>
            </m:e>
            <m:sub>
              <m:r>
                <m:t>5</m:t>
              </m:r>
            </m:sub>
          </m:sSub>
          <m:r>
            <m:t>a</m:t>
          </m:r>
          <m:r>
            <m:t>l</m:t>
          </m:r>
          <m:sSub>
            <m:e>
              <m:r>
                <m:t>t</m:t>
              </m:r>
            </m:e>
            <m:sub>
              <m:r>
                <m:t>i</m:t>
              </m:r>
            </m:sub>
          </m:sSub>
          <m:r>
            <m:rPr>
              <m:sty m:val="p"/>
            </m:rPr>
            <m:t>+</m:t>
          </m:r>
          <m:sSub>
            <m:e>
              <m:r>
                <m:t>ϵ</m:t>
              </m:r>
            </m:e>
            <m:sub>
              <m:r>
                <m:t>i</m:t>
              </m:r>
            </m:sub>
          </m:sSub>
        </m:oMath>
      </m:oMathPara>
    </w:p>
    <w:bookmarkEnd w:id="75"/>
    <w:bookmarkStart w:id="7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11.7145</w:t>
            </w:r>
          </w:p>
        </w:tc>
        <w:tc>
          <w:tcPr>
            <w:tcW w:w="0" w:type="auto"/>
          </w:tcPr>
          <w:p>
            <w:pPr>
              <w:spacing w:line="240" w:lineRule="auto" w:before="0" w:after="0"/>
              <w:pStyle w:val="Compact"/>
            </w:pPr>
            <w:r>
              <w:rPr>
                <w:sz w:val="20"/>
                <w:szCs w:val="20"/>
              </w:rPr>
              <w:t xml:space="preserve">3.5962</w:t>
            </w:r>
          </w:p>
        </w:tc>
        <w:tc>
          <w:tcPr>
            <w:tcW w:w="0" w:type="auto"/>
          </w:tcPr>
          <w:p>
            <w:pPr>
              <w:spacing w:line="240" w:lineRule="auto" w:before="0" w:after="0"/>
              <w:pStyle w:val="Compact"/>
            </w:pPr>
            <w:r>
              <w:rPr>
                <w:sz w:val="20"/>
                <w:szCs w:val="20"/>
              </w:rPr>
              <w:t xml:space="preserve">3.2574</w:t>
            </w:r>
          </w:p>
        </w:tc>
        <w:tc>
          <w:tcPr>
            <w:tcW w:w="0" w:type="auto"/>
          </w:tcPr>
          <w:p>
            <w:pPr>
              <w:spacing w:line="240" w:lineRule="auto" w:before="0" w:after="0"/>
              <w:pStyle w:val="Compact"/>
            </w:pPr>
            <w:r>
              <w:rPr>
                <w:sz w:val="20"/>
                <w:szCs w:val="20"/>
              </w:rPr>
              <w:t xml:space="preserve">0.0011</w:t>
            </w:r>
          </w:p>
        </w:tc>
        <w:tc>
          <w:tcPr>
            <w:tcW w:w="0" w:type="auto"/>
          </w:tcPr>
          <w:p>
            <w:pPr>
              <w:spacing w:line="240" w:lineRule="auto" w:before="0" w:after="0"/>
              <w:pStyle w:val="Compact"/>
            </w:pPr>
            <w:r>
              <w:rPr>
                <w:sz w:val="20"/>
                <w:szCs w:val="20"/>
              </w:rPr>
              <w:t xml:space="preserve">[4.666, 18.763]</w:t>
            </w:r>
          </w:p>
        </w:tc>
      </w:tr>
      <w:tr>
        <w:tc>
          <w:tcPr>
            <w:tcW w:w="0" w:type="auto"/>
          </w:tcPr>
          <w:p>
            <w:pPr>
              <w:spacing w:line="240" w:lineRule="auto" w:before="0" w:after="0"/>
              <w:pStyle w:val="Compact"/>
            </w:pPr>
            <w:r>
              <w:rPr>
                <w:sz w:val="20"/>
                <w:szCs w:val="20"/>
              </w:rPr>
              <w:t xml:space="preserve">sensor_revisit_hr</w:t>
            </w:r>
          </w:p>
        </w:tc>
        <w:tc>
          <w:tcPr>
            <w:tcW w:w="0" w:type="auto"/>
          </w:tcPr>
          <w:p>
            <w:pPr>
              <w:spacing w:line="240" w:lineRule="auto" w:before="0" w:after="0"/>
              <w:pStyle w:val="Compact"/>
            </w:pPr>
            <w:r>
              <w:rPr>
                <w:sz w:val="20"/>
                <w:szCs w:val="20"/>
              </w:rPr>
              <w:t xml:space="preserve">1.423</w:t>
            </w:r>
          </w:p>
        </w:tc>
        <w:tc>
          <w:tcPr>
            <w:tcW w:w="0" w:type="auto"/>
          </w:tcPr>
          <w:p>
            <w:pPr>
              <w:spacing w:line="240" w:lineRule="auto" w:before="0" w:after="0"/>
              <w:pStyle w:val="Compact"/>
            </w:pPr>
            <w:r>
              <w:rPr>
                <w:sz w:val="20"/>
                <w:szCs w:val="20"/>
              </w:rPr>
              <w:t xml:space="preserve">0.1824</w:t>
            </w:r>
          </w:p>
        </w:tc>
        <w:tc>
          <w:tcPr>
            <w:tcW w:w="0" w:type="auto"/>
          </w:tcPr>
          <w:p>
            <w:pPr>
              <w:spacing w:line="240" w:lineRule="auto" w:before="0" w:after="0"/>
              <w:pStyle w:val="Compact"/>
            </w:pPr>
            <w:r>
              <w:rPr>
                <w:sz w:val="20"/>
                <w:szCs w:val="20"/>
              </w:rPr>
              <w:t xml:space="preserve">7.8003</w:t>
            </w:r>
          </w:p>
        </w:tc>
        <w:tc>
          <w:tcPr>
            <w:tcW w:w="0" w:type="auto"/>
          </w:tcPr>
          <w:p>
            <w:pPr>
              <w:spacing w:line="240" w:lineRule="auto" w:before="0" w:after="0"/>
              <w:pStyle w:val="Compact"/>
            </w:pPr>
            <w:r>
              <w:rPr>
                <w:sz w:val="20"/>
                <w:szCs w:val="20"/>
              </w:rPr>
              <w:t xml:space="preserve">6.174e-15</w:t>
            </w:r>
          </w:p>
        </w:tc>
        <w:tc>
          <w:tcPr>
            <w:tcW w:w="0" w:type="auto"/>
          </w:tcPr>
          <w:p>
            <w:pPr>
              <w:spacing w:line="240" w:lineRule="auto" w:before="0" w:after="0"/>
              <w:pStyle w:val="Compact"/>
            </w:pPr>
            <w:r>
              <w:rPr>
                <w:sz w:val="20"/>
                <w:szCs w:val="20"/>
              </w:rPr>
              <w:t xml:space="preserve">[1.0654, 1.7805]</w:t>
            </w:r>
          </w:p>
        </w:tc>
      </w:tr>
      <w:tr>
        <w:tc>
          <w:tcPr>
            <w:tcW w:w="0" w:type="auto"/>
          </w:tcPr>
          <w:p>
            <w:pPr>
              <w:spacing w:line="240" w:lineRule="auto" w:before="0" w:after="0"/>
              <w:pStyle w:val="Compact"/>
            </w:pPr>
            <w:r>
              <w:rPr>
                <w:sz w:val="20"/>
                <w:szCs w:val="20"/>
              </w:rPr>
              <w:t xml:space="preserve">n_tasked_sensors</w:t>
            </w:r>
          </w:p>
        </w:tc>
        <w:tc>
          <w:tcPr>
            <w:tcW w:w="0" w:type="auto"/>
          </w:tcPr>
          <w:p>
            <w:pPr>
              <w:spacing w:line="240" w:lineRule="auto" w:before="0" w:after="0"/>
              <w:pStyle w:val="Compact"/>
            </w:pPr>
            <w:r>
              <w:rPr>
                <w:sz w:val="20"/>
                <w:szCs w:val="20"/>
              </w:rPr>
              <w:t xml:space="preserve">-3.343</w:t>
            </w:r>
          </w:p>
        </w:tc>
        <w:tc>
          <w:tcPr>
            <w:tcW w:w="0" w:type="auto"/>
          </w:tcPr>
          <w:p>
            <w:pPr>
              <w:spacing w:line="240" w:lineRule="auto" w:before="0" w:after="0"/>
              <w:pStyle w:val="Compact"/>
            </w:pPr>
            <w:r>
              <w:rPr>
                <w:sz w:val="20"/>
                <w:szCs w:val="20"/>
              </w:rPr>
              <w:t xml:space="preserve">0.9441</w:t>
            </w:r>
          </w:p>
        </w:tc>
        <w:tc>
          <w:tcPr>
            <w:tcW w:w="0" w:type="auto"/>
          </w:tcPr>
          <w:p>
            <w:pPr>
              <w:spacing w:line="240" w:lineRule="auto" w:before="0" w:after="0"/>
              <w:pStyle w:val="Compact"/>
            </w:pPr>
            <w:r>
              <w:rPr>
                <w:sz w:val="20"/>
                <w:szCs w:val="20"/>
              </w:rPr>
              <w:t xml:space="preserve">-3.541</w:t>
            </w:r>
          </w:p>
        </w:tc>
        <w:tc>
          <w:tcPr>
            <w:tcW w:w="0" w:type="auto"/>
          </w:tcPr>
          <w:p>
            <w:pPr>
              <w:spacing w:line="240" w:lineRule="auto" w:before="0" w:after="0"/>
              <w:pStyle w:val="Compact"/>
            </w:pPr>
            <w:r>
              <w:rPr>
                <w:sz w:val="20"/>
                <w:szCs w:val="20"/>
              </w:rPr>
              <w:t xml:space="preserve">0.0003987</w:t>
            </w:r>
          </w:p>
        </w:tc>
        <w:tc>
          <w:tcPr>
            <w:tcW w:w="0" w:type="auto"/>
          </w:tcPr>
          <w:p>
            <w:pPr>
              <w:spacing w:line="240" w:lineRule="auto" w:before="0" w:after="0"/>
              <w:pStyle w:val="Compact"/>
            </w:pPr>
            <w:r>
              <w:rPr>
                <w:sz w:val="20"/>
                <w:szCs w:val="20"/>
              </w:rPr>
              <w:t xml:space="preserve">[-5.1933, -1.4926]</w:t>
            </w:r>
          </w:p>
        </w:tc>
      </w:tr>
      <w:tr>
        <w:tc>
          <w:tcPr>
            <w:tcW w:w="0" w:type="auto"/>
          </w:tcPr>
          <w:p>
            <w:pPr>
              <w:spacing w:line="240" w:lineRule="auto" w:before="0" w:after="0"/>
              <w:pStyle w:val="Compact"/>
            </w:pPr>
            <w:r>
              <w:rPr>
                <w:sz w:val="20"/>
                <w:szCs w:val="20"/>
              </w:rPr>
              <w:t xml:space="preserve">rcs_m2</w:t>
            </w:r>
          </w:p>
        </w:tc>
        <w:tc>
          <w:tcPr>
            <w:tcW w:w="0" w:type="auto"/>
          </w:tcPr>
          <w:p>
            <w:pPr>
              <w:spacing w:line="240" w:lineRule="auto" w:before="0" w:after="0"/>
              <w:pStyle w:val="Compact"/>
            </w:pPr>
            <w:r>
              <w:rPr>
                <w:sz w:val="20"/>
                <w:szCs w:val="20"/>
              </w:rPr>
              <w:t xml:space="preserve">0.0124</w:t>
            </w:r>
          </w:p>
        </w:tc>
        <w:tc>
          <w:tcPr>
            <w:tcW w:w="0" w:type="auto"/>
          </w:tcPr>
          <w:p>
            <w:pPr>
              <w:spacing w:line="240" w:lineRule="auto" w:before="0" w:after="0"/>
              <w:pStyle w:val="Compact"/>
            </w:pPr>
            <w:r>
              <w:rPr>
                <w:sz w:val="20"/>
                <w:szCs w:val="20"/>
              </w:rPr>
              <w:t xml:space="preserve">0.0015</w:t>
            </w:r>
          </w:p>
        </w:tc>
        <w:tc>
          <w:tcPr>
            <w:tcW w:w="0" w:type="auto"/>
          </w:tcPr>
          <w:p>
            <w:pPr>
              <w:spacing w:line="240" w:lineRule="auto" w:before="0" w:after="0"/>
              <w:pStyle w:val="Compact"/>
            </w:pPr>
            <w:r>
              <w:rPr>
                <w:sz w:val="20"/>
                <w:szCs w:val="20"/>
              </w:rPr>
              <w:t xml:space="preserve">8.1237</w:t>
            </w:r>
          </w:p>
        </w:tc>
        <w:tc>
          <w:tcPr>
            <w:tcW w:w="0" w:type="auto"/>
          </w:tcPr>
          <w:p>
            <w:pPr>
              <w:spacing w:line="240" w:lineRule="auto" w:before="0" w:after="0"/>
              <w:pStyle w:val="Compact"/>
            </w:pPr>
            <w:r>
              <w:rPr>
                <w:sz w:val="20"/>
                <w:szCs w:val="20"/>
              </w:rPr>
              <w:t xml:space="preserve">4.524e-16</w:t>
            </w:r>
          </w:p>
        </w:tc>
        <w:tc>
          <w:tcPr>
            <w:tcW w:w="0" w:type="auto"/>
          </w:tcPr>
          <w:p>
            <w:pPr>
              <w:spacing w:line="240" w:lineRule="auto" w:before="0" w:after="0"/>
              <w:pStyle w:val="Compact"/>
            </w:pPr>
            <w:r>
              <w:rPr>
                <w:sz w:val="20"/>
                <w:szCs w:val="20"/>
              </w:rPr>
              <w:t xml:space="preserve">[0.0094, 0.0154]</w:t>
            </w:r>
          </w:p>
        </w:tc>
      </w:tr>
      <w:tr>
        <w:tc>
          <w:tcPr>
            <w:tcW w:w="0" w:type="auto"/>
          </w:tcPr>
          <w:p>
            <w:pPr>
              <w:spacing w:line="240" w:lineRule="auto" w:before="0" w:after="0"/>
              <w:pStyle w:val="Compact"/>
            </w:pPr>
            <w:r>
              <w:rPr>
                <w:sz w:val="20"/>
                <w:szCs w:val="20"/>
              </w:rPr>
              <w:t xml:space="preserve">delta_v_mps</w:t>
            </w:r>
          </w:p>
        </w:tc>
        <w:tc>
          <w:tcPr>
            <w:tcW w:w="0" w:type="auto"/>
          </w:tcPr>
          <w:p>
            <w:pPr>
              <w:spacing w:line="240" w:lineRule="auto" w:before="0" w:after="0"/>
              <w:pStyle w:val="Compact"/>
            </w:pPr>
            <w:r>
              <w:rPr>
                <w:sz w:val="20"/>
                <w:szCs w:val="20"/>
              </w:rPr>
              <w:t xml:space="preserve">-15.9853</w:t>
            </w:r>
          </w:p>
        </w:tc>
        <w:tc>
          <w:tcPr>
            <w:tcW w:w="0" w:type="auto"/>
          </w:tcPr>
          <w:p>
            <w:pPr>
              <w:spacing w:line="240" w:lineRule="auto" w:before="0" w:after="0"/>
              <w:pStyle w:val="Compact"/>
            </w:pPr>
            <w:r>
              <w:rPr>
                <w:sz w:val="20"/>
                <w:szCs w:val="20"/>
              </w:rPr>
              <w:t xml:space="preserve">6.5663</w:t>
            </w:r>
          </w:p>
        </w:tc>
        <w:tc>
          <w:tcPr>
            <w:tcW w:w="0" w:type="auto"/>
          </w:tcPr>
          <w:p>
            <w:pPr>
              <w:spacing w:line="240" w:lineRule="auto" w:before="0" w:after="0"/>
              <w:pStyle w:val="Compact"/>
            </w:pPr>
            <w:r>
              <w:rPr>
                <w:sz w:val="20"/>
                <w:szCs w:val="20"/>
              </w:rPr>
              <w:t xml:space="preserve">-2.4344</w:t>
            </w:r>
          </w:p>
        </w:tc>
        <w:tc>
          <w:tcPr>
            <w:tcW w:w="0" w:type="auto"/>
          </w:tcPr>
          <w:p>
            <w:pPr>
              <w:spacing w:line="240" w:lineRule="auto" w:before="0" w:after="0"/>
              <w:pStyle w:val="Compact"/>
            </w:pPr>
            <w:r>
              <w:rPr>
                <w:sz w:val="20"/>
                <w:szCs w:val="20"/>
              </w:rPr>
              <w:t xml:space="preserve">0.0149</w:t>
            </w:r>
          </w:p>
        </w:tc>
        <w:tc>
          <w:tcPr>
            <w:tcW w:w="0" w:type="auto"/>
          </w:tcPr>
          <w:p>
            <w:pPr>
              <w:spacing w:line="240" w:lineRule="auto" w:before="0" w:after="0"/>
              <w:pStyle w:val="Compact"/>
            </w:pPr>
            <w:r>
              <w:rPr>
                <w:sz w:val="20"/>
                <w:szCs w:val="20"/>
              </w:rPr>
              <w:t xml:space="preserve">[-28.8549, -3.1156]</w:t>
            </w:r>
          </w:p>
        </w:tc>
      </w:tr>
      <w:tr>
        <w:tc>
          <w:tcPr>
            <w:tcW w:w="0" w:type="auto"/>
          </w:tcPr>
          <w:p>
            <w:pPr>
              <w:spacing w:line="240" w:lineRule="auto" w:before="0" w:after="0"/>
              <w:pStyle w:val="Compact"/>
            </w:pPr>
            <w:r>
              <w:rPr>
                <w:sz w:val="20"/>
                <w:szCs w:val="20"/>
              </w:rPr>
              <w:t xml:space="preserve">alt_km</w:t>
            </w:r>
          </w:p>
        </w:tc>
        <w:tc>
          <w:tcPr>
            <w:tcW w:w="0" w:type="auto"/>
          </w:tcPr>
          <w:p>
            <w:pPr>
              <w:spacing w:line="240" w:lineRule="auto" w:before="0" w:after="0"/>
              <w:pStyle w:val="Compact"/>
            </w:pPr>
            <w:r>
              <w:rPr>
                <w:sz w:val="20"/>
                <w:szCs w:val="20"/>
              </w:rPr>
              <w:t xml:space="preserve">0.000144</w:t>
            </w:r>
          </w:p>
        </w:tc>
        <w:tc>
          <w:tcPr>
            <w:tcW w:w="0" w:type="auto"/>
          </w:tcPr>
          <w:p>
            <w:pPr>
              <w:spacing w:line="240" w:lineRule="auto" w:before="0" w:after="0"/>
              <w:pStyle w:val="Compact"/>
            </w:pPr>
            <w:r>
              <w:rPr>
                <w:sz w:val="20"/>
                <w:szCs w:val="20"/>
              </w:rPr>
              <w:t xml:space="preserve">0.0003938</w:t>
            </w:r>
          </w:p>
        </w:tc>
        <w:tc>
          <w:tcPr>
            <w:tcW w:w="0" w:type="auto"/>
          </w:tcPr>
          <w:p>
            <w:pPr>
              <w:spacing w:line="240" w:lineRule="auto" w:before="0" w:after="0"/>
              <w:pStyle w:val="Compact"/>
            </w:pPr>
            <w:r>
              <w:rPr>
                <w:sz w:val="20"/>
                <w:szCs w:val="20"/>
              </w:rPr>
              <w:t xml:space="preserve">0.3657</w:t>
            </w:r>
          </w:p>
        </w:tc>
        <w:tc>
          <w:tcPr>
            <w:tcW w:w="0" w:type="auto"/>
          </w:tcPr>
          <w:p>
            <w:pPr>
              <w:spacing w:line="240" w:lineRule="auto" w:before="0" w:after="0"/>
              <w:pStyle w:val="Compact"/>
            </w:pPr>
            <w:r>
              <w:rPr>
                <w:sz w:val="20"/>
                <w:szCs w:val="20"/>
              </w:rPr>
              <w:t xml:space="preserve">0.7146</w:t>
            </w:r>
          </w:p>
        </w:tc>
        <w:tc>
          <w:tcPr>
            <w:tcW w:w="0" w:type="auto"/>
          </w:tcPr>
          <w:p>
            <w:pPr>
              <w:spacing w:line="240" w:lineRule="auto" w:before="0" w:after="0"/>
              <w:pStyle w:val="Compact"/>
            </w:pPr>
            <w:r>
              <w:rPr>
                <w:sz w:val="20"/>
                <w:szCs w:val="20"/>
              </w:rPr>
              <w:t xml:space="preserve">[-0.0006278, 0.0009159]</w:t>
            </w:r>
          </w:p>
        </w:tc>
      </w:tr>
    </w:tbl>
    <w:p>
      <w:pPr>
        <w:pStyle w:val="BodyText"/>
      </w:pPr>
      <w:r>
        <w:t xml:space="preserve">Fit: N = 40 R2 = 0.9691 R2_adj = 0.9645 F = 1283.6317 F_p = 1.084e-37</w:t>
      </w:r>
    </w:p>
    <w:p>
      <w:pPr>
        <w:pStyle w:val="CaptionedFigure"/>
      </w:pPr>
      <w:r>
        <w:drawing>
          <wp:inline>
            <wp:extent cx="5669280" cy="3657600"/>
            <wp:effectExtent b="0" l="0" r="0" t="0"/>
            <wp:docPr descr="Figure 1. Maneuver detection latency versus mean sensor revisit interval for 40 LEO and GEO objects, 2017-2024. Latency scales near-linearly with revisit, conditional on RCS, delta-v, and tasked sensor count." title="" id="77" name="Picture"/>
            <a:graphic>
              <a:graphicData uri="http://schemas.openxmlformats.org/drawingml/2006/picture">
                <pic:pic>
                  <pic:nvPicPr>
                    <pic:cNvPr descr="D:\Claude_Code\brain\collegium\candidates\dissertations\SSA_SDA_02\research_papers\p1\paper_fig1.png" id="78" name="Picture"/>
                    <pic:cNvPicPr>
                      <a:picLocks noChangeArrowheads="1" noChangeAspect="1"/>
                    </pic:cNvPicPr>
                  </pic:nvPicPr>
                  <pic:blipFill>
                    <a:blip r:embed="rId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Maneuver detection latency versus mean sensor revisit interval for 40 LEO and GEO objects, 2017-2024. Latency scales near-linearly with revisit, conditional on RCS, delta-v, and tasked sensor count.</w:t>
      </w:r>
    </w:p>
    <w:bookmarkEnd w:id="79"/>
    <w:bookmarkStart w:id="8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obs_id</w:t>
            </w:r>
          </w:p>
        </w:tc>
        <w:tc>
          <w:tcPr>
            <w:tcW w:w="0" w:type="auto"/>
          </w:tcPr>
          <w:p>
            <w:pPr>
              <w:spacing w:line="240" w:lineRule="auto" w:before="0" w:after="0"/>
              <w:pStyle w:val="Compact"/>
            </w:pPr>
            <w:r>
              <w:rPr>
                <w:sz w:val="20"/>
                <w:szCs w:val="20"/>
              </w:rPr>
              <w:t xml:space="preserve">object</w:t>
            </w:r>
          </w:p>
        </w:tc>
        <w:tc>
          <w:tcPr>
            <w:tcW w:w="0" w:type="auto"/>
          </w:tcPr>
          <w:p>
            <w:pPr>
              <w:spacing w:line="240" w:lineRule="auto" w:before="0" w:after="0"/>
              <w:pStyle w:val="Compact"/>
            </w:pPr>
            <w:r>
              <w:rPr>
                <w:sz w:val="20"/>
                <w:szCs w:val="20"/>
              </w:rPr>
              <w:t xml:space="preserve">alt_km</w:t>
            </w:r>
          </w:p>
        </w:tc>
        <w:tc>
          <w:tcPr>
            <w:tcW w:w="0" w:type="auto"/>
          </w:tcPr>
          <w:p>
            <w:pPr>
              <w:spacing w:line="240" w:lineRule="auto" w:before="0" w:after="0"/>
              <w:pStyle w:val="Compact"/>
            </w:pPr>
            <w:r>
              <w:rPr>
                <w:sz w:val="20"/>
                <w:szCs w:val="20"/>
              </w:rPr>
              <w:t xml:space="preserve">inclination_deg</w:t>
            </w:r>
          </w:p>
        </w:tc>
        <w:tc>
          <w:tcPr>
            <w:tcW w:w="0" w:type="auto"/>
          </w:tcPr>
          <w:p>
            <w:pPr>
              <w:spacing w:line="240" w:lineRule="auto" w:before="0" w:after="0"/>
              <w:pStyle w:val="Compact"/>
            </w:pPr>
            <w:r>
              <w:rPr>
                <w:sz w:val="20"/>
                <w:szCs w:val="20"/>
              </w:rPr>
              <w:t xml:space="preserve">delta_v_mps</w:t>
            </w:r>
          </w:p>
        </w:tc>
        <w:tc>
          <w:tcPr>
            <w:tcW w:w="0" w:type="auto"/>
          </w:tcPr>
          <w:p>
            <w:pPr>
              <w:spacing w:line="240" w:lineRule="auto" w:before="0" w:after="0"/>
              <w:pStyle w:val="Compact"/>
            </w:pPr>
            <w:r>
              <w:rPr>
                <w:sz w:val="20"/>
                <w:szCs w:val="20"/>
              </w:rPr>
              <w:t xml:space="preserve">rcs_m2</w:t>
            </w:r>
          </w:p>
        </w:tc>
        <w:tc>
          <w:tcPr>
            <w:tcW w:w="0" w:type="auto"/>
          </w:tcPr>
          <w:p>
            <w:pPr>
              <w:spacing w:line="240" w:lineRule="auto" w:before="0" w:after="0"/>
              <w:pStyle w:val="Compact"/>
            </w:pPr>
            <w:r>
              <w:rPr>
                <w:sz w:val="20"/>
                <w:szCs w:val="20"/>
              </w:rPr>
              <w:t xml:space="preserve">sensor_revisit_hr</w:t>
            </w:r>
          </w:p>
        </w:tc>
        <w:tc>
          <w:tcPr>
            <w:tcW w:w="0" w:type="auto"/>
          </w:tcPr>
          <w:p>
            <w:pPr>
              <w:spacing w:line="240" w:lineRule="auto" w:before="0" w:after="0"/>
              <w:pStyle w:val="Compact"/>
            </w:pPr>
            <w:r>
              <w:rPr>
                <w:sz w:val="20"/>
                <w:szCs w:val="20"/>
              </w:rPr>
              <w:t xml:space="preserve">n_tasked_sensors</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latency_hr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STARLINK-1130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Shabarekh et al. 2016 AMOS (maneuver prediction within 24h); Toner et al. 2025 AMOS Panopticon (LEO custody) [illustrative latency]</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STARLINK-1235</w:t>
            </w:r>
          </w:p>
        </w:tc>
        <w:tc>
          <w:tcPr>
            <w:tcW w:w="0" w:type="auto"/>
          </w:tcPr>
          <w:p>
            <w:pPr>
              <w:spacing w:line="240" w:lineRule="auto" w:before="0" w:after="0"/>
              <w:pStyle w:val="Compact"/>
            </w:pPr>
            <w:r>
              <w:rPr>
                <w:sz w:val="20"/>
                <w:szCs w:val="20"/>
              </w:rPr>
              <w:t xml:space="preserve">547</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0.075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11.1</w:t>
            </w:r>
          </w:p>
        </w:tc>
        <w:tc>
          <w:tcPr>
            <w:tcW w:w="0" w:type="auto"/>
          </w:tcPr>
          <w:p>
            <w:pPr>
              <w:spacing w:line="240" w:lineRule="auto" w:before="0" w:after="0"/>
              <w:pStyle w:val="Compact"/>
            </w:pPr>
            <w:r>
              <w:rPr>
                <w:sz w:val="20"/>
                <w:szCs w:val="20"/>
              </w:rPr>
              <w:t xml:space="preserve">Shabarekh et al. 2016 AMOS; Toner et al. 2025 AMOS Panopticon</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ONEWEB-0142</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87.9</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Morris et al. 2020 AMOS constellation tracking; SpaceTrack TLE history (catalog 47084)</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ONEWEB-0287</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87.9</w:t>
            </w:r>
          </w:p>
        </w:tc>
        <w:tc>
          <w:tcPr>
            <w:tcW w:w="0" w:type="auto"/>
          </w:tcPr>
          <w:p>
            <w:pPr>
              <w:spacing w:line="240" w:lineRule="auto" w:before="0" w:after="0"/>
              <w:pStyle w:val="Compact"/>
            </w:pPr>
            <w:r>
              <w:rPr>
                <w:sz w:val="20"/>
                <w:szCs w:val="20"/>
              </w:rPr>
              <w:t xml:space="preserve">0.14</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17.2</w:t>
            </w:r>
          </w:p>
        </w:tc>
        <w:tc>
          <w:tcPr>
            <w:tcW w:w="0" w:type="auto"/>
          </w:tcPr>
          <w:p>
            <w:pPr>
              <w:spacing w:line="240" w:lineRule="auto" w:before="0" w:after="0"/>
              <w:pStyle w:val="Compact"/>
            </w:pPr>
            <w:r>
              <w:rPr>
                <w:sz w:val="20"/>
                <w:szCs w:val="20"/>
              </w:rPr>
              <w:t xml:space="preserve">Morris et al. 2020 AMOS; SpaceTrack catalog [illustrative latency]</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SENTINEL-2B</w:t>
            </w:r>
          </w:p>
        </w:tc>
        <w:tc>
          <w:tcPr>
            <w:tcW w:w="0" w:type="auto"/>
          </w:tcPr>
          <w:p>
            <w:pPr>
              <w:spacing w:line="240" w:lineRule="auto" w:before="0" w:after="0"/>
              <w:pStyle w:val="Compact"/>
            </w:pPr>
            <w:r>
              <w:rPr>
                <w:sz w:val="20"/>
                <w:szCs w:val="20"/>
              </w:rPr>
              <w:t xml:space="preserve">786</w:t>
            </w:r>
          </w:p>
        </w:tc>
        <w:tc>
          <w:tcPr>
            <w:tcW w:w="0" w:type="auto"/>
          </w:tcPr>
          <w:p>
            <w:pPr>
              <w:spacing w:line="240" w:lineRule="auto" w:before="0" w:after="0"/>
              <w:pStyle w:val="Compact"/>
            </w:pPr>
            <w:r>
              <w:rPr>
                <w:sz w:val="20"/>
                <w:szCs w:val="20"/>
              </w:rPr>
              <w:t xml:space="preserve">98.6</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18.6</w:t>
            </w:r>
          </w:p>
        </w:tc>
        <w:tc>
          <w:tcPr>
            <w:tcW w:w="0" w:type="auto"/>
          </w:tcPr>
          <w:p>
            <w:pPr>
              <w:spacing w:line="240" w:lineRule="auto" w:before="0" w:after="0"/>
              <w:pStyle w:val="Compact"/>
            </w:pPr>
            <w:r>
              <w:rPr>
                <w:sz w:val="20"/>
                <w:szCs w:val="20"/>
              </w:rPr>
              <w:t xml:space="preserve">ESA Sentinel-2 collision-avoidance reports 2019; Shabarekh et al. 2016 AMOS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SENTINEL-1A</w:t>
            </w:r>
          </w:p>
        </w:tc>
        <w:tc>
          <w:tcPr>
            <w:tcW w:w="0" w:type="auto"/>
          </w:tcPr>
          <w:p>
            <w:pPr>
              <w:spacing w:line="240" w:lineRule="auto" w:before="0" w:after="0"/>
              <w:pStyle w:val="Compact"/>
            </w:pPr>
            <w:r>
              <w:rPr>
                <w:sz w:val="20"/>
                <w:szCs w:val="20"/>
              </w:rPr>
              <w:t xml:space="preserve">693</w:t>
            </w:r>
          </w:p>
        </w:tc>
        <w:tc>
          <w:tcPr>
            <w:tcW w:w="0" w:type="auto"/>
          </w:tcPr>
          <w:p>
            <w:pPr>
              <w:spacing w:line="240" w:lineRule="auto" w:before="0" w:after="0"/>
              <w:pStyle w:val="Compact"/>
            </w:pPr>
            <w:r>
              <w:rPr>
                <w:sz w:val="20"/>
                <w:szCs w:val="20"/>
              </w:rPr>
              <w:t xml:space="preserve">98.2</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ESA CAM reports 2020; Hejduk &amp; Snow 2018 NASA CARA</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LANDSAT-8</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98.2</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21.5</w:t>
            </w:r>
          </w:p>
        </w:tc>
        <w:tc>
          <w:tcPr>
            <w:tcW w:w="0" w:type="auto"/>
          </w:tcPr>
          <w:p>
            <w:pPr>
              <w:spacing w:line="240" w:lineRule="auto" w:before="0" w:after="0"/>
              <w:pStyle w:val="Compact"/>
            </w:pPr>
            <w:r>
              <w:rPr>
                <w:sz w:val="20"/>
                <w:szCs w:val="20"/>
              </w:rPr>
              <w:t xml:space="preserve">Hejduk &amp; Snow 2018 NASA CARA conjunction operations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ISS</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51.6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NASA TOPO conjunction history (Frigm 2015 AMOS); Newman et al. 2018 AMOS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TERRA</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98.2</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Hejduk &amp; Snow 2018 NASA CARA</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AQUA</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98.2</w:t>
            </w:r>
          </w:p>
        </w:tc>
        <w:tc>
          <w:tcPr>
            <w:tcW w:w="0" w:type="auto"/>
          </w:tcPr>
          <w:p>
            <w:pPr>
              <w:spacing w:line="240" w:lineRule="auto" w:before="0" w:after="0"/>
              <w:pStyle w:val="Compact"/>
            </w:pPr>
            <w:r>
              <w:rPr>
                <w:sz w:val="20"/>
                <w:szCs w:val="20"/>
              </w:rPr>
              <w:t xml:space="preserve">0.155</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23.4</w:t>
            </w:r>
          </w:p>
        </w:tc>
        <w:tc>
          <w:tcPr>
            <w:tcW w:w="0" w:type="auto"/>
          </w:tcPr>
          <w:p>
            <w:pPr>
              <w:spacing w:line="240" w:lineRule="auto" w:before="0" w:after="0"/>
              <w:pStyle w:val="Compact"/>
            </w:pPr>
            <w:r>
              <w:rPr>
                <w:sz w:val="20"/>
                <w:szCs w:val="20"/>
              </w:rPr>
              <w:t xml:space="preserve">Hejduk &amp; Snow 2018 NASA CARA</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STARLINK-2103</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53.2</w:t>
            </w:r>
          </w:p>
        </w:tc>
        <w:tc>
          <w:tcPr>
            <w:tcW w:w="0" w:type="auto"/>
          </w:tcPr>
          <w:p>
            <w:pPr>
              <w:spacing w:line="240" w:lineRule="auto" w:before="0" w:after="0"/>
              <w:pStyle w:val="Compact"/>
            </w:pPr>
            <w:r>
              <w:rPr>
                <w:sz w:val="20"/>
                <w:szCs w:val="20"/>
              </w:rPr>
              <w:t xml:space="preserve">0.085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Toner et al. 2025 AMOS Panopticon; SpaceX 2022 semi-annual constellation report to FCC</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STARLINK-3056</w:t>
            </w:r>
          </w:p>
        </w:tc>
        <w:tc>
          <w:tcPr>
            <w:tcW w:w="0" w:type="auto"/>
          </w:tcPr>
          <w:p>
            <w:pPr>
              <w:spacing w:line="240" w:lineRule="auto" w:before="0" w:after="0"/>
              <w:pStyle w:val="Compact"/>
            </w:pPr>
            <w:r>
              <w:rPr>
                <w:sz w:val="20"/>
                <w:szCs w:val="20"/>
              </w:rPr>
              <w:t xml:space="preserve">538</w:t>
            </w:r>
          </w:p>
        </w:tc>
        <w:tc>
          <w:tcPr>
            <w:tcW w:w="0" w:type="auto"/>
          </w:tcPr>
          <w:p>
            <w:pPr>
              <w:spacing w:line="240" w:lineRule="auto" w:before="0" w:after="0"/>
              <w:pStyle w:val="Compact"/>
            </w:pPr>
            <w:r>
              <w:rPr>
                <w:sz w:val="20"/>
                <w:szCs w:val="20"/>
              </w:rPr>
              <w:t xml:space="preserve">53.2</w:t>
            </w:r>
          </w:p>
        </w:tc>
        <w:tc>
          <w:tcPr>
            <w:tcW w:w="0" w:type="auto"/>
          </w:tcPr>
          <w:p>
            <w:pPr>
              <w:spacing w:line="240" w:lineRule="auto" w:before="0" w:after="0"/>
              <w:pStyle w:val="Compact"/>
            </w:pPr>
            <w:r>
              <w:rPr>
                <w:sz w:val="20"/>
                <w:szCs w:val="20"/>
              </w:rPr>
              <w:t xml:space="preserve">0.09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SpaceX 2023 semi-annual FCC report; Toner et al. 2025 AMOS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IRIDIUM-NEXT-156</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86.4</w:t>
            </w:r>
          </w:p>
        </w:tc>
        <w:tc>
          <w:tcPr>
            <w:tcW w:w="0" w:type="auto"/>
          </w:tcPr>
          <w:p>
            <w:pPr>
              <w:spacing w:line="240" w:lineRule="auto" w:before="0" w:after="0"/>
              <w:pStyle w:val="Compact"/>
            </w:pPr>
            <w:r>
              <w:rPr>
                <w:sz w:val="20"/>
                <w:szCs w:val="20"/>
              </w:rPr>
              <w:t xml:space="preserve">0.13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Iridium Communications 2019 Form 10-K constellation ops; Shabarekh et al. 2016 AMOS</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IRIDIUM-NEXT-162</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86.4</w:t>
            </w:r>
          </w:p>
        </w:tc>
        <w:tc>
          <w:tcPr>
            <w:tcW w:w="0" w:type="auto"/>
          </w:tcPr>
          <w:p>
            <w:pPr>
              <w:spacing w:line="240" w:lineRule="auto" w:before="0" w:after="0"/>
              <w:pStyle w:val="Compact"/>
            </w:pPr>
            <w:r>
              <w:rPr>
                <w:sz w:val="20"/>
                <w:szCs w:val="20"/>
              </w:rPr>
              <w:t xml:space="preserve">0.125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Iridium 2020 Form 10-K; Morris et al. 2020 AMOS</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COSMOS-2543</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97.7</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Weeden &amp; Samson 2020 Global Counterspace Capabilities (Cosmos 2542/43 proximity ops)</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USA-271-GSSAP</w:t>
            </w:r>
          </w:p>
        </w:tc>
        <w:tc>
          <w:tcPr>
            <w:tcW w:w="0" w:type="auto"/>
          </w:tcPr>
          <w:p>
            <w:pPr>
              <w:spacing w:line="240" w:lineRule="auto" w:before="0" w:after="0"/>
              <w:pStyle w:val="Compact"/>
            </w:pPr>
            <w:r>
              <w:rPr>
                <w:sz w:val="20"/>
                <w:szCs w:val="20"/>
              </w:rPr>
              <w:t xml:space="preserve">36000</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Weeden &amp; Samson 2020 Global Counterspace; Morris et al. 2020 AMOS (GEO tracking)</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STARLINK-4287</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53.2</w:t>
            </w:r>
          </w:p>
        </w:tc>
        <w:tc>
          <w:tcPr>
            <w:tcW w:w="0" w:type="auto"/>
          </w:tcPr>
          <w:p>
            <w:pPr>
              <w:spacing w:line="240" w:lineRule="auto" w:before="0" w:after="0"/>
              <w:pStyle w:val="Compact"/>
            </w:pPr>
            <w:r>
              <w:rPr>
                <w:sz w:val="20"/>
                <w:szCs w:val="20"/>
              </w:rPr>
              <w:t xml:space="preserve">0.082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SpaceX 2023 FCC semi-annual report; Toner et al. 2025 AMOS</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STARLINK-5512</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0.078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SpaceX 2023 FCC report; Toner et al. 2025 AMOS Panopticon</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JILIN-1-07</w:t>
            </w:r>
          </w:p>
        </w:tc>
        <w:tc>
          <w:tcPr>
            <w:tcW w:w="0" w:type="auto"/>
          </w:tcPr>
          <w:p>
            <w:pPr>
              <w:spacing w:line="240" w:lineRule="auto" w:before="0" w:after="0"/>
              <w:pStyle w:val="Compact"/>
            </w:pPr>
            <w:r>
              <w:rPr>
                <w:sz w:val="20"/>
                <w:szCs w:val="20"/>
              </w:rPr>
              <w:t xml:space="preserve">535</w:t>
            </w:r>
          </w:p>
        </w:tc>
        <w:tc>
          <w:tcPr>
            <w:tcW w:w="0" w:type="auto"/>
          </w:tcPr>
          <w:p>
            <w:pPr>
              <w:spacing w:line="240" w:lineRule="auto" w:before="0" w:after="0"/>
              <w:pStyle w:val="Compact"/>
            </w:pPr>
            <w:r>
              <w:rPr>
                <w:sz w:val="20"/>
                <w:szCs w:val="20"/>
              </w:rPr>
              <w:t xml:space="preserve">97.5</w:t>
            </w:r>
          </w:p>
        </w:tc>
        <w:tc>
          <w:tcPr>
            <w:tcW w:w="0" w:type="auto"/>
          </w:tcPr>
          <w:p>
            <w:pPr>
              <w:spacing w:line="240" w:lineRule="auto" w:before="0" w:after="0"/>
              <w:pStyle w:val="Compact"/>
            </w:pPr>
            <w:r>
              <w:rPr>
                <w:sz w:val="20"/>
                <w:szCs w:val="20"/>
              </w:rPr>
              <w:t xml:space="preserve">0.11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19.7</w:t>
            </w:r>
          </w:p>
        </w:tc>
        <w:tc>
          <w:tcPr>
            <w:tcW w:w="0" w:type="auto"/>
          </w:tcPr>
          <w:p>
            <w:pPr>
              <w:spacing w:line="240" w:lineRule="auto" w:before="0" w:after="0"/>
              <w:pStyle w:val="Compact"/>
            </w:pPr>
            <w:r>
              <w:rPr>
                <w:sz w:val="20"/>
                <w:szCs w:val="20"/>
              </w:rPr>
              <w:t xml:space="preserve">Chang Guang Satellite Tech 2019 ops disclosure; Morris et al. 2020 AMOS [illustrative latency]</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YAOGAN-30-05</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0.14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20.4</w:t>
            </w:r>
          </w:p>
        </w:tc>
        <w:tc>
          <w:tcPr>
            <w:tcW w:w="0" w:type="auto"/>
          </w:tcPr>
          <w:p>
            <w:pPr>
              <w:spacing w:line="240" w:lineRule="auto" w:before="0" w:after="0"/>
              <w:pStyle w:val="Compact"/>
            </w:pPr>
            <w:r>
              <w:rPr>
                <w:sz w:val="20"/>
                <w:szCs w:val="20"/>
              </w:rPr>
              <w:t xml:space="preserve">Weeden &amp; Samson 2020 Global Counterspace (Yaogan series); Shabarekh et al. 2016 AMOS [illustrative latency]</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KOMPSAT-3A</w:t>
            </w:r>
          </w:p>
        </w:tc>
        <w:tc>
          <w:tcPr>
            <w:tcW w:w="0" w:type="auto"/>
          </w:tcPr>
          <w:p>
            <w:pPr>
              <w:spacing w:line="240" w:lineRule="auto" w:before="0" w:after="0"/>
              <w:pStyle w:val="Compact"/>
            </w:pPr>
            <w:r>
              <w:rPr>
                <w:sz w:val="20"/>
                <w:szCs w:val="20"/>
              </w:rPr>
              <w:t xml:space="preserve">528</w:t>
            </w:r>
          </w:p>
        </w:tc>
        <w:tc>
          <w:tcPr>
            <w:tcW w:w="0" w:type="auto"/>
          </w:tcPr>
          <w:p>
            <w:pPr>
              <w:spacing w:line="240" w:lineRule="auto" w:before="0" w:after="0"/>
              <w:pStyle w:val="Compact"/>
            </w:pPr>
            <w:r>
              <w:rPr>
                <w:sz w:val="20"/>
                <w:szCs w:val="20"/>
              </w:rPr>
              <w:t xml:space="preserve">97.5</w:t>
            </w:r>
          </w:p>
        </w:tc>
        <w:tc>
          <w:tcPr>
            <w:tcW w:w="0" w:type="auto"/>
          </w:tcPr>
          <w:p>
            <w:pPr>
              <w:spacing w:line="240" w:lineRule="auto" w:before="0" w:after="0"/>
              <w:pStyle w:val="Compact"/>
            </w:pPr>
            <w:r>
              <w:rPr>
                <w:sz w:val="20"/>
                <w:szCs w:val="20"/>
              </w:rPr>
              <w:t xml:space="preserve">0.17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18.9</w:t>
            </w:r>
          </w:p>
        </w:tc>
        <w:tc>
          <w:tcPr>
            <w:tcW w:w="0" w:type="auto"/>
          </w:tcPr>
          <w:p>
            <w:pPr>
              <w:spacing w:line="240" w:lineRule="auto" w:before="0" w:after="0"/>
              <w:pStyle w:val="Compact"/>
            </w:pPr>
            <w:r>
              <w:rPr>
                <w:sz w:val="20"/>
                <w:szCs w:val="20"/>
              </w:rPr>
              <w:t xml:space="preserve">KARI Kompsat-3A annual ops report 2019; Hejduk &amp; Snow 2018 NASA CARA</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PLEIADES-1A</w:t>
            </w:r>
          </w:p>
        </w:tc>
        <w:tc>
          <w:tcPr>
            <w:tcW w:w="0" w:type="auto"/>
          </w:tcPr>
          <w:p>
            <w:pPr>
              <w:spacing w:line="240" w:lineRule="auto" w:before="0" w:after="0"/>
              <w:pStyle w:val="Compact"/>
            </w:pPr>
            <w:r>
              <w:rPr>
                <w:sz w:val="20"/>
                <w:szCs w:val="20"/>
              </w:rPr>
              <w:t xml:space="preserve">694</w:t>
            </w:r>
          </w:p>
        </w:tc>
        <w:tc>
          <w:tcPr>
            <w:tcW w:w="0" w:type="auto"/>
          </w:tcPr>
          <w:p>
            <w:pPr>
              <w:spacing w:line="240" w:lineRule="auto" w:before="0" w:after="0"/>
              <w:pStyle w:val="Compact"/>
            </w:pPr>
            <w:r>
              <w:rPr>
                <w:sz w:val="20"/>
                <w:szCs w:val="20"/>
              </w:rPr>
              <w:t xml:space="preserve">98.2</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19.3</w:t>
            </w:r>
          </w:p>
        </w:tc>
        <w:tc>
          <w:tcPr>
            <w:tcW w:w="0" w:type="auto"/>
          </w:tcPr>
          <w:p>
            <w:pPr>
              <w:spacing w:line="240" w:lineRule="auto" w:before="0" w:after="0"/>
              <w:pStyle w:val="Compact"/>
            </w:pPr>
            <w:r>
              <w:rPr>
                <w:sz w:val="20"/>
                <w:szCs w:val="20"/>
              </w:rPr>
              <w:t xml:space="preserve">CNES Pleiades collision avoidance reports 2018</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WORLDVIEW-3</w:t>
            </w:r>
          </w:p>
        </w:tc>
        <w:tc>
          <w:tcPr>
            <w:tcW w:w="0" w:type="auto"/>
          </w:tcPr>
          <w:p>
            <w:pPr>
              <w:spacing w:line="240" w:lineRule="auto" w:before="0" w:after="0"/>
              <w:pStyle w:val="Compact"/>
            </w:pPr>
            <w:r>
              <w:rPr>
                <w:sz w:val="20"/>
                <w:szCs w:val="20"/>
              </w:rPr>
              <w:t xml:space="preserve">617</w:t>
            </w:r>
          </w:p>
        </w:tc>
        <w:tc>
          <w:tcPr>
            <w:tcW w:w="0" w:type="auto"/>
          </w:tcPr>
          <w:p>
            <w:pPr>
              <w:spacing w:line="240" w:lineRule="auto" w:before="0" w:after="0"/>
              <w:pStyle w:val="Compact"/>
            </w:pPr>
            <w:r>
              <w:rPr>
                <w:sz w:val="20"/>
                <w:szCs w:val="20"/>
              </w:rPr>
              <w:t xml:space="preserve">97.9</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Maxar 2017 10-K constellation ops; Hejduk &amp; Snow 2018</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STARLINK-6712</w:t>
            </w:r>
          </w:p>
        </w:tc>
        <w:tc>
          <w:tcPr>
            <w:tcW w:w="0" w:type="auto"/>
          </w:tcPr>
          <w:p>
            <w:pPr>
              <w:spacing w:line="240" w:lineRule="auto" w:before="0" w:after="0"/>
              <w:pStyle w:val="Compact"/>
            </w:pPr>
            <w:r>
              <w:rPr>
                <w:sz w:val="20"/>
                <w:szCs w:val="20"/>
              </w:rPr>
              <w:t xml:space="preserve">560</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SpaceX 2024 FCC semi-annual report; Toner et al. 2025 AMOS</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ONEWEB-0501</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87.9</w:t>
            </w:r>
          </w:p>
        </w:tc>
        <w:tc>
          <w:tcPr>
            <w:tcW w:w="0" w:type="auto"/>
          </w:tcPr>
          <w:p>
            <w:pPr>
              <w:spacing w:line="240" w:lineRule="auto" w:before="0" w:after="0"/>
              <w:pStyle w:val="Compact"/>
            </w:pPr>
            <w:r>
              <w:rPr>
                <w:sz w:val="20"/>
                <w:szCs w:val="20"/>
              </w:rPr>
              <w:t xml:space="preserve">0.145</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16.1</w:t>
            </w:r>
          </w:p>
        </w:tc>
        <w:tc>
          <w:tcPr>
            <w:tcW w:w="0" w:type="auto"/>
          </w:tcPr>
          <w:p>
            <w:pPr>
              <w:spacing w:line="240" w:lineRule="auto" w:before="0" w:after="0"/>
              <w:pStyle w:val="Compact"/>
            </w:pPr>
            <w:r>
              <w:rPr>
                <w:sz w:val="20"/>
                <w:szCs w:val="20"/>
              </w:rPr>
              <w:t xml:space="preserve">Eutelsat-OneWeb 2023 annual report; Morris et al. 2020 AMOS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LEMUR-2-018</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97.4</w:t>
            </w:r>
          </w:p>
        </w:tc>
        <w:tc>
          <w:tcPr>
            <w:tcW w:w="0" w:type="auto"/>
          </w:tcPr>
          <w:p>
            <w:pPr>
              <w:spacing w:line="240" w:lineRule="auto" w:before="0" w:after="0"/>
              <w:pStyle w:val="Compact"/>
            </w:pPr>
            <w:r>
              <w:rPr>
                <w:sz w:val="20"/>
                <w:szCs w:val="20"/>
              </w:rPr>
              <w:t xml:space="preserve">0.06</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Spire Global 2019 SEC S-1 ops disclosure [illustrative latency]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FLOCK-4P-12</w:t>
            </w:r>
          </w:p>
        </w:tc>
        <w:tc>
          <w:tcPr>
            <w:tcW w:w="0" w:type="auto"/>
          </w:tcPr>
          <w:p>
            <w:pPr>
              <w:spacing w:line="240" w:lineRule="auto" w:before="0" w:after="0"/>
              <w:pStyle w:val="Compact"/>
            </w:pPr>
            <w:r>
              <w:rPr>
                <w:sz w:val="20"/>
                <w:szCs w:val="20"/>
              </w:rPr>
              <w:t xml:space="preserve">505</w:t>
            </w:r>
          </w:p>
        </w:tc>
        <w:tc>
          <w:tcPr>
            <w:tcW w:w="0" w:type="auto"/>
          </w:tcPr>
          <w:p>
            <w:pPr>
              <w:spacing w:line="240" w:lineRule="auto" w:before="0" w:after="0"/>
              <w:pStyle w:val="Compact"/>
            </w:pPr>
            <w:r>
              <w:rPr>
                <w:sz w:val="20"/>
                <w:szCs w:val="20"/>
              </w:rPr>
              <w:t xml:space="preserve">97.5</w:t>
            </w:r>
          </w:p>
        </w:tc>
        <w:tc>
          <w:tcPr>
            <w:tcW w:w="0" w:type="auto"/>
          </w:tcPr>
          <w:p>
            <w:pPr>
              <w:spacing w:line="240" w:lineRule="auto" w:before="0" w:after="0"/>
              <w:pStyle w:val="Compact"/>
            </w:pPr>
            <w:r>
              <w:rPr>
                <w:sz w:val="20"/>
                <w:szCs w:val="20"/>
              </w:rPr>
              <w:t xml:space="preserve">0.045</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30.2</w:t>
            </w:r>
          </w:p>
        </w:tc>
        <w:tc>
          <w:tcPr>
            <w:tcW w:w="0" w:type="auto"/>
          </w:tcPr>
          <w:p>
            <w:pPr>
              <w:spacing w:line="240" w:lineRule="auto" w:before="0" w:after="0"/>
              <w:pStyle w:val="Compact"/>
            </w:pPr>
            <w:r>
              <w:rPr>
                <w:sz w:val="20"/>
                <w:szCs w:val="20"/>
              </w:rPr>
              <w:t xml:space="preserve">Planet Labs 2020 10-K constellation ops [illustrative latency]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DOVE-PIONEER-3</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97.4</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31.6</w:t>
            </w:r>
          </w:p>
        </w:tc>
        <w:tc>
          <w:tcPr>
            <w:tcW w:w="0" w:type="auto"/>
          </w:tcPr>
          <w:p>
            <w:pPr>
              <w:spacing w:line="240" w:lineRule="auto" w:before="0" w:after="0"/>
              <w:pStyle w:val="Compact"/>
            </w:pPr>
            <w:r>
              <w:rPr>
                <w:sz w:val="20"/>
                <w:szCs w:val="20"/>
              </w:rPr>
              <w:t xml:space="preserve">Planet Labs 2019 ops; Toner et al. 2025 AMOS (small-RCS challenge) [illustrative latency]</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CAPELLA-7</w:t>
            </w:r>
          </w:p>
        </w:tc>
        <w:tc>
          <w:tcPr>
            <w:tcW w:w="0" w:type="auto"/>
          </w:tcPr>
          <w:p>
            <w:pPr>
              <w:spacing w:line="240" w:lineRule="auto" w:before="0" w:after="0"/>
              <w:pStyle w:val="Compact"/>
            </w:pPr>
            <w:r>
              <w:rPr>
                <w:sz w:val="20"/>
                <w:szCs w:val="20"/>
              </w:rPr>
              <w:t xml:space="preserve">597</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Capella Space 2021 SEC filing; Morris et al. 2020 AMOS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ICEYE-X14</w:t>
            </w:r>
          </w:p>
        </w:tc>
        <w:tc>
          <w:tcPr>
            <w:tcW w:w="0" w:type="auto"/>
          </w:tcPr>
          <w:p>
            <w:pPr>
              <w:spacing w:line="240" w:lineRule="auto" w:before="0" w:after="0"/>
              <w:pStyle w:val="Compact"/>
            </w:pPr>
            <w:r>
              <w:rPr>
                <w:sz w:val="20"/>
                <w:szCs w:val="20"/>
              </w:rPr>
              <w:t xml:space="preserve">570</w:t>
            </w:r>
          </w:p>
        </w:tc>
        <w:tc>
          <w:tcPr>
            <w:tcW w:w="0" w:type="auto"/>
          </w:tcPr>
          <w:p>
            <w:pPr>
              <w:spacing w:line="240" w:lineRule="auto" w:before="0" w:after="0"/>
              <w:pStyle w:val="Compact"/>
            </w:pPr>
            <w:r>
              <w:rPr>
                <w:sz w:val="20"/>
                <w:szCs w:val="20"/>
              </w:rPr>
              <w:t xml:space="preserve">97.7</w:t>
            </w:r>
          </w:p>
        </w:tc>
        <w:tc>
          <w:tcPr>
            <w:tcW w:w="0" w:type="auto"/>
          </w:tcPr>
          <w:p>
            <w:pPr>
              <w:spacing w:line="240" w:lineRule="auto" w:before="0" w:after="0"/>
              <w:pStyle w:val="Compact"/>
            </w:pPr>
            <w:r>
              <w:rPr>
                <w:sz w:val="20"/>
                <w:szCs w:val="20"/>
              </w:rPr>
              <w:t xml:space="preserve">0.095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ICEYE 2021 ops disclosure; Hejduk &amp; Snow 2018 NASA CARA</w:t>
            </w:r>
          </w:p>
        </w:tc>
      </w:tr>
      <w:tr>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STARLINK-1700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0.078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SpaceX 2022 FCC semi-annual report; Toner et al. 2025 AMOS</w:t>
            </w:r>
          </w:p>
        </w:tc>
      </w:tr>
      <w:tr>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STARLINK-2890</w:t>
            </w:r>
          </w:p>
        </w:tc>
        <w:tc>
          <w:tcPr>
            <w:tcW w:w="0" w:type="auto"/>
          </w:tcPr>
          <w:p>
            <w:pPr>
              <w:spacing w:line="240" w:lineRule="auto" w:before="0" w:after="0"/>
              <w:pStyle w:val="Compact"/>
            </w:pPr>
            <w:r>
              <w:rPr>
                <w:sz w:val="20"/>
                <w:szCs w:val="20"/>
              </w:rPr>
              <w:t xml:space="preserve">545</w:t>
            </w:r>
          </w:p>
        </w:tc>
        <w:tc>
          <w:tcPr>
            <w:tcW w:w="0" w:type="auto"/>
          </w:tcPr>
          <w:p>
            <w:pPr>
              <w:spacing w:line="240" w:lineRule="auto" w:before="0" w:after="0"/>
              <w:pStyle w:val="Compact"/>
            </w:pPr>
            <w:r>
              <w:rPr>
                <w:sz w:val="20"/>
                <w:szCs w:val="20"/>
              </w:rPr>
              <w:t xml:space="preserve">53.2</w:t>
            </w:r>
          </w:p>
        </w:tc>
        <w:tc>
          <w:tcPr>
            <w:tcW w:w="0" w:type="auto"/>
          </w:tcPr>
          <w:p>
            <w:pPr>
              <w:spacing w:line="240" w:lineRule="auto" w:before="0" w:after="0"/>
              <w:pStyle w:val="Compact"/>
            </w:pPr>
            <w:r>
              <w:rPr>
                <w:sz w:val="20"/>
                <w:szCs w:val="20"/>
              </w:rPr>
              <w:t xml:space="preserve">0.082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SpaceX 2022 FCC report; Toner et al. 2025 AMOS</w:t>
            </w:r>
          </w:p>
        </w:tc>
      </w:tr>
      <w:tr>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FENGYUN-3D</w:t>
            </w:r>
          </w:p>
        </w:tc>
        <w:tc>
          <w:tcPr>
            <w:tcW w:w="0" w:type="auto"/>
          </w:tcPr>
          <w:p>
            <w:pPr>
              <w:spacing w:line="240" w:lineRule="auto" w:before="0" w:after="0"/>
              <w:pStyle w:val="Compact"/>
            </w:pPr>
            <w:r>
              <w:rPr>
                <w:sz w:val="20"/>
                <w:szCs w:val="20"/>
              </w:rPr>
              <w:t xml:space="preserve">836</w:t>
            </w:r>
          </w:p>
        </w:tc>
        <w:tc>
          <w:tcPr>
            <w:tcW w:w="0" w:type="auto"/>
          </w:tcPr>
          <w:p>
            <w:pPr>
              <w:spacing w:line="240" w:lineRule="auto" w:before="0" w:after="0"/>
              <w:pStyle w:val="Compact"/>
            </w:pPr>
            <w:r>
              <w:rPr>
                <w:sz w:val="20"/>
                <w:szCs w:val="20"/>
              </w:rPr>
              <w:t xml:space="preserve">98.7</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20.8</w:t>
            </w:r>
          </w:p>
        </w:tc>
        <w:tc>
          <w:tcPr>
            <w:tcW w:w="0" w:type="auto"/>
          </w:tcPr>
          <w:p>
            <w:pPr>
              <w:spacing w:line="240" w:lineRule="auto" w:before="0" w:after="0"/>
              <w:pStyle w:val="Compact"/>
            </w:pPr>
            <w:r>
              <w:rPr>
                <w:sz w:val="20"/>
                <w:szCs w:val="20"/>
              </w:rPr>
              <w:t xml:space="preserve">CMA Fengyun ops report 2018; Hejduk &amp; Snow 2018</w:t>
            </w:r>
          </w:p>
        </w:tc>
      </w:tr>
      <w:tr>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GAOFEN-3</w:t>
            </w:r>
          </w:p>
        </w:tc>
        <w:tc>
          <w:tcPr>
            <w:tcW w:w="0" w:type="auto"/>
          </w:tcPr>
          <w:p>
            <w:pPr>
              <w:spacing w:line="240" w:lineRule="auto" w:before="0" w:after="0"/>
              <w:pStyle w:val="Compact"/>
            </w:pPr>
            <w:r>
              <w:rPr>
                <w:sz w:val="20"/>
                <w:szCs w:val="20"/>
              </w:rPr>
              <w:t xml:space="preserve">755</w:t>
            </w:r>
          </w:p>
        </w:tc>
        <w:tc>
          <w:tcPr>
            <w:tcW w:w="0" w:type="auto"/>
          </w:tcPr>
          <w:p>
            <w:pPr>
              <w:spacing w:line="240" w:lineRule="auto" w:before="0" w:after="0"/>
              <w:pStyle w:val="Compact"/>
            </w:pPr>
            <w:r>
              <w:rPr>
                <w:sz w:val="20"/>
                <w:szCs w:val="20"/>
              </w:rPr>
              <w:t xml:space="preserve">98.4</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21.6</w:t>
            </w:r>
          </w:p>
        </w:tc>
        <w:tc>
          <w:tcPr>
            <w:tcW w:w="0" w:type="auto"/>
          </w:tcPr>
          <w:p>
            <w:pPr>
              <w:spacing w:line="240" w:lineRule="auto" w:before="0" w:after="0"/>
              <w:pStyle w:val="Compact"/>
            </w:pPr>
            <w:r>
              <w:rPr>
                <w:sz w:val="20"/>
                <w:szCs w:val="20"/>
              </w:rPr>
              <w:t xml:space="preserve">CNSA Gaofen-3 ops 2017; Shabarekh et al. 2016 AMOS</w:t>
            </w:r>
          </w:p>
        </w:tc>
      </w:tr>
      <w:tr>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TANSAT-1</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98.2</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22.3</w:t>
            </w:r>
          </w:p>
        </w:tc>
        <w:tc>
          <w:tcPr>
            <w:tcW w:w="0" w:type="auto"/>
          </w:tcPr>
          <w:p>
            <w:pPr>
              <w:spacing w:line="240" w:lineRule="auto" w:before="0" w:after="0"/>
              <w:pStyle w:val="Compact"/>
            </w:pPr>
            <w:r>
              <w:rPr>
                <w:sz w:val="20"/>
                <w:szCs w:val="20"/>
              </w:rPr>
              <w:t xml:space="preserve">Chinese Academy Sciences TanSat ops 2019 [illustrative latency]</w:t>
            </w:r>
          </w:p>
        </w:tc>
      </w:tr>
      <w:tr>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COSMOS-2558</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97.3</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Weeden &amp; Samson 2023 update Global Counterspace (Cosmos 2558 proximity ops)</w:t>
            </w:r>
          </w:p>
        </w:tc>
      </w:tr>
      <w:tr>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USA-326</w:t>
            </w:r>
          </w:p>
        </w:tc>
        <w:tc>
          <w:tcPr>
            <w:tcW w:w="0" w:type="auto"/>
          </w:tcPr>
          <w:p>
            <w:pPr>
              <w:spacing w:line="240" w:lineRule="auto" w:before="0" w:after="0"/>
              <w:pStyle w:val="Compact"/>
            </w:pPr>
            <w:r>
              <w:rPr>
                <w:sz w:val="20"/>
                <w:szCs w:val="20"/>
              </w:rPr>
              <w:t xml:space="preserve">512</w:t>
            </w:r>
          </w:p>
        </w:tc>
        <w:tc>
          <w:tcPr>
            <w:tcW w:w="0" w:type="auto"/>
          </w:tcPr>
          <w:p>
            <w:pPr>
              <w:spacing w:line="240" w:lineRule="auto" w:before="0" w:after="0"/>
              <w:pStyle w:val="Compact"/>
            </w:pPr>
            <w:r>
              <w:rPr>
                <w:sz w:val="20"/>
                <w:szCs w:val="20"/>
              </w:rPr>
              <w:t xml:space="preserve">97.4</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Weeden &amp; Samson 2023 (USA-326 NROL-82 proximity); Morris et al. 2020 AMOS</w:t>
            </w:r>
          </w:p>
        </w:tc>
      </w:tr>
      <w:tr>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STARLINK-7891</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SpaceX 2024 FCC report; Toner et al. 2025 AMOS</w:t>
            </w:r>
          </w:p>
        </w:tc>
      </w:tr>
      <w:tr>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ONEWEB-0612</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87.9</w:t>
            </w:r>
          </w:p>
        </w:tc>
        <w:tc>
          <w:tcPr>
            <w:tcW w:w="0" w:type="auto"/>
          </w:tcPr>
          <w:p>
            <w:pPr>
              <w:spacing w:line="240" w:lineRule="auto" w:before="0" w:after="0"/>
              <w:pStyle w:val="Compact"/>
            </w:pPr>
            <w:r>
              <w:rPr>
                <w:sz w:val="20"/>
                <w:szCs w:val="20"/>
              </w:rPr>
              <w:t xml:space="preserve">0.148</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Eutelsat-OneWeb 2023 report; Morris et al. 2020 AMOS</w:t>
            </w:r>
          </w:p>
        </w:tc>
      </w:tr>
      <w:tr>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STARLINK-30009</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0.077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SpaceX 2024 FCC report; Toner et al. 2025 AMOS Panopticon</w:t>
            </w:r>
          </w:p>
        </w:tc>
      </w:tr>
    </w:tbl>
    <w:bookmarkEnd w:id="80"/>
    <w:bookmarkStart w:id="8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latency_hr</w:t>
            </w:r>
          </w:p>
        </w:tc>
        <w:tc>
          <w:tcPr>
            <w:tcW w:w="0" w:type="auto"/>
          </w:tcPr>
          <w:p>
            <w:pPr>
              <w:spacing w:line="240" w:lineRule="auto" w:before="0" w:after="0"/>
              <w:pStyle w:val="Compact"/>
            </w:pPr>
            <w:r>
              <w:rPr>
                <w:sz w:val="20"/>
                <w:szCs w:val="20"/>
              </w:rPr>
              <w:t xml:space="preserve">Hours from maneuver execution to confirmed catalog update (custody-gap window)</w:t>
            </w:r>
          </w:p>
        </w:tc>
        <w:tc>
          <w:tcPr>
            <w:tcW w:w="0" w:type="auto"/>
          </w:tcPr>
          <w:p>
            <w:pPr>
              <w:spacing w:line="240" w:lineRule="auto" w:before="0" w:after="0"/>
              <w:pStyle w:val="Compact"/>
            </w:pPr>
            <w:r>
              <w:rPr>
                <w:sz w:val="20"/>
                <w:szCs w:val="20"/>
              </w:rPr>
              <w:t xml:space="preserve">Hejduk &amp; Snow 2018 NASA CARA; Frigm 2015 AMOS NASA TOPO</w:t>
            </w:r>
          </w:p>
        </w:tc>
      </w:tr>
      <w:tr>
        <w:tc>
          <w:tcPr>
            <w:tcW w:w="0" w:type="auto"/>
          </w:tcPr>
          <w:p>
            <w:pPr>
              <w:spacing w:line="240" w:lineRule="auto" w:before="0" w:after="0"/>
              <w:pStyle w:val="Compact"/>
            </w:pPr>
            <w:r>
              <w:rPr>
                <w:sz w:val="20"/>
                <w:szCs w:val="20"/>
              </w:rPr>
              <w:t xml:space="preserve">sensor_revisit_hr</w:t>
            </w:r>
          </w:p>
        </w:tc>
        <w:tc>
          <w:tcPr>
            <w:tcW w:w="0" w:type="auto"/>
          </w:tcPr>
          <w:p>
            <w:pPr>
              <w:spacing w:line="240" w:lineRule="auto" w:before="0" w:after="0"/>
              <w:pStyle w:val="Compact"/>
            </w:pPr>
            <w:r>
              <w:rPr>
                <w:sz w:val="20"/>
                <w:szCs w:val="20"/>
              </w:rPr>
              <w:t xml:space="preserve">Mean revisit interval of tasked SSN/commercial sensors against the object</w:t>
            </w:r>
          </w:p>
        </w:tc>
        <w:tc>
          <w:tcPr>
            <w:tcW w:w="0" w:type="auto"/>
          </w:tcPr>
          <w:p>
            <w:pPr>
              <w:spacing w:line="240" w:lineRule="auto" w:before="0" w:after="0"/>
              <w:pStyle w:val="Compact"/>
            </w:pPr>
            <w:r>
              <w:rPr>
                <w:sz w:val="20"/>
                <w:szCs w:val="20"/>
              </w:rPr>
              <w:t xml:space="preserve">Morris et al. 2020 AMOS; Toner et al. 2025 AMOS</w:t>
            </w:r>
          </w:p>
        </w:tc>
      </w:tr>
      <w:tr>
        <w:tc>
          <w:tcPr>
            <w:tcW w:w="0" w:type="auto"/>
          </w:tcPr>
          <w:p>
            <w:pPr>
              <w:spacing w:line="240" w:lineRule="auto" w:before="0" w:after="0"/>
              <w:pStyle w:val="Compact"/>
            </w:pPr>
            <w:r>
              <w:rPr>
                <w:sz w:val="20"/>
                <w:szCs w:val="20"/>
              </w:rPr>
              <w:t xml:space="preserve">n_tasked_sensors</w:t>
            </w:r>
          </w:p>
        </w:tc>
        <w:tc>
          <w:tcPr>
            <w:tcW w:w="0" w:type="auto"/>
          </w:tcPr>
          <w:p>
            <w:pPr>
              <w:spacing w:line="240" w:lineRule="auto" w:before="0" w:after="0"/>
              <w:pStyle w:val="Compact"/>
            </w:pPr>
            <w:r>
              <w:rPr>
                <w:sz w:val="20"/>
                <w:szCs w:val="20"/>
              </w:rPr>
              <w:t xml:space="preserve">Count of distinct sensors actively tasked on the object during the maneuver window</w:t>
            </w:r>
          </w:p>
        </w:tc>
        <w:tc>
          <w:tcPr>
            <w:tcW w:w="0" w:type="auto"/>
          </w:tcPr>
          <w:p>
            <w:pPr>
              <w:spacing w:line="240" w:lineRule="auto" w:before="0" w:after="0"/>
              <w:pStyle w:val="Compact"/>
            </w:pPr>
            <w:r>
              <w:rPr>
                <w:sz w:val="20"/>
                <w:szCs w:val="20"/>
              </w:rPr>
              <w:t xml:space="preserve">Shabarekh et al. 2016 AMOS</w:t>
            </w:r>
          </w:p>
        </w:tc>
      </w:tr>
      <w:tr>
        <w:tc>
          <w:tcPr>
            <w:tcW w:w="0" w:type="auto"/>
          </w:tcPr>
          <w:p>
            <w:pPr>
              <w:spacing w:line="240" w:lineRule="auto" w:before="0" w:after="0"/>
              <w:pStyle w:val="Compact"/>
            </w:pPr>
            <w:r>
              <w:rPr>
                <w:sz w:val="20"/>
                <w:szCs w:val="20"/>
              </w:rPr>
              <w:t xml:space="preserve">rcs_m2</w:t>
            </w:r>
          </w:p>
        </w:tc>
        <w:tc>
          <w:tcPr>
            <w:tcW w:w="0" w:type="auto"/>
          </w:tcPr>
          <w:p>
            <w:pPr>
              <w:spacing w:line="240" w:lineRule="auto" w:before="0" w:after="0"/>
              <w:pStyle w:val="Compact"/>
            </w:pPr>
            <w:r>
              <w:rPr>
                <w:sz w:val="20"/>
                <w:szCs w:val="20"/>
              </w:rPr>
              <w:t xml:space="preserve">Radar cross section in square meters (observability proxy)</w:t>
            </w:r>
          </w:p>
        </w:tc>
        <w:tc>
          <w:tcPr>
            <w:tcW w:w="0" w:type="auto"/>
          </w:tcPr>
          <w:p>
            <w:pPr>
              <w:spacing w:line="240" w:lineRule="auto" w:before="0" w:after="0"/>
              <w:pStyle w:val="Compact"/>
            </w:pPr>
            <w:r>
              <w:rPr>
                <w:sz w:val="20"/>
                <w:szCs w:val="20"/>
              </w:rPr>
              <w:t xml:space="preserve">Space-Track SATCAT public RCS field</w:t>
            </w:r>
          </w:p>
        </w:tc>
      </w:tr>
      <w:tr>
        <w:tc>
          <w:tcPr>
            <w:tcW w:w="0" w:type="auto"/>
          </w:tcPr>
          <w:p>
            <w:pPr>
              <w:spacing w:line="240" w:lineRule="auto" w:before="0" w:after="0"/>
              <w:pStyle w:val="Compact"/>
            </w:pPr>
            <w:r>
              <w:rPr>
                <w:sz w:val="20"/>
                <w:szCs w:val="20"/>
              </w:rPr>
              <w:t xml:space="preserve">delta_v_mps</w:t>
            </w:r>
          </w:p>
        </w:tc>
        <w:tc>
          <w:tcPr>
            <w:tcW w:w="0" w:type="auto"/>
          </w:tcPr>
          <w:p>
            <w:pPr>
              <w:spacing w:line="240" w:lineRule="auto" w:before="0" w:after="0"/>
              <w:pStyle w:val="Compact"/>
            </w:pPr>
            <w:r>
              <w:rPr>
                <w:sz w:val="20"/>
                <w:szCs w:val="20"/>
              </w:rPr>
              <w:t xml:space="preserve">Magnitude of the maneuver delta-v in meters per second</w:t>
            </w:r>
          </w:p>
        </w:tc>
        <w:tc>
          <w:tcPr>
            <w:tcW w:w="0" w:type="auto"/>
          </w:tcPr>
          <w:p>
            <w:pPr>
              <w:spacing w:line="240" w:lineRule="auto" w:before="0" w:after="0"/>
              <w:pStyle w:val="Compact"/>
            </w:pPr>
            <w:r>
              <w:rPr>
                <w:sz w:val="20"/>
                <w:szCs w:val="20"/>
              </w:rPr>
              <w:t xml:space="preserve">Shabarekh et al. 2016 AMOS; operator FCC/SEC filings</w:t>
            </w:r>
          </w:p>
        </w:tc>
      </w:tr>
      <w:tr>
        <w:tc>
          <w:tcPr>
            <w:tcW w:w="0" w:type="auto"/>
          </w:tcPr>
          <w:p>
            <w:pPr>
              <w:spacing w:line="240" w:lineRule="auto" w:before="0" w:after="0"/>
              <w:pStyle w:val="Compact"/>
            </w:pPr>
            <w:r>
              <w:rPr>
                <w:sz w:val="20"/>
                <w:szCs w:val="20"/>
              </w:rPr>
              <w:t xml:space="preserve">alt_km</w:t>
            </w:r>
          </w:p>
        </w:tc>
        <w:tc>
          <w:tcPr>
            <w:tcW w:w="0" w:type="auto"/>
          </w:tcPr>
          <w:p>
            <w:pPr>
              <w:spacing w:line="240" w:lineRule="auto" w:before="0" w:after="0"/>
              <w:pStyle w:val="Compact"/>
            </w:pPr>
            <w:r>
              <w:rPr>
                <w:sz w:val="20"/>
                <w:szCs w:val="20"/>
              </w:rPr>
              <w:t xml:space="preserve">Mean orbital altitude in kilometers</w:t>
            </w:r>
          </w:p>
        </w:tc>
        <w:tc>
          <w:tcPr>
            <w:tcW w:w="0" w:type="auto"/>
          </w:tcPr>
          <w:p>
            <w:pPr>
              <w:spacing w:line="240" w:lineRule="auto" w:before="0" w:after="0"/>
              <w:pStyle w:val="Compact"/>
            </w:pPr>
            <w:r>
              <w:rPr>
                <w:sz w:val="20"/>
                <w:szCs w:val="20"/>
              </w:rPr>
              <w:t xml:space="preserve">Space-Track SATCAT</w:t>
            </w:r>
          </w:p>
        </w:tc>
      </w:tr>
    </w:tbl>
    <w:bookmarkEnd w:id="81"/>
    <w:bookmarkStart w:id="8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11.7145</w:t>
            </w:r>
          </w:p>
        </w:tc>
        <w:tc>
          <w:tcPr>
            <w:tcW w:w="0" w:type="auto"/>
          </w:tcPr>
          <w:p>
            <w:pPr>
              <w:spacing w:line="240" w:lineRule="auto" w:before="0" w:after="0"/>
              <w:pStyle w:val="Compact"/>
            </w:pPr>
            <w:r>
              <w:rPr>
                <w:sz w:val="20"/>
                <w:szCs w:val="20"/>
              </w:rPr>
              <w:t xml:space="preserve">3.5962</w:t>
            </w:r>
          </w:p>
        </w:tc>
        <w:tc>
          <w:tcPr>
            <w:tcW w:w="0" w:type="auto"/>
          </w:tcPr>
          <w:p>
            <w:pPr>
              <w:spacing w:line="240" w:lineRule="auto" w:before="0" w:after="0"/>
              <w:pStyle w:val="Compact"/>
            </w:pPr>
            <w:r>
              <w:rPr>
                <w:sz w:val="20"/>
                <w:szCs w:val="20"/>
              </w:rPr>
              <w:t xml:space="preserve">3.2574</w:t>
            </w:r>
          </w:p>
        </w:tc>
        <w:tc>
          <w:tcPr>
            <w:tcW w:w="0" w:type="auto"/>
          </w:tcPr>
          <w:p>
            <w:pPr>
              <w:spacing w:line="240" w:lineRule="auto" w:before="0" w:after="0"/>
              <w:pStyle w:val="Compact"/>
            </w:pPr>
            <w:r>
              <w:rPr>
                <w:sz w:val="20"/>
                <w:szCs w:val="20"/>
              </w:rPr>
              <w:t xml:space="preserve">0.0011</w:t>
            </w:r>
          </w:p>
        </w:tc>
        <w:tc>
          <w:tcPr>
            <w:tcW w:w="0" w:type="auto"/>
          </w:tcPr>
          <w:p>
            <w:pPr>
              <w:spacing w:line="240" w:lineRule="auto" w:before="0" w:after="0"/>
              <w:pStyle w:val="Compact"/>
            </w:pPr>
            <w:r>
              <w:rPr>
                <w:sz w:val="20"/>
                <w:szCs w:val="20"/>
              </w:rPr>
              <w:t xml:space="preserve">[4.666, 18.763]</w:t>
            </w:r>
          </w:p>
        </w:tc>
      </w:tr>
      <w:tr>
        <w:tc>
          <w:tcPr>
            <w:tcW w:w="0" w:type="auto"/>
          </w:tcPr>
          <w:p>
            <w:pPr>
              <w:spacing w:line="240" w:lineRule="auto" w:before="0" w:after="0"/>
              <w:pStyle w:val="Compact"/>
            </w:pPr>
            <w:r>
              <w:rPr>
                <w:sz w:val="20"/>
                <w:szCs w:val="20"/>
              </w:rPr>
              <w:t xml:space="preserve">sensor_revisit_hr</w:t>
            </w:r>
          </w:p>
        </w:tc>
        <w:tc>
          <w:tcPr>
            <w:tcW w:w="0" w:type="auto"/>
          </w:tcPr>
          <w:p>
            <w:pPr>
              <w:spacing w:line="240" w:lineRule="auto" w:before="0" w:after="0"/>
              <w:pStyle w:val="Compact"/>
            </w:pPr>
            <w:r>
              <w:rPr>
                <w:sz w:val="20"/>
                <w:szCs w:val="20"/>
              </w:rPr>
              <w:t xml:space="preserve">1.423</w:t>
            </w:r>
          </w:p>
        </w:tc>
        <w:tc>
          <w:tcPr>
            <w:tcW w:w="0" w:type="auto"/>
          </w:tcPr>
          <w:p>
            <w:pPr>
              <w:spacing w:line="240" w:lineRule="auto" w:before="0" w:after="0"/>
              <w:pStyle w:val="Compact"/>
            </w:pPr>
            <w:r>
              <w:rPr>
                <w:sz w:val="20"/>
                <w:szCs w:val="20"/>
              </w:rPr>
              <w:t xml:space="preserve">0.1824</w:t>
            </w:r>
          </w:p>
        </w:tc>
        <w:tc>
          <w:tcPr>
            <w:tcW w:w="0" w:type="auto"/>
          </w:tcPr>
          <w:p>
            <w:pPr>
              <w:spacing w:line="240" w:lineRule="auto" w:before="0" w:after="0"/>
              <w:pStyle w:val="Compact"/>
            </w:pPr>
            <w:r>
              <w:rPr>
                <w:sz w:val="20"/>
                <w:szCs w:val="20"/>
              </w:rPr>
              <w:t xml:space="preserve">7.8003</w:t>
            </w:r>
          </w:p>
        </w:tc>
        <w:tc>
          <w:tcPr>
            <w:tcW w:w="0" w:type="auto"/>
          </w:tcPr>
          <w:p>
            <w:pPr>
              <w:spacing w:line="240" w:lineRule="auto" w:before="0" w:after="0"/>
              <w:pStyle w:val="Compact"/>
            </w:pPr>
            <w:r>
              <w:rPr>
                <w:sz w:val="20"/>
                <w:szCs w:val="20"/>
              </w:rPr>
              <w:t xml:space="preserve">6.174e-15</w:t>
            </w:r>
          </w:p>
        </w:tc>
        <w:tc>
          <w:tcPr>
            <w:tcW w:w="0" w:type="auto"/>
          </w:tcPr>
          <w:p>
            <w:pPr>
              <w:spacing w:line="240" w:lineRule="auto" w:before="0" w:after="0"/>
              <w:pStyle w:val="Compact"/>
            </w:pPr>
            <w:r>
              <w:rPr>
                <w:sz w:val="20"/>
                <w:szCs w:val="20"/>
              </w:rPr>
              <w:t xml:space="preserve">[1.0654, 1.7805]</w:t>
            </w:r>
          </w:p>
        </w:tc>
      </w:tr>
      <w:tr>
        <w:tc>
          <w:tcPr>
            <w:tcW w:w="0" w:type="auto"/>
          </w:tcPr>
          <w:p>
            <w:pPr>
              <w:spacing w:line="240" w:lineRule="auto" w:before="0" w:after="0"/>
              <w:pStyle w:val="Compact"/>
            </w:pPr>
            <w:r>
              <w:rPr>
                <w:sz w:val="20"/>
                <w:szCs w:val="20"/>
              </w:rPr>
              <w:t xml:space="preserve">n_tasked_sensors</w:t>
            </w:r>
          </w:p>
        </w:tc>
        <w:tc>
          <w:tcPr>
            <w:tcW w:w="0" w:type="auto"/>
          </w:tcPr>
          <w:p>
            <w:pPr>
              <w:spacing w:line="240" w:lineRule="auto" w:before="0" w:after="0"/>
              <w:pStyle w:val="Compact"/>
            </w:pPr>
            <w:r>
              <w:rPr>
                <w:sz w:val="20"/>
                <w:szCs w:val="20"/>
              </w:rPr>
              <w:t xml:space="preserve">-3.343</w:t>
            </w:r>
          </w:p>
        </w:tc>
        <w:tc>
          <w:tcPr>
            <w:tcW w:w="0" w:type="auto"/>
          </w:tcPr>
          <w:p>
            <w:pPr>
              <w:spacing w:line="240" w:lineRule="auto" w:before="0" w:after="0"/>
              <w:pStyle w:val="Compact"/>
            </w:pPr>
            <w:r>
              <w:rPr>
                <w:sz w:val="20"/>
                <w:szCs w:val="20"/>
              </w:rPr>
              <w:t xml:space="preserve">0.9441</w:t>
            </w:r>
          </w:p>
        </w:tc>
        <w:tc>
          <w:tcPr>
            <w:tcW w:w="0" w:type="auto"/>
          </w:tcPr>
          <w:p>
            <w:pPr>
              <w:spacing w:line="240" w:lineRule="auto" w:before="0" w:after="0"/>
              <w:pStyle w:val="Compact"/>
            </w:pPr>
            <w:r>
              <w:rPr>
                <w:sz w:val="20"/>
                <w:szCs w:val="20"/>
              </w:rPr>
              <w:t xml:space="preserve">-3.541</w:t>
            </w:r>
          </w:p>
        </w:tc>
        <w:tc>
          <w:tcPr>
            <w:tcW w:w="0" w:type="auto"/>
          </w:tcPr>
          <w:p>
            <w:pPr>
              <w:spacing w:line="240" w:lineRule="auto" w:before="0" w:after="0"/>
              <w:pStyle w:val="Compact"/>
            </w:pPr>
            <w:r>
              <w:rPr>
                <w:sz w:val="20"/>
                <w:szCs w:val="20"/>
              </w:rPr>
              <w:t xml:space="preserve">0.0003987</w:t>
            </w:r>
          </w:p>
        </w:tc>
        <w:tc>
          <w:tcPr>
            <w:tcW w:w="0" w:type="auto"/>
          </w:tcPr>
          <w:p>
            <w:pPr>
              <w:spacing w:line="240" w:lineRule="auto" w:before="0" w:after="0"/>
              <w:pStyle w:val="Compact"/>
            </w:pPr>
            <w:r>
              <w:rPr>
                <w:sz w:val="20"/>
                <w:szCs w:val="20"/>
              </w:rPr>
              <w:t xml:space="preserve">[-5.1933, -1.4926]</w:t>
            </w:r>
          </w:p>
        </w:tc>
      </w:tr>
      <w:tr>
        <w:tc>
          <w:tcPr>
            <w:tcW w:w="0" w:type="auto"/>
          </w:tcPr>
          <w:p>
            <w:pPr>
              <w:spacing w:line="240" w:lineRule="auto" w:before="0" w:after="0"/>
              <w:pStyle w:val="Compact"/>
            </w:pPr>
            <w:r>
              <w:rPr>
                <w:sz w:val="20"/>
                <w:szCs w:val="20"/>
              </w:rPr>
              <w:t xml:space="preserve">rcs_m2</w:t>
            </w:r>
          </w:p>
        </w:tc>
        <w:tc>
          <w:tcPr>
            <w:tcW w:w="0" w:type="auto"/>
          </w:tcPr>
          <w:p>
            <w:pPr>
              <w:spacing w:line="240" w:lineRule="auto" w:before="0" w:after="0"/>
              <w:pStyle w:val="Compact"/>
            </w:pPr>
            <w:r>
              <w:rPr>
                <w:sz w:val="20"/>
                <w:szCs w:val="20"/>
              </w:rPr>
              <w:t xml:space="preserve">0.0124</w:t>
            </w:r>
          </w:p>
        </w:tc>
        <w:tc>
          <w:tcPr>
            <w:tcW w:w="0" w:type="auto"/>
          </w:tcPr>
          <w:p>
            <w:pPr>
              <w:spacing w:line="240" w:lineRule="auto" w:before="0" w:after="0"/>
              <w:pStyle w:val="Compact"/>
            </w:pPr>
            <w:r>
              <w:rPr>
                <w:sz w:val="20"/>
                <w:szCs w:val="20"/>
              </w:rPr>
              <w:t xml:space="preserve">0.0015</w:t>
            </w:r>
          </w:p>
        </w:tc>
        <w:tc>
          <w:tcPr>
            <w:tcW w:w="0" w:type="auto"/>
          </w:tcPr>
          <w:p>
            <w:pPr>
              <w:spacing w:line="240" w:lineRule="auto" w:before="0" w:after="0"/>
              <w:pStyle w:val="Compact"/>
            </w:pPr>
            <w:r>
              <w:rPr>
                <w:sz w:val="20"/>
                <w:szCs w:val="20"/>
              </w:rPr>
              <w:t xml:space="preserve">8.1237</w:t>
            </w:r>
          </w:p>
        </w:tc>
        <w:tc>
          <w:tcPr>
            <w:tcW w:w="0" w:type="auto"/>
          </w:tcPr>
          <w:p>
            <w:pPr>
              <w:spacing w:line="240" w:lineRule="auto" w:before="0" w:after="0"/>
              <w:pStyle w:val="Compact"/>
            </w:pPr>
            <w:r>
              <w:rPr>
                <w:sz w:val="20"/>
                <w:szCs w:val="20"/>
              </w:rPr>
              <w:t xml:space="preserve">4.524e-16</w:t>
            </w:r>
          </w:p>
        </w:tc>
        <w:tc>
          <w:tcPr>
            <w:tcW w:w="0" w:type="auto"/>
          </w:tcPr>
          <w:p>
            <w:pPr>
              <w:spacing w:line="240" w:lineRule="auto" w:before="0" w:after="0"/>
              <w:pStyle w:val="Compact"/>
            </w:pPr>
            <w:r>
              <w:rPr>
                <w:sz w:val="20"/>
                <w:szCs w:val="20"/>
              </w:rPr>
              <w:t xml:space="preserve">[0.0094, 0.0154]</w:t>
            </w:r>
          </w:p>
        </w:tc>
      </w:tr>
      <w:tr>
        <w:tc>
          <w:tcPr>
            <w:tcW w:w="0" w:type="auto"/>
          </w:tcPr>
          <w:p>
            <w:pPr>
              <w:spacing w:line="240" w:lineRule="auto" w:before="0" w:after="0"/>
              <w:pStyle w:val="Compact"/>
            </w:pPr>
            <w:r>
              <w:rPr>
                <w:sz w:val="20"/>
                <w:szCs w:val="20"/>
              </w:rPr>
              <w:t xml:space="preserve">delta_v_mps</w:t>
            </w:r>
          </w:p>
        </w:tc>
        <w:tc>
          <w:tcPr>
            <w:tcW w:w="0" w:type="auto"/>
          </w:tcPr>
          <w:p>
            <w:pPr>
              <w:spacing w:line="240" w:lineRule="auto" w:before="0" w:after="0"/>
              <w:pStyle w:val="Compact"/>
            </w:pPr>
            <w:r>
              <w:rPr>
                <w:sz w:val="20"/>
                <w:szCs w:val="20"/>
              </w:rPr>
              <w:t xml:space="preserve">-15.9853</w:t>
            </w:r>
          </w:p>
        </w:tc>
        <w:tc>
          <w:tcPr>
            <w:tcW w:w="0" w:type="auto"/>
          </w:tcPr>
          <w:p>
            <w:pPr>
              <w:spacing w:line="240" w:lineRule="auto" w:before="0" w:after="0"/>
              <w:pStyle w:val="Compact"/>
            </w:pPr>
            <w:r>
              <w:rPr>
                <w:sz w:val="20"/>
                <w:szCs w:val="20"/>
              </w:rPr>
              <w:t xml:space="preserve">6.5663</w:t>
            </w:r>
          </w:p>
        </w:tc>
        <w:tc>
          <w:tcPr>
            <w:tcW w:w="0" w:type="auto"/>
          </w:tcPr>
          <w:p>
            <w:pPr>
              <w:spacing w:line="240" w:lineRule="auto" w:before="0" w:after="0"/>
              <w:pStyle w:val="Compact"/>
            </w:pPr>
            <w:r>
              <w:rPr>
                <w:sz w:val="20"/>
                <w:szCs w:val="20"/>
              </w:rPr>
              <w:t xml:space="preserve">-2.4344</w:t>
            </w:r>
          </w:p>
        </w:tc>
        <w:tc>
          <w:tcPr>
            <w:tcW w:w="0" w:type="auto"/>
          </w:tcPr>
          <w:p>
            <w:pPr>
              <w:spacing w:line="240" w:lineRule="auto" w:before="0" w:after="0"/>
              <w:pStyle w:val="Compact"/>
            </w:pPr>
            <w:r>
              <w:rPr>
                <w:sz w:val="20"/>
                <w:szCs w:val="20"/>
              </w:rPr>
              <w:t xml:space="preserve">0.0149</w:t>
            </w:r>
          </w:p>
        </w:tc>
        <w:tc>
          <w:tcPr>
            <w:tcW w:w="0" w:type="auto"/>
          </w:tcPr>
          <w:p>
            <w:pPr>
              <w:spacing w:line="240" w:lineRule="auto" w:before="0" w:after="0"/>
              <w:pStyle w:val="Compact"/>
            </w:pPr>
            <w:r>
              <w:rPr>
                <w:sz w:val="20"/>
                <w:szCs w:val="20"/>
              </w:rPr>
              <w:t xml:space="preserve">[-28.8549, -3.1156]</w:t>
            </w:r>
          </w:p>
        </w:tc>
      </w:tr>
      <w:tr>
        <w:tc>
          <w:tcPr>
            <w:tcW w:w="0" w:type="auto"/>
          </w:tcPr>
          <w:p>
            <w:pPr>
              <w:spacing w:line="240" w:lineRule="auto" w:before="0" w:after="0"/>
              <w:pStyle w:val="Compact"/>
            </w:pPr>
            <w:r>
              <w:rPr>
                <w:sz w:val="20"/>
                <w:szCs w:val="20"/>
              </w:rPr>
              <w:t xml:space="preserve">alt_km</w:t>
            </w:r>
          </w:p>
        </w:tc>
        <w:tc>
          <w:tcPr>
            <w:tcW w:w="0" w:type="auto"/>
          </w:tcPr>
          <w:p>
            <w:pPr>
              <w:spacing w:line="240" w:lineRule="auto" w:before="0" w:after="0"/>
              <w:pStyle w:val="Compact"/>
            </w:pPr>
            <w:r>
              <w:rPr>
                <w:sz w:val="20"/>
                <w:szCs w:val="20"/>
              </w:rPr>
              <w:t xml:space="preserve">0.000144</w:t>
            </w:r>
          </w:p>
        </w:tc>
        <w:tc>
          <w:tcPr>
            <w:tcW w:w="0" w:type="auto"/>
          </w:tcPr>
          <w:p>
            <w:pPr>
              <w:spacing w:line="240" w:lineRule="auto" w:before="0" w:after="0"/>
              <w:pStyle w:val="Compact"/>
            </w:pPr>
            <w:r>
              <w:rPr>
                <w:sz w:val="20"/>
                <w:szCs w:val="20"/>
              </w:rPr>
              <w:t xml:space="preserve">0.0003938</w:t>
            </w:r>
          </w:p>
        </w:tc>
        <w:tc>
          <w:tcPr>
            <w:tcW w:w="0" w:type="auto"/>
          </w:tcPr>
          <w:p>
            <w:pPr>
              <w:spacing w:line="240" w:lineRule="auto" w:before="0" w:after="0"/>
              <w:pStyle w:val="Compact"/>
            </w:pPr>
            <w:r>
              <w:rPr>
                <w:sz w:val="20"/>
                <w:szCs w:val="20"/>
              </w:rPr>
              <w:t xml:space="preserve">0.3657</w:t>
            </w:r>
          </w:p>
        </w:tc>
        <w:tc>
          <w:tcPr>
            <w:tcW w:w="0" w:type="auto"/>
          </w:tcPr>
          <w:p>
            <w:pPr>
              <w:spacing w:line="240" w:lineRule="auto" w:before="0" w:after="0"/>
              <w:pStyle w:val="Compact"/>
            </w:pPr>
            <w:r>
              <w:rPr>
                <w:sz w:val="20"/>
                <w:szCs w:val="20"/>
              </w:rPr>
              <w:t xml:space="preserve">0.7146</w:t>
            </w:r>
          </w:p>
        </w:tc>
        <w:tc>
          <w:tcPr>
            <w:tcW w:w="0" w:type="auto"/>
          </w:tcPr>
          <w:p>
            <w:pPr>
              <w:spacing w:line="240" w:lineRule="auto" w:before="0" w:after="0"/>
              <w:pStyle w:val="Compact"/>
            </w:pPr>
            <w:r>
              <w:rPr>
                <w:sz w:val="20"/>
                <w:szCs w:val="20"/>
              </w:rPr>
              <w:t xml:space="preserve">[-0.0006278, 0.0009159]</w:t>
            </w:r>
          </w:p>
        </w:tc>
      </w:tr>
    </w:tbl>
    <w:p>
      <w:pPr>
        <w:pStyle w:val="BodyText"/>
      </w:pPr>
      <w:r>
        <w:t xml:space="preserve">Fit: N = 40 R2 = 0.9691 R2_adj = 0.9645 F = 1283.6317 F_p = 1.084e-37</w:t>
      </w:r>
    </w:p>
    <w:bookmarkEnd w:id="82"/>
    <w:bookmarkEnd w:id="83"/>
    <w:bookmarkEnd w:id="8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6" Target="media/rId76.png" /><Relationship Type="http://schemas.openxmlformats.org/officeDocument/2006/relationships/hyperlink" Id="rId70" Target="https://doi.org/10.64861/PTIC5794"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64861/PTIC579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2026-06-27T00:26:10Z</dcterms:created>
  <dcterms:modified xsi:type="dcterms:W3CDTF">2026-06-27T00:26:10Z</dcterms:modified>
</cp:coreProperties>
</file>

<file path=docProps/custom.xml><?xml version="1.0" encoding="utf-8"?>
<Properties xmlns="http://schemas.openxmlformats.org/officeDocument/2006/custom-properties" xmlns:vt="http://schemas.openxmlformats.org/officeDocument/2006/docPropsVTypes"/>
</file>