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MANEUVER DETECTION LATENCY AND THE CUSTODY-GAP WINDOW: HOW LONG DOES AN LEO OBJECT REMAIN OPERATIONALLY LOST AFTER AN UNANNOUNCED MANEUVER?</w:t>
      </w:r>
    </w:p>
    <w:p>
      <w:pPr>
        <w:jc w:val="center"/>
      </w:pPr>
    </w:p>
    <w:p>
      <w:pPr>
        <w:jc w:val="center"/>
      </w:pPr>
      <w:r>
        <w:rPr>
          <w:rFonts w:ascii="Times New Roman" w:hAnsi="Times New Roman"/>
          <w:sz w:val="24"/>
        </w:rPr>
        <w:t>by</w:t>
      </w:r>
    </w:p>
    <w:p>
      <w:pPr>
        <w:jc w:val="center"/>
      </w:pPr>
      <w:r>
        <w:rPr>
          <w:rFonts w:ascii="Times New Roman" w:hAnsi="Times New Roman"/>
          <w:b/>
          <w:sz w:val="28"/>
        </w:rPr>
        <w:t>Julian Stern</w:t>
      </w:r>
    </w:p>
    <w:p>
      <w:pPr>
        <w:jc w:val="center"/>
      </w:pPr>
      <w:r>
        <w:rPr>
          <w:rFonts w:ascii="Times New Roman" w:hAnsi="Times New Roman"/>
          <w:sz w:val="24"/>
        </w:rPr>
        <w:t>1B-SDA-091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operational-question"/>
    <w:p>
      <w:pPr>
        <w:pStyle w:val="Heading2"/>
        <w:spacing w:line="480" w:lineRule="auto"/>
      </w:pPr>
      <w:r>
        <w:t xml:space="preserve">1.1 The Operational Question</w:t>
      </w:r>
    </w:p>
    <w:p>
      <w:pPr>
        <w:pStyle w:val="FirstParagraph"/>
        <w:spacing w:line="480" w:lineRule="auto"/>
      </w:pPr>
      <w:r>
        <w:t xml:space="preserve">The operational question that organizes this dissertation is deceptively simple to state. After a resident space object in low Earth orbit executes an unannounced maneuver, how long does the public catalog remain wrong about where that object is, The interval between the true epoch of the maneuver and the epoch at which the catalog state again contains the object within an operationally meaningful covariance bound is the custody-gap window. The catalog, during that gap, reports a state that does not correspond to the truth. The consequences cascade downstream. Conjunction-screening pipelines, which are downstream consumers of that state, either miss real encounters whose geometry has changed or fire on stale geometry that no longer exists. Collision-avoidance maneuvers are sized against the wrong trajectory. Intent-attribution analyses, which condition on a presumed state history, run on incorrect priors. The duration of the custody gap is therefore the binding operational constraint on responsive space domain awareness in low Earth orbit, and it is the quantity whose conditional distribution this dissertation sets out to estimate.</w:t>
      </w:r>
    </w:p>
    <w:p>
      <w:pPr>
        <w:pStyle w:val="BodyText"/>
        <w:spacing w:line="480" w:lineRule="auto"/>
        <w:ind w:firstLine="720"/>
      </w:pPr>
      <w:r>
        <w:t xml:space="preserve">No single sensor, algorithm, or operator owns the custody-gap window. It is produced jointly by three processes. First, the maneuver-detection algorithm must recognize that a maneuver has occurred. The catalog-based baseline established by Kelecy and colleagues identifies discontinuities in two-line element sets and infers maneuvers after the fact</w:t>
      </w:r>
      <w:r>
        <w:t xml:space="preserve"> </w:t>
      </w:r>
      <w:hyperlink w:anchor="ref-4">
        <w:r>
          <w:rPr>
            <w:rStyle w:val="Hyperlink"/>
          </w:rPr>
          <w:t xml:space="preserve">[4]</w:t>
        </w:r>
      </w:hyperlink>
      <w:r>
        <w:t xml:space="preserve">. The event-representation method of Ko and Scheeres estimates thrust parameters jointly with the orbit but requires observations on both sides of the maneuver</w:t>
      </w:r>
      <w:r>
        <w:t xml:space="preserve"> </w:t>
      </w:r>
      <w:hyperlink w:anchor="ref-1">
        <w:r>
          <w:rPr>
            <w:rStyle w:val="Hyperlink"/>
          </w:rPr>
          <w:t xml:space="preserve">[1]</w:t>
        </w:r>
      </w:hyperlink>
      <w:r>
        <w:t xml:space="preserve">. Learning-based detectors using LSTM autoencoders aim to reduce time to detection but inherit the cadence of the underlying observation stream</w:t>
      </w:r>
      <w:r>
        <w:t xml:space="preserve"> </w:t>
      </w:r>
      <w:hyperlink w:anchor="ref-6">
        <w:r>
          <w:rPr>
            <w:rStyle w:val="Hyperlink"/>
          </w:rPr>
          <w:t xml:space="preserve">[6]</w:t>
        </w:r>
      </w:hyperlink>
      <w:r>
        <w:t xml:space="preserve">. More recent work in low-latency detection pipelines integrates multiple primitives to compress detection time at the cost of architectural complexity</w:t>
      </w:r>
      <w:r>
        <w:t xml:space="preserve"> </w:t>
      </w:r>
      <w:hyperlink w:anchor="ref-17">
        <w:r>
          <w:rPr>
            <w:rStyle w:val="Hyperlink"/>
          </w:rPr>
          <w:t xml:space="preserve">[17]</w:t>
        </w:r>
      </w:hyperlink>
      <w:r>
        <w:t xml:space="preserve">. Second, the sensor network must produce post-maneuver observations dense enough to support a re-converged orbit determination. Decentralized tasking architectures are designed to compress this second interval</w:t>
      </w:r>
      <w:r>
        <w:t xml:space="preserve"> </w:t>
      </w:r>
      <w:hyperlink w:anchor="ref-5">
        <w:r>
          <w:rPr>
            <w:rStyle w:val="Hyperlink"/>
          </w:rPr>
          <w:t xml:space="preserve">[5]</w:t>
        </w:r>
      </w:hyperlink>
      <w:r>
        <w:t xml:space="preserve">, wide-field sensors are designed to increase the geometric coverage of any single revisit</w:t>
      </w:r>
      <w:r>
        <w:t xml:space="preserve"> </w:t>
      </w:r>
      <w:hyperlink w:anchor="ref-8">
        <w:r>
          <w:rPr>
            <w:rStyle w:val="Hyperlink"/>
          </w:rPr>
          <w:t xml:space="preserve">[8]</w:t>
        </w:r>
      </w:hyperlink>
      <w:r>
        <w:t xml:space="preserve">[18], and global commercial radar networks are designed to provide high-cadence corroboration outside the federal sensor architecture</w:t>
      </w:r>
      <w:r>
        <w:t xml:space="preserve"> </w:t>
      </w:r>
      <w:hyperlink w:anchor="ref-19">
        <w:r>
          <w:rPr>
            <w:rStyle w:val="Hyperlink"/>
          </w:rPr>
          <w:t xml:space="preserve">[19]</w:t>
        </w:r>
      </w:hyperlink>
      <w:r>
        <w:t xml:space="preserve">. Third, the reacquisition search itself consumes wall-clock time, the magnitude of which depends on the residual size of the post-maneuver state uncertainty and the geometry of the next available sensor pass. Three intervals, summed, give the gap.</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For the National Aeronautics and Space Administration and for the Jet Propulsion Laboratory, the stakes of this question are concrete and increasing. NASA operates the Conjunction Assessment Risk Analysis program, whose operational concepts assume that each tracked object in the catalog has a state vector fresh enough that the propagated covariance describes position uncertainty faithfully at the time of closest approach</w:t>
      </w:r>
      <w:r>
        <w:t xml:space="preserve"> </w:t>
      </w:r>
      <w:hyperlink w:anchor="ref-14">
        <w:r>
          <w:rPr>
            <w:rStyle w:val="Hyperlink"/>
          </w:rPr>
          <w:t xml:space="preserve">[14]</w:t>
        </w:r>
      </w:hyperlink>
      <w:r>
        <w:t xml:space="preserve">. The Sorge and colleagues account of contemporary collision-avoidance practice catalogues the operational improvements that have been built on top of that assumption</w:t>
      </w:r>
      <w:r>
        <w:t xml:space="preserve"> </w:t>
      </w:r>
      <w:hyperlink w:anchor="ref-3">
        <w:r>
          <w:rPr>
            <w:rStyle w:val="Hyperlink"/>
          </w:rPr>
          <w:t xml:space="preserve">[3]</w:t>
        </w:r>
      </w:hyperlink>
      <w:r>
        <w:t xml:space="preserve">. When the assumption fails, as it does during a custody gap, the conjunction screening pipeline degrades silently. No alarm sounds. There is no signal that the catalog is wrong; there is only a sequence of conjunction reports whose covariances are inconsistent with the truth. The risk of a serious encounter inside a custody gap is therefore not bounded by the screening pipeline; it is bounded by the unknown duration of the gap itself.</w:t>
      </w:r>
    </w:p>
    <w:p>
      <w:pPr>
        <w:pStyle w:val="BodyText"/>
        <w:spacing w:line="480" w:lineRule="auto"/>
        <w:ind w:firstLine="720"/>
      </w:pPr>
      <w:r>
        <w:t xml:space="preserve">The Jet Propulsion Laboratory is exposed to this risk through two distinct portfolios. The first is the deep space and Earth-observing science portfolio, whose constituent missions transit low Earth orbit during launch and commissioning and which rely on the catalog state of nearby objects during these critical phases. The second is JPL’s role as an integrator of mission concepts whose architectures presume a working space situational awareness apparatus. Mission concepts that assume catalog freshness implicitly assume that custody gaps are short relative to mission decision cycles. If that assumption fails, the operational margins designed into those concepts are smaller than the program of record believes. The Hejduk and Snow analysis of neutral density estimation errors on serious-event rates demonstrated that even unbiased perturbations to the state-estimation pipeline propagate to first-order changes in operational risk</w:t>
      </w:r>
      <w:r>
        <w:t xml:space="preserve"> </w:t>
      </w:r>
      <w:hyperlink w:anchor="ref-16">
        <w:r>
          <w:rPr>
            <w:rStyle w:val="Hyperlink"/>
          </w:rPr>
          <w:t xml:space="preserve">[16]</w:t>
        </w:r>
      </w:hyperlink>
      <w:r>
        <w:t xml:space="preserve">. A custody gap is a far larger perturbation than the density errors examined in that analysis, and its conditional distribution has never been characterized at the population level for low Earth orbit.</w:t>
      </w:r>
    </w:p>
    <w:p>
      <w:pPr>
        <w:pStyle w:val="BodyText"/>
        <w:spacing w:line="480" w:lineRule="auto"/>
        <w:ind w:firstLine="720"/>
      </w:pPr>
      <w:r>
        <w:t xml:space="preserve">The population is growing. Commercial broadband constellations, Earth-observation constellations, and proximity-operations payloads compound the stakes with every launch. Campiti and colleagues characterized the orbital kinematics of conjuncting objects in low Earth orbit and the opportunities for autonomous observation in a regime of rising population density</w:t>
      </w:r>
      <w:r>
        <w:t xml:space="preserve"> </w:t>
      </w:r>
      <w:hyperlink w:anchor="ref-9">
        <w:r>
          <w:rPr>
            <w:rStyle w:val="Hyperlink"/>
          </w:rPr>
          <w:t xml:space="preserve">[9]</w:t>
        </w:r>
      </w:hyperlink>
      <w:r>
        <w:t xml:space="preserve">. As the population grows, the marginal conjunction acquires a steeper background rate, and the operational cost of any given custody-gap hour rises in step. A median custody-gap window that was tolerable in the catalog conditions of the 2010s may not be tolerable in the catalog conditions of the late 2020s. The question of how long is the gap, asked at the population level and conditional on operational covariates, is therefore not a static question. It is a question whose answer must be re-estimated under contemporary conditions, and it is a question whose answer matters more each year that the LEO population grows.</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This dissertation is constructed at the intersection of two literatures that do not, at present, talk to each other with the vocabulary the operational question requires. The first is the domain literature on maneuver detection and sensor tasking. The second is the econometric and survival-analysis methodological literature on conditional distributions of time-to-event outcomes. The contribution of the dissertation depends on showing that the gap between these two literatures is real, that it has consequences, and that closing it requires the specific method this dissertation employs.</w:t>
      </w:r>
    </w:p>
    <w:p>
      <w:pPr>
        <w:pStyle w:val="BodyText"/>
        <w:spacing w:line="480" w:lineRule="auto"/>
        <w:ind w:firstLine="720"/>
      </w:pPr>
      <w:r>
        <w:t xml:space="preserve">Consider the domain literature as a whole. It reports detection performance against synthetic event sets, curated event sets, or single-platform observation streams. Kelecy and colleagues reported detection performance for the TLE-discontinuity baseline against a curated set of confirmed maneuvers</w:t>
      </w:r>
      <w:r>
        <w:t xml:space="preserve"> </w:t>
      </w:r>
      <w:hyperlink w:anchor="ref-4">
        <w:r>
          <w:rPr>
            <w:rStyle w:val="Hyperlink"/>
          </w:rPr>
          <w:t xml:space="preserve">[4]</w:t>
        </w:r>
      </w:hyperlink>
      <w:r>
        <w:t xml:space="preserve">. Kadan and colleagues evaluated post-maneuver initial orbit determination inside a heterogeneous sensor network and reported detection-accuracy metrics for the network as a whole</w:t>
      </w:r>
      <w:r>
        <w:t xml:space="preserve"> </w:t>
      </w:r>
      <w:hyperlink w:anchor="ref-2">
        <w:r>
          <w:rPr>
            <w:rStyle w:val="Hyperlink"/>
          </w:rPr>
          <w:t xml:space="preserve">[2]</w:t>
        </w:r>
      </w:hyperlink>
      <w:r>
        <w:t xml:space="preserve">. Kato and colleagues, and Perovich and colleagues, applied learning architectures and reported detection metrics for those architectures against benchmark sets</w:t>
      </w:r>
      <w:r>
        <w:t xml:space="preserve"> </w:t>
      </w:r>
      <w:hyperlink w:anchor="ref-6">
        <w:r>
          <w:rPr>
            <w:rStyle w:val="Hyperlink"/>
          </w:rPr>
          <w:t xml:space="preserve">[6]</w:t>
        </w:r>
      </w:hyperlink>
      <w:r>
        <w:t xml:space="preserve">[7]. Pirovano and Armellin developed a particle-filter approach for detection and estimation in catalog maintenance and reported estimation accuracy</w:t>
      </w:r>
      <w:r>
        <w:t xml:space="preserve"> </w:t>
      </w:r>
      <w:hyperlink w:anchor="ref-25">
        <w:r>
          <w:rPr>
            <w:rStyle w:val="Hyperlink"/>
          </w:rPr>
          <w:t xml:space="preserve">[25]</w:t>
        </w:r>
      </w:hyperlink>
      <w:r>
        <w:t xml:space="preserve">. Gui and colleagues developed a dual moving-window curve-fitting method and reported detection sensitivity</w:t>
      </w:r>
      <w:r>
        <w:t xml:space="preserve"> </w:t>
      </w:r>
      <w:hyperlink w:anchor="ref-27">
        <w:r>
          <w:rPr>
            <w:rStyle w:val="Hyperlink"/>
          </w:rPr>
          <w:t xml:space="preserve">[27]</w:t>
        </w:r>
      </w:hyperlink>
      <w:r>
        <w:t xml:space="preserve">. Shorten and colleagues developed an optimal proposal particle filter for anomaly detection on TLE streams and reported anomaly-class accuracy</w:t>
      </w:r>
      <w:r>
        <w:t xml:space="preserve"> </w:t>
      </w:r>
      <w:hyperlink w:anchor="ref-29">
        <w:r>
          <w:rPr>
            <w:rStyle w:val="Hyperlink"/>
          </w:rPr>
          <w:t xml:space="preserve">[29]</w:t>
        </w:r>
      </w:hyperlink>
      <w:r>
        <w:t xml:space="preserve">. Squires and colleagues, operating the LeoLabs global radar network, reported detection and characterization performance for maneuvers visible to that network</w:t>
      </w:r>
      <w:r>
        <w:t xml:space="preserve"> </w:t>
      </w:r>
      <w:hyperlink w:anchor="ref-19">
        <w:r>
          <w:rPr>
            <w:rStyle w:val="Hyperlink"/>
          </w:rPr>
          <w:t xml:space="preserve">[19]</w:t>
        </w:r>
      </w:hyperlink>
      <w:r>
        <w:t xml:space="preserve">. None of these studies reports the wall-clock interval between maneuver epoch and the restoration of usable catalog custody for the low Earth orbit population as a whole. The quantity each study reports is an algorithm-level or sensor-level performance metric, conditional on the design choices of the specific study.</w:t>
      </w:r>
    </w:p>
    <w:p>
      <w:pPr>
        <w:pStyle w:val="BodyText"/>
        <w:spacing w:line="480" w:lineRule="auto"/>
        <w:ind w:firstLine="720"/>
      </w:pPr>
      <w:r>
        <w:t xml:space="preserve">The sensor-tasking literature reports revisit time as an intrinsic network property. Carden and colleagues demonstrated that decentralized tasking improves tactical relevance and reported revisit-time distributions for the decentralized architecture</w:t>
      </w:r>
      <w:r>
        <w:t xml:space="preserve"> </w:t>
      </w:r>
      <w:hyperlink w:anchor="ref-5">
        <w:r>
          <w:rPr>
            <w:rStyle w:val="Hyperlink"/>
          </w:rPr>
          <w:t xml:space="preserve">[5]</w:t>
        </w:r>
      </w:hyperlink>
      <w:r>
        <w:t xml:space="preserve">. Toner and colleagues reported a wide-field sensor optimized for custody maintenance and characterized the sensor’s contribution to revisit cadence in isolation</w:t>
      </w:r>
      <w:r>
        <w:t xml:space="preserve"> </w:t>
      </w:r>
      <w:hyperlink w:anchor="ref-8">
        <w:r>
          <w:rPr>
            <w:rStyle w:val="Hyperlink"/>
          </w:rPr>
          <w:t xml:space="preserve">[8]</w:t>
        </w:r>
      </w:hyperlink>
      <w:r>
        <w:t xml:space="preserve">[18]. Hertwig and colleagues compared search-based and task-based ground telescope architectures and reported the trade-off in coverage and dwell</w:t>
      </w:r>
      <w:r>
        <w:t xml:space="preserve"> </w:t>
      </w:r>
      <w:hyperlink w:anchor="ref-23">
        <w:r>
          <w:rPr>
            <w:rStyle w:val="Hyperlink"/>
          </w:rPr>
          <w:t xml:space="preserve">[23]</w:t>
        </w:r>
      </w:hyperlink>
      <w:r>
        <w:t xml:space="preserve">. Morris and colleagues optimized a constellation of sensors for maneuver tracking and reported the constellation-level performance</w:t>
      </w:r>
      <w:r>
        <w:t xml:space="preserve"> </w:t>
      </w:r>
      <w:hyperlink w:anchor="ref-12">
        <w:r>
          <w:rPr>
            <w:rStyle w:val="Hyperlink"/>
          </w:rPr>
          <w:t xml:space="preserve">[12]</w:t>
        </w:r>
      </w:hyperlink>
      <w:r>
        <w:t xml:space="preserve">. These studies treat revisit time as a quantity whose value the network can be designed to achieve. They do not treat it as a determinant of how long the catalog is wrong about a specific object after that object maneuvers.</w:t>
      </w:r>
    </w:p>
    <w:p>
      <w:pPr>
        <w:pStyle w:val="BodyText"/>
        <w:spacing w:line="480" w:lineRule="auto"/>
        <w:ind w:firstLine="720"/>
      </w:pPr>
      <w:r>
        <w:t xml:space="preserve">The conjunction-screening and collision-avoidance literature treats the catalog state as a given input. Sorge and colleagues described improvements to the collision-avoidance pipeline that take the state estimate as an input whose covariance is to be propagated</w:t>
      </w:r>
      <w:r>
        <w:t xml:space="preserve"> </w:t>
      </w:r>
      <w:hyperlink w:anchor="ref-3">
        <w:r>
          <w:rPr>
            <w:rStyle w:val="Hyperlink"/>
          </w:rPr>
          <w:t xml:space="preserve">[3]</w:t>
        </w:r>
      </w:hyperlink>
      <w:r>
        <w:t xml:space="preserve">. Choi and colleagues developed real-time conjunction assessment with passive ranging and reported pipeline performance assuming a current catalog</w:t>
      </w:r>
      <w:r>
        <w:t xml:space="preserve"> </w:t>
      </w:r>
      <w:hyperlink w:anchor="ref-24">
        <w:r>
          <w:rPr>
            <w:rStyle w:val="Hyperlink"/>
          </w:rPr>
          <w:t xml:space="preserve">[24]</w:t>
        </w:r>
      </w:hyperlink>
      <w:r>
        <w:t xml:space="preserve">. Frigm described NASA TOPO conjunction assessment operational concepts that condition on the catalog being current</w:t>
      </w:r>
      <w:r>
        <w:t xml:space="preserve"> </w:t>
      </w:r>
      <w:hyperlink w:anchor="ref-14">
        <w:r>
          <w:rPr>
            <w:rStyle w:val="Hyperlink"/>
          </w:rPr>
          <w:t xml:space="preserve">[14]</w:t>
        </w:r>
      </w:hyperlink>
      <w:r>
        <w:t xml:space="preserve">. Schmedeman and colleagues proposed a mission-oriented framework for evaluating SSA data quality, but the framework treats data freshness as one of several quality dimensions rather than as the dependent variable in a conditional model</w:t>
      </w:r>
      <w:r>
        <w:t xml:space="preserve"> </w:t>
      </w:r>
      <w:hyperlink w:anchor="ref-22">
        <w:r>
          <w:rPr>
            <w:rStyle w:val="Hyperlink"/>
          </w:rPr>
          <w:t xml:space="preserve">[22]</w:t>
        </w:r>
      </w:hyperlink>
      <w:r>
        <w:t xml:space="preserve">. The catalog state is treated everywhere as a given. Its freshness, conditional on a maneuver, is treated nowhere as the quantity to be estimated.</w:t>
      </w:r>
    </w:p>
    <w:p>
      <w:pPr>
        <w:pStyle w:val="BodyText"/>
        <w:spacing w:line="480" w:lineRule="auto"/>
        <w:ind w:firstLine="720"/>
      </w:pPr>
      <w:r>
        <w:t xml:space="preserve">The econometric and survival-analysis methodological literature, by contrast, supplies tools for estimating exactly this class of conditional distribution. Quantile regression provides a transparent estimate of the conditional median of a continuous time outcome under a flexible set of covariates. The Cox proportional-hazards survival model provides an estimate of the conditional hazard of an event, with censoring rules that handle observations whose events do not occur within the observation window. Both methods are standard in fields that estimate conditional time-to-event distributions from observational data. Neither method appears, in the form required for the custody-gap question, in the domain literature reviewed above. The closest analogue is the orbit-determination survey of Kazemi and colleagues, which reviews state-estimation methods for space situational awareness but does not address the question of how long the catalog remains wrong after a maneuver</w:t>
      </w:r>
      <w:r>
        <w:t xml:space="preserve"> </w:t>
      </w:r>
      <w:hyperlink w:anchor="ref-31">
        <w:r>
          <w:rPr>
            <w:rStyle w:val="Hyperlink"/>
          </w:rPr>
          <w:t xml:space="preserve">[31]</w:t>
        </w:r>
      </w:hyperlink>
      <w:r>
        <w:t xml:space="preserve">. The work of Liu and colleagues on orbit determination for uncooperative spacecraft under continuous low-thrust maneuvers is methodologically the most adjacent, but its dependent variable is estimation accuracy, not custody-gap duration</w:t>
      </w:r>
      <w:r>
        <w:t xml:space="preserve"> </w:t>
      </w:r>
      <w:hyperlink w:anchor="ref-32">
        <w:r>
          <w:rPr>
            <w:rStyle w:val="Hyperlink"/>
          </w:rPr>
          <w:t xml:space="preserve">[32]</w:t>
        </w:r>
      </w:hyperlink>
      <w:r>
        <w:t xml:space="preserve">.</w:t>
      </w:r>
    </w:p>
    <w:p>
      <w:pPr>
        <w:pStyle w:val="BodyText"/>
        <w:spacing w:line="480" w:lineRule="auto"/>
        <w:ind w:firstLine="720"/>
      </w:pPr>
      <w:r>
        <w:t xml:space="preserve">State the gap precisely. The domain literature has measured detection performance for individual algorithms and revisit performance for individual sensor networks. It has not measured the wall-clock duration of the operational consequence, the custody-gap window, for the LEO population as a whole and conditional on the operational covariates that drive it. The methodological literature provides tools that can measure exactly that conditional distribution. No published study has applied those tools to the custody-gap question. This dissertation does so.</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makes one contribution, stated as a single falsifiable claim about the conditional median of the custody-gap distribution for low Earth orbit objects under contemporary public-catalog conditions.</w:t>
      </w:r>
    </w:p>
    <w:p>
      <w:pPr>
        <w:pStyle w:val="BodyText"/>
        <w:spacing w:line="480" w:lineRule="auto"/>
        <w:ind w:firstLine="720"/>
      </w:pPr>
      <w:r>
        <w:t xml:space="preserve">The null hypothesis is that the median custody-gap window for LEO objects following an unannounced maneuver, conditional on object size class and orbital altitude band, is greater than or equal to forty-eight hours. The alternative is that the median custody-gap window, conditional on the same covariates, is less than forty-eight hours.</w:t>
      </w:r>
    </w:p>
    <w:p>
      <w:pPr>
        <w:pStyle w:val="BodyText"/>
        <w:spacing w:line="480" w:lineRule="auto"/>
        <w:ind w:firstLine="720"/>
      </w:pPr>
      <w:r>
        <w:t xml:space="preserve">Forty-eight hours is not a stylized choice. It is the planning horizon over which most operational collision-avoidance maneuvers are committed, in the sense documented by the NASA TOPO operational concept</w:t>
      </w:r>
      <w:r>
        <w:t xml:space="preserve"> </w:t>
      </w:r>
      <w:hyperlink w:anchor="ref-14">
        <w:r>
          <w:rPr>
            <w:rStyle w:val="Hyperlink"/>
          </w:rPr>
          <w:t xml:space="preserve">[14]</w:t>
        </w:r>
      </w:hyperlink>
      <w:r>
        <w:t xml:space="preserve"> </w:t>
      </w:r>
      <w:r>
        <w:t xml:space="preserve">and refined in the contemporary collision-avoidance practice described by Sorge and colleagues</w:t>
      </w:r>
      <w:r>
        <w:t xml:space="preserve"> </w:t>
      </w:r>
      <w:hyperlink w:anchor="ref-3">
        <w:r>
          <w:rPr>
            <w:rStyle w:val="Hyperlink"/>
          </w:rPr>
          <w:t xml:space="preserve">[3]</w:t>
        </w:r>
      </w:hyperlink>
      <w:r>
        <w:t xml:space="preserve">. A median custody gap above that threshold implies that conjunction-screening pipelines are routinely acting on information that is stale relative to a recent neighboring maneuver, and that the operational margin presumed by the screening pipeline is, in the median case, illusory. A median below that threshold implies that current sensor cadence is, on the population average, sufficient to keep collision-avoidance decisions current with respect to neighbor-object maneuvers. The directional content of the test is therefore directly operational.</w:t>
      </w:r>
    </w:p>
    <w:p>
      <w:pPr>
        <w:pStyle w:val="BodyText"/>
        <w:spacing w:line="480" w:lineRule="auto"/>
        <w:ind w:firstLine="720"/>
      </w:pPr>
      <w:r>
        <w:t xml:space="preserve">The contribution is single, falsifiable, and quantitative. It is single in the sense that the dissertation does not propose new detection algorithms, new sensor architectures, or new collision-avoidance pipelines. It estimates one conditional distribution and reports one median. It is falsifiable in the sense that the median estimate, conditional on the specified covariates and the specified detection and corroboration pipelines, is either above the forty-eight-hour threshold or below it, and the bootstrapped confidence interval on that estimate either contains the threshold or it does not. It is quantitative in the sense that the estimate is delivered as a number with a confidence interval, not as a qualitative judgment about the adequacy of the catalog.</w:t>
      </w:r>
    </w:p>
    <w:p>
      <w:pPr>
        <w:pStyle w:val="BodyText"/>
        <w:spacing w:line="480" w:lineRule="auto"/>
        <w:ind w:firstLine="720"/>
      </w:pPr>
      <w:r>
        <w:t xml:space="preserve">The preceding paper in this dissertation, presented as Chapter 2, estimates an ordinary least squares specification of the custody-gap window on a sample of forty maneuver events spanning 2017 through 2024. That specification reported a tight overall fit and large, theoretically signed coefficients on sensor revisit interval and tasked-sensor count, with smaller and more cautiously interpreted coefficients on radar cross section and maneuver delta-v. The OLS analysis is necessary preparation for the central contribution; it demonstrates that the conditional mean of the custody-gap window is structured by the operational covariates of interest and that the structure is statistically robust. It is not, however, sufficient. The conditional mean and the conditional median are different functionals, the right tail of the custody-gap distribution carries the policy mass, and the survival shape of the time-to-detection distribution is the object the operational community needs in order to size decision timelines. The central chapters of the dissertation therefore extend the OLS analysis into the quantile-regression and Cox survival specifications described in the prospectus, and the falsifiable claim is tested in those specifications.</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proceeds as follows.</w:t>
      </w:r>
    </w:p>
    <w:p>
      <w:pPr>
        <w:pStyle w:val="BodyText"/>
        <w:spacing w:line="480" w:lineRule="auto"/>
        <w:ind w:firstLine="720"/>
      </w:pPr>
      <w:r>
        <w:t xml:space="preserve">Chapter 2 presents the OLS analysis of the determinants of detection latency on the forty-event sample. The chapter establishes the conditional-mean structure of the custody-gap window, identifies the operational covariates that carry signal, and motivates the move from OLS to quantile and survival methods that follows.</w:t>
      </w:r>
    </w:p>
    <w:p>
      <w:pPr>
        <w:pStyle w:val="BodyText"/>
        <w:spacing w:line="480" w:lineRule="auto"/>
        <w:ind w:firstLine="720"/>
      </w:pPr>
      <w:r>
        <w:t xml:space="preserve">Chapter 3 presents the data construction. The chapter documents the Space-Track public catalog as the primary source of two-line element data over 2019 through 2025, the LeoLabs commercial radar ephemeris archive as the corroborating source</w:t>
      </w:r>
      <w:r>
        <w:t xml:space="preserve"> </w:t>
      </w:r>
      <w:hyperlink w:anchor="ref-10">
        <w:r>
          <w:rPr>
            <w:rStyle w:val="Hyperlink"/>
          </w:rPr>
          <w:t xml:space="preserve">[10]</w:t>
        </w:r>
      </w:hyperlink>
      <w:r>
        <w:t xml:space="preserve">[19], and the sensor-network cadence proxies constructed from published descriptions of the Space Surveillance Network and from the revisit-time statistics reported by Carden and colleagues</w:t>
      </w:r>
      <w:r>
        <w:t xml:space="preserve"> </w:t>
      </w:r>
      <w:hyperlink w:anchor="ref-5">
        <w:r>
          <w:rPr>
            <w:rStyle w:val="Hyperlink"/>
          </w:rPr>
          <w:t xml:space="preserve">[5]</w:t>
        </w:r>
      </w:hyperlink>
      <w:r>
        <w:t xml:space="preserve"> </w:t>
      </w:r>
      <w:r>
        <w:t xml:space="preserve">and Toner and colleagues</w:t>
      </w:r>
      <w:r>
        <w:t xml:space="preserve"> </w:t>
      </w:r>
      <w:hyperlink w:anchor="ref-8">
        <w:r>
          <w:rPr>
            <w:rStyle w:val="Hyperlink"/>
          </w:rPr>
          <w:t xml:space="preserve">[8]</w:t>
        </w:r>
      </w:hyperlink>
      <w:r>
        <w:t xml:space="preserve">[18]. The chapter also documents the candidate-event extraction pipeline, the corroboration and confirmation rules, and the provenance recording that supports replication. Inclusion-probability weights constructed from LeoLabs coverage statistics are introduced here and carried forward.</w:t>
      </w:r>
    </w:p>
    <w:p>
      <w:pPr>
        <w:pStyle w:val="BodyText"/>
        <w:spacing w:line="480" w:lineRule="auto"/>
        <w:ind w:firstLine="720"/>
      </w:pPr>
      <w:r>
        <w:t xml:space="preserve">Chapter 4 presents the quantile regression of conditional median custody-gap duration on orbital altitude band, object size class, sensor-network cadence proxy, and calendar epoch. The chapter reports the bootstrapped confidence interval on the median and conducts the hypothesis test against the forty-eight-hour threshold on the most recent two years of the sample. Robustness checks vary the covariance-bound threshold used to define gap closure, vary the TLE-discontinuity detection threshold along the Kelecy specification</w:t>
      </w:r>
      <w:r>
        <w:t xml:space="preserve"> </w:t>
      </w:r>
      <w:hyperlink w:anchor="ref-4">
        <w:r>
          <w:rPr>
            <w:rStyle w:val="Hyperlink"/>
          </w:rPr>
          <w:t xml:space="preserve">[4]</w:t>
        </w:r>
      </w:hyperlink>
      <w:r>
        <w:t xml:space="preserve">, and substitute the Kato LSTM-autoencoder detector</w:t>
      </w:r>
      <w:r>
        <w:t xml:space="preserve"> </w:t>
      </w:r>
      <w:hyperlink w:anchor="ref-6">
        <w:r>
          <w:rPr>
            <w:rStyle w:val="Hyperlink"/>
          </w:rPr>
          <w:t xml:space="preserve">[6]</w:t>
        </w:r>
      </w:hyperlink>
      <w:r>
        <w:t xml:space="preserve"> </w:t>
      </w:r>
      <w:r>
        <w:t xml:space="preserve">for the primary detector. The Pirovano and Armellin particle-filter approach</w:t>
      </w:r>
      <w:r>
        <w:t xml:space="preserve"> </w:t>
      </w:r>
      <w:hyperlink w:anchor="ref-25">
        <w:r>
          <w:rPr>
            <w:rStyle w:val="Hyperlink"/>
          </w:rPr>
          <w:t xml:space="preserve">[25]</w:t>
        </w:r>
      </w:hyperlink>
      <w:r>
        <w:t xml:space="preserve"> </w:t>
      </w:r>
      <w:r>
        <w:t xml:space="preserve">and the Gui and colleagues dual moving-window method</w:t>
      </w:r>
      <w:r>
        <w:t xml:space="preserve"> </w:t>
      </w:r>
      <w:hyperlink w:anchor="ref-27">
        <w:r>
          <w:rPr>
            <w:rStyle w:val="Hyperlink"/>
          </w:rPr>
          <w:t xml:space="preserve">[27]</w:t>
        </w:r>
      </w:hyperlink>
      <w:r>
        <w:t xml:space="preserve"> </w:t>
      </w:r>
      <w:r>
        <w:t xml:space="preserve">are introduced as additional sensitivity checks.</w:t>
      </w:r>
    </w:p>
    <w:p>
      <w:pPr>
        <w:pStyle w:val="BodyText"/>
        <w:spacing w:line="480" w:lineRule="auto"/>
        <w:ind w:firstLine="720"/>
      </w:pPr>
      <w:r>
        <w:t xml:space="preserve">Chapter 5 presents the Cox proportional-hazards survival model in which the event is the restoration of catalog custody, the covariates are altitude band, object size class, sensor-network cadence proxy, and maneuver-magnitude category, and the censoring rule handles maneuvers whose custody is not restored within the observation window. The chapter reports the conditional hazard structure that drives the median estimate reported in Chapter 4 and conducts a stratification on calendar year to address regime drift. The survival specification is the object the operational community needs in order to size decision timelines.</w:t>
      </w:r>
    </w:p>
    <w:p>
      <w:pPr>
        <w:pStyle w:val="BodyText"/>
        <w:spacing w:line="480" w:lineRule="auto"/>
        <w:ind w:firstLine="720"/>
      </w:pPr>
      <w:r>
        <w:t xml:space="preserve">Chapter 6 discusses the implications. The chapter develops the consequences for NASA conjunction-screening operations, drawing on the Frigm operational concept</w:t>
      </w:r>
      <w:r>
        <w:t xml:space="preserve"> </w:t>
      </w:r>
      <w:hyperlink w:anchor="ref-14">
        <w:r>
          <w:rPr>
            <w:rStyle w:val="Hyperlink"/>
          </w:rPr>
          <w:t xml:space="preserve">[14]</w:t>
        </w:r>
      </w:hyperlink>
      <w:r>
        <w:t xml:space="preserve"> </w:t>
      </w:r>
      <w:r>
        <w:t xml:space="preserve">and the Sorge contemporary-practice account</w:t>
      </w:r>
      <w:r>
        <w:t xml:space="preserve"> </w:t>
      </w:r>
      <w:hyperlink w:anchor="ref-3">
        <w:r>
          <w:rPr>
            <w:rStyle w:val="Hyperlink"/>
          </w:rPr>
          <w:t xml:space="preserve">[3]</w:t>
        </w:r>
      </w:hyperlink>
      <w:r>
        <w:t xml:space="preserve">. It develops the consequences for JPL mission concepts whose architectures presume catalog freshness. It develops the consequences for the sensor-tasking literature, in particular the marginal value of decentralized tasking</w:t>
      </w:r>
      <w:r>
        <w:t xml:space="preserve"> </w:t>
      </w:r>
      <w:hyperlink w:anchor="ref-5">
        <w:r>
          <w:rPr>
            <w:rStyle w:val="Hyperlink"/>
          </w:rPr>
          <w:t xml:space="preserve">[5]</w:t>
        </w:r>
      </w:hyperlink>
      <w:r>
        <w:t xml:space="preserve">, wide-field sensing</w:t>
      </w:r>
      <w:r>
        <w:t xml:space="preserve"> </w:t>
      </w:r>
      <w:hyperlink w:anchor="ref-8">
        <w:r>
          <w:rPr>
            <w:rStyle w:val="Hyperlink"/>
          </w:rPr>
          <w:t xml:space="preserve">[8]</w:t>
        </w:r>
      </w:hyperlink>
      <w:r>
        <w:t xml:space="preserve">[18], and global commercial radar augmentation</w:t>
      </w:r>
      <w:r>
        <w:t xml:space="preserve"> </w:t>
      </w:r>
      <w:hyperlink w:anchor="ref-19">
        <w:r>
          <w:rPr>
            <w:rStyle w:val="Hyperlink"/>
          </w:rPr>
          <w:t xml:space="preserve">[19]</w:t>
        </w:r>
      </w:hyperlink>
      <w:r>
        <w:t xml:space="preserve">[21] as levers on the custody-gap window rather than as levers on revisit time in isolation.</w:t>
      </w:r>
    </w:p>
    <w:p>
      <w:pPr>
        <w:pStyle w:val="BodyText"/>
        <w:spacing w:line="480" w:lineRule="auto"/>
        <w:ind w:firstLine="720"/>
      </w:pPr>
      <w:r>
        <w:t xml:space="preserve">Chapter 7 addresses threats to validity. Detector bias against small maneuvers below the propagation noise floor is treated using the robustness checks introduced in Chapter 4 and is reported as a conditional-on-detectability caveat on the median estimate. Corroboration coverage is addressed using the LeoLabs inclusion-probability weights introduced in Chapter 3. Catalog-update cadence as an upper bound on temporal resolution is reported as a quantization on the median estimate, and the direction of the bias is shown to favor the null. Regime drift is addressed by the calendar stratification in Chapter 5 and by restriction of the headline hypothesis test to the most recent two years of the sample. The chapter also addresses the smaller methodological literature on anomaly detection from TLE streams</w:t>
      </w:r>
      <w:r>
        <w:t xml:space="preserve"> </w:t>
      </w:r>
      <w:hyperlink w:anchor="ref-29">
        <w:r>
          <w:rPr>
            <w:rStyle w:val="Hyperlink"/>
          </w:rPr>
          <w:t xml:space="preserve">[29]</w:t>
        </w:r>
      </w:hyperlink>
      <w:r>
        <w:t xml:space="preserve"> </w:t>
      </w:r>
      <w:r>
        <w:t xml:space="preserve">and characterizes the boundary between maneuvers and non-maneuver anomalies in the event set.</w:t>
      </w:r>
    </w:p>
    <w:p>
      <w:pPr>
        <w:pStyle w:val="BodyText"/>
        <w:spacing w:line="480" w:lineRule="auto"/>
        <w:ind w:firstLine="720"/>
      </w:pPr>
      <w:r>
        <w:t xml:space="preserve">Chapter 8 concludes. The chapter restates the falsifiable claim and the result of the hypothesis test, discusses the operational and programmatic implications for NASA and JPL, and identifies the natural extensions, in particular the extension of the custody-gap framework to geosynchronous and cislunar regimes where the joint detection-and-reacquisition structure differs in kind and where the operational analogues of the forty-eight-hour threshold are governed by different mission-decision cycles. The chapter closes by situating the contribution within the broader trajectory of space situational awareness from a search-based discipline</w:t>
      </w:r>
      <w:r>
        <w:t xml:space="preserve"> </w:t>
      </w:r>
      <w:hyperlink w:anchor="ref-23">
        <w:r>
          <w:rPr>
            <w:rStyle w:val="Hyperlink"/>
          </w:rPr>
          <w:t xml:space="preserve">[23]</w:t>
        </w:r>
      </w:hyperlink>
      <w:r>
        <w:t xml:space="preserve"> </w:t>
      </w:r>
      <w:r>
        <w:t xml:space="preserve">toward a custody-based discipline whose binding quantity is the freshness of the catalog under the conditions that matter for operations.</w:t>
      </w:r>
    </w:p>
    <w:bookmarkEnd w:id="65"/>
    <w:bookmarkEnd w:id="66"/>
    <w:bookmarkStart w:id="85"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The custody-gap question sits at the intersection of two literatures that have, until now, run on parallel tracks. The first is the domain technical literature on maneuver detection, orbit determination, sensor tasking, and conjunction screening, which has grown rapidly across the AMOS Technical Conference and</w:t>
      </w:r>
      <w:r>
        <w:t xml:space="preserve"> </w:t>
      </w:r>
      <w:r>
        <w:rPr>
          <w:i/>
          <w:iCs/>
        </w:rPr>
        <w:t xml:space="preserve">Acta Astronautica</w:t>
      </w:r>
      <w:r>
        <w:t xml:space="preserve"> </w:t>
      </w:r>
      <w:r>
        <w:t xml:space="preserve">over the past two decades. The second is the broader cliometric and econometric methodology literature on duration analysis, conditional median estimation, and survival modeling that the social sciences have refined since the late twentieth century. The domain literature has produced detectors, sensor architectures, and screening pipelines of increasing sophistication; it has not produced a population-level conditional distribution for the wall-clock interval during which a maneuvered LEO object is operationally lost to the public catalog. Elsewhere the estimators exist. The methodology literature has produced the tools that would answer that question, yet no one has turned them on the catalog. This chapter reviews each literature in turn, traces the points at which they imply but do not deliver an estimate of the custody gap, and identifies the precise unjoined seam that the dissertation occupies.</w:t>
      </w:r>
    </w:p>
    <w:p>
      <w:pPr>
        <w:pStyle w:val="BodyText"/>
        <w:spacing w:line="480" w:lineRule="auto"/>
        <w:ind w:firstLine="720"/>
      </w:pPr>
      <w:r>
        <w:t xml:space="preserve">The orienting frame is the one developed in the first dissertation paper [27 in the candidate’s pilot bibliography corresponds to refs_pool entry 1; here the dissertation cites the shared pool]. A maneuver-detection event has a wall-clock interval, the custody gap, that begins at the true maneuver epoch and ends at the first subsequent catalog state whose propagated covariance again contains the truth within a chosen bound. The duration of that interval is a random variable. Its distribution is shaped jointly by the detection algorithm, the sensor revisit cadence, and the post-detection orbit-determination convergence time. The domain literature has produced point estimates of each of those constituents in isolation. The methodology literature has produced the tools that would integrate them into a population-level conditional distribution. Neither literature has done the integration.</w:t>
      </w:r>
    </w:p>
    <w:bookmarkEnd w:id="67"/>
    <w:bookmarkStart w:id="75" w:name="the-domain-technical-literature"/>
    <w:p>
      <w:pPr>
        <w:pStyle w:val="Heading2"/>
        <w:spacing w:line="480" w:lineRule="auto"/>
      </w:pPr>
      <w:r>
        <w:t xml:space="preserve">2.2 The Domain Technical Literature</w:t>
      </w:r>
    </w:p>
    <w:bookmarkStart w:id="68" w:name="X0741e5febc8c462c9984b61bb726f49d60ad509"/>
    <w:p>
      <w:pPr>
        <w:pStyle w:val="Heading3"/>
        <w:spacing w:line="480" w:lineRule="auto"/>
      </w:pPr>
      <w:r>
        <w:t xml:space="preserve">2.2.1 Foundational Maneuver Detection from Catalog Element Sets</w:t>
      </w:r>
    </w:p>
    <w:p>
      <w:pPr>
        <w:pStyle w:val="FirstParagraph"/>
        <w:spacing w:line="480" w:lineRule="auto"/>
      </w:pPr>
      <w:r>
        <w:t xml:space="preserve">Start with catalog data. The first substantive contribution to operational maneuver detection from publicly available records is the two-line-element discontinuity method of Kelecy and colleagues</w:t>
      </w:r>
      <w:r>
        <w:t xml:space="preserve"> </w:t>
      </w:r>
      <w:hyperlink w:anchor="ref-4">
        <w:r>
          <w:rPr>
            <w:rStyle w:val="Hyperlink"/>
          </w:rPr>
          <w:t xml:space="preserve">[4]</w:t>
        </w:r>
      </w:hyperlink>
      <w:r>
        <w:t xml:space="preserve">. The method exploits the fact that the Space Surveillance Network’s published element sets are themselves the product of an upstream orbit-determination process that absorbs new observations and adjusts the propagated state. When an unannounced maneuver occurs, successive element sets exhibit discontinuities in mean motion, eccentricity, or right ascension of the ascending node that exceed the noise floor of the catalog’s own update process. Kelecy and colleagues established detection thresholds, demonstrated retrospective detection on a small curated event set, and reported false-alarm characteristics relative to non-maneuvering control objects</w:t>
      </w:r>
      <w:r>
        <w:t xml:space="preserve"> </w:t>
      </w:r>
      <w:hyperlink w:anchor="ref-4">
        <w:r>
          <w:rPr>
            <w:rStyle w:val="Hyperlink"/>
          </w:rPr>
          <w:t xml:space="preserve">[4]</w:t>
        </w:r>
      </w:hyperlink>
      <w:r>
        <w:t xml:space="preserve">. The contribution remains the canonical reference for catalog-driven detection and is the detector invoked in the dissertation’s primary identification strategy.</w:t>
      </w:r>
    </w:p>
    <w:p>
      <w:pPr>
        <w:pStyle w:val="BodyText"/>
        <w:spacing w:line="480" w:lineRule="auto"/>
        <w:ind w:firstLine="720"/>
      </w:pPr>
      <w:r>
        <w:t xml:space="preserve">The Kelecy method has two acknowledged limitations that the dissertation must confront. First, the TLE stream itself updates at a cadence determined by the Space Surveillance Network’s observation collection and orbit-determination pipeline, so the detector cannot resolve maneuvers more finely than that cadence. Second, small maneuvers below the catalog’s propagation noise floor are undetectable in principle, biasing any detected sample toward larger thrust events</w:t>
      </w:r>
      <w:r>
        <w:t xml:space="preserve"> </w:t>
      </w:r>
      <w:hyperlink w:anchor="ref-4">
        <w:r>
          <w:rPr>
            <w:rStyle w:val="Hyperlink"/>
          </w:rPr>
          <w:t xml:space="preserve">[4]</w:t>
        </w:r>
      </w:hyperlink>
      <w:r>
        <w:t xml:space="preserve">. Both limitations are inherited by any study that builds on TLE discontinuity, and both shape the interpretation of the custody-gap estimate the dissertation will report.</w:t>
      </w:r>
    </w:p>
    <w:p>
      <w:pPr>
        <w:pStyle w:val="BodyText"/>
        <w:spacing w:line="480" w:lineRule="auto"/>
        <w:ind w:firstLine="720"/>
      </w:pPr>
      <w:r>
        <w:t xml:space="preserve">Ko and Scheeres take a fundamentally different approach. Rather than treating the maneuver as a discontinuity to be detected post hoc, their event-representation formulation estimates thrust parameters jointly with the orbit using thrust-Fourier coefficients, producing an integrated estimate of when the maneuver occurred, how large it was, and what orbit followed it</w:t>
      </w:r>
      <w:r>
        <w:t xml:space="preserve"> </w:t>
      </w:r>
      <w:hyperlink w:anchor="ref-1">
        <w:r>
          <w:rPr>
            <w:rStyle w:val="Hyperlink"/>
          </w:rPr>
          <w:t xml:space="preserve">[1]</w:t>
        </w:r>
      </w:hyperlink>
      <w:r>
        <w:t xml:space="preserve">. The contribution is methodologically deeper than the TLE-discontinuity approach because it embeds the maneuver inside the orbit-determination filter rather than treating it as an exogenous event. The cost is observational density: the method requires tracking observations on both sides of the maneuver epoch, which is a stronger requirement than the catalog-only TLE-discontinuity approach satisfies in practice. For the dissertation’s purposes, the Ko-Scheeres formulation defines the upper bound on what a well-instrumented orbit-determination system can recover, against which the catalog-restricted TLE approach can be benchmarked</w:t>
      </w:r>
      <w:r>
        <w:t xml:space="preserve"> </w:t>
      </w:r>
      <w:hyperlink w:anchor="ref-1">
        <w:r>
          <w:rPr>
            <w:rStyle w:val="Hyperlink"/>
          </w:rPr>
          <w:t xml:space="preserve">[1]</w:t>
        </w:r>
      </w:hyperlink>
      <w:r>
        <w:t xml:space="preserve">.</w:t>
      </w:r>
    </w:p>
    <w:p>
      <w:pPr>
        <w:pStyle w:val="BodyText"/>
        <w:spacing w:line="480" w:lineRule="auto"/>
        <w:ind w:firstLine="720"/>
      </w:pPr>
      <w:r>
        <w:t xml:space="preserve">Kadan and colleagues extended the orbit-determination side of the problem to heterogeneous sensor networks, evaluating post-maneuver initial orbit determination across a mix of radar and optical sensors with different cadences and accuracies</w:t>
      </w:r>
      <w:r>
        <w:t xml:space="preserve"> </w:t>
      </w:r>
      <w:hyperlink w:anchor="ref-2">
        <w:r>
          <w:rPr>
            <w:rStyle w:val="Hyperlink"/>
          </w:rPr>
          <w:t xml:space="preserve">[2]</w:t>
        </w:r>
      </w:hyperlink>
      <w:r>
        <w:t xml:space="preserve">. Their study reports the time-to-converge for the orbit-determination filter conditional on the sensor mix that observes the post-maneuver track. This is the closest the domain literature has come to a wall-clock estimate of the back end of the custody gap, but the Kadan and colleagues result is reported per scenario rather than as a population conditional distribution, and the scenarios are constructed rather than drawn from the operational catalog</w:t>
      </w:r>
      <w:r>
        <w:t xml:space="preserve"> </w:t>
      </w:r>
      <w:hyperlink w:anchor="ref-2">
        <w:r>
          <w:rPr>
            <w:rStyle w:val="Hyperlink"/>
          </w:rPr>
          <w:t xml:space="preserve">[2]</w:t>
        </w:r>
      </w:hyperlink>
      <w:r>
        <w:t xml:space="preserve">. The contribution informs the dissertation’s specification of the custody-gap endpoint and motivates the choice to use a three-sigma covariance bound sustained over a seventy-two-hour window as the criterion for restored custody.</w:t>
      </w:r>
    </w:p>
    <w:p>
      <w:pPr>
        <w:pStyle w:val="BodyText"/>
        <w:spacing w:line="480" w:lineRule="auto"/>
        <w:ind w:firstLine="720"/>
      </w:pPr>
      <w:r>
        <w:t xml:space="preserve">Pirovano and Armellin synthesized the maneuver-detection and catalog-maintenance threads in their treatment of detection and estimation of spacecraft maneuvers for catalog maintenance</w:t>
      </w:r>
      <w:r>
        <w:t xml:space="preserve"> </w:t>
      </w:r>
      <w:hyperlink w:anchor="ref-25">
        <w:r>
          <w:rPr>
            <w:rStyle w:val="Hyperlink"/>
          </w:rPr>
          <w:t xml:space="preserve">[25]</w:t>
        </w:r>
      </w:hyperlink>
      <w:r>
        <w:t xml:space="preserve">. Their framing is operationally close to the dissertation’s: the catalog is the object of interest, and the maneuver is the event that disturbs it. Their methodological contribution is an estimation framework rather than a population estimate, and they explicitly note that the population-level conditional distribution of catalog-restoration latency remains an open empirical question</w:t>
      </w:r>
      <w:r>
        <w:t xml:space="preserve"> </w:t>
      </w:r>
      <w:hyperlink w:anchor="ref-25">
        <w:r>
          <w:rPr>
            <w:rStyle w:val="Hyperlink"/>
          </w:rPr>
          <w:t xml:space="preserve">[25]</w:t>
        </w:r>
      </w:hyperlink>
      <w:r>
        <w:t xml:space="preserve">. This explicit framing of the open question is one of the closer-to-explicit articulations of the custody-gap problem in the domain literature, and the dissertation responds to it directly.</w:t>
      </w:r>
    </w:p>
    <w:bookmarkEnd w:id="68"/>
    <w:bookmarkStart w:id="69" w:name="learning-based-detection"/>
    <w:p>
      <w:pPr>
        <w:pStyle w:val="Heading3"/>
        <w:spacing w:line="480" w:lineRule="auto"/>
      </w:pPr>
      <w:r>
        <w:t xml:space="preserve">2.2.2 Learning-Based Detection</w:t>
      </w:r>
    </w:p>
    <w:p>
      <w:pPr>
        <w:pStyle w:val="FirstParagraph"/>
        <w:spacing w:line="480" w:lineRule="auto"/>
      </w:pPr>
      <w:r>
        <w:t xml:space="preserve">Machine learning enters here. A more recent strand applies learned architectures to maneuver detection. Kato and colleagues evaluated an LSTM autoencoder trained on residuals from non-maneuvering arcs, treating maneuvers as anomalies to be flagged when the autoencoder’s reconstruction error exceeds threshold</w:t>
      </w:r>
      <w:r>
        <w:t xml:space="preserve"> </w:t>
      </w:r>
      <w:hyperlink w:anchor="ref-6">
        <w:r>
          <w:rPr>
            <w:rStyle w:val="Hyperlink"/>
          </w:rPr>
          <w:t xml:space="preserve">[6]</w:t>
        </w:r>
      </w:hyperlink>
      <w:r>
        <w:t xml:space="preserve">. The study reports detection sensitivity and false-alarm rates against synthetic and curated event sets and characterizes the time-to-detection conditional on observation cadence. Perovich and colleagues applied a broader family of artificial-intelligence methods to satellite maneuver detection and maneuver-time estimation, reporting timing accuracy on a benchmark event set</w:t>
      </w:r>
      <w:r>
        <w:t xml:space="preserve"> </w:t>
      </w:r>
      <w:hyperlink w:anchor="ref-7">
        <w:r>
          <w:rPr>
            <w:rStyle w:val="Hyperlink"/>
          </w:rPr>
          <w:t xml:space="preserve">[7]</w:t>
        </w:r>
      </w:hyperlink>
      <w:r>
        <w:t xml:space="preserve">. Both studies advance the state of detector accuracy but, like the Kelecy baseline, inherit the cadence of the observation stream they consume.</w:t>
      </w:r>
    </w:p>
    <w:p>
      <w:pPr>
        <w:pStyle w:val="BodyText"/>
        <w:spacing w:line="480" w:lineRule="auto"/>
        <w:ind w:firstLine="720"/>
      </w:pPr>
      <w:r>
        <w:t xml:space="preserve">The dissertation treats learning-based detectors as a sensitivity check rather than as a replacement for the TLE-discontinuity primary detector, because the Kato and Perovich detectors have not been deployed against the full public LEO catalog at scale and because their reported performance is conditional on training distributions that may not generalize to the operational mix [6, 7]. The sensitivity analysis in Chapter 4 will rerun the primary identification with the Kato architecture substituted for the TLE-discontinuity detector, following the specification reported in</w:t>
      </w:r>
      <w:r>
        <w:t xml:space="preserve"> </w:t>
      </w:r>
      <w:hyperlink w:anchor="ref-6">
        <w:r>
          <w:rPr>
            <w:rStyle w:val="Hyperlink"/>
          </w:rPr>
          <w:t xml:space="preserve">[6]</w:t>
        </w:r>
      </w:hyperlink>
      <w:r>
        <w:t xml:space="preserve">.</w:t>
      </w:r>
    </w:p>
    <w:p>
      <w:pPr>
        <w:pStyle w:val="BodyText"/>
        <w:spacing w:line="480" w:lineRule="auto"/>
        <w:ind w:firstLine="720"/>
      </w:pPr>
      <w:r>
        <w:t xml:space="preserve">A complementary learning-adjacent contribution comes from Shorten and colleagues, who developed optimal proposal particle filters for detecting anomalies and maneuvers from two-line-element data</w:t>
      </w:r>
      <w:r>
        <w:t xml:space="preserve"> </w:t>
      </w:r>
      <w:hyperlink w:anchor="ref-29">
        <w:r>
          <w:rPr>
            <w:rStyle w:val="Hyperlink"/>
          </w:rPr>
          <w:t xml:space="preserve">[29]</w:t>
        </w:r>
      </w:hyperlink>
      <w:r>
        <w:t xml:space="preserve">. The particle filter framework is methodologically attractive because it produces a posterior over maneuver epoch rather than a point detection, and the posterior carries directly into a survival-analysis framework where the analyst wants to express censoring and timing uncertainty jointly</w:t>
      </w:r>
      <w:r>
        <w:t xml:space="preserve"> </w:t>
      </w:r>
      <w:hyperlink w:anchor="ref-29">
        <w:r>
          <w:rPr>
            <w:rStyle w:val="Hyperlink"/>
          </w:rPr>
          <w:t xml:space="preserve">[29]</w:t>
        </w:r>
      </w:hyperlink>
      <w:r>
        <w:t xml:space="preserve">. The dissertation discusses this approach in Chapter 3 as the methodological bridge between detection and duration estimation; the empirical chapter uses the simpler Kelecy threshold detector as the primary identification and the Shorten particle filter as a robustness check on detection-timing uncertainty.</w:t>
      </w:r>
    </w:p>
    <w:p>
      <w:pPr>
        <w:pStyle w:val="BodyText"/>
        <w:spacing w:line="480" w:lineRule="auto"/>
        <w:ind w:firstLine="720"/>
      </w:pPr>
      <w:r>
        <w:t xml:space="preserve">Gui and colleagues offered the most recent contribution along this line, a dual-moving-window curve-fitting method for satellite maneuver detection that exploits the redundancy in overlapping observation windows to localize the maneuver epoch</w:t>
      </w:r>
      <w:r>
        <w:t xml:space="preserve"> </w:t>
      </w:r>
      <w:hyperlink w:anchor="ref-27">
        <w:r>
          <w:rPr>
            <w:rStyle w:val="Hyperlink"/>
          </w:rPr>
          <w:t xml:space="preserve">[27]</w:t>
        </w:r>
      </w:hyperlink>
      <w:r>
        <w:t xml:space="preserve">. Their reported timing accuracy improves on the single-window detectors, and the dissertation incorporates their threshold settings into the robustness specification.</w:t>
      </w:r>
    </w:p>
    <w:p>
      <w:pPr>
        <w:pStyle w:val="BodyText"/>
        <w:spacing w:line="480" w:lineRule="auto"/>
        <w:ind w:firstLine="720"/>
      </w:pPr>
      <w:r>
        <w:t xml:space="preserve">A specifically operational contribution from Miga and colleagues describes a three-pillar algorithm pipeline for low-latency space-object maneuver detection</w:t>
      </w:r>
      <w:r>
        <w:t xml:space="preserve"> </w:t>
      </w:r>
      <w:hyperlink w:anchor="ref-17">
        <w:r>
          <w:rPr>
            <w:rStyle w:val="Hyperlink"/>
          </w:rPr>
          <w:t xml:space="preserve">[17]</w:t>
        </w:r>
      </w:hyperlink>
      <w:r>
        <w:t xml:space="preserve">. The Miga and colleagues framing is closest in spirit to the custody-gap question, because they explicitly target latency as the figure of merit and report it for their integrated pipeline. Their reported latencies are pipeline-internal, however, and condition on observation availability at the front end; they do not address the wall-clock interval against the public catalog as the reference state</w:t>
      </w:r>
      <w:r>
        <w:t xml:space="preserve"> </w:t>
      </w:r>
      <w:hyperlink w:anchor="ref-17">
        <w:r>
          <w:rPr>
            <w:rStyle w:val="Hyperlink"/>
          </w:rPr>
          <w:t xml:space="preserve">[17]</w:t>
        </w:r>
      </w:hyperlink>
      <w:r>
        <w:t xml:space="preserve">.</w:t>
      </w:r>
    </w:p>
    <w:bookmarkEnd w:id="69"/>
    <w:bookmarkStart w:id="70" w:name="sensor-tasking-and-network-cadence"/>
    <w:p>
      <w:pPr>
        <w:pStyle w:val="Heading3"/>
        <w:spacing w:line="480" w:lineRule="auto"/>
      </w:pPr>
      <w:r>
        <w:t xml:space="preserve">2.2.3 Sensor Tasking and Network Cadence</w:t>
      </w:r>
    </w:p>
    <w:p>
      <w:pPr>
        <w:pStyle w:val="FirstParagraph"/>
        <w:spacing w:line="480" w:lineRule="auto"/>
      </w:pPr>
      <w:r>
        <w:t xml:space="preserve">Turn now from detectors to networks. A second cluster of domain papers treats the sensor network rather than the detector. Carden and colleagues introduced the SNARE decentralized sensor-tasking architecture and demonstrated that decentralized tasking compresses revisit time and improves what they term tactical relevance, defined as the fraction of operational queries answered within a planning horizon</w:t>
      </w:r>
      <w:r>
        <w:t xml:space="preserve"> </w:t>
      </w:r>
      <w:hyperlink w:anchor="ref-5">
        <w:r>
          <w:rPr>
            <w:rStyle w:val="Hyperlink"/>
          </w:rPr>
          <w:t xml:space="preserve">[5]</w:t>
        </w:r>
      </w:hyperlink>
      <w:r>
        <w:t xml:space="preserve">. Their revisit-time statistics are reported per scenario and constitute one of the published inputs that the dissertation uses to construct a sensor-network cadence proxy</w:t>
      </w:r>
      <w:r>
        <w:t xml:space="preserve"> </w:t>
      </w:r>
      <w:hyperlink w:anchor="ref-5">
        <w:r>
          <w:rPr>
            <w:rStyle w:val="Hyperlink"/>
          </w:rPr>
          <w:t xml:space="preserve">[5]</w:t>
        </w:r>
      </w:hyperlink>
      <w:r>
        <w:t xml:space="preserve">.</w:t>
      </w:r>
    </w:p>
    <w:p>
      <w:pPr>
        <w:pStyle w:val="BodyText"/>
        <w:spacing w:line="480" w:lineRule="auto"/>
        <w:ind w:firstLine="720"/>
      </w:pPr>
      <w:r>
        <w:t xml:space="preserve">Shabarekh and colleagues developed an early predictive-maneuver method that anticipates likely maneuver epochs from historical patterns, with the goal of pre-tasking sensors against the predicted window</w:t>
      </w:r>
      <w:r>
        <w:t xml:space="preserve"> </w:t>
      </w:r>
      <w:hyperlink w:anchor="ref-11">
        <w:r>
          <w:rPr>
            <w:rStyle w:val="Hyperlink"/>
          </w:rPr>
          <w:t xml:space="preserve">[11]</w:t>
        </w:r>
      </w:hyperlink>
      <w:r>
        <w:t xml:space="preserve">. The contribution is methodologically distinct from post-hoc detection but operationally complementary: a predicted window shortens the front end of the custody gap by ensuring that observations are collected at the maneuver epoch rather than discovered after the fact</w:t>
      </w:r>
      <w:r>
        <w:t xml:space="preserve"> </w:t>
      </w:r>
      <w:hyperlink w:anchor="ref-11">
        <w:r>
          <w:rPr>
            <w:rStyle w:val="Hyperlink"/>
          </w:rPr>
          <w:t xml:space="preserve">[11]</w:t>
        </w:r>
      </w:hyperlink>
      <w:r>
        <w:t xml:space="preserve">. The dissertation does not incorporate predictive pre-tasking into the identification because the public-catalog process does not predict maneuvers; the Shabarekh contribution remains relevant as an upper bound on what custody-gap compression a predictive architecture could achieve.</w:t>
      </w:r>
    </w:p>
    <w:p>
      <w:pPr>
        <w:pStyle w:val="BodyText"/>
        <w:spacing w:line="480" w:lineRule="auto"/>
        <w:ind w:firstLine="720"/>
      </w:pPr>
      <w:r>
        <w:t xml:space="preserve">Morris and colleagues described a constellation of sensors optimized for maneuver tracking, reporting revisit-cadence and observability statistics for a notional optimized constellation that would compress custody gaps relative to the current Space Surveillance Network</w:t>
      </w:r>
      <w:r>
        <w:t xml:space="preserve"> </w:t>
      </w:r>
      <w:hyperlink w:anchor="ref-12">
        <w:r>
          <w:rPr>
            <w:rStyle w:val="Hyperlink"/>
          </w:rPr>
          <w:t xml:space="preserve">[12]</w:t>
        </w:r>
      </w:hyperlink>
      <w:r>
        <w:t xml:space="preserve">. Their numerical results are conditional on the proposed constellation rather than the deployed network, so they inform the dissertation’s policy discussion in Chapter 5 rather than the empirical identification in Chapter 4.</w:t>
      </w:r>
    </w:p>
    <w:p>
      <w:pPr>
        <w:pStyle w:val="BodyText"/>
        <w:spacing w:line="480" w:lineRule="auto"/>
        <w:ind w:firstLine="720"/>
      </w:pPr>
      <w:r>
        <w:t xml:space="preserve">Toner and colleagues reported the Panopticon wide-field-of-view sensor demonstration, with performance characteristics specifically engineered for custody maintenance on high-revisit-rate LEO objects [8, 18]. The Panopticon contribution matters for the dissertation because it characterizes the marginal compression in custody gap achievable by a single wide-field sensor addition, which is a covariate the survival model in Chapter 4 will instrument. The dissertation cites the Panopticon revisit-rate statistics as one input to the sensor-network cadence proxy [8, 18].</w:t>
      </w:r>
    </w:p>
    <w:p>
      <w:pPr>
        <w:pStyle w:val="BodyText"/>
        <w:spacing w:line="480" w:lineRule="auto"/>
        <w:ind w:firstLine="720"/>
      </w:pPr>
      <w:r>
        <w:t xml:space="preserve">Squires and colleagues at LeoLabs reported maneuver detection and characterization using a global radar network, providing what is, to the author’s knowledge, the largest published dataset of corroborated LEO maneuver events with associated detection timing</w:t>
      </w:r>
      <w:r>
        <w:t xml:space="preserve"> </w:t>
      </w:r>
      <w:hyperlink w:anchor="ref-19">
        <w:r>
          <w:rPr>
            <w:rStyle w:val="Hyperlink"/>
          </w:rPr>
          <w:t xml:space="preserve">[19]</w:t>
        </w:r>
      </w:hyperlink>
      <w:r>
        <w:t xml:space="preserve">. The Squires and colleagues contribution is one of the empirical anchors of the dissertation, because the LeoLabs ephemerides referenced in their study constitute the independent corroboration source against which TLE discontinuities will be confirmed as true maneuvers</w:t>
      </w:r>
      <w:r>
        <w:t xml:space="preserve"> </w:t>
      </w:r>
      <w:hyperlink w:anchor="ref-19">
        <w:r>
          <w:rPr>
            <w:rStyle w:val="Hyperlink"/>
          </w:rPr>
          <w:t xml:space="preserve">[19]</w:t>
        </w:r>
      </w:hyperlink>
      <w:r>
        <w:t xml:space="preserve">. The dissertation’s identification strategy assumes the methodological and provenance characterization that Squires and colleagues reported.</w:t>
      </w:r>
    </w:p>
    <w:p>
      <w:pPr>
        <w:pStyle w:val="BodyText"/>
        <w:spacing w:line="480" w:lineRule="auto"/>
        <w:ind w:firstLine="720"/>
      </w:pPr>
      <w:r>
        <w:t xml:space="preserve">Waldmann and colleagues at Spaceflux described an infrared sensor technology demonstrator for space domain awareness, expanding the modality mix of the operational sensor network beyond optical and radar</w:t>
      </w:r>
      <w:r>
        <w:t xml:space="preserve"> </w:t>
      </w:r>
      <w:hyperlink w:anchor="ref-20">
        <w:r>
          <w:rPr>
            <w:rStyle w:val="Hyperlink"/>
          </w:rPr>
          <w:t xml:space="preserve">[20]</w:t>
        </w:r>
      </w:hyperlink>
      <w:r>
        <w:t xml:space="preserve">. Neelakantan and colleagues at Digantara reported multi-perspective multi-modal characterization of LEO objects from a distributed sensor architecture</w:t>
      </w:r>
      <w:r>
        <w:t xml:space="preserve"> </w:t>
      </w:r>
      <w:hyperlink w:anchor="ref-21">
        <w:r>
          <w:rPr>
            <w:rStyle w:val="Hyperlink"/>
          </w:rPr>
          <w:t xml:space="preserve">[21]</w:t>
        </w:r>
      </w:hyperlink>
      <w:r>
        <w:t xml:space="preserve">. Both contributions speak to the heterogeneity of the contemporary sensor network and motivate the dissertation’s treatment of the network as a mixture of modalities with distinct revisit-cadence and sensitivity profiles, rather than as a single homogeneous resource [20, 21].</w:t>
      </w:r>
    </w:p>
    <w:p>
      <w:pPr>
        <w:pStyle w:val="BodyText"/>
        <w:spacing w:line="480" w:lineRule="auto"/>
        <w:ind w:firstLine="720"/>
      </w:pPr>
      <w:r>
        <w:t xml:space="preserve">Hertwig and colleagues evaluated search-based versus task-based space surveillance for ground-based telescopes, characterizing the trade-off between coverage breadth and per-object cadence that any tasking architecture must resolve</w:t>
      </w:r>
      <w:r>
        <w:t xml:space="preserve"> </w:t>
      </w:r>
      <w:hyperlink w:anchor="ref-23">
        <w:r>
          <w:rPr>
            <w:rStyle w:val="Hyperlink"/>
          </w:rPr>
          <w:t xml:space="preserve">[23]</w:t>
        </w:r>
      </w:hyperlink>
      <w:r>
        <w:t xml:space="preserve">. Their results inform the dissertation’s cadence proxy, because the tasking-mode mix on the deployed Space Surveillance Network varies by sensor and by object priority, and the cadence experienced by a specific maneuvering object depends on where in that mix it sits</w:t>
      </w:r>
      <w:r>
        <w:t xml:space="preserve"> </w:t>
      </w:r>
      <w:hyperlink w:anchor="ref-23">
        <w:r>
          <w:rPr>
            <w:rStyle w:val="Hyperlink"/>
          </w:rPr>
          <w:t xml:space="preserve">[23]</w:t>
        </w:r>
      </w:hyperlink>
      <w:r>
        <w:t xml:space="preserve">.</w:t>
      </w:r>
    </w:p>
    <w:p>
      <w:pPr>
        <w:pStyle w:val="BodyText"/>
        <w:spacing w:line="480" w:lineRule="auto"/>
        <w:ind w:firstLine="720"/>
      </w:pPr>
      <w:r>
        <w:t xml:space="preserve">Schmedeman and colleagues proposed a mission-oriented framework for evaluating space situational awareness data, in which figure-of-merit metrics are defined relative to the mission an SSA consumer is trying to accomplish</w:t>
      </w:r>
      <w:r>
        <w:t xml:space="preserve"> </w:t>
      </w:r>
      <w:hyperlink w:anchor="ref-22">
        <w:r>
          <w:rPr>
            <w:rStyle w:val="Hyperlink"/>
          </w:rPr>
          <w:t xml:space="preserve">[22]</w:t>
        </w:r>
      </w:hyperlink>
      <w:r>
        <w:t xml:space="preserve">. Custody gap is, in their framing, the natural figure of merit for the collision-avoidance mission, and their evaluation framework supplies a vocabulary for connecting the empirical custody-gap estimate to mission-level decisions</w:t>
      </w:r>
      <w:r>
        <w:t xml:space="preserve"> </w:t>
      </w:r>
      <w:hyperlink w:anchor="ref-22">
        <w:r>
          <w:rPr>
            <w:rStyle w:val="Hyperlink"/>
          </w:rPr>
          <w:t xml:space="preserve">[22]</w:t>
        </w:r>
      </w:hyperlink>
      <w:r>
        <w:t xml:space="preserve">. The dissertation adopts their mission-oriented language in the policy chapter to translate the median custody-gap estimate into mission utility.</w:t>
      </w:r>
    </w:p>
    <w:bookmarkEnd w:id="70"/>
    <w:bookmarkStart w:id="71" w:name="X44da8b595e5ef1a6ff31cf8dbf394236dcfd343"/>
    <w:p>
      <w:pPr>
        <w:pStyle w:val="Heading3"/>
        <w:spacing w:line="480" w:lineRule="auto"/>
      </w:pPr>
      <w:r>
        <w:t xml:space="preserve">2.2.4 Conjunction Screening and the Operational Consumer of Custody</w:t>
      </w:r>
    </w:p>
    <w:p>
      <w:pPr>
        <w:pStyle w:val="FirstParagraph"/>
        <w:spacing w:line="480" w:lineRule="auto"/>
      </w:pPr>
      <w:r>
        <w:t xml:space="preserve">Who consumes the catalog state, and how. A third cluster of domain papers treats the operational use of the catalog. Sorge and colleagues described improvements to spacecraft collision-avoidance practice under contemporary catalog conditions, with explicit attention to the dependence of collision probability estimates on state-vector freshness</w:t>
      </w:r>
      <w:r>
        <w:t xml:space="preserve"> </w:t>
      </w:r>
      <w:hyperlink w:anchor="ref-3">
        <w:r>
          <w:rPr>
            <w:rStyle w:val="Hyperlink"/>
          </w:rPr>
          <w:t xml:space="preserve">[3]</w:t>
        </w:r>
      </w:hyperlink>
      <w:r>
        <w:t xml:space="preserve">. Their paper is the most authoritative recent statement of operational COLA practice and supplies the planning-horizon parameter, on the order of forty-eight hours, that the dissertation uses as the threshold against which the H0 null is tested</w:t>
      </w:r>
      <w:r>
        <w:t xml:space="preserve"> </w:t>
      </w:r>
      <w:hyperlink w:anchor="ref-3">
        <w:r>
          <w:rPr>
            <w:rStyle w:val="Hyperlink"/>
          </w:rPr>
          <w:t xml:space="preserve">[3]</w:t>
        </w:r>
      </w:hyperlink>
      <w:r>
        <w:t xml:space="preserve">. The Sorge and colleagues contribution treats the catalog state as a given input to the screening pipeline. The dissertation inverts the question and asks how long that input is wrong after a neighboring maneuver.</w:t>
      </w:r>
    </w:p>
    <w:p>
      <w:pPr>
        <w:pStyle w:val="BodyText"/>
        <w:spacing w:line="480" w:lineRule="auto"/>
        <w:ind w:firstLine="720"/>
      </w:pPr>
      <w:r>
        <w:t xml:space="preserve">Campiti and colleagues characterized the orbital kinematics of conjuncting objects in low Earth orbit and the opportunities for autonomous observations during conjunction approach</w:t>
      </w:r>
      <w:r>
        <w:t xml:space="preserve"> </w:t>
      </w:r>
      <w:hyperlink w:anchor="ref-9">
        <w:r>
          <w:rPr>
            <w:rStyle w:val="Hyperlink"/>
          </w:rPr>
          <w:t xml:space="preserve">[9]</w:t>
        </w:r>
      </w:hyperlink>
      <w:r>
        <w:t xml:space="preserve">. Their reported kinematic statistics inform the dissertation’s choice of altitude-band stratification and motivate the choice to condition the H0 hypothesis on object size class and altitude band</w:t>
      </w:r>
      <w:r>
        <w:t xml:space="preserve"> </w:t>
      </w:r>
      <w:hyperlink w:anchor="ref-9">
        <w:r>
          <w:rPr>
            <w:rStyle w:val="Hyperlink"/>
          </w:rPr>
          <w:t xml:space="preserve">[9]</w:t>
        </w:r>
      </w:hyperlink>
      <w:r>
        <w:t xml:space="preserve">.</w:t>
      </w:r>
    </w:p>
    <w:p>
      <w:pPr>
        <w:pStyle w:val="BodyText"/>
        <w:spacing w:line="480" w:lineRule="auto"/>
        <w:ind w:firstLine="720"/>
      </w:pPr>
      <w:r>
        <w:t xml:space="preserve">Frigm reported NASA TOPO’s operational concepts for conjunction assessment, including the procedural treatment of catalog-state freshness in the screening pipeline</w:t>
      </w:r>
      <w:r>
        <w:t xml:space="preserve"> </w:t>
      </w:r>
      <w:hyperlink w:anchor="ref-14">
        <w:r>
          <w:rPr>
            <w:rStyle w:val="Hyperlink"/>
          </w:rPr>
          <w:t xml:space="preserve">[14]</w:t>
        </w:r>
      </w:hyperlink>
      <w:r>
        <w:t xml:space="preserve">. The Frigm concept of operations is the procedural counterpart to the Sorge and colleagues quantitative treatment, and it documents how the operational community has historically reasoned about the custody-gap problem in the absence of a population-level estimate</w:t>
      </w:r>
      <w:r>
        <w:t xml:space="preserve"> </w:t>
      </w:r>
      <w:hyperlink w:anchor="ref-14">
        <w:r>
          <w:rPr>
            <w:rStyle w:val="Hyperlink"/>
          </w:rPr>
          <w:t xml:space="preserve">[14]</w:t>
        </w:r>
      </w:hyperlink>
      <w:r>
        <w:t xml:space="preserve">. The dissertation’s contribution is intended to replace the procedural treatment with an empirical conditional distribution.</w:t>
      </w:r>
    </w:p>
    <w:p>
      <w:pPr>
        <w:pStyle w:val="BodyText"/>
        <w:spacing w:line="480" w:lineRule="auto"/>
        <w:ind w:firstLine="720"/>
      </w:pPr>
      <w:r>
        <w:t xml:space="preserve">Hejduk and Snow analyzed the effect of neutral-density estimation errors on satellite conjunction serious-event rates, showing that propagation-error sources other than catalog freshness can dominate the screening pipeline’s residual uncertainty</w:t>
      </w:r>
      <w:r>
        <w:t xml:space="preserve"> </w:t>
      </w:r>
      <w:hyperlink w:anchor="ref-16">
        <w:r>
          <w:rPr>
            <w:rStyle w:val="Hyperlink"/>
          </w:rPr>
          <w:t xml:space="preserve">[16]</w:t>
        </w:r>
      </w:hyperlink>
      <w:r>
        <w:t xml:space="preserve">. The Hejduk and Snow result implies that custody-gap effects must be reported alongside other uncertainty sources rather than in isolation, and the dissertation’s robustness section in Chapter 4 reports the conditional median custody gap together with an order-of-magnitude estimate of competing uncertainty contributions</w:t>
      </w:r>
      <w:r>
        <w:t xml:space="preserve"> </w:t>
      </w:r>
      <w:hyperlink w:anchor="ref-16">
        <w:r>
          <w:rPr>
            <w:rStyle w:val="Hyperlink"/>
          </w:rPr>
          <w:t xml:space="preserve">[16]</w:t>
        </w:r>
      </w:hyperlink>
      <w:r>
        <w:t xml:space="preserve">.</w:t>
      </w:r>
    </w:p>
    <w:p>
      <w:pPr>
        <w:pStyle w:val="BodyText"/>
        <w:spacing w:line="480" w:lineRule="auto"/>
        <w:ind w:firstLine="720"/>
      </w:pPr>
      <w:r>
        <w:t xml:space="preserve">Choi and colleagues reported real-time conjunction assessment and collision avoidance with concurrent avoidance negotiation, using a comparative analysis of passive ranging and traditional sources</w:t>
      </w:r>
      <w:r>
        <w:t xml:space="preserve"> </w:t>
      </w:r>
      <w:hyperlink w:anchor="ref-24">
        <w:r>
          <w:rPr>
            <w:rStyle w:val="Hyperlink"/>
          </w:rPr>
          <w:t xml:space="preserve">[24]</w:t>
        </w:r>
      </w:hyperlink>
      <w:r>
        <w:t xml:space="preserve">. Their contribution is operationally adjacent: the negotiation procedure they describe assumes that both parties hold trustworthy catalog states for the encountering objects, which is exactly the assumption the custody gap violates</w:t>
      </w:r>
      <w:r>
        <w:t xml:space="preserve"> </w:t>
      </w:r>
      <w:hyperlink w:anchor="ref-24">
        <w:r>
          <w:rPr>
            <w:rStyle w:val="Hyperlink"/>
          </w:rPr>
          <w:t xml:space="preserve">[24]</w:t>
        </w:r>
      </w:hyperlink>
      <w:r>
        <w:t xml:space="preserve">. The dissertation cites their framework as the operational use case under which a long custody-gap median has direct decision-theoretic cost.</w:t>
      </w:r>
    </w:p>
    <w:p>
      <w:pPr>
        <w:pStyle w:val="BodyText"/>
        <w:spacing w:line="480" w:lineRule="auto"/>
        <w:ind w:firstLine="720"/>
      </w:pPr>
      <w:r>
        <w:t xml:space="preserve">Brown and colleagues reported formation flying and change detection for the UNSW Canberra Space M2 formation-flying CubeSat mission, supplying empirical change-detection statistics for closely separated LEO objects</w:t>
      </w:r>
      <w:r>
        <w:t xml:space="preserve"> </w:t>
      </w:r>
      <w:hyperlink w:anchor="ref-10">
        <w:r>
          <w:rPr>
            <w:rStyle w:val="Hyperlink"/>
          </w:rPr>
          <w:t xml:space="preserve">[10]</w:t>
        </w:r>
      </w:hyperlink>
      <w:r>
        <w:t xml:space="preserve">. Their results inform the LeoLabs corroboration step of the dissertation’s identification by characterizing the regime in which fine-grained change detection is achievable</w:t>
      </w:r>
      <w:r>
        <w:t xml:space="preserve"> </w:t>
      </w:r>
      <w:hyperlink w:anchor="ref-10">
        <w:r>
          <w:rPr>
            <w:rStyle w:val="Hyperlink"/>
          </w:rPr>
          <w:t xml:space="preserve">[10]</w:t>
        </w:r>
      </w:hyperlink>
      <w:r>
        <w:t xml:space="preserve">.</w:t>
      </w:r>
    </w:p>
    <w:bookmarkEnd w:id="71"/>
    <w:bookmarkStart w:id="72" w:name="Xb569425539ce8bf7d189c90020bf37f8edfffaa"/>
    <w:p>
      <w:pPr>
        <w:pStyle w:val="Heading3"/>
        <w:spacing w:line="480" w:lineRule="auto"/>
      </w:pPr>
      <w:r>
        <w:t xml:space="preserve">2.2.5 Orbit Determination as the Back End of the Custody Gap</w:t>
      </w:r>
    </w:p>
    <w:p>
      <w:pPr>
        <w:pStyle w:val="FirstParagraph"/>
        <w:spacing w:line="480" w:lineRule="auto"/>
      </w:pPr>
      <w:r>
        <w:t xml:space="preserve">A final cluster bears on the orbit-determination convergence time that constitutes the back end of the custody gap. Kazemi and colleagues surveyed orbit determination for space situational awareness, providing a comprehensive review of filter architectures, observation models, and convergence characteristics</w:t>
      </w:r>
      <w:r>
        <w:t xml:space="preserve"> </w:t>
      </w:r>
      <w:hyperlink w:anchor="ref-31">
        <w:r>
          <w:rPr>
            <w:rStyle w:val="Hyperlink"/>
          </w:rPr>
          <w:t xml:space="preserve">[31]</w:t>
        </w:r>
      </w:hyperlink>
      <w:r>
        <w:t xml:space="preserve">. Their survey establishes the methodological state of the art that the dissertation assumes as the back-end model. Liu and colleagues addressed the specific case of orbit determination and prediction for uncooperative spacecraft with continuous low-thrust maneuvers via piecewise estimation, which is the regime in which the Ko-Scheeres event representation is most needed and where the TLE-discontinuity detector is weakest</w:t>
      </w:r>
      <w:r>
        <w:t xml:space="preserve"> </w:t>
      </w:r>
      <w:hyperlink w:anchor="ref-32">
        <w:r>
          <w:rPr>
            <w:rStyle w:val="Hyperlink"/>
          </w:rPr>
          <w:t xml:space="preserve">[32]</w:t>
        </w:r>
      </w:hyperlink>
      <w:r>
        <w:t xml:space="preserve">. The Liu and colleagues result implies that low-thrust maneuvers form a long-tail subpopulation in the custody-gap distribution, and the dissertation treats them as a distinct stratum in the survival model in Chapter 4</w:t>
      </w:r>
      <w:r>
        <w:t xml:space="preserve"> </w:t>
      </w:r>
      <w:hyperlink w:anchor="ref-32">
        <w:r>
          <w:rPr>
            <w:rStyle w:val="Hyperlink"/>
          </w:rPr>
          <w:t xml:space="preserve">[32]</w:t>
        </w:r>
      </w:hyperlink>
      <w:r>
        <w:t xml:space="preserve">.</w:t>
      </w:r>
    </w:p>
    <w:bookmarkEnd w:id="72"/>
    <w:bookmarkStart w:id="73" w:name="the-strategic-and-open-source-context"/>
    <w:p>
      <w:pPr>
        <w:pStyle w:val="Heading3"/>
        <w:spacing w:line="480" w:lineRule="auto"/>
      </w:pPr>
      <w:r>
        <w:t xml:space="preserve">2.2.6 The Strategic and Open-Source Context</w:t>
      </w:r>
    </w:p>
    <w:p>
      <w:pPr>
        <w:pStyle w:val="FirstParagraph"/>
        <w:spacing w:line="480" w:lineRule="auto"/>
      </w:pPr>
      <w:r>
        <w:t xml:space="preserve">The custody-gap question is not purely technical. Weeden and Samson, in successive editions of the Secure World Foundation’s</w:t>
      </w:r>
      <w:r>
        <w:t xml:space="preserve"> </w:t>
      </w:r>
      <w:r>
        <w:rPr>
          <w:i/>
          <w:iCs/>
        </w:rPr>
        <w:t xml:space="preserve">Global Counterspace Capabilities</w:t>
      </w:r>
      <w:r>
        <w:t xml:space="preserve"> </w:t>
      </w:r>
      <w:r>
        <w:t xml:space="preserve">assessment, documented the strategic context in which adversary objects deliberately exploit the custody gap to mask intent during proximity operations and rendezvous-and-proximity maneuvers</w:t>
      </w:r>
      <w:r>
        <w:t xml:space="preserve"> </w:t>
      </w:r>
      <w:hyperlink w:anchor="ref-15">
        <w:r>
          <w:rPr>
            <w:rStyle w:val="Hyperlink"/>
          </w:rPr>
          <w:t xml:space="preserve">[15]</w:t>
        </w:r>
      </w:hyperlink>
      <w:r>
        <w:t xml:space="preserve">. The Weeden and Samson assessments do not estimate the custody gap quantitatively, but they identify the operational signature, namely small-delta-v maneuvers on small-RCS objects in sparsely tasked orbits, that the dissertation’s first paper showed to be the regime in which the fitted custody-gap latency is longest. The strategic literature thereby supplies external corroboration for the operational significance of the right-tail mass of the custody-gap distribution.</w:t>
      </w:r>
    </w:p>
    <w:bookmarkEnd w:id="73"/>
    <w:bookmarkStart w:id="74" w:name="X82bc2c31f6a1e0529c2639aa6d349345866c259"/>
    <w:p>
      <w:pPr>
        <w:pStyle w:val="Heading3"/>
        <w:spacing w:line="480" w:lineRule="auto"/>
      </w:pPr>
      <w:r>
        <w:t xml:space="preserve">2.2.7 What the Domain Literature Has Established and What It Has Not</w:t>
      </w:r>
    </w:p>
    <w:p>
      <w:pPr>
        <w:pStyle w:val="FirstParagraph"/>
        <w:spacing w:line="480" w:lineRule="auto"/>
      </w:pPr>
      <w:r>
        <w:t xml:space="preserve">Taken together, the domain literature has established three things that the dissertation builds on. First, the maneuver-detection problem has tractable solutions at the per-event level, with multiple detector families that have known sensitivity and false-alarm characteristics [1, 4, 6, 7, 11, 17, 25, 27, 29]. Second, the sensor-network cadence determinants of post-maneuver observation density are well characterized at the sensor-architecture level, with published revisit and tasking statistics for the deployed and proposed sensor mix [5, 8, 11, 12, 18, 19, 20, 21, 22, 23]. Third, the operational consumer of the catalog state, conjunction screening, has a known dependence on state-vector freshness and a known planning horizon [3, 9, 10, 14, 16, 24].</w:t>
      </w:r>
    </w:p>
    <w:p>
      <w:pPr>
        <w:pStyle w:val="BodyText"/>
        <w:spacing w:line="480" w:lineRule="auto"/>
        <w:ind w:firstLine="720"/>
      </w:pPr>
      <w:r>
        <w:t xml:space="preserve">What the domain literature has not established is a population-level conditional distribution of the wall-clock interval during which the public catalog is operationally wrong after an unannounced maneuver. Every contribution reviewed above estimates a constituent of that interval, conditional on a scenario or a benchmark set, but none integrates the constituents into a conditional distribution defined on the operational catalog over the LEO population. Pirovano and Armellin came closest to articulating the gap explicitly</w:t>
      </w:r>
      <w:r>
        <w:t xml:space="preserve"> </w:t>
      </w:r>
      <w:hyperlink w:anchor="ref-25">
        <w:r>
          <w:rPr>
            <w:rStyle w:val="Hyperlink"/>
          </w:rPr>
          <w:t xml:space="preserve">[25]</w:t>
        </w:r>
      </w:hyperlink>
      <w:r>
        <w:t xml:space="preserve">; Miga and colleagues came closest to addressing it in pipeline-internal terms</w:t>
      </w:r>
      <w:r>
        <w:t xml:space="preserve"> </w:t>
      </w:r>
      <w:hyperlink w:anchor="ref-17">
        <w:r>
          <w:rPr>
            <w:rStyle w:val="Hyperlink"/>
          </w:rPr>
          <w:t xml:space="preserve">[17]</w:t>
        </w:r>
      </w:hyperlink>
      <w:r>
        <w:t xml:space="preserve">; Sorge and colleagues defined the planning horizon against which it should be tested</w:t>
      </w:r>
      <w:r>
        <w:t xml:space="preserve"> </w:t>
      </w:r>
      <w:hyperlink w:anchor="ref-3">
        <w:r>
          <w:rPr>
            <w:rStyle w:val="Hyperlink"/>
          </w:rPr>
          <w:t xml:space="preserve">[3]</w:t>
        </w:r>
      </w:hyperlink>
      <w:r>
        <w:t xml:space="preserve">; but the integrated empirical estimate remains unproduced. That absence is the seam the dissertation occupies.</w:t>
      </w:r>
    </w:p>
    <w:bookmarkEnd w:id="74"/>
    <w:bookmarkEnd w:id="75"/>
    <w:bookmarkStart w:id="82"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The methodological tools required to produce that estimate are not native to the domain literature. They come from elsewhere. They are native to the cliometric and econometric tradition that the social sciences have developed for the analysis of durations, hazards, and conditional medians on observational data with right-censoring, heterogeneous subpopulations, and selection-into-observation. This section reviews the components of that tradition that the dissertation imports, explains why each component answers a question the domain literature could not, and identifies the integration points at which the import requires adaptation.</w:t>
      </w:r>
    </w:p>
    <w:bookmarkStart w:id="76" w:name="X5fb4fc7cd78734bef86c435237d12603c214c63"/>
    <w:p>
      <w:pPr>
        <w:pStyle w:val="Heading3"/>
        <w:spacing w:line="480" w:lineRule="auto"/>
      </w:pPr>
      <w:r>
        <w:t xml:space="preserve">2.3.1 The Logic of Conditional Median Estimation</w:t>
      </w:r>
    </w:p>
    <w:p>
      <w:pPr>
        <w:pStyle w:val="FirstParagraph"/>
        <w:spacing w:line="480" w:lineRule="auto"/>
      </w:pPr>
      <w:r>
        <w:t xml:space="preserve">Estimate a median, not a mean. That is the first methodological move the dissertation requires. The custody-gap distribution is heavily right-skewed in the pilot data: a long tail of small-delta-v, small-RCS, sparsely-tasked events drags the mean well above the operationally relevant central tendency. The OLS specification in the dissertation’s first paper, which estimated a conditional mean of detection latency [the candidate’s paper 1], is informative about the marginal effects of operational levers under the assumed linearity and homoskedasticity but is not the right summary of central tendency when the distribution’s right tail carries the policy mass.</w:t>
      </w:r>
    </w:p>
    <w:p>
      <w:pPr>
        <w:pStyle w:val="BodyText"/>
        <w:spacing w:line="480" w:lineRule="auto"/>
        <w:ind w:firstLine="720"/>
      </w:pPr>
      <w:r>
        <w:t xml:space="preserve">Quantile regression, in the tradition developed for econometric work on duration outcomes, supplies the conditional median estimator directly. The estimator is robust to outliers in the right tail, requires no parametric distributional assumption, and admits bootstrap inference on the median that does not require asymptotic normality of the residual. The dissertation’s first-stage estimator in Chapter 4 is a quantile regression of custody-gap duration on altitude band, object size class, calendar epoch, and the sensor-network cadence proxy, with bootstrapped confidence intervals on the conditional median.</w:t>
      </w:r>
    </w:p>
    <w:p>
      <w:pPr>
        <w:pStyle w:val="BodyText"/>
        <w:spacing w:line="480" w:lineRule="auto"/>
        <w:ind w:firstLine="720"/>
      </w:pPr>
      <w:r>
        <w:t xml:space="preserve">The choice of quantile regression as the first-stage estimator is methodologically conservative. It does not commit the analysis to a hazard form, it does not require the proportional-hazards assumption that the second-stage Cox model will require, and it produces a directly interpretable summary of the central tendency at the operationally relevant point in the distribution. The H0 hypothesis is expressed in terms of the conditional median, so the quantile regression is the natural primary estimator.</w:t>
      </w:r>
    </w:p>
    <w:bookmarkEnd w:id="76"/>
    <w:bookmarkStart w:id="77" w:name="Xce299df4215cff658a5870b3fc5f107c46cc6c7"/>
    <w:p>
      <w:pPr>
        <w:pStyle w:val="Heading3"/>
        <w:spacing w:line="480" w:lineRule="auto"/>
      </w:pPr>
      <w:r>
        <w:t xml:space="preserve">2.3.2 Survival Analysis and the Cox Proportional-Hazards Framework</w:t>
      </w:r>
    </w:p>
    <w:p>
      <w:pPr>
        <w:pStyle w:val="FirstParagraph"/>
        <w:spacing w:line="480" w:lineRule="auto"/>
      </w:pPr>
      <w:r>
        <w:t xml:space="preserve">The second move treats the custody gap as a duration. Survival analysis supplies the apparatus. It was developed in biostatistics and migrated into labor economics, demography, and political science across the late twentieth century, where it became the standard tool for the analysis of durations subject to right-censoring and to heterogeneous covariate effects. The Cox proportional-hazards model is the workhorse of that tradition: it expresses the hazard of event occurrence at any time as the product of a baseline hazard and a multiplicative covariate term, and it estimates the covariate term without requiring a parametric form for the baseline.</w:t>
      </w:r>
    </w:p>
    <w:p>
      <w:pPr>
        <w:pStyle w:val="BodyText"/>
        <w:spacing w:line="480" w:lineRule="auto"/>
        <w:ind w:firstLine="720"/>
      </w:pPr>
      <w:r>
        <w:t xml:space="preserve">The dissertation’s second-stage estimator is a Cox proportional-hazards model in which the event is the restoration of catalog custody, the covariates are altitude band, object size class, and the sensor-network cadence proxy constructed from [5, 8], and the censoring rule handles maneuvers whose custody is not restored within the observation window. The Cox model exposes the conditional hazard structure that drives the median estimated by the quantile regression. It allows the dissertation to report not only the median custody gap but the rate at which custody is restored over time conditional on the covariate mix, which is the operationally relevant quantity for decision-makers planning the size and posture of the sensor network.</w:t>
      </w:r>
    </w:p>
    <w:p>
      <w:pPr>
        <w:pStyle w:val="BodyText"/>
        <w:spacing w:line="480" w:lineRule="auto"/>
        <w:ind w:firstLine="720"/>
      </w:pPr>
      <w:r>
        <w:t xml:space="preserve">The proportional-hazards assumption is testable and will be tested. The dissertation reports a Schoenfeld-residual diagnostic for each covariate. Where the proportional-hazards assumption fails for a covariate, the dissertation reports a stratified Cox specification in which that covariate enters as a stratum rather than as a multiplicative term.</w:t>
      </w:r>
    </w:p>
    <w:bookmarkEnd w:id="77"/>
    <w:bookmarkStart w:id="78" w:name="Xf4ea24c17652886e81d3fb5dd80d846d02d9a22"/>
    <w:p>
      <w:pPr>
        <w:pStyle w:val="Heading3"/>
        <w:spacing w:line="480" w:lineRule="auto"/>
      </w:pPr>
      <w:r>
        <w:t xml:space="preserve">2.3.3 Right-Censoring and the Restoration-of-Custody Endpoint</w:t>
      </w:r>
    </w:p>
    <w:p>
      <w:pPr>
        <w:pStyle w:val="FirstParagraph"/>
        <w:spacing w:line="480" w:lineRule="auto"/>
      </w:pPr>
      <w:r>
        <w:t xml:space="preserve">A critical methodological point that the domain literature has not previously confronted is the proper treatment of right-censoring. A subset of maneuvers in any finite observation window will not have their custody restored within the window. Treating those events as having a custody gap equal to the window length, or excluding them from the sample, will bias the conditional median downward. The survival-analysis tradition handles this case by allowing right-censored observations to contribute to the likelihood without specifying their event time. The dissertation adopts that treatment.</w:t>
      </w:r>
    </w:p>
    <w:p>
      <w:pPr>
        <w:pStyle w:val="BodyText"/>
        <w:spacing w:line="480" w:lineRule="auto"/>
        <w:ind w:firstLine="720"/>
      </w:pPr>
      <w:r>
        <w:t xml:space="preserve">The choice of the seventy-two-hour sustained three-sigma covariance bound as the endpoint definition is itself an importation from the duration-analysis tradition. The endpoint must be operationally meaningful, repeatable, and resistant to one-off catalog-update artifacts. The seventy-two-hour sustained bound satisfies all three criteria: it corresponds to roughly three orbital revolutions for a typical LEO regime, it requires the catalog to be in a converged state rather than transiently within bounds, and it is resistant to single TLE updates that briefly snap the propagated state inside the bound before diverging again. The endpoint specification is documented in Chapter 3.</w:t>
      </w:r>
    </w:p>
    <w:bookmarkEnd w:id="78"/>
    <w:bookmarkStart w:id="79" w:name="X3c1a21dc04a16e743c1fb8bf6aca5d159a93a95"/>
    <w:p>
      <w:pPr>
        <w:pStyle w:val="Heading3"/>
        <w:spacing w:line="480" w:lineRule="auto"/>
      </w:pPr>
      <w:r>
        <w:t xml:space="preserve">2.3.4 Selection Into Observation and Inclusion-Probability Weighting</w:t>
      </w:r>
    </w:p>
    <w:p>
      <w:pPr>
        <w:pStyle w:val="FirstParagraph"/>
        <w:spacing w:line="480" w:lineRule="auto"/>
      </w:pPr>
      <w:r>
        <w:t xml:space="preserve">The methodology literature has developed a substantial body of work on selection into observation, beginning with the analysis of sample-selection bias in labor economics and extending through the modern treatment of inverse-probability weighting in epidemiology. The custody-gap setting exhibits a clear selection-into-observation problem: maneuvers in orbits poorly served by the LeoLabs corroboration network are underrepresented in the corroborated event set, and any conditional median estimated on the corroborated set without adjustment will be biased toward the regime in which corroboration is dense.</w:t>
      </w:r>
    </w:p>
    <w:p>
      <w:pPr>
        <w:pStyle w:val="BodyText"/>
        <w:spacing w:line="480" w:lineRule="auto"/>
        <w:ind w:firstLine="720"/>
      </w:pPr>
      <w:r>
        <w:t xml:space="preserve">The dissertation adopts inverse-probability-of-inclusion weighting, with weights constructed from published LeoLabs coverage statistics</w:t>
      </w:r>
      <w:r>
        <w:t xml:space="preserve"> </w:t>
      </w:r>
      <w:hyperlink w:anchor="ref-19">
        <w:r>
          <w:rPr>
            <w:rStyle w:val="Hyperlink"/>
          </w:rPr>
          <w:t xml:space="preserve">[19]</w:t>
        </w:r>
      </w:hyperlink>
      <w:r>
        <w:t xml:space="preserve"> </w:t>
      </w:r>
      <w:r>
        <w:t xml:space="preserve">and from the sensor-architecture characterizations of [5, 8, 18, 21]. The quantile regression in the first stage incorporates the weights directly; the Cox model in the second stage incorporates them as a weighted partial-likelihood specification. The robustness section in Chapter 4 reports the conditional median under unweighted, weighted, and stratified specifications, and the H0 test is conducted on the weighted specification as the primary report.</w:t>
      </w:r>
    </w:p>
    <w:bookmarkEnd w:id="79"/>
    <w:bookmarkStart w:id="80" w:name="X27281c4a8b5fb78d9f4f583ae8689854064ce2a"/>
    <w:p>
      <w:pPr>
        <w:pStyle w:val="Heading3"/>
        <w:spacing w:line="480" w:lineRule="auto"/>
      </w:pPr>
      <w:r>
        <w:t xml:space="preserve">2.3.5 Stratification, Subpopulation Heterogeneity, and the Right-Tail Question</w:t>
      </w:r>
    </w:p>
    <w:p>
      <w:pPr>
        <w:pStyle w:val="FirstParagraph"/>
        <w:spacing w:line="480" w:lineRule="auto"/>
      </w:pPr>
      <w:r>
        <w:t xml:space="preserve">The custody-gap distribution is unlikely to be homogeneous across object size, altitude, and tasking. The methodology literature on subpopulation heterogeneity, developed across labor and health economics, supplies the tools the dissertation uses to characterize that heterogeneity. The two-stage approach the dissertation adopts is itself a heterogeneity-aware design: the quantile regression provides the conditional median across the stratification covariates, and the stratified Cox specification provides the conditional hazard within strata.</w:t>
      </w:r>
    </w:p>
    <w:p>
      <w:pPr>
        <w:pStyle w:val="BodyText"/>
        <w:spacing w:line="480" w:lineRule="auto"/>
        <w:ind w:firstLine="720"/>
      </w:pPr>
      <w:r>
        <w:t xml:space="preserve">The right-tail question, which is the operationally pointed one, is whether the custody-gap distribution has a subpopulation in which the median exceeds the planning horizon by an operationally significant margin. The dissertation answers that question with two complementary diagnostics: a stratum-wise conditional median from the quantile regression, and a stratum-wise restricted mean survival time computed from the Cox-stratum survival functions. The two diagnostics agree where the proportional-hazards assumption holds and diverge informatively where it does not.</w:t>
      </w:r>
    </w:p>
    <w:bookmarkEnd w:id="80"/>
    <w:bookmarkStart w:id="81" w:name="the-cliometric-habit-of-mind"/>
    <w:p>
      <w:pPr>
        <w:pStyle w:val="Heading3"/>
        <w:spacing w:line="480" w:lineRule="auto"/>
      </w:pPr>
      <w:r>
        <w:t xml:space="preserve">2.3.6 The Cliometric Habit of Mind</w:t>
      </w:r>
    </w:p>
    <w:p>
      <w:pPr>
        <w:pStyle w:val="FirstParagraph"/>
        <w:spacing w:line="480" w:lineRule="auto"/>
      </w:pPr>
      <w:r>
        <w:t xml:space="preserve">Cliometrics, as a methodological tradition, brought to economic history the discipline of quantifying claims that had previously been carried by qualitative narrative. The discipline’s habit of mind, that a claim about a process is most defensible when it is expressed as a conditional distribution estimated on an obtainable sample with documented provenance and reported uncertainty, is the discipline the dissertation imports into the SSA domain. The domain literature has documented the custody-gap problem qualitatively across the contributions reviewed above and has produced quantitative estimates of its constituents. The dissertation completes the cliometric move: it expresses the population-level claim, identifies the obtainable sample [the Space-Track LEO catalog corroborated against the LeoLabs ephemerides], specifies the estimator [quantile regression and stratified Cox], documents the provenance [the candidate replication artifact], and reports the uncertainty [bootstrapped confidence intervals on the conditional median and Schoenfeld-tested hazard ratios].</w:t>
      </w:r>
    </w:p>
    <w:bookmarkEnd w:id="81"/>
    <w:bookmarkEnd w:id="82"/>
    <w:bookmarkStart w:id="83" w:name="Xbfca8663b1bf4dc14b7cab5c9cfbe60917f1d18"/>
    <w:p>
      <w:pPr>
        <w:pStyle w:val="Heading2"/>
        <w:spacing w:line="480" w:lineRule="auto"/>
      </w:pPr>
      <w:r>
        <w:t xml:space="preserve">2.4 Adjacent Literatures Examined and Set Aside</w:t>
      </w:r>
    </w:p>
    <w:p>
      <w:pPr>
        <w:pStyle w:val="FirstParagraph"/>
        <w:spacing w:line="480" w:lineRule="auto"/>
      </w:pPr>
      <w:r>
        <w:t xml:space="preserve">Two adjacent literatures touched on by the references in the shared pool warrant explicit treatment to clarify why they are not load-bearing for the dissertation. Marin-de-Yzaguirre and colleagues addressed the integration of delay-tolerant network protocols in IoT LEO constellations for flood prevention</w:t>
      </w:r>
      <w:r>
        <w:t xml:space="preserve"> </w:t>
      </w:r>
      <w:hyperlink w:anchor="ref-26">
        <w:r>
          <w:rPr>
            <w:rStyle w:val="Hyperlink"/>
          </w:rPr>
          <w:t xml:space="preserve">[26]</w:t>
        </w:r>
      </w:hyperlink>
      <w:r>
        <w:t xml:space="preserve">. Their contribution is methodologically interesting as an example of constellation-scale operations under intermittent connectivity, but it does not address the custody-gap question and is cited here only to acknowledge its presence in the LEO-operations literature. Martinez Zamacola and colleagues profiled the transmit power of LEO satellite constellations for broadband communication services</w:t>
      </w:r>
      <w:r>
        <w:t xml:space="preserve"> </w:t>
      </w:r>
      <w:hyperlink w:anchor="ref-28">
        <w:r>
          <w:rPr>
            <w:rStyle w:val="Hyperlink"/>
          </w:rPr>
          <w:t xml:space="preserve">[28]</w:t>
        </w:r>
      </w:hyperlink>
      <w:r>
        <w:t xml:space="preserve">. Their contribution characterizes the radio-frequency emission profile of the LEO population, which is relevant to passive-RF tracking architectures but not to the maneuver-detection latency the dissertation estimates.</w:t>
      </w:r>
    </w:p>
    <w:p>
      <w:pPr>
        <w:pStyle w:val="BodyText"/>
        <w:spacing w:line="480" w:lineRule="auto"/>
        <w:ind w:firstLine="720"/>
      </w:pPr>
      <w:r>
        <w:t xml:space="preserve">Garrett’s contribution on SETI’s narrow detection window</w:t>
      </w:r>
      <w:r>
        <w:t xml:space="preserve"> </w:t>
      </w:r>
      <w:hyperlink w:anchor="ref-30">
        <w:r>
          <w:rPr>
            <w:rStyle w:val="Hyperlink"/>
          </w:rPr>
          <w:t xml:space="preserve">[30]</w:t>
        </w:r>
      </w:hyperlink>
      <w:r>
        <w:t xml:space="preserve"> </w:t>
      </w:r>
      <w:r>
        <w:t xml:space="preserve">is methodologically adjacent in that it treats a detection window as the binding constraint on a search problem, but the SETI window and the custody-gap window are not the same construct and the Garrett result does not transfer to the orbital regime. The reference is cited here to acknowledge the methodological resonance.</w:t>
      </w:r>
    </w:p>
    <w:bookmarkEnd w:id="83"/>
    <w:bookmarkStart w:id="84" w:name="the-unjoined-seam"/>
    <w:p>
      <w:pPr>
        <w:pStyle w:val="Heading2"/>
        <w:spacing w:line="480" w:lineRule="auto"/>
      </w:pPr>
      <w:r>
        <w:t xml:space="preserve">2.5 The Unjoined Seam</w:t>
      </w:r>
    </w:p>
    <w:p>
      <w:pPr>
        <w:pStyle w:val="FirstParagraph"/>
        <w:spacing w:line="480" w:lineRule="auto"/>
      </w:pPr>
      <w:r>
        <w:t xml:space="preserve">Two literatures sit side by side. The domain technical literature has produced detectors, sensor architectures, and screening pipelines whose outputs constitute the constituents of the custody-gap distribution. The cliometric and econometric methodology literature has produced the conditional-median, survival, weighting, and stratification tools that would integrate those constituents into a defensible population-level distribution. Neither has integrated the other. The domain literature treats the custody-gap question, where it acknowledges it, as a per-scenario or per-pipeline figure to be reported as a point estimate. The methodology literature has never been turned on the public catalog because the methodologists have not had the domain access, the sensor-network characterizations, or the corroboration archive needed to set up the estimator on the operationally meaningful sample.</w:t>
      </w:r>
    </w:p>
    <w:p>
      <w:pPr>
        <w:pStyle w:val="BodyText"/>
        <w:spacing w:line="480" w:lineRule="auto"/>
        <w:ind w:firstLine="720"/>
      </w:pPr>
      <w:r>
        <w:t xml:space="preserve">The unjoined seam is the simultaneous use of catalog-driven detection [4, 11, 17, 25, 27, 29], sensor-network cadence characterization [5, 8, 18, 19, 20, 21, 22, 23], orbit-determination convergence modeling [1, 2, 31, 32], operational planning-horizon definition [3, 9, 14, 16, 24], and strategic context for the right-tail subpopulation</w:t>
      </w:r>
      <w:r>
        <w:t xml:space="preserve"> </w:t>
      </w:r>
      <w:hyperlink w:anchor="ref-15">
        <w:r>
          <w:rPr>
            <w:rStyle w:val="Hyperlink"/>
          </w:rPr>
          <w:t xml:space="preserve">[15]</w:t>
        </w:r>
      </w:hyperlink>
      <w:r>
        <w:t xml:space="preserve">, integrated under a quantile-regression-and-stratified-Cox estimator with inverse-probability-of-inclusion weighting on the Space-Track LEO catalog corroborated by the LeoLabs ephemerides [10, 19]. No prior study has occupied that seam. The dissertation occupies it and produces the single falsifiable claim about the conditional median of the custody-gap distribution that the H0 hypothesis specifies.</w:t>
      </w:r>
    </w:p>
    <w:p>
      <w:pPr>
        <w:pStyle w:val="BodyText"/>
        <w:spacing w:line="480" w:lineRule="auto"/>
        <w:ind w:firstLine="720"/>
      </w:pPr>
      <w:r>
        <w:t xml:space="preserve">The next chapter develops the formal identification strategy, specifies the estimating equations for both stages, and details the construction of the corroborated event set on which the estimators will be run.</w:t>
      </w:r>
    </w:p>
    <w:bookmarkEnd w:id="84"/>
    <w:bookmarkEnd w:id="85"/>
    <w:bookmarkStart w:id="98" w:name="Xcfcc00a3ded59aed0c781c16bfc121f2a509603"/>
    <w:p>
      <w:pPr>
        <w:pStyle w:val="Heading1"/>
        <w:spacing w:line="480" w:lineRule="auto"/>
      </w:pPr>
      <w:r>
        <w:t xml:space="preserve">Chapter 3. Theoretical Framework and Hypotheses</w:t>
      </w:r>
    </w:p>
    <w:bookmarkStart w:id="86" w:name="purpose-and-position-of-the-chapter"/>
    <w:p>
      <w:pPr>
        <w:pStyle w:val="Heading2"/>
        <w:spacing w:line="480" w:lineRule="auto"/>
      </w:pPr>
      <w:r>
        <w:t xml:space="preserve">3.1 Purpose and Position of the Chapter</w:t>
      </w:r>
    </w:p>
    <w:p>
      <w:pPr>
        <w:pStyle w:val="FirstParagraph"/>
        <w:spacing w:line="480" w:lineRule="auto"/>
      </w:pPr>
      <w:r>
        <w:t xml:space="preserve">This chapter specifies the theoretical apparatus that links an unannounced low Earth orbit maneuver to a measurable interval of catalog unreliability, and it converts that apparatus into a single, falsifiable hypothesis pair. The preceding chapters established the operational stakes of catalog freshness for conjunction screening and the empirical record of fragmented attention to the post-maneuver interval</w:t>
      </w:r>
      <w:r>
        <w:t xml:space="preserve"> </w:t>
      </w:r>
      <w:hyperlink w:anchor="ref-3">
        <w:r>
          <w:rPr>
            <w:rStyle w:val="Hyperlink"/>
          </w:rPr>
          <w:t xml:space="preserve">[3]</w:t>
        </w:r>
      </w:hyperlink>
      <w:r>
        <w:t xml:space="preserve">[9]. The present chapter does three things. First, it defines the custody-gap window as a latent operational quantity with a clear analytic decomposition. Second, it states the causal logic by which observable features of the orbital regime, the sensor tasking posture, and the detection algorithm class jointly determine the realized value of that quantity. Third, it states the null and alternative hypotheses that will be tested in the empirical chapters and explains the rationale for the forty-eight-hour threshold against which they are evaluated. The chapter is silent on estimation procedure, which is reserved for Chapter 4; it is concerned exclusively with the structure of the phenomenon and the formal claim about its median.</w:t>
      </w:r>
    </w:p>
    <w:bookmarkEnd w:id="86"/>
    <w:bookmarkStart w:id="87" w:name="definition-of-the-custody-gap"/>
    <w:p>
      <w:pPr>
        <w:pStyle w:val="Heading2"/>
        <w:spacing w:line="480" w:lineRule="auto"/>
      </w:pPr>
      <w:r>
        <w:t xml:space="preserve">3.2 Definition of the Custody Gap</w:t>
      </w:r>
    </w:p>
    <w:p>
      <w:pPr>
        <w:pStyle w:val="FirstParagraph"/>
        <w:spacing w:line="480" w:lineRule="auto"/>
      </w:pPr>
      <w:r>
        <w:t xml:space="preserve">The custody-gap window is defined as the wall-clock interval between the true epoch of an unannounced maneuver executed by a resident space object in low Earth orbit and the earliest subsequent epoch at which the publicly available catalog state estimate for that object, propagated forward under the standard analytic propagator used by the catalog provider, contains the true post-maneuver state within a specified covariance bound for a sustained interval. Three elements of this definition merit emphasis.</w:t>
      </w:r>
    </w:p>
    <w:p>
      <w:pPr>
        <w:pStyle w:val="BodyText"/>
        <w:spacing w:line="480" w:lineRule="auto"/>
        <w:ind w:firstLine="720"/>
      </w:pPr>
      <w:r>
        <w:t xml:space="preserve">The first is that the interval is measured in wall-clock time rather than in revolutions, sensor passes, or epochs of the underlying element set. The choice is deliberate. Wall-clock time is the unit in which conjunction-screening pipelines, operator decisions, and policy claims about responsiveness are denominated</w:t>
      </w:r>
      <w:r>
        <w:t xml:space="preserve"> </w:t>
      </w:r>
      <w:hyperlink w:anchor="ref-3">
        <w:r>
          <w:rPr>
            <w:rStyle w:val="Hyperlink"/>
          </w:rPr>
          <w:t xml:space="preserve">[3]</w:t>
        </w:r>
      </w:hyperlink>
      <w:r>
        <w:t xml:space="preserve">. A definition pegged to revolutions or to internal catalog ticks would suppress precisely the operational quantity at issue.</w:t>
      </w:r>
    </w:p>
    <w:p>
      <w:pPr>
        <w:pStyle w:val="BodyText"/>
        <w:spacing w:line="480" w:lineRule="auto"/>
        <w:ind w:firstLine="720"/>
      </w:pPr>
      <w:r>
        <w:t xml:space="preserve">The second element is that the endpoint is defined against the public catalog rather than against an internal, classified, or commercial state estimate. The public catalog is the artifact on which the majority of operational and academic conjunction-screening work is conducted and against which the great mass of analyses in the published literature is benchmarked</w:t>
      </w:r>
      <w:r>
        <w:t xml:space="preserve"> </w:t>
      </w:r>
      <w:hyperlink w:anchor="ref-4">
        <w:r>
          <w:rPr>
            <w:rStyle w:val="Hyperlink"/>
          </w:rPr>
          <w:t xml:space="preserve">[4]</w:t>
        </w:r>
      </w:hyperlink>
      <w:r>
        <w:t xml:space="preserve">[9]. Defining the endpoint against any other source would generate a measurement whose policy translation is opaque. The corroborating commercial radar archive enters the apparatus solely as the ground-truth instrument against which the public catalog’s freshness is judged</w:t>
      </w:r>
      <w:r>
        <w:t xml:space="preserve"> </w:t>
      </w:r>
      <w:hyperlink w:anchor="ref-10">
        <w:r>
          <w:rPr>
            <w:rStyle w:val="Hyperlink"/>
          </w:rPr>
          <w:t xml:space="preserve">[10]</w:t>
        </w:r>
      </w:hyperlink>
      <w:r>
        <w:t xml:space="preserve">[19], not as the artifact whose freshness is itself being characterized.</w:t>
      </w:r>
    </w:p>
    <w:p>
      <w:pPr>
        <w:pStyle w:val="BodyText"/>
        <w:spacing w:line="480" w:lineRule="auto"/>
        <w:ind w:firstLine="720"/>
      </w:pPr>
      <w:r>
        <w:t xml:space="preserve">The third element is the sustained-containment requirement. One instant is not enough. A single propagated state that happens to fall within the covariance bound at one instant does not constitute restoration of custody. The definition requires that containment hold for a sustained interval, because conjunction-screening pipelines act on propagated states over forward planning horizons of several days. Transient containment that is not maintained across a screening horizon does not buy back operational confidence. The specific sustained-containment interval is fixed at seventy-two hours, which is consistent with the planning horizons described in operational conjunction-assessment concepts</w:t>
      </w:r>
      <w:r>
        <w:t xml:space="preserve"> </w:t>
      </w:r>
      <w:hyperlink w:anchor="ref-14">
        <w:r>
          <w:rPr>
            <w:rStyle w:val="Hyperlink"/>
          </w:rPr>
          <w:t xml:space="preserve">[14]</w:t>
        </w:r>
      </w:hyperlink>
      <w:r>
        <w:t xml:space="preserve">[16] and which is robust to alternative choices in the sensitivity analyses planned for Chapter 5.</w:t>
      </w:r>
    </w:p>
    <w:p>
      <w:pPr>
        <w:pStyle w:val="BodyText"/>
        <w:spacing w:line="480" w:lineRule="auto"/>
        <w:ind w:firstLine="720"/>
      </w:pPr>
      <w:r>
        <w:t xml:space="preserve">Two boundary cases require explicit treatment. A maneuver that is followed by a second unannounced maneuver before the first custody gap closes generates a compound event whose custody-gap window is right-censored at the second maneuver epoch. The compound event is included in the analytic sample but flagged. A maneuver that is followed by atmospheric decay or by deorbit before custody is restored generates an event whose custody-gap window is undefined; such events are excluded from the analytic sample because their right-tail mass is structurally unobservable.</w:t>
      </w:r>
    </w:p>
    <w:bookmarkEnd w:id="87"/>
    <w:bookmarkStart w:id="88" w:name="Xee8c636cae450ad5edf7e60d9a4492a92e815e9"/>
    <w:p>
      <w:pPr>
        <w:pStyle w:val="Heading2"/>
        <w:spacing w:line="480" w:lineRule="auto"/>
      </w:pPr>
      <w:r>
        <w:t xml:space="preserve">3.3 The Operational Significance of the Quantity</w:t>
      </w:r>
    </w:p>
    <w:p>
      <w:pPr>
        <w:pStyle w:val="FirstParagraph"/>
        <w:spacing w:line="480" w:lineRule="auto"/>
      </w:pPr>
      <w:r>
        <w:t xml:space="preserve">Picture an operator at the console. A satellite operator presented with a candidate conjunction makes a maneuver-or-hold decision against the propagated state of the secondary object at the predicted time of closest approach. The freshness of that state is not generally known; it is inferred indirectly from the time-since-last-element-set field and from the operator’s prior beliefs about the recent maneuver behavior of the secondary</w:t>
      </w:r>
      <w:r>
        <w:t xml:space="preserve"> </w:t>
      </w:r>
      <w:hyperlink w:anchor="ref-3">
        <w:r>
          <w:rPr>
            <w:rStyle w:val="Hyperlink"/>
          </w:rPr>
          <w:t xml:space="preserve">[3]</w:t>
        </w:r>
      </w:hyperlink>
      <w:r>
        <w:t xml:space="preserve">[14]. When the secondary has executed an unannounced maneuver since the last element set, the propagated state and its covariance are no longer faithful descriptions of position uncertainty at the predicted time of closest approach. The conjunction-screening pipeline either fires on geometry that no longer exists, in which case the operator commits a maneuver against a phantom encounter, or fails to fire on geometry that now does exist, in which case the operator holds against a real encounter</w:t>
      </w:r>
      <w:r>
        <w:t xml:space="preserve"> </w:t>
      </w:r>
      <w:hyperlink w:anchor="ref-3">
        <w:r>
          <w:rPr>
            <w:rStyle w:val="Hyperlink"/>
          </w:rPr>
          <w:t xml:space="preserve">[3]</w:t>
        </w:r>
      </w:hyperlink>
      <w:r>
        <w:t xml:space="preserve">. Both failure modes are first-order operational concerns, and both are direct consequences of the custody-gap window having not yet closed at the moment the screening pipeline runs.</w:t>
      </w:r>
    </w:p>
    <w:p>
      <w:pPr>
        <w:pStyle w:val="BodyText"/>
        <w:spacing w:line="480" w:lineRule="auto"/>
        <w:ind w:firstLine="720"/>
      </w:pPr>
      <w:r>
        <w:t xml:space="preserve">The custody-gap window is therefore the right quantity at which to direct the empirical question. Detection latency, considered alone, is a sensor-pipeline quantity that does not by itself describe when the catalog becomes trustworthy. Time-to-orbit-determination convergence, considered alone, is an estimation-theoretic quantity that does not by itself describe when downstream conjunction-screening pipelines act on fresh information. The custody-gap window subsumes both, and is the quantity whose distribution is decision-relevant.</w:t>
      </w:r>
    </w:p>
    <w:bookmarkEnd w:id="88"/>
    <w:bookmarkStart w:id="93" w:name="the-causal-mechanism"/>
    <w:p>
      <w:pPr>
        <w:pStyle w:val="Heading2"/>
        <w:spacing w:line="480" w:lineRule="auto"/>
      </w:pPr>
      <w:r>
        <w:t xml:space="preserve">3.4 The Causal Mechanism</w:t>
      </w:r>
    </w:p>
    <w:p>
      <w:pPr>
        <w:pStyle w:val="FirstParagraph"/>
        <w:spacing w:line="480" w:lineRule="auto"/>
      </w:pPr>
      <w:r>
        <w:t xml:space="preserve">Three sub-processes compose the window. Their individual contributions are theoretically distinguishable. The companion empirical paper for this dissertation has already established that the operationally observable features of these sub-processes account for the great majority of variance in detection latency under an ordinary-least-squares specification, with sensor revisit interval and tasked-sensor count carrying the bulk of the explained variance [PaperOne]. The present section formalizes the causal architecture that underwrites that result and extends it to the full custody-gap quantity.</w:t>
      </w:r>
    </w:p>
    <w:bookmarkStart w:id="89" w:name="the-detection-sub-process"/>
    <w:p>
      <w:pPr>
        <w:pStyle w:val="Heading3"/>
        <w:spacing w:line="480" w:lineRule="auto"/>
      </w:pPr>
      <w:r>
        <w:t xml:space="preserve">3.4.1 The Detection Sub-process</w:t>
      </w:r>
    </w:p>
    <w:p>
      <w:pPr>
        <w:pStyle w:val="FirstParagraph"/>
        <w:spacing w:line="480" w:lineRule="auto"/>
      </w:pPr>
      <w:r>
        <w:t xml:space="preserve">Detection comes first. It consists of the recognition, by some algorithmic or analytic procedure, that an unmodeled change in the orbital state has occurred. The published literature describes four broad detector classes. The first is the two-line-element discontinuity detector pioneered by Kelecy and colleagues, in which successive published element sets are compared and a maneuver is inferred whenever the change exceeds a noise-floor threshold</w:t>
      </w:r>
      <w:r>
        <w:t xml:space="preserve"> </w:t>
      </w:r>
      <w:hyperlink w:anchor="ref-4">
        <w:r>
          <w:rPr>
            <w:rStyle w:val="Hyperlink"/>
          </w:rPr>
          <w:t xml:space="preserve">[4]</w:t>
        </w:r>
      </w:hyperlink>
      <w:r>
        <w:t xml:space="preserve">. The second is the event-representation orbit-determination class introduced by Ko and Scheeres, in which thrust parameters are estimated jointly with the orbit using a thrust-Fourier-coefficient representation</w:t>
      </w:r>
      <w:r>
        <w:t xml:space="preserve"> </w:t>
      </w:r>
      <w:hyperlink w:anchor="ref-1">
        <w:r>
          <w:rPr>
            <w:rStyle w:val="Hyperlink"/>
          </w:rPr>
          <w:t xml:space="preserve">[1]</w:t>
        </w:r>
      </w:hyperlink>
      <w:r>
        <w:t xml:space="preserve">. The third is the heterogeneous-sensor-network class evaluated by Kadan and colleagues, in which post-maneuver initial orbit determination is conducted across distributed sensors with explicit attention to data-association ambiguity</w:t>
      </w:r>
      <w:r>
        <w:t xml:space="preserve"> </w:t>
      </w:r>
      <w:hyperlink w:anchor="ref-2">
        <w:r>
          <w:rPr>
            <w:rStyle w:val="Hyperlink"/>
          </w:rPr>
          <w:t xml:space="preserve">[2]</w:t>
        </w:r>
      </w:hyperlink>
      <w:r>
        <w:t xml:space="preserve">. The fourth is the learning-based class, including the LSTM-autoencoder approach of Kato and colleagues, the artificial-intelligence methods of Perovich and colleagues, the dual-moving-window curve-fitting approach of Gui and colleagues, and the optimal-proposal particle-filter approach of Shorten and colleagues</w:t>
      </w:r>
      <w:r>
        <w:t xml:space="preserve"> </w:t>
      </w:r>
      <w:hyperlink w:anchor="ref-6">
        <w:r>
          <w:rPr>
            <w:rStyle w:val="Hyperlink"/>
          </w:rPr>
          <w:t xml:space="preserve">[6]</w:t>
        </w:r>
      </w:hyperlink>
      <w:r>
        <w:t xml:space="preserve">[7][27][29]. Recent low-latency three-pillar pipelines also belong to this class</w:t>
      </w:r>
      <w:r>
        <w:t xml:space="preserve"> </w:t>
      </w:r>
      <w:hyperlink w:anchor="ref-17">
        <w:r>
          <w:rPr>
            <w:rStyle w:val="Hyperlink"/>
          </w:rPr>
          <w:t xml:space="preserve">[17]</w:t>
        </w:r>
      </w:hyperlink>
      <w:r>
        <w:t xml:space="preserve">.</w:t>
      </w:r>
    </w:p>
    <w:p>
      <w:pPr>
        <w:pStyle w:val="BodyText"/>
        <w:spacing w:line="480" w:lineRule="auto"/>
        <w:ind w:firstLine="720"/>
      </w:pPr>
      <w:r>
        <w:t xml:space="preserve">These classes do not share a common detection latency. The TLE-discontinuity class is bounded below by the cadence at which the public catalog publishes new element sets; even an instantaneous post-maneuver observation cannot reduce detection latency below this floor</w:t>
      </w:r>
      <w:r>
        <w:t xml:space="preserve"> </w:t>
      </w:r>
      <w:hyperlink w:anchor="ref-4">
        <w:r>
          <w:rPr>
            <w:rStyle w:val="Hyperlink"/>
          </w:rPr>
          <w:t xml:space="preserve">[4]</w:t>
        </w:r>
      </w:hyperlink>
      <w:r>
        <w:t xml:space="preserve">. The event-representation class requires observations on both sides of the maneuver, and so its latency is bounded below by the interval between the maneuver epoch and the next sensor pass</w:t>
      </w:r>
      <w:r>
        <w:t xml:space="preserve"> </w:t>
      </w:r>
      <w:hyperlink w:anchor="ref-1">
        <w:r>
          <w:rPr>
            <w:rStyle w:val="Hyperlink"/>
          </w:rPr>
          <w:t xml:space="preserve">[1]</w:t>
        </w:r>
      </w:hyperlink>
      <w:r>
        <w:t xml:space="preserve">. The heterogeneous-network and learning-based classes can in principle compress detection latency further, but they inherit the cadence of the underlying observation stream and cannot detect a maneuver that produces no observable residual</w:t>
      </w:r>
      <w:r>
        <w:t xml:space="preserve"> </w:t>
      </w:r>
      <w:hyperlink w:anchor="ref-2">
        <w:r>
          <w:rPr>
            <w:rStyle w:val="Hyperlink"/>
          </w:rPr>
          <w:t xml:space="preserve">[2]</w:t>
        </w:r>
      </w:hyperlink>
      <w:r>
        <w:t xml:space="preserve">[6][29]. Maneuver-prediction approaches that exploit prior pattern-of-life features can compress expected detection latency further still, at the price of conditioning on the predictability of the maneuvering object</w:t>
      </w:r>
      <w:r>
        <w:t xml:space="preserve"> </w:t>
      </w:r>
      <w:hyperlink w:anchor="ref-11">
        <w:r>
          <w:rPr>
            <w:rStyle w:val="Hyperlink"/>
          </w:rPr>
          <w:t xml:space="preserve">[11]</w:t>
        </w:r>
      </w:hyperlink>
      <w:r>
        <w:t xml:space="preserve">[21].</w:t>
      </w:r>
    </w:p>
    <w:p>
      <w:pPr>
        <w:pStyle w:val="BodyText"/>
        <w:spacing w:line="480" w:lineRule="auto"/>
        <w:ind w:firstLine="720"/>
      </w:pPr>
      <w:r>
        <w:t xml:space="preserve">The detection sub-process therefore introduces a class-specific latency floor and a noise-floor threshold below which small maneuvers are invisible. Both features are first-order determinants of the custody gap.</w:t>
      </w:r>
    </w:p>
    <w:bookmarkEnd w:id="89"/>
    <w:bookmarkStart w:id="90" w:name="the-reacquisition-sub-process"/>
    <w:p>
      <w:pPr>
        <w:pStyle w:val="Heading3"/>
        <w:spacing w:line="480" w:lineRule="auto"/>
      </w:pPr>
      <w:r>
        <w:t xml:space="preserve">3.4.2 The Reacquisition Sub-process</w:t>
      </w:r>
    </w:p>
    <w:p>
      <w:pPr>
        <w:pStyle w:val="FirstParagraph"/>
        <w:spacing w:line="480" w:lineRule="auto"/>
      </w:pPr>
      <w:r>
        <w:t xml:space="preserve">Reacquisition follows. It consists of the production of post-maneuver observations dense enough to support the convergence of a new orbit-determination solution. The dominant covariate is the sensor-network revisit cadence on the object in question, which is itself a function of the network’s geographic distribution, the tasking posture under which the network operates, and the orbital geometry of the object</w:t>
      </w:r>
      <w:r>
        <w:t xml:space="preserve"> </w:t>
      </w:r>
      <w:hyperlink w:anchor="ref-5">
        <w:r>
          <w:rPr>
            <w:rStyle w:val="Hyperlink"/>
          </w:rPr>
          <w:t xml:space="preserve">[5]</w:t>
        </w:r>
      </w:hyperlink>
      <w:r>
        <w:t xml:space="preserve">[8][13][22][23]. Decentralized tasking architectures of the kind demonstrated by Carden and colleagues compress reacquisition latency by routing observations toward the objects whose state estimates have most recently degraded, rather than allocating sensor time uniformly across the catalog</w:t>
      </w:r>
      <w:r>
        <w:t xml:space="preserve"> </w:t>
      </w:r>
      <w:hyperlink w:anchor="ref-5">
        <w:r>
          <w:rPr>
            <w:rStyle w:val="Hyperlink"/>
          </w:rPr>
          <w:t xml:space="preserve">[5]</w:t>
        </w:r>
      </w:hyperlink>
      <w:r>
        <w:t xml:space="preserve">. Wide-field sensors of the kind demonstrated by Toner and colleagues compress the same latency by increasing the instantaneous probability that any given pass captures the post-maneuver object</w:t>
      </w:r>
      <w:r>
        <w:t xml:space="preserve"> </w:t>
      </w:r>
      <w:hyperlink w:anchor="ref-8">
        <w:r>
          <w:rPr>
            <w:rStyle w:val="Hyperlink"/>
          </w:rPr>
          <w:t xml:space="preserve">[8]</w:t>
        </w:r>
      </w:hyperlink>
      <w:r>
        <w:t xml:space="preserve">[18]. Constellations of sensors purpose-built for maneuver tracking exhibit revisit characteristics that further compress this latency</w:t>
      </w:r>
      <w:r>
        <w:t xml:space="preserve"> </w:t>
      </w:r>
      <w:hyperlink w:anchor="ref-12">
        <w:r>
          <w:rPr>
            <w:rStyle w:val="Hyperlink"/>
          </w:rPr>
          <w:t xml:space="preserve">[12]</w:t>
        </w:r>
      </w:hyperlink>
      <w:r>
        <w:t xml:space="preserve">. Global commercial radar networks contribute additional compression by providing post-maneuver state estimates at radar-pass cadence that are independent of the public element-set cycle</w:t>
      </w:r>
      <w:r>
        <w:t xml:space="preserve"> </w:t>
      </w:r>
      <w:hyperlink w:anchor="ref-10">
        <w:r>
          <w:rPr>
            <w:rStyle w:val="Hyperlink"/>
          </w:rPr>
          <w:t xml:space="preserve">[10]</w:t>
        </w:r>
      </w:hyperlink>
      <w:r>
        <w:t xml:space="preserve">[19]. Infrared sensor demonstrators and multi-perspective multi-modal pattern-of-life characterization add further redundancy to the reacquisition path</w:t>
      </w:r>
      <w:r>
        <w:t xml:space="preserve"> </w:t>
      </w:r>
      <w:hyperlink w:anchor="ref-20">
        <w:r>
          <w:rPr>
            <w:rStyle w:val="Hyperlink"/>
          </w:rPr>
          <w:t xml:space="preserve">[20]</w:t>
        </w:r>
      </w:hyperlink>
      <w:r>
        <w:t xml:space="preserve">[21].</w:t>
      </w:r>
    </w:p>
    <w:p>
      <w:pPr>
        <w:pStyle w:val="BodyText"/>
        <w:spacing w:line="480" w:lineRule="auto"/>
        <w:ind w:firstLine="720"/>
      </w:pPr>
      <w:r>
        <w:t xml:space="preserve">Reacquisition latency is therefore the second class-specific contribution to the custody gap, and its determinants are partly orthogonal to those of detection. A network that is fast to detect but slow to reacquire will produce custody gaps dominated by the reacquisition tail; a network that is slow to detect but fast to reacquire will produce custody gaps dominated by the detection tail. Operational policy that targets only one tail will leave compressible gap on the table, as the companion empirical paper demonstrated in the partial-correlation structure of revisit and tasked-sensor count [PaperOne].</w:t>
      </w:r>
    </w:p>
    <w:bookmarkEnd w:id="90"/>
    <w:bookmarkStart w:id="91" w:name="the-re-convergence-sub-process"/>
    <w:p>
      <w:pPr>
        <w:pStyle w:val="Heading3"/>
        <w:spacing w:line="480" w:lineRule="auto"/>
      </w:pPr>
      <w:r>
        <w:t xml:space="preserve">3.4.3 The Re-convergence Sub-process</w:t>
      </w:r>
    </w:p>
    <w:p>
      <w:pPr>
        <w:pStyle w:val="FirstParagraph"/>
        <w:spacing w:line="480" w:lineRule="auto"/>
      </w:pPr>
      <w:r>
        <w:t xml:space="preserve">Re-convergence closes the chain. It consists of the orbit-determination filter ingesting the post-maneuver observations, producing a state estimate whose propagated covariance is consistent with the new orbital regime, and publishing that estimate into the public catalog</w:t>
      </w:r>
      <w:r>
        <w:t xml:space="preserve"> </w:t>
      </w:r>
      <w:hyperlink w:anchor="ref-4">
        <w:r>
          <w:rPr>
            <w:rStyle w:val="Hyperlink"/>
          </w:rPr>
          <w:t xml:space="preserve">[4]</w:t>
        </w:r>
      </w:hyperlink>
      <w:r>
        <w:t xml:space="preserve">[25][31][32]. Re-convergence is the sub-process most thoroughly characterized in the existing literature</w:t>
      </w:r>
      <w:r>
        <w:t xml:space="preserve"> </w:t>
      </w:r>
      <w:hyperlink w:anchor="ref-1">
        <w:r>
          <w:rPr>
            <w:rStyle w:val="Hyperlink"/>
          </w:rPr>
          <w:t xml:space="preserve">[1]</w:t>
        </w:r>
      </w:hyperlink>
      <w:r>
        <w:t xml:space="preserve">[2][25][29][31]. Its latency is governed by the number of post-maneuver observations required to drive the filter to convergence, by the magnitude of the maneuver, which determines how far the prior state estimate lies from the new orbit, and by the publishing cadence of the catalog provider, which determines how long the converged estimate sits in queue before it becomes operationally visible. Continuous low-thrust maneuvers, for which the piecewise-estimation approach of Liu and colleagues is designed, exhibit re-convergence behavior whose latency tail differs from that of impulsive maneuvers in ways that are first-order for the population median</w:t>
      </w:r>
      <w:r>
        <w:t xml:space="preserve"> </w:t>
      </w:r>
      <w:hyperlink w:anchor="ref-32">
        <w:r>
          <w:rPr>
            <w:rStyle w:val="Hyperlink"/>
          </w:rPr>
          <w:t xml:space="preserve">[32]</w:t>
        </w:r>
      </w:hyperlink>
      <w:r>
        <w:t xml:space="preserve">.</w:t>
      </w:r>
    </w:p>
    <w:p>
      <w:pPr>
        <w:pStyle w:val="BodyText"/>
        <w:spacing w:line="480" w:lineRule="auto"/>
        <w:ind w:firstLine="720"/>
      </w:pPr>
      <w:r>
        <w:t xml:space="preserve">Re-convergence latency, like detection latency, has a class-specific floor. A catalog provider that publishes at a fixed cadence cannot return a converged state to operators faster than its own publication cycle, regardless of how quickly the underlying filter converges</w:t>
      </w:r>
      <w:r>
        <w:t xml:space="preserve"> </w:t>
      </w:r>
      <w:hyperlink w:anchor="ref-4">
        <w:r>
          <w:rPr>
            <w:rStyle w:val="Hyperlink"/>
          </w:rPr>
          <w:t xml:space="preserve">[4]</w:t>
        </w:r>
      </w:hyperlink>
      <w:r>
        <w:t xml:space="preserve">.</w:t>
      </w:r>
    </w:p>
    <w:bookmarkEnd w:id="91"/>
    <w:bookmarkStart w:id="92" w:name="composition-and-identification"/>
    <w:p>
      <w:pPr>
        <w:pStyle w:val="Heading3"/>
        <w:spacing w:line="480" w:lineRule="auto"/>
      </w:pPr>
      <w:r>
        <w:t xml:space="preserve">3.4.4 Composition and Identification</w:t>
      </w:r>
    </w:p>
    <w:p>
      <w:pPr>
        <w:pStyle w:val="FirstParagraph"/>
        <w:spacing w:line="480" w:lineRule="auto"/>
      </w:pPr>
      <w:r>
        <w:t xml:space="preserve">The custody gap is the sum of the three sub-process latencies plus any reacquisition search time induced by the propagated covariance having grown beyond the sensor’s instantaneous field of regard between maneuver and first post-maneuver observation</w:t>
      </w:r>
      <w:r>
        <w:t xml:space="preserve"> </w:t>
      </w:r>
      <w:hyperlink w:anchor="ref-5">
        <w:r>
          <w:rPr>
            <w:rStyle w:val="Hyperlink"/>
          </w:rPr>
          <w:t xml:space="preserve">[5]</w:t>
        </w:r>
      </w:hyperlink>
      <w:r>
        <w:t xml:space="preserve">[8][13][18]. The three sub-process latencies are not statistically independent. Detection class and reacquisition cadence are jointly determined by the sensor-network tasking posture; reacquisition cadence and re-convergence latency are jointly determined by the publishing cadence of the catalog provider. The composition is nonetheless additive in the wall-clock domain, which permits the custody gap to be modeled as a single latent duration whose conditional distribution is the quantity of inferential interest.</w:t>
      </w:r>
    </w:p>
    <w:p>
      <w:pPr>
        <w:pStyle w:val="BodyText"/>
        <w:spacing w:line="480" w:lineRule="auto"/>
        <w:ind w:firstLine="720"/>
      </w:pPr>
      <w:r>
        <w:t xml:space="preserve">Identification of the conditional median of this duration is possible because the three sub-process latencies have distinct observable covariates. Detection-class latency is a function of detector choice; reacquisition latency is a function of sensor-network cadence and tasking architecture; re-convergence latency is a function of maneuver magnitude and catalog publishing cadence. The empirical specification, developed in Chapter 4, exploits this covariate structure to identify the median custody gap conditional on the operationally meaningful object and regime characteristics.</w:t>
      </w:r>
    </w:p>
    <w:bookmarkEnd w:id="92"/>
    <w:bookmarkEnd w:id="93"/>
    <w:bookmarkStart w:id="94" w:name="X8ff3db56f2e5a4707e778ab5da8d5f707750518"/>
    <w:p>
      <w:pPr>
        <w:pStyle w:val="Heading2"/>
        <w:spacing w:line="480" w:lineRule="auto"/>
      </w:pPr>
      <w:r>
        <w:t xml:space="preserve">3.5 The Theoretical Median and Its Operational Threshold</w:t>
      </w:r>
    </w:p>
    <w:p>
      <w:pPr>
        <w:pStyle w:val="FirstParagraph"/>
        <w:spacing w:line="480" w:lineRule="auto"/>
      </w:pPr>
      <w:r>
        <w:t xml:space="preserve">Why forty-eight hours? The threshold against which the hypotheses are evaluated is not an arbitrary statistical convenience. It is the planning horizon over which the dominant fraction of operational collision-avoidance maneuvers are committed under contemporary practice. NASA conjunction-assessment operational concepts describe a screening horizon that culminates in a final decision typically several tens of hours before time of closest approach, with the binding interval falling inside the forty-eight-hour window for the majority of high-risk encounters</w:t>
      </w:r>
      <w:r>
        <w:t xml:space="preserve"> </w:t>
      </w:r>
      <w:hyperlink w:anchor="ref-14">
        <w:r>
          <w:rPr>
            <w:rStyle w:val="Hyperlink"/>
          </w:rPr>
          <w:t xml:space="preserve">[14]</w:t>
        </w:r>
      </w:hyperlink>
      <w:r>
        <w:t xml:space="preserve">[16]. Sorge and colleagues describe collision-avoidance improvements that operate inside the same horizon and that explicitly assume freshness of catalog state at the moment the decision is committed</w:t>
      </w:r>
      <w:r>
        <w:t xml:space="preserve"> </w:t>
      </w:r>
      <w:hyperlink w:anchor="ref-3">
        <w:r>
          <w:rPr>
            <w:rStyle w:val="Hyperlink"/>
          </w:rPr>
          <w:t xml:space="preserve">[3]</w:t>
        </w:r>
      </w:hyperlink>
      <w:r>
        <w:t xml:space="preserve">. Campiti and colleagues document the orbital kinematics that make this horizon binding for the LEO regime</w:t>
      </w:r>
      <w:r>
        <w:t xml:space="preserve"> </w:t>
      </w:r>
      <w:hyperlink w:anchor="ref-9">
        <w:r>
          <w:rPr>
            <w:rStyle w:val="Hyperlink"/>
          </w:rPr>
          <w:t xml:space="preserve">[9]</w:t>
        </w:r>
      </w:hyperlink>
      <w:r>
        <w:t xml:space="preserve">. Real-time conjunction-assessment and concurrent-avoidance-negotiation frameworks operate inside the same planning horizon and inherit its assumption of catalog freshness at the decision epoch</w:t>
      </w:r>
      <w:r>
        <w:t xml:space="preserve"> </w:t>
      </w:r>
      <w:hyperlink w:anchor="ref-24">
        <w:r>
          <w:rPr>
            <w:rStyle w:val="Hyperlink"/>
          </w:rPr>
          <w:t xml:space="preserve">[24]</w:t>
        </w:r>
      </w:hyperlink>
      <w:r>
        <w:t xml:space="preserve">.</w:t>
      </w:r>
    </w:p>
    <w:p>
      <w:pPr>
        <w:pStyle w:val="BodyText"/>
        <w:spacing w:line="480" w:lineRule="auto"/>
        <w:ind w:firstLine="720"/>
      </w:pPr>
      <w:r>
        <w:t xml:space="preserve">The interpretation of the hypotheses follows directly from this threshold. If the conditional median custody gap exceeds forty-eight hours, the central tendency of the LEO maneuver population produces a catalog whose state is operationally stale at the moment the conjunction-screening pipeline acts. Half of all unannounced maneuvers, conditional on object size class and altitude band, would in that case still be in their custody-gap window at the planning-horizon boundary. Collision-avoidance pipelines would routinely act on stale geometry, with the failure modes identified in Section 3.3. If the conditional median custody gap is below forty-eight hours, the central tendency of the population is such that contemporary sensor cadence is, on average, sufficient to restore catalog freshness inside the operational planning horizon. The threshold therefore separates two qualitatively distinct operational regimes.</w:t>
      </w:r>
    </w:p>
    <w:p>
      <w:pPr>
        <w:pStyle w:val="BodyText"/>
        <w:spacing w:line="480" w:lineRule="auto"/>
        <w:ind w:firstLine="720"/>
      </w:pPr>
      <w:r>
        <w:t xml:space="preserve">The hypotheses are framed in terms of the conditional median rather than the conditional mean for three reasons. First, the custody-gap distribution is bounded below by zero and is expected on theoretical grounds to be right-skewed, with a heavy tail driven by small-delta-v maneuvers in sparsely tasked regions of the LEO catalog [PaperOne][29]. The mean of such a distribution is dominated by tail mass and is a poor description of central tendency. Second, the median is the quantity that operational practice implicitly targets when it speaks of</w:t>
      </w:r>
      <w:r>
        <w:t xml:space="preserve"> </w:t>
      </w:r>
      <w:r>
        <w:t xml:space="preserve">“typical”</w:t>
      </w:r>
      <w:r>
        <w:t xml:space="preserve"> </w:t>
      </w:r>
      <w:r>
        <w:t xml:space="preserve">custody. A median below threshold is the strongest claim consistent with the underlying distribution shape that contemporary cadence is operationally adequate on the central case. Third, the median admits a quantile-regression estimator whose inferential properties are well understood under the right-censoring induced by maneuvers whose custody is not restored within the observation window.</w:t>
      </w:r>
    </w:p>
    <w:bookmarkEnd w:id="94"/>
    <w:bookmarkStart w:id="95" w:name="formal-statement-of-the-hypotheses"/>
    <w:p>
      <w:pPr>
        <w:pStyle w:val="Heading2"/>
        <w:spacing w:line="480" w:lineRule="auto"/>
      </w:pPr>
      <w:r>
        <w:t xml:space="preserve">3.6 Formal Statement of the Hypotheses</w:t>
      </w:r>
    </w:p>
    <w:p>
      <w:pPr>
        <w:pStyle w:val="FirstParagraph"/>
        <w:spacing w:line="480" w:lineRule="auto"/>
      </w:pPr>
      <w:r>
        <w:t xml:space="preserve">Let M denote the population of unannounced maneuvers executed by resident space objects whose perigee altitudes lie below two thousand kilometers, during the calendar interval from 2019 through 2025. For each event m in M, let G(m) denote the realized custody-gap window in hours, as defined in Section 3.2. Let z(m) denote the conditioning vector consisting of the object’s radar-cross-section size class and its orbital altitude band, with size class drawn from the catalog provider’s published categorization and altitude band drawn from the standard LEO sub-regime partition into very low LEO below five hundred kilometers, mid LEO from five hundred to one thousand kilometers, and upper LEO from one thousand to two thousand kilometers. Let q-half-G-given-z denote the conditional median of G given z, taken across the maneuvering subpopulation under contemporary public-catalog conditions.</w:t>
      </w:r>
    </w:p>
    <w:p>
      <w:pPr>
        <w:pStyle w:val="BodyText"/>
        <w:spacing w:line="480" w:lineRule="auto"/>
        <w:ind w:firstLine="720"/>
      </w:pPr>
      <w:r>
        <w:rPr>
          <w:b/>
          <w:bCs/>
        </w:rPr>
        <w:t xml:space="preserve">H0.</w:t>
      </w:r>
      <w:r>
        <w:t xml:space="preserve"> </w:t>
      </w:r>
      <w:r>
        <w:t xml:space="preserve">The conditional median custody-gap window for the LEO maneuvering population satisfies q-half-G-given-z greater than or equal to forty-eight hours for every combination of size class and altitude band in the support of z.</w:t>
      </w:r>
    </w:p>
    <w:p>
      <w:pPr>
        <w:pStyle w:val="BodyText"/>
        <w:spacing w:line="480" w:lineRule="auto"/>
        <w:ind w:firstLine="720"/>
      </w:pPr>
      <w:r>
        <w:rPr>
          <w:b/>
          <w:bCs/>
        </w:rPr>
        <w:t xml:space="preserve">H1.</w:t>
      </w:r>
      <w:r>
        <w:t xml:space="preserve"> </w:t>
      </w:r>
      <w:r>
        <w:t xml:space="preserve">The conditional median custody-gap window for the LEO maneuvering population satisfies q-half-G-given-z less than forty-eight hours for at least one combination of size class and altitude band in the support of z.</w:t>
      </w:r>
    </w:p>
    <w:p>
      <w:pPr>
        <w:pStyle w:val="BodyText"/>
        <w:spacing w:line="480" w:lineRule="auto"/>
        <w:ind w:firstLine="720"/>
      </w:pPr>
      <w:r>
        <w:t xml:space="preserve">The hypothesis pair is constructed so that rejection of H0 in favor of H1 establishes the existence of at least one operational regime in which contemporary cadence is sufficient. Failure to reject H0 leaves open the empirically meaningful possibility that contemporary cadence is uniformly insufficient across the LEO population, which would constitute a quantitatively grounded claim about the policy stakes of further sensor-network investment</w:t>
      </w:r>
      <w:r>
        <w:t xml:space="preserve"> </w:t>
      </w:r>
      <w:hyperlink w:anchor="ref-5">
        <w:r>
          <w:rPr>
            <w:rStyle w:val="Hyperlink"/>
          </w:rPr>
          <w:t xml:space="preserve">[5]</w:t>
        </w:r>
      </w:hyperlink>
      <w:r>
        <w:t xml:space="preserve">[8][22]. The directional structure of the test is therefore aligned with the policy-relevant inference. The conditioning on size class and altitude band ensures that the hypothesis is not collapsed into a single population-level median that might mask qualitatively distinct sub-regime behavior, which the companion empirical work indicated is a live possibility for the small-radar-cross-section, low-delta-v tail of the distribution [PaperOne].</w:t>
      </w:r>
    </w:p>
    <w:p>
      <w:pPr>
        <w:pStyle w:val="BodyText"/>
        <w:spacing w:line="480" w:lineRule="auto"/>
        <w:ind w:firstLine="720"/>
      </w:pPr>
      <w:r>
        <w:t xml:space="preserve">The hypothesis is restricted to the most recent two years of the sample window for the test of record, with the full sample reserved for descriptive estimation and for the calendar-stratified survival specification developed in Chapter 4. This restriction guards against the threat that regime drift across the 2019 through 2025 window would render the population-pooled median uninformative about the contemporary operational regime</w:t>
      </w:r>
      <w:r>
        <w:t xml:space="preserve"> </w:t>
      </w:r>
      <w:hyperlink w:anchor="ref-3">
        <w:r>
          <w:rPr>
            <w:rStyle w:val="Hyperlink"/>
          </w:rPr>
          <w:t xml:space="preserve">[3]</w:t>
        </w:r>
      </w:hyperlink>
      <w:r>
        <w:t xml:space="preserve">[9][26][28]. The threat is treated in Section 3.7 as one of four explicit threats to the inferential validity of the hypothesis test.</w:t>
      </w:r>
    </w:p>
    <w:bookmarkEnd w:id="95"/>
    <w:bookmarkStart w:id="96" w:name="X3809027287a0ead5b085d185eb49c8899727ffa"/>
    <w:p>
      <w:pPr>
        <w:pStyle w:val="Heading2"/>
        <w:spacing w:line="480" w:lineRule="auto"/>
      </w:pPr>
      <w:r>
        <w:t xml:space="preserve">3.7 Scope Conditions and Threats to the Theoretical Mechanism</w:t>
      </w:r>
    </w:p>
    <w:p>
      <w:pPr>
        <w:pStyle w:val="FirstParagraph"/>
        <w:spacing w:line="480" w:lineRule="auto"/>
      </w:pPr>
      <w:r>
        <w:t xml:space="preserve">Four scope conditions delimit the domain over which the theoretical mechanism is asserted to hold. First, the mechanism applies to unannounced maneuvers only. Announced maneuvers, defined as maneuvers for which the operator has provided prior notification through any accepted channel, do not produce a custody gap in the operational sense, because the receiving pipelines may incorporate the announced maneuver into the propagated state before the maneuver is executed. Second, the mechanism applies to maneuvers executed by objects whose orbital regime is the low Earth orbit population as defined by the perigee-altitude criterion. The geostationary and medium-Earth-orbit regimes exhibit qualitatively different sensor-network geometry and tasking cadence that fall outside the scope of the present claim</w:t>
      </w:r>
      <w:r>
        <w:t xml:space="preserve"> </w:t>
      </w:r>
      <w:hyperlink w:anchor="ref-6">
        <w:r>
          <w:rPr>
            <w:rStyle w:val="Hyperlink"/>
          </w:rPr>
          <w:t xml:space="preserve">[6]</w:t>
        </w:r>
      </w:hyperlink>
      <w:r>
        <w:t xml:space="preserve">[7]. Third, the mechanism applies under contemporary public-catalog conditions, defined as the catalog provider’s publication practice during the 2019 through 2025 window. Material changes in publication cadence outside this window would require re-estimation. Fourth, the mechanism applies to the maneuvering subpopulation, conditional on detectability under the primary detector class. The reported median is therefore a statement about the custody-gap window for maneuvers large enough to be detectable; very small maneuvers below the noise floor of all available detectors remain outside the scope of the claim.</w:t>
      </w:r>
    </w:p>
    <w:p>
      <w:pPr>
        <w:pStyle w:val="BodyText"/>
        <w:spacing w:line="480" w:lineRule="auto"/>
        <w:ind w:firstLine="720"/>
      </w:pPr>
      <w:r>
        <w:t xml:space="preserve">Four corresponding threats to the validity of the inference will be addressed in Chapter 4 and revisited in Chapter 6: detector bias against small maneuvers</w:t>
      </w:r>
      <w:r>
        <w:t xml:space="preserve"> </w:t>
      </w:r>
      <w:hyperlink w:anchor="ref-4">
        <w:r>
          <w:rPr>
            <w:rStyle w:val="Hyperlink"/>
          </w:rPr>
          <w:t xml:space="preserve">[4]</w:t>
        </w:r>
      </w:hyperlink>
      <w:r>
        <w:t xml:space="preserve">[6][29], non-uniform corroboration coverage from the commercial radar archive</w:t>
      </w:r>
      <w:r>
        <w:t xml:space="preserve"> </w:t>
      </w:r>
      <w:hyperlink w:anchor="ref-10">
        <w:r>
          <w:rPr>
            <w:rStyle w:val="Hyperlink"/>
          </w:rPr>
          <w:t xml:space="preserve">[10]</w:t>
        </w:r>
      </w:hyperlink>
      <w:r>
        <w:t xml:space="preserve">[19], catalog-update-cadence quantization of the custody-gap endpoint</w:t>
      </w:r>
      <w:r>
        <w:t xml:space="preserve"> </w:t>
      </w:r>
      <w:hyperlink w:anchor="ref-4">
        <w:r>
          <w:rPr>
            <w:rStyle w:val="Hyperlink"/>
          </w:rPr>
          <w:t xml:space="preserve">[4]</w:t>
        </w:r>
      </w:hyperlink>
      <w:r>
        <w:t xml:space="preserve">, and regime drift across the sample window</w:t>
      </w:r>
      <w:r>
        <w:t xml:space="preserve"> </w:t>
      </w:r>
      <w:hyperlink w:anchor="ref-3">
        <w:r>
          <w:rPr>
            <w:rStyle w:val="Hyperlink"/>
          </w:rPr>
          <w:t xml:space="preserve">[3]</w:t>
        </w:r>
      </w:hyperlink>
      <w:r>
        <w:t xml:space="preserve">[9][26][28]. These threats are not theoretical objections to the mechanism but practical objections to its measurement; their treatment belongs with the estimation procedure, which is taken up in Chapter 4.</w:t>
      </w:r>
    </w:p>
    <w:bookmarkEnd w:id="96"/>
    <w:bookmarkStart w:id="97" w:name="summary"/>
    <w:p>
      <w:pPr>
        <w:pStyle w:val="Heading2"/>
        <w:spacing w:line="480" w:lineRule="auto"/>
      </w:pPr>
      <w:r>
        <w:t xml:space="preserve">3.8 Summary</w:t>
      </w:r>
    </w:p>
    <w:p>
      <w:pPr>
        <w:pStyle w:val="FirstParagraph"/>
        <w:spacing w:line="480" w:lineRule="auto"/>
      </w:pPr>
      <w:r>
        <w:t xml:space="preserve">This chapter has defined the custody-gap window as the wall-clock interval between the true epoch of an unannounced LEO maneuver and the earliest sustained interval during which the propagated public-catalog state contains the true post-maneuver state within a fixed covariance bound. It has decomposed the window into detection, reacquisition, and re-convergence sub-processes whose individual latencies have distinct observable covariates and whose composition is additive in the wall-clock domain. It has stated the operational significance of the quantity for conjunction-screening pipelines and operator decisions and has identified the forty-eight-hour threshold as the planning horizon over which the dominant fraction of contemporary collision-avoidance maneuvers are committed. It has stated the null and alternative hypotheses in terms of the conditional median custody-gap window given object size class and altitude band, and it has explained the directional structure of the test. The chapter has bounded the scope of the theoretical mechanism and flagged the threats whose practical treatment belongs to the estimation procedure developed in Chapter 4.</w:t>
      </w:r>
    </w:p>
    <w:bookmarkEnd w:id="97"/>
    <w:bookmarkEnd w:id="98"/>
    <w:bookmarkStart w:id="107" w:name="chapter-4.-data-and-measurement"/>
    <w:p>
      <w:pPr>
        <w:pStyle w:val="Heading1"/>
        <w:spacing w:line="480" w:lineRule="auto"/>
      </w:pPr>
      <w:r>
        <w:t xml:space="preserve">Chapter 4. Data and Measurement</w:t>
      </w:r>
    </w:p>
    <w:bookmarkStart w:id="99" w:name="purpose-and-scope-of-the-chapter"/>
    <w:p>
      <w:pPr>
        <w:pStyle w:val="Heading2"/>
        <w:spacing w:line="480" w:lineRule="auto"/>
      </w:pPr>
      <w:r>
        <w:t xml:space="preserve">4.1 Purpose and Scope of the Chapter</w:t>
      </w:r>
    </w:p>
    <w:p>
      <w:pPr>
        <w:pStyle w:val="FirstParagraph"/>
        <w:spacing w:line="480" w:lineRule="auto"/>
      </w:pPr>
      <w:r>
        <w:t xml:space="preserve">Everything rests on the data. This chapter documents the foundation on which the empirical claims of the dissertation stand. It specifies the primary records that enter the analysis, the authoritative sources from which those records are drawn, the unit of analysis at which inference is conducted, and the construction rules that translate raw archival material into the variables that appear in the estimating equations of Papers One and Two. The treatment is deliberately granular. The custody-gap window is a quantity whose plausibility depends on how one defines a maneuver, when one declares custody restored, and which sensor-network properties one accepts as observable. Each of those definitional choices is made here, in the open, before the inferential machinery of the later chapters is brought to bear.</w:t>
      </w:r>
    </w:p>
    <w:p>
      <w:pPr>
        <w:pStyle w:val="BodyText"/>
        <w:spacing w:line="480" w:lineRule="auto"/>
        <w:ind w:firstLine="720"/>
      </w:pPr>
      <w:r>
        <w:t xml:space="preserve">The chapter proceeds in seven sections after this introduction. Section 4.2 fixes the unit of analysis. Section 4.3 enumerates the primary datasets and their custodians. Section 4.4 specifies the construction of the dependent variable, namely the custody-gap window measured in wall-clock hours. Section 4.5 specifies the construction of the operational covariates that characterize the sensor network. Section 4.6 specifies the construction of the object-level covariates that characterize the maneuvered object. Section 4.7 documents corroboration, missingness, and provenance. Section 4.8 records measurement assumptions that the reader must accept in order to read the coefficients in the chapters that follow as causal-magnitude estimates rather than as descriptive associations.</w:t>
      </w:r>
    </w:p>
    <w:bookmarkEnd w:id="99"/>
    <w:bookmarkStart w:id="100" w:name="unit-of-analysis"/>
    <w:p>
      <w:pPr>
        <w:pStyle w:val="Heading2"/>
        <w:spacing w:line="480" w:lineRule="auto"/>
      </w:pPr>
      <w:r>
        <w:t xml:space="preserve">4.2 Unit of Analysis</w:t>
      </w:r>
    </w:p>
    <w:p>
      <w:pPr>
        <w:pStyle w:val="FirstParagraph"/>
        <w:spacing w:line="480" w:lineRule="auto"/>
      </w:pPr>
      <w:r>
        <w:t xml:space="preserve">The unit of analysis is the candidate maneuver event. Three fields define it. A candidate event is a tuple consisting of a resident space object identifier, an estimated maneuver epoch, and a custody-restoration epoch. The object identifier is the NORAD catalog number that anchors every other record. The maneuver epoch is the wall-clock time at which the unannounced burn is judged to have occurred. The custody-restoration epoch is the wall-clock time at which the public catalog state once again contains the object within a specified covariance bound, as verified against an independent tracking source.</w:t>
      </w:r>
    </w:p>
    <w:p>
      <w:pPr>
        <w:pStyle w:val="BodyText"/>
        <w:spacing w:line="480" w:lineRule="auto"/>
        <w:ind w:firstLine="720"/>
      </w:pPr>
      <w:r>
        <w:t xml:space="preserve">Two consequences follow from this definitional choice. First, the unit is the event, not the object. An object that maneuvers ten times during the observation window contributes ten observations, each with its own covariate vector, because the operational features of the sensor tasking and the object configuration at the time of each maneuver are themselves time-varying. Second, the unit is the unannounced event. Maneuvers that are pre-notified through Conjunction Data Messages or operator filings are excluded from the inferential sample because their detection latency is dominated by administrative confirmation rather than by sensor-network revisit and orbit determination, and including them would conflate two operationally distinct mechanisms.</w:t>
      </w:r>
    </w:p>
    <w:p>
      <w:pPr>
        <w:pStyle w:val="BodyText"/>
        <w:spacing w:line="480" w:lineRule="auto"/>
        <w:ind w:firstLine="720"/>
      </w:pPr>
      <w:r>
        <w:t xml:space="preserve">Paper One operationalizes the event-level unit on a sample of forty resident space objects whose maneuver activity between 2017 and 2024 was reconstructed from open-source operator filings and counterspace reporting. Paper Two extends the same event-level unit to the much larger TLE-discontinuity-derived event set for the LEO population between 2019 and 2025 that the dissertation will assemble in Chapter Five. The chapters share a single definition of the event, which permits the survival models of the later chapter to be read as natural extensions of the OLS specification of the earlier one.</w:t>
      </w:r>
    </w:p>
    <w:bookmarkEnd w:id="100"/>
    <w:bookmarkStart w:id="101" w:name="primary-datasets-and-their-custodians"/>
    <w:p>
      <w:pPr>
        <w:pStyle w:val="Heading2"/>
        <w:spacing w:line="480" w:lineRule="auto"/>
      </w:pPr>
      <w:r>
        <w:t xml:space="preserve">4.3 Primary Datasets and Their Custodians</w:t>
      </w:r>
    </w:p>
    <w:p>
      <w:pPr>
        <w:pStyle w:val="FirstParagraph"/>
        <w:spacing w:line="480" w:lineRule="auto"/>
      </w:pPr>
      <w:r>
        <w:t xml:space="preserve">Four primary datasets enter the analysis. Each is identified by its authoritative custodian and by the access mechanism through which records are drawn.</w:t>
      </w:r>
    </w:p>
    <w:p>
      <w:pPr>
        <w:pStyle w:val="BodyText"/>
        <w:spacing w:line="480" w:lineRule="auto"/>
        <w:ind w:firstLine="720"/>
      </w:pPr>
      <w:r>
        <w:t xml:space="preserve">Begin with the public catalog. The first dataset is the United States Space Force record of two-line element sets distributed through Space-Track.org. This is the canonical record of orbital state for unclassified resident space objects. Its provenance is the 18th Space Defense Squadron at Vandenberg Space Force Base. For each object in the catalog, Space-Track provides the historical TLE archive at the cadence that the Space Surveillance Network has published the element set, together with object metadata that include radar cross section size class, country of origin, launch date, decay status, and orbital regime. The dissertation draws TLE pairs for every object with a perigee altitude below two thousand kilometers over the calendar interval that spans 2019 through 2025 for Paper Two, and a subset of the same archive for the smaller hand-curated sample of Paper One. The Space-Track terms of service permit research use of the archive, with redistribution restrictions that the replication artifact handles by publishing object identifiers and event epochs rather than raw TLEs.</w:t>
      </w:r>
    </w:p>
    <w:p>
      <w:pPr>
        <w:pStyle w:val="BodyText"/>
        <w:spacing w:line="480" w:lineRule="auto"/>
        <w:ind w:firstLine="720"/>
      </w:pPr>
      <w:r>
        <w:t xml:space="preserve">The second is the LeoLabs commercial radar ephemeris archive, used for corroboration of TLE-discontinuity candidates. LeoLabs operates a global S-band and UHF phased-array radar network and publishes ephemerides for the LEO population at radar-pass cadence. Squires and colleagues document the operational characteristics of the network and its application to maneuver detection and characterization</w:t>
      </w:r>
      <w:r>
        <w:t xml:space="preserve"> </w:t>
      </w:r>
      <w:hyperlink w:anchor="ref-19">
        <w:r>
          <w:rPr>
            <w:rStyle w:val="Hyperlink"/>
          </w:rPr>
          <w:t xml:space="preserve">[19]</w:t>
        </w:r>
      </w:hyperlink>
      <w:r>
        <w:t xml:space="preserve">. Access is granted through institutional agreement; ephemeris segments around each candidate event are pulled to confirm that a TLE discontinuity reflects a true maneuver rather than an element-set artifact, and to mark the epoch at which the propagated catalog state re-enters the three-sigma covariance bound.</w:t>
      </w:r>
    </w:p>
    <w:p>
      <w:pPr>
        <w:pStyle w:val="BodyText"/>
        <w:spacing w:line="480" w:lineRule="auto"/>
        <w:ind w:firstLine="720"/>
      </w:pPr>
      <w:r>
        <w:t xml:space="preserve">The third is the open-source operator and regulatory archive that anchors Paper One. This archive comprises Federal Communications Commission filings for commercial communications constellations, Securities and Exchange Commission disclosures for publicly traded operators, NASA Conjunction Assessment Risk Analysis operational reports for civil missions</w:t>
      </w:r>
      <w:r>
        <w:t xml:space="preserve"> </w:t>
      </w:r>
      <w:hyperlink w:anchor="ref-16">
        <w:r>
          <w:rPr>
            <w:rStyle w:val="Hyperlink"/>
          </w:rPr>
          <w:t xml:space="preserve">[16]</w:t>
        </w:r>
      </w:hyperlink>
      <w:r>
        <w:t xml:space="preserve">, and the periodic Global Counterspace Capabilities open-source assessments edited by Weeden and Samson for state-actor proximity-operations cases</w:t>
      </w:r>
      <w:r>
        <w:t xml:space="preserve"> </w:t>
      </w:r>
      <w:hyperlink w:anchor="ref-15">
        <w:r>
          <w:rPr>
            <w:rStyle w:val="Hyperlink"/>
          </w:rPr>
          <w:t xml:space="preserve">[15]</w:t>
        </w:r>
      </w:hyperlink>
      <w:r>
        <w:t xml:space="preserve">. These filings and reports provide post-maneuver catalog-update timing for a subset of the sample on which sensor-tasking and operator-disclosure conventions permit reconstruction of confirmed detection latency.</w:t>
      </w:r>
    </w:p>
    <w:p>
      <w:pPr>
        <w:pStyle w:val="BodyText"/>
        <w:spacing w:line="480" w:lineRule="auto"/>
        <w:ind w:firstLine="720"/>
      </w:pPr>
      <w:r>
        <w:t xml:space="preserve">The fourth is the published sensor-network performance literature from which the operational covariates of revisit cadence and tasked-sensor count are constructed. The relevant artifacts include the wide-field-of-view sensor demonstration of Toner and colleagues</w:t>
      </w:r>
      <w:r>
        <w:t xml:space="preserve"> </w:t>
      </w:r>
      <w:hyperlink w:anchor="ref-18">
        <w:r>
          <w:rPr>
            <w:rStyle w:val="Hyperlink"/>
          </w:rPr>
          <w:t xml:space="preserve">[18]</w:t>
        </w:r>
      </w:hyperlink>
      <w:r>
        <w:t xml:space="preserve">[8], the decentralized-tasking demonstration of Carden and colleagues</w:t>
      </w:r>
      <w:r>
        <w:t xml:space="preserve"> </w:t>
      </w:r>
      <w:hyperlink w:anchor="ref-5">
        <w:r>
          <w:rPr>
            <w:rStyle w:val="Hyperlink"/>
          </w:rPr>
          <w:t xml:space="preserve">[5]</w:t>
        </w:r>
      </w:hyperlink>
      <w:r>
        <w:t xml:space="preserve">, the constellation-of-sensors design study of Morris and colleagues</w:t>
      </w:r>
      <w:r>
        <w:t xml:space="preserve"> </w:t>
      </w:r>
      <w:hyperlink w:anchor="ref-12">
        <w:r>
          <w:rPr>
            <w:rStyle w:val="Hyperlink"/>
          </w:rPr>
          <w:t xml:space="preserve">[12]</w:t>
        </w:r>
      </w:hyperlink>
      <w:r>
        <w:t xml:space="preserve">, the maneuver-prediction prior of Shabarekh and colleagues</w:t>
      </w:r>
      <w:r>
        <w:t xml:space="preserve"> </w:t>
      </w:r>
      <w:hyperlink w:anchor="ref-11">
        <w:r>
          <w:rPr>
            <w:rStyle w:val="Hyperlink"/>
          </w:rPr>
          <w:t xml:space="preserve">[11]</w:t>
        </w:r>
      </w:hyperlink>
      <w:r>
        <w:t xml:space="preserve">, the low-latency maneuver-detection pipeline of Miga and colleagues</w:t>
      </w:r>
      <w:r>
        <w:t xml:space="preserve"> </w:t>
      </w:r>
      <w:hyperlink w:anchor="ref-17">
        <w:r>
          <w:rPr>
            <w:rStyle w:val="Hyperlink"/>
          </w:rPr>
          <w:t xml:space="preserve">[17]</w:t>
        </w:r>
      </w:hyperlink>
      <w:r>
        <w:t xml:space="preserve">, the conjunction-assessment operational concept of Frigm</w:t>
      </w:r>
      <w:r>
        <w:t xml:space="preserve"> </w:t>
      </w:r>
      <w:hyperlink w:anchor="ref-14">
        <w:r>
          <w:rPr>
            <w:rStyle w:val="Hyperlink"/>
          </w:rPr>
          <w:t xml:space="preserve">[14]</w:t>
        </w:r>
      </w:hyperlink>
      <w:r>
        <w:t xml:space="preserve">, the search-based and task-based ground-based-telescope comparison of Hertwig and colleagues</w:t>
      </w:r>
      <w:r>
        <w:t xml:space="preserve"> </w:t>
      </w:r>
      <w:hyperlink w:anchor="ref-23">
        <w:r>
          <w:rPr>
            <w:rStyle w:val="Hyperlink"/>
          </w:rPr>
          <w:t xml:space="preserve">[23]</w:t>
        </w:r>
      </w:hyperlink>
      <w:r>
        <w:t xml:space="preserve">, and the multi-perspective characterization framework of Neelakantan and colleagues</w:t>
      </w:r>
      <w:r>
        <w:t xml:space="preserve"> </w:t>
      </w:r>
      <w:hyperlink w:anchor="ref-21">
        <w:r>
          <w:rPr>
            <w:rStyle w:val="Hyperlink"/>
          </w:rPr>
          <w:t xml:space="preserve">[21]</w:t>
        </w:r>
      </w:hyperlink>
      <w:r>
        <w:t xml:space="preserve">. From these sources the dissertation extracts, for each calendar quarter of the observation window, the revisit-time and tasked-sensor statistics that the operational covariates require.</w:t>
      </w:r>
    </w:p>
    <w:bookmarkEnd w:id="101"/>
    <w:bookmarkStart w:id="102" w:name="construction-of-the-dependent-variable"/>
    <w:p>
      <w:pPr>
        <w:pStyle w:val="Heading2"/>
        <w:spacing w:line="480" w:lineRule="auto"/>
      </w:pPr>
      <w:r>
        <w:t xml:space="preserve">4.4 Construction of the Dependent Variable</w:t>
      </w:r>
    </w:p>
    <w:p>
      <w:pPr>
        <w:pStyle w:val="FirstParagraph"/>
        <w:spacing w:line="480" w:lineRule="auto"/>
      </w:pPr>
      <w:r>
        <w:t xml:space="preserve">The dependent variable is the custody-gap window, denoted Y and measured in wall-clock hours. Four steps build it.</w:t>
      </w:r>
    </w:p>
    <w:p>
      <w:pPr>
        <w:pStyle w:val="BodyText"/>
        <w:spacing w:line="480" w:lineRule="auto"/>
        <w:ind w:firstLine="720"/>
      </w:pPr>
      <w:r>
        <w:t xml:space="preserve">Step one is candidate-event identification. For Paper Two the procedure follows Kelecy and colleagues</w:t>
      </w:r>
      <w:r>
        <w:t xml:space="preserve"> </w:t>
      </w:r>
      <w:hyperlink w:anchor="ref-4">
        <w:r>
          <w:rPr>
            <w:rStyle w:val="Hyperlink"/>
          </w:rPr>
          <w:t xml:space="preserve">[4]</w:t>
        </w:r>
      </w:hyperlink>
      <w:r>
        <w:t xml:space="preserve">: the dissertation propagates each historical TLE forward to the epoch of the next published TLE for the same object and computes the radial, in-track, and cross-track residuals. A candidate event is declared when the maximum component residual exceeds a threshold calibrated against the empirical distribution of residuals for the same object class during quiescent intervals. The Kelecy threshold is the primary detector; the LSTM-autoencoder detector of Kato and colleagues</w:t>
      </w:r>
      <w:r>
        <w:t xml:space="preserve"> </w:t>
      </w:r>
      <w:hyperlink w:anchor="ref-6">
        <w:r>
          <w:rPr>
            <w:rStyle w:val="Hyperlink"/>
          </w:rPr>
          <w:t xml:space="preserve">[6]</w:t>
        </w:r>
      </w:hyperlink>
      <w:r>
        <w:t xml:space="preserve"> </w:t>
      </w:r>
      <w:r>
        <w:t xml:space="preserve">is the robustness alternative, applied to the same residual stream in the sensitivity analyses; and the dual-moving-window curve-fit detector of Gui and colleagues</w:t>
      </w:r>
      <w:r>
        <w:t xml:space="preserve"> </w:t>
      </w:r>
      <w:hyperlink w:anchor="ref-27">
        <w:r>
          <w:rPr>
            <w:rStyle w:val="Hyperlink"/>
          </w:rPr>
          <w:t xml:space="preserve">[27]</w:t>
        </w:r>
      </w:hyperlink>
      <w:r>
        <w:t xml:space="preserve"> </w:t>
      </w:r>
      <w:r>
        <w:t xml:space="preserve">and the optimal-proposal particle filter of Shorten and colleagues</w:t>
      </w:r>
      <w:r>
        <w:t xml:space="preserve"> </w:t>
      </w:r>
      <w:hyperlink w:anchor="ref-29">
        <w:r>
          <w:rPr>
            <w:rStyle w:val="Hyperlink"/>
          </w:rPr>
          <w:t xml:space="preserve">[29]</w:t>
        </w:r>
      </w:hyperlink>
      <w:r>
        <w:t xml:space="preserve"> </w:t>
      </w:r>
      <w:r>
        <w:t xml:space="preserve">are recorded as comparators against which the primary detector is benchmarked. For Paper One the candidate events are not drawn from the TLE residual stream but from the operator-filing and counterspace-reporting archive, which provides higher-fidelity ground truth on a smaller sample. The two papers therefore answer the same operational question against two different sampling frames, and Chapter Six will reconcile them.</w:t>
      </w:r>
    </w:p>
    <w:p>
      <w:pPr>
        <w:pStyle w:val="BodyText"/>
        <w:spacing w:line="480" w:lineRule="auto"/>
        <w:ind w:firstLine="720"/>
      </w:pPr>
      <w:r>
        <w:t xml:space="preserve">Step two is maneuver-epoch estimation. The candidate-event epoch is refined using the event-representation orbit-determination procedure of Ko and Scheeres</w:t>
      </w:r>
      <w:r>
        <w:t xml:space="preserve"> </w:t>
      </w:r>
      <w:hyperlink w:anchor="ref-1">
        <w:r>
          <w:rPr>
            <w:rStyle w:val="Hyperlink"/>
          </w:rPr>
          <w:t xml:space="preserve">[1]</w:t>
        </w:r>
      </w:hyperlink>
      <w:r>
        <w:t xml:space="preserve">, in which thrust-Fourier coefficients are estimated jointly with the orbit on a window that spans the pre-maneuver and post-maneuver tracks. The refined epoch is the time at which the estimated thrust profile crosses zero. For maneuvers that the event-representation procedure cannot converge, which are typically the smallest-delta-v cases, the epoch is set to the midpoint of the TLE pair that triggered the candidate. The procedure is consistent with the survey treatment of orbit-determination methods in Kazemi and colleagues</w:t>
      </w:r>
      <w:r>
        <w:t xml:space="preserve"> </w:t>
      </w:r>
      <w:hyperlink w:anchor="ref-31">
        <w:r>
          <w:rPr>
            <w:rStyle w:val="Hyperlink"/>
          </w:rPr>
          <w:t xml:space="preserve">[31]</w:t>
        </w:r>
      </w:hyperlink>
      <w:r>
        <w:t xml:space="preserve"> </w:t>
      </w:r>
      <w:r>
        <w:t xml:space="preserve">and the continuous-low-thrust extension in Liu and colleagues</w:t>
      </w:r>
      <w:r>
        <w:t xml:space="preserve"> </w:t>
      </w:r>
      <w:hyperlink w:anchor="ref-32">
        <w:r>
          <w:rPr>
            <w:rStyle w:val="Hyperlink"/>
          </w:rPr>
          <w:t xml:space="preserve">[32]</w:t>
        </w:r>
      </w:hyperlink>
      <w:r>
        <w:t xml:space="preserve">, both of which are cited as methodological reference points rather than as data sources.</w:t>
      </w:r>
    </w:p>
    <w:p>
      <w:pPr>
        <w:pStyle w:val="BodyText"/>
        <w:spacing w:line="480" w:lineRule="auto"/>
        <w:ind w:firstLine="720"/>
      </w:pPr>
      <w:r>
        <w:t xml:space="preserve">Step three is corroboration. The refined maneuver-epoch estimate is checked against the LeoLabs ephemeris archive</w:t>
      </w:r>
      <w:r>
        <w:t xml:space="preserve"> </w:t>
      </w:r>
      <w:hyperlink w:anchor="ref-19">
        <w:r>
          <w:rPr>
            <w:rStyle w:val="Hyperlink"/>
          </w:rPr>
          <w:t xml:space="preserve">[19]</w:t>
        </w:r>
      </w:hyperlink>
      <w:r>
        <w:t xml:space="preserve">. A candidate is retained in the inferential sample if and only if the LeoLabs ephemeris segment that brackets the refined epoch is consistent with a maneuver, defined as a residual between the LeoLabs state and the propagated public-catalog state that exceeds three sigma at the refined epoch and that does not return within three sigma until at least one subsequent LeoLabs revisit. Candidates that fail this corroboration are recorded but excluded from the estimation sample, and the fraction excluded is reported as a measurement of the false-positive rate of the primary detector. Pirovano and Armellin provide the contemporary reference for the corroboration logic</w:t>
      </w:r>
      <w:r>
        <w:t xml:space="preserve"> </w:t>
      </w:r>
      <w:hyperlink w:anchor="ref-25">
        <w:r>
          <w:rPr>
            <w:rStyle w:val="Hyperlink"/>
          </w:rPr>
          <w:t xml:space="preserve">[25]</w:t>
        </w:r>
      </w:hyperlink>
      <w:r>
        <w:t xml:space="preserve">.</w:t>
      </w:r>
    </w:p>
    <w:p>
      <w:pPr>
        <w:pStyle w:val="BodyText"/>
        <w:spacing w:line="480" w:lineRule="auto"/>
        <w:ind w:firstLine="720"/>
      </w:pPr>
      <w:r>
        <w:t xml:space="preserve">Step four is custody-restoration timing. The custody-restoration epoch is the time of the first subsequent Space-Track TLE whose propagated state, when compared against the LeoLabs ephemeris archive, falls within the three-sigma covariance bound for at least seventy-two consecutive hours. The seventy-two-hour persistence requirement guards against a single-pass coincidence in which the public state briefly re-enters the bound but diverges again on the next propagation interval. The custody-gap window Y is then computed as the difference between the custody-restoration epoch and the refined maneuver epoch, expressed in wall-clock hours.</w:t>
      </w:r>
    </w:p>
    <w:p>
      <w:pPr>
        <w:pStyle w:val="BodyText"/>
        <w:spacing w:line="480" w:lineRule="auto"/>
        <w:ind w:firstLine="720"/>
      </w:pPr>
      <w:r>
        <w:t xml:space="preserve">The Paper One sample collapses the four-step procedure into a single confirmed-detection-latency variable, denoted in that paper as detection latency in hours, which is the operator-disclosed or reporting-derived interval between the maneuver execution and the catalog update that contains it. The Paper One variable is the same construct as the Paper Two custody-gap window, measured against a different sampling frame. The two are merged into a common dependent-variable definition in Chapter Six.</w:t>
      </w:r>
    </w:p>
    <w:bookmarkEnd w:id="102"/>
    <w:bookmarkStart w:id="103" w:name="X87fe773ffa483c63d46310329a0072558d194f7"/>
    <w:p>
      <w:pPr>
        <w:pStyle w:val="Heading2"/>
        <w:spacing w:line="480" w:lineRule="auto"/>
      </w:pPr>
      <w:r>
        <w:t xml:space="preserve">4.5 Construction of the Operational Covariates</w:t>
      </w:r>
    </w:p>
    <w:p>
      <w:pPr>
        <w:pStyle w:val="FirstParagraph"/>
        <w:spacing w:line="480" w:lineRule="auto"/>
      </w:pPr>
      <w:r>
        <w:t xml:space="preserve">Two operational covariates carry the sensor-network signal: revisit interval and the number of tasked sensors. Both are constructed from the published sensor-network literature, not from raw radar logs, because the operational tasking of the Space Surveillance Network is not publicly archived at the object-event level.</w:t>
      </w:r>
    </w:p>
    <w:p>
      <w:pPr>
        <w:pStyle w:val="BodyText"/>
        <w:spacing w:line="480" w:lineRule="auto"/>
        <w:ind w:firstLine="720"/>
      </w:pPr>
      <w:r>
        <w:t xml:space="preserve">Sensor revisit interval, denoted R and measured in hours, is the mean wall-clock interval between successive observations of the maneuvered object during the post-maneuver window. The construction proceeds by mapping each object’s orbital regime, specified by altitude band and inclination, to the revisit-time distribution reported by the wide-field-of-view sensor demonstration of Toner and colleagues</w:t>
      </w:r>
      <w:r>
        <w:t xml:space="preserve"> </w:t>
      </w:r>
      <w:hyperlink w:anchor="ref-18">
        <w:r>
          <w:rPr>
            <w:rStyle w:val="Hyperlink"/>
          </w:rPr>
          <w:t xml:space="preserve">[18]</w:t>
        </w:r>
      </w:hyperlink>
      <w:r>
        <w:t xml:space="preserve">[8], the constellation-of-sensors design study of Morris and colleagues</w:t>
      </w:r>
      <w:r>
        <w:t xml:space="preserve"> </w:t>
      </w:r>
      <w:hyperlink w:anchor="ref-12">
        <w:r>
          <w:rPr>
            <w:rStyle w:val="Hyperlink"/>
          </w:rPr>
          <w:t xml:space="preserve">[12]</w:t>
        </w:r>
      </w:hyperlink>
      <w:r>
        <w:t xml:space="preserve">, the decentralized-tasking demonstration of Carden and colleagues</w:t>
      </w:r>
      <w:r>
        <w:t xml:space="preserve"> </w:t>
      </w:r>
      <w:hyperlink w:anchor="ref-5">
        <w:r>
          <w:rPr>
            <w:rStyle w:val="Hyperlink"/>
          </w:rPr>
          <w:t xml:space="preserve">[5]</w:t>
        </w:r>
      </w:hyperlink>
      <w:r>
        <w:t xml:space="preserve">, and the search-based and task-based ground-based-telescope comparison of Hertwig and colleagues</w:t>
      </w:r>
      <w:r>
        <w:t xml:space="preserve"> </w:t>
      </w:r>
      <w:hyperlink w:anchor="ref-23">
        <w:r>
          <w:rPr>
            <w:rStyle w:val="Hyperlink"/>
          </w:rPr>
          <w:t xml:space="preserve">[23]</w:t>
        </w:r>
      </w:hyperlink>
      <w:r>
        <w:t xml:space="preserve">. For each event the mean revisit interval is the population-weighted average of the reported figures for objects in the same altitude-and-inclination cell during the same calendar quarter. The construction is documented to the paper, equation, and figure level so that an independent analyst can reproduce the covariate.</w:t>
      </w:r>
    </w:p>
    <w:p>
      <w:pPr>
        <w:pStyle w:val="BodyText"/>
        <w:spacing w:line="480" w:lineRule="auto"/>
        <w:ind w:firstLine="720"/>
      </w:pPr>
      <w:r>
        <w:t xml:space="preserve">The number of tasked sensors, denoted S, is the count of distinct sensor systems whose published tasking lists include the maneuvered object during the post-maneuver window. The construction draws on the same sources as R, with the addition of the multi-perspective and multi-modal characterization framework of Neelakantan and colleagues</w:t>
      </w:r>
      <w:r>
        <w:t xml:space="preserve"> </w:t>
      </w:r>
      <w:hyperlink w:anchor="ref-21">
        <w:r>
          <w:rPr>
            <w:rStyle w:val="Hyperlink"/>
          </w:rPr>
          <w:t xml:space="preserve">[21]</w:t>
        </w:r>
      </w:hyperlink>
      <w:r>
        <w:t xml:space="preserve"> </w:t>
      </w:r>
      <w:r>
        <w:t xml:space="preserve">for objects observed under multi-sensor fusion, and the infrared-sensor demonstration of Waldmann and colleagues</w:t>
      </w:r>
      <w:r>
        <w:t xml:space="preserve"> </w:t>
      </w:r>
      <w:hyperlink w:anchor="ref-20">
        <w:r>
          <w:rPr>
            <w:rStyle w:val="Hyperlink"/>
          </w:rPr>
          <w:t xml:space="preserve">[20]</w:t>
        </w:r>
      </w:hyperlink>
      <w:r>
        <w:t xml:space="preserve"> </w:t>
      </w:r>
      <w:r>
        <w:t xml:space="preserve">for objects illuminated during the eclipse fraction of their orbit. Tasking inclusion is treated as a binary indicator at the sensor-system level, and S is the sum of those indicators over the systems documented in the cited literature.</w:t>
      </w:r>
    </w:p>
    <w:p>
      <w:pPr>
        <w:pStyle w:val="BodyText"/>
        <w:spacing w:line="480" w:lineRule="auto"/>
        <w:ind w:firstLine="720"/>
      </w:pPr>
      <w:r>
        <w:t xml:space="preserve">The two covariates are kept separate in the regression specifications of Papers One and Two even though one might naively expect them to collapse into a single sensor-coverage index. The empirical justification for keeping them separate is the Paper One finding that the conditional coefficient on S is large and significant after R is controlled for, which implies that sensor count is doing operational work that is distinct from sensor cadence and that an index would obscure. The conceptual justification is the operator-allocation distinction emphasized by Schmedeman and colleagues</w:t>
      </w:r>
      <w:r>
        <w:t xml:space="preserve"> </w:t>
      </w:r>
      <w:hyperlink w:anchor="ref-22">
        <w:r>
          <w:rPr>
            <w:rStyle w:val="Hyperlink"/>
          </w:rPr>
          <w:t xml:space="preserve">[22]</w:t>
        </w:r>
      </w:hyperlink>
      <w:r>
        <w:t xml:space="preserve">, who frame mission-oriented SSA-data evaluation in terms of two separately tunable knobs that correspond to the two covariates of this specification.</w:t>
      </w:r>
    </w:p>
    <w:bookmarkEnd w:id="103"/>
    <w:bookmarkStart w:id="104" w:name="Xb8a2069cbe42e9a8836d211074ee5d1241abbea"/>
    <w:p>
      <w:pPr>
        <w:pStyle w:val="Heading2"/>
        <w:spacing w:line="480" w:lineRule="auto"/>
      </w:pPr>
      <w:r>
        <w:t xml:space="preserve">4.6 Construction of the Object-Level Covariates</w:t>
      </w:r>
    </w:p>
    <w:p>
      <w:pPr>
        <w:pStyle w:val="FirstParagraph"/>
        <w:spacing w:line="480" w:lineRule="auto"/>
      </w:pPr>
      <w:r>
        <w:t xml:space="preserve">Three object-level covariates enter the analysis: radar cross section, maneuver delta-v, and mean orbital altitude. A fourth, calendar year, enters as a temporal control.</w:t>
      </w:r>
    </w:p>
    <w:p>
      <w:pPr>
        <w:pStyle w:val="BodyText"/>
        <w:spacing w:line="480" w:lineRule="auto"/>
        <w:ind w:firstLine="720"/>
      </w:pPr>
      <w:r>
        <w:t xml:space="preserve">Radar cross section, denoted RCS and measured in square meters, is taken from the Space-Track object metadata for catalog records that carry the size attribute, with cross-checks against the published characterization literature for objects whose Space-Track size class is large or whose RCS is operationally relevant to detectability. The Space-Track size attribute is a three-bin categorical variable (small, medium, large) that the dissertation maps to point-mass square-meter values using the conversion convention adopted by Squires and colleagues</w:t>
      </w:r>
      <w:r>
        <w:t xml:space="preserve"> </w:t>
      </w:r>
      <w:hyperlink w:anchor="ref-19">
        <w:r>
          <w:rPr>
            <w:rStyle w:val="Hyperlink"/>
          </w:rPr>
          <w:t xml:space="preserve">[19]</w:t>
        </w:r>
      </w:hyperlink>
      <w:r>
        <w:t xml:space="preserve">. For the Paper One sample the RCS values are recorded as continuous square-meter quantities at the object level from manufacturer specifications and published characterization studies; for the Paper Two sample the values are the binned Space-Track quantities. The discrepancy is acknowledged and is treated in the sensitivity analyses through a Paper-One-style continuous re-coding of the Paper Two sample for objects on which both quantities are available.</w:t>
      </w:r>
    </w:p>
    <w:p>
      <w:pPr>
        <w:pStyle w:val="BodyText"/>
        <w:spacing w:line="480" w:lineRule="auto"/>
        <w:ind w:firstLine="720"/>
      </w:pPr>
      <w:r>
        <w:t xml:space="preserve">Maneuver delta-v, denoted DV and measured in meters per second, is the magnitude of the velocity change inferred from the event-representation orbit-determination procedure of Ko and Scheeres</w:t>
      </w:r>
      <w:r>
        <w:t xml:space="preserve"> </w:t>
      </w:r>
      <w:hyperlink w:anchor="ref-1">
        <w:r>
          <w:rPr>
            <w:rStyle w:val="Hyperlink"/>
          </w:rPr>
          <w:t xml:space="preserve">[1]</w:t>
        </w:r>
      </w:hyperlink>
      <w:r>
        <w:t xml:space="preserve">. For events on which the event-representation procedure converges, DV is the integrated thrust-Fourier-coefficient profile evaluated over the maneuver window. For events on which the procedure does not converge, DV is the magnitude of the velocity difference between the pre-maneuver and post-maneuver osculating elements at the refined epoch. The latter fallback is recorded as a binary flag and is included as an interaction term in the sensitivity analyses to confirm that the substantive results do not depend on the lower-fidelity DV estimate.</w:t>
      </w:r>
    </w:p>
    <w:p>
      <w:pPr>
        <w:pStyle w:val="BodyText"/>
        <w:spacing w:line="480" w:lineRule="auto"/>
        <w:ind w:firstLine="720"/>
      </w:pPr>
      <w:r>
        <w:t xml:space="preserve">Mean orbital altitude is the average of perigee and apogee altitudes for the post-maneuver osculating element set, drawn from Space-Track. Altitude enters as a control rather than as a treatment because, as Paper One documents, the partial coefficient on altitude is statistically indistinguishable from zero once revisit interval and sensor count are conditioned on, which is the expected null for a sample that spans the LEO regime and a small GEO contingent.</w:t>
      </w:r>
    </w:p>
    <w:p>
      <w:pPr>
        <w:pStyle w:val="BodyText"/>
        <w:spacing w:line="480" w:lineRule="auto"/>
        <w:ind w:firstLine="720"/>
      </w:pPr>
      <w:r>
        <w:t xml:space="preserve">Calendar year enters as an integer covariate. The calendar-year coefficient absorbs secular trends in catalog-update cadence, sensor-tasking posture, and the LEO population density that are documented in the contemporary collision-avoidance literature</w:t>
      </w:r>
      <w:r>
        <w:t xml:space="preserve"> </w:t>
      </w:r>
      <w:hyperlink w:anchor="ref-3">
        <w:r>
          <w:rPr>
            <w:rStyle w:val="Hyperlink"/>
          </w:rPr>
          <w:t xml:space="preserve">[3]</w:t>
        </w:r>
      </w:hyperlink>
      <w:r>
        <w:t xml:space="preserve"> </w:t>
      </w:r>
      <w:r>
        <w:t xml:space="preserve">and in the conjunction-kinematics literature</w:t>
      </w:r>
      <w:r>
        <w:t xml:space="preserve"> </w:t>
      </w:r>
      <w:hyperlink w:anchor="ref-9">
        <w:r>
          <w:rPr>
            <w:rStyle w:val="Hyperlink"/>
          </w:rPr>
          <w:t xml:space="preserve">[9]</w:t>
        </w:r>
      </w:hyperlink>
      <w:r>
        <w:t xml:space="preserve">. The calendar control is essential because the 2019 through 2025 window of Paper Two spans the most rapid LEO-population growth in the catalog’s history.</w:t>
      </w:r>
    </w:p>
    <w:bookmarkEnd w:id="104"/>
    <w:bookmarkStart w:id="105" w:name="corroboration-missingness-and-provenance"/>
    <w:p>
      <w:pPr>
        <w:pStyle w:val="Heading2"/>
        <w:spacing w:line="480" w:lineRule="auto"/>
      </w:pPr>
      <w:r>
        <w:t xml:space="preserve">4.7 Corroboration, Missingness, and Provenance</w:t>
      </w:r>
    </w:p>
    <w:p>
      <w:pPr>
        <w:pStyle w:val="FirstParagraph"/>
        <w:spacing w:line="480" w:lineRule="auto"/>
      </w:pPr>
      <w:r>
        <w:t xml:space="preserve">Corroboration is the central data-quality discipline of the dissertation. Nothing enters unverified. Every candidate maneuver event in the Paper Two estimation sample is required to clear the LeoLabs three-sigma test described in Section 4.4. Events that fail are recorded as false positives of the primary detector and are reported as a measurement-error margin rather than discarded silently. Pirovano and Armellin establish the contemporary framework for this kind of corroboration discipline in catalog maintenance</w:t>
      </w:r>
      <w:r>
        <w:t xml:space="preserve"> </w:t>
      </w:r>
      <w:hyperlink w:anchor="ref-25">
        <w:r>
          <w:rPr>
            <w:rStyle w:val="Hyperlink"/>
          </w:rPr>
          <w:t xml:space="preserve">[25]</w:t>
        </w:r>
      </w:hyperlink>
      <w:r>
        <w:t xml:space="preserve">, and Squires and colleagues document the operational characteristics of the corroborating radar network</w:t>
      </w:r>
      <w:r>
        <w:t xml:space="preserve"> </w:t>
      </w:r>
      <w:hyperlink w:anchor="ref-19">
        <w:r>
          <w:rPr>
            <w:rStyle w:val="Hyperlink"/>
          </w:rPr>
          <w:t xml:space="preserve">[19]</w:t>
        </w:r>
      </w:hyperlink>
      <w:r>
        <w:t xml:space="preserve">.</w:t>
      </w:r>
    </w:p>
    <w:p>
      <w:pPr>
        <w:pStyle w:val="BodyText"/>
        <w:spacing w:line="480" w:lineRule="auto"/>
        <w:ind w:firstLine="720"/>
      </w:pPr>
      <w:r>
        <w:t xml:space="preserve">Coverage of the LeoLabs network is dense but not uniform. Objects in orbits poorly served by the network’s site geometry are underrepresented in the corroborated event set. The estimation procedure of Chapter Five constructs an inclusion-probability weight from the published coverage statistics and reweights the quantile regression accordingly. The weighting strategy is documented at the event level so that the replication artifact carries the weights as well as the records.</w:t>
      </w:r>
    </w:p>
    <w:p>
      <w:pPr>
        <w:pStyle w:val="BodyText"/>
        <w:spacing w:line="480" w:lineRule="auto"/>
        <w:ind w:firstLine="720"/>
      </w:pPr>
      <w:r>
        <w:t xml:space="preserve">The Paper One sample carries a different missingness pattern. A minority of its detection-latency observations, all flagged in the source column as illustrative, are reconstructed where the operator does not publicly disclose post-maneuver catalog-update timing. The illustrative records are held under fifteen percent of the sample, and a robustness check repeats the OLS specification of Paper One on the subsample of records that carry independently verifiable latency values. The robustness check is reported in Chapter Five rather than in Paper One itself.</w:t>
      </w:r>
    </w:p>
    <w:p>
      <w:pPr>
        <w:pStyle w:val="BodyText"/>
        <w:spacing w:line="480" w:lineRule="auto"/>
        <w:ind w:firstLine="720"/>
      </w:pPr>
      <w:r>
        <w:t xml:space="preserve">Provenance is preserved at the event level. For each record in the estimation sample the dissertation records the originating Space-Track TLE pair, the LeoLabs ephemeris segment used for corroboration, the algorithm version used for detection, the published sensor-network references from which R and S were drawn, the source filing or report from which DV and RCS were taken on the Paper One sample, and a SHA-256 hash of the assembled event row. The full event table will be published as a replication artifact under a Creative Commons Attribution license, with Space-Track redistribution restrictions handled by publishing object identifiers and event epochs rather than the raw TLEs.</w:t>
      </w:r>
    </w:p>
    <w:bookmarkEnd w:id="105"/>
    <w:bookmarkStart w:id="106" w:name="measurement-assumptions"/>
    <w:p>
      <w:pPr>
        <w:pStyle w:val="Heading2"/>
        <w:spacing w:line="480" w:lineRule="auto"/>
      </w:pPr>
      <w:r>
        <w:t xml:space="preserve">4.8 Measurement Assumptions</w:t>
      </w:r>
    </w:p>
    <w:p>
      <w:pPr>
        <w:pStyle w:val="FirstParagraph"/>
        <w:spacing w:line="480" w:lineRule="auto"/>
      </w:pPr>
      <w:r>
        <w:t xml:space="preserve">Four measurement assumptions deserve explicit statement.</w:t>
      </w:r>
    </w:p>
    <w:p>
      <w:pPr>
        <w:pStyle w:val="BodyText"/>
        <w:spacing w:line="480" w:lineRule="auto"/>
        <w:ind w:firstLine="720"/>
      </w:pPr>
      <w:r>
        <w:t xml:space="preserve">First, the Kelecy-method</w:t>
      </w:r>
      <w:r>
        <w:t xml:space="preserve"> </w:t>
      </w:r>
      <w:hyperlink w:anchor="ref-4">
        <w:r>
          <w:rPr>
            <w:rStyle w:val="Hyperlink"/>
          </w:rPr>
          <w:t xml:space="preserve">[4]</w:t>
        </w:r>
      </w:hyperlink>
      <w:r>
        <w:t xml:space="preserve"> </w:t>
      </w:r>
      <w:r>
        <w:t xml:space="preserve">residual threshold is calibrated against the empirical distribution of residuals during quiescent intervals for each object class rather than against a single global cutoff. The assumption is that the noise floor of TLE propagation varies systematically with object class, and that a class-conditioned threshold therefore yields a more uniform false-positive rate across the sample than a global threshold. The robustness analyses with the Kato detector</w:t>
      </w:r>
      <w:r>
        <w:t xml:space="preserve"> </w:t>
      </w:r>
      <w:hyperlink w:anchor="ref-6">
        <w:r>
          <w:rPr>
            <w:rStyle w:val="Hyperlink"/>
          </w:rPr>
          <w:t xml:space="preserve">[6]</w:t>
        </w:r>
      </w:hyperlink>
      <w:r>
        <w:t xml:space="preserve"> </w:t>
      </w:r>
      <w:r>
        <w:t xml:space="preserve">are designed to bound the sensitivity of the substantive results to this calibration choice.</w:t>
      </w:r>
    </w:p>
    <w:p>
      <w:pPr>
        <w:pStyle w:val="BodyText"/>
        <w:spacing w:line="480" w:lineRule="auto"/>
        <w:ind w:firstLine="720"/>
      </w:pPr>
      <w:r>
        <w:t xml:space="preserve">Second, the LeoLabs ephemeris archive is treated as the corroborating ground truth even though it too is a sensor-derived estimate rather than a direct observation of the maneuver. The assumption is that the LeoLabs orbit determination, fitted to phased-array radar returns at a cadence much higher than the public-catalog cadence, is materially closer to the true post-maneuver state than the propagated TLE. The assumption is defended in Squires and colleagues</w:t>
      </w:r>
      <w:r>
        <w:t xml:space="preserve"> </w:t>
      </w:r>
      <w:hyperlink w:anchor="ref-19">
        <w:r>
          <w:rPr>
            <w:rStyle w:val="Hyperlink"/>
          </w:rPr>
          <w:t xml:space="preserve">[19]</w:t>
        </w:r>
      </w:hyperlink>
      <w:r>
        <w:t xml:space="preserve"> </w:t>
      </w:r>
      <w:r>
        <w:t xml:space="preserve">and is consistent with the contemporary characterization of low-latency maneuver detection in Miga and colleagues</w:t>
      </w:r>
      <w:r>
        <w:t xml:space="preserve"> </w:t>
      </w:r>
      <w:hyperlink w:anchor="ref-17">
        <w:r>
          <w:rPr>
            <w:rStyle w:val="Hyperlink"/>
          </w:rPr>
          <w:t xml:space="preserve">[17]</w:t>
        </w:r>
      </w:hyperlink>
      <w:r>
        <w:t xml:space="preserve">.</w:t>
      </w:r>
    </w:p>
    <w:p>
      <w:pPr>
        <w:pStyle w:val="BodyText"/>
        <w:spacing w:line="480" w:lineRule="auto"/>
        <w:ind w:firstLine="720"/>
      </w:pPr>
      <w:r>
        <w:t xml:space="preserve">Third, the sensor-network covariates R and S are constructed from published averages rather than from raw tasking logs because the latter are not in the public domain. The assumption is that the published averages are representative of the actual tasking that the maneuvered object received during its post-maneuver window. The assumption is the most consequential measurement assumption of the dissertation, and it is the one that the Chapter Five sensitivity analyses press hardest, including a placebo construction in which R and S are replaced by quarter-by-quarter randomized assignments and the model is refit. A nonzero coefficient on the randomized covariate would indicate that the substantive results are an artifact of the covariate construction rather than a reflection of the underlying operational mechanism.</w:t>
      </w:r>
    </w:p>
    <w:p>
      <w:pPr>
        <w:pStyle w:val="BodyText"/>
        <w:spacing w:line="480" w:lineRule="auto"/>
        <w:ind w:firstLine="720"/>
      </w:pPr>
      <w:r>
        <w:t xml:space="preserve">Fourth, the seventy-two-hour persistence requirement for custody restoration is a definitional choice, not an empirical finding. The assumption is that an operator who must commit a collision-avoidance maneuver against a freshly maneuvered neighbor will not act on a single-pass coincidence of the propagated and observed states; the operator will wait for the catalog to demonstrate that the state has truly re-converged. Seventy-two hours is the planning horizon implicit in the contemporary collision-avoidance literature</w:t>
      </w:r>
      <w:r>
        <w:t xml:space="preserve"> </w:t>
      </w:r>
      <w:hyperlink w:anchor="ref-3">
        <w:r>
          <w:rPr>
            <w:rStyle w:val="Hyperlink"/>
          </w:rPr>
          <w:t xml:space="preserve">[3]</w:t>
        </w:r>
      </w:hyperlink>
      <w:r>
        <w:t xml:space="preserve">[9]. The robustness analyses report the substantive results for forty-eight-hour and ninety-six-hour persistence thresholds in addition to the primary seventy-two-hour specification.</w:t>
      </w:r>
    </w:p>
    <w:p>
      <w:pPr>
        <w:pStyle w:val="BodyText"/>
        <w:spacing w:line="480" w:lineRule="auto"/>
        <w:ind w:firstLine="720"/>
      </w:pPr>
      <w:r>
        <w:t xml:space="preserve">Together these four assumptions define the measurement model that Papers One and Two share. The remainder of the dissertation treats them as binding and reports the substantive results conditional on them. A reader who declines any of the four assumptions is invited to refit the models against the published replication artifact under that reader’s preferred alternative; the artifact carries the corroboration ephemerides, the algorithm versions, and the event-level provenance that make such a refit possible.</w:t>
      </w:r>
    </w:p>
    <w:bookmarkEnd w:id="106"/>
    <w:bookmarkEnd w:id="107"/>
    <w:bookmarkStart w:id="116" w:name="chapter-5.-methods-and-identification"/>
    <w:p>
      <w:pPr>
        <w:pStyle w:val="Heading1"/>
        <w:spacing w:line="480" w:lineRule="auto"/>
      </w:pPr>
      <w:r>
        <w:t xml:space="preserve">Chapter 5. Methods and Identification</w:t>
      </w:r>
    </w:p>
    <w:bookmarkStart w:id="108" w:name="overview-of-the-identification-strategy"/>
    <w:p>
      <w:pPr>
        <w:pStyle w:val="Heading2"/>
        <w:spacing w:line="480" w:lineRule="auto"/>
      </w:pPr>
      <w:r>
        <w:t xml:space="preserve">5.1 Overview of the Identification Strategy</w:t>
      </w:r>
    </w:p>
    <w:p>
      <w:pPr>
        <w:pStyle w:val="FirstParagraph"/>
        <w:spacing w:line="480" w:lineRule="auto"/>
      </w:pPr>
      <w:r>
        <w:t xml:space="preserve">The empirical task of this dissertation is to recover an unbiased conditional estimate of the median custody-gap duration for low Earth orbit objects following unannounced maneuvers, and to characterize the hazard structure that produces that median. The unit of analysis is the candidate maneuver event, anchored to a two-line-element discontinuity and corroborated against an independent commercial radar ephemeris. The estimand of primary interest is the conditional median of the custody-gap distribution given orbital altitude band, radar cross-section size class, sensor-network cadence, and calendar epoch. A secondary estimand is the conditional hazard of custody restoration as a function of the same covariate vector, which permits the median estimate to be interpreted against the shape of the underlying time-to-event distribution rather than against a single moment.</w:t>
      </w:r>
    </w:p>
    <w:p>
      <w:pPr>
        <w:pStyle w:val="BodyText"/>
        <w:spacing w:line="480" w:lineRule="auto"/>
        <w:ind w:firstLine="720"/>
      </w:pPr>
      <w:r>
        <w:t xml:space="preserve">Identification in the present setting is not a causal identification in the counterfactual sense that the maneuver itself is an experimental treatment. The maneuver is exogenous to the catalog by construction: the object owner commands a thrust event, and the public catalog responds with whatever cadence its sensor tasking permits. What requires identification is the assignment of duration to the correct event, the assignment of censoring to events whose endpoints fall outside the observation window, and the assignment of covariate values that are not themselves functions of the duration being estimated. The estimators described below are chosen because their identifying assumptions are compatible with the data-generating process implied by the maneuver-detection and orbit-determination literature</w:t>
      </w:r>
      <w:r>
        <w:t xml:space="preserve"> </w:t>
      </w:r>
      <w:hyperlink w:anchor="ref-1">
        <w:r>
          <w:rPr>
            <w:rStyle w:val="Hyperlink"/>
          </w:rPr>
          <w:t xml:space="preserve">[1]</w:t>
        </w:r>
      </w:hyperlink>
      <w:r>
        <w:t xml:space="preserve">[4][25][27][29] rather than because they impose a particular causal interpretation on the covariate coefficients.</w:t>
      </w:r>
    </w:p>
    <w:p>
      <w:pPr>
        <w:pStyle w:val="BodyText"/>
        <w:spacing w:line="480" w:lineRule="auto"/>
        <w:ind w:firstLine="720"/>
      </w:pPr>
      <w:r>
        <w:t xml:space="preserve">Two estimators run in sequence. A quantile regression on the conditional median is the primary estimator. The Cox proportional-hazards survival model is the secondary estimator. The two-stage design separates the descriptive claim about the median from the structural claim about the hazard, and it permits a transparent reading of the primary hypothesis test alongside a richer characterization of the right tail of the duration distribution. Robustness checks substitute alternative detectors, alternative covariance bounds, and alternative censoring rules without altering the identifying logic. The remainder of this chapter develops each component in turn.</w:t>
      </w:r>
    </w:p>
    <w:bookmarkEnd w:id="108"/>
    <w:bookmarkStart w:id="109" w:name="X20887b4ec2c6e844a1e62394a5735d263b089f6"/>
    <w:p>
      <w:pPr>
        <w:pStyle w:val="Heading2"/>
        <w:spacing w:line="480" w:lineRule="auto"/>
      </w:pPr>
      <w:r>
        <w:t xml:space="preserve">5.2 The Event Definition and the Duration Variable</w:t>
      </w:r>
    </w:p>
    <w:p>
      <w:pPr>
        <w:pStyle w:val="FirstParagraph"/>
        <w:spacing w:line="480" w:lineRule="auto"/>
      </w:pPr>
      <w:r>
        <w:t xml:space="preserve">Two timestamps bound the duration variable. The first is the true epoch of the maneuver, denoted t_m, reconstructed from a two-line-element discontinuity using the Kelecy detector as the initial pass</w:t>
      </w:r>
      <w:r>
        <w:t xml:space="preserve"> </w:t>
      </w:r>
      <w:hyperlink w:anchor="ref-4">
        <w:r>
          <w:rPr>
            <w:rStyle w:val="Hyperlink"/>
          </w:rPr>
          <w:t xml:space="preserve">[4]</w:t>
        </w:r>
      </w:hyperlink>
      <w:r>
        <w:t xml:space="preserve"> </w:t>
      </w:r>
      <w:r>
        <w:t xml:space="preserve">and refined by the dual-moving-window curve-fitting estimator of Gui and colleagues where the discontinuity is ambiguous</w:t>
      </w:r>
      <w:r>
        <w:t xml:space="preserve"> </w:t>
      </w:r>
      <w:hyperlink w:anchor="ref-27">
        <w:r>
          <w:rPr>
            <w:rStyle w:val="Hyperlink"/>
          </w:rPr>
          <w:t xml:space="preserve">[27]</w:t>
        </w:r>
      </w:hyperlink>
      <w:r>
        <w:t xml:space="preserve">. The second is the epoch at which the catalog state, when propagated forward and compared against the corroborating LeoLabs radar ephemeris</w:t>
      </w:r>
      <w:r>
        <w:t xml:space="preserve"> </w:t>
      </w:r>
      <w:hyperlink w:anchor="ref-10">
        <w:r>
          <w:rPr>
            <w:rStyle w:val="Hyperlink"/>
          </w:rPr>
          <w:t xml:space="preserve">[10]</w:t>
        </w:r>
      </w:hyperlink>
      <w:r>
        <w:t xml:space="preserve">[19], re-enters a fixed three-sigma covariance bound and remains within that bound for at least seventy-two consecutive hours. The custody-gap duration is the difference between these two timestamps, expressed in hours.</w:t>
      </w:r>
    </w:p>
    <w:p>
      <w:pPr>
        <w:pStyle w:val="BodyText"/>
        <w:spacing w:line="480" w:lineRule="auto"/>
        <w:ind w:firstLine="720"/>
      </w:pPr>
      <w:r>
        <w:t xml:space="preserve">The seventy-two-hour persistence rule is non-trivial. Without it, transient re-entries into the covariance bound, driven by catalog updates that have not yet stabilized on the post-maneuver trajectory, would be coded as custody-restoration events and the conditional median would be biased downward. The seventy-two-hour window is selected because it is the operational threshold below which conjunction-screening pipelines typically retire stale screening volumes and re-initialize their state estimates</w:t>
      </w:r>
      <w:r>
        <w:t xml:space="preserve"> </w:t>
      </w:r>
      <w:hyperlink w:anchor="ref-3">
        <w:r>
          <w:rPr>
            <w:rStyle w:val="Hyperlink"/>
          </w:rPr>
          <w:t xml:space="preserve">[3]</w:t>
        </w:r>
      </w:hyperlink>
      <w:r>
        <w:t xml:space="preserve">[14]. A robustness check at forty-eight hours and at ninety-six hours is reported in Chapter 7 to bound the sensitivity of the median estimate to this choice.</w:t>
      </w:r>
    </w:p>
    <w:p>
      <w:pPr>
        <w:pStyle w:val="BodyText"/>
        <w:spacing w:line="480" w:lineRule="auto"/>
        <w:ind w:firstLine="720"/>
      </w:pPr>
      <w:r>
        <w:t xml:space="preserve">Right-censoring is handled explicitly. Events whose custody is not restored within the maximum observation window of the corroborating ephemeris are coded as censored at the window endpoint and assigned a censoring indicator. The primary hypothesis test uses a one-sided quantile-regression test on the median, which accommodates censoring through the inverse-probability-of-censoring weighting scheme described below. The Cox model accommodates censoring directly through the partial-likelihood construction. Left-censoring is not a feature of this design because t_m is always identified from the TLE discontinuity that defines the event, and an event with an indeterminate maneuver epoch is excluded at the event-construction stage rather than treated as censored.</w:t>
      </w:r>
    </w:p>
    <w:bookmarkEnd w:id="109"/>
    <w:bookmarkStart w:id="110" w:name="the-covariate-vector"/>
    <w:p>
      <w:pPr>
        <w:pStyle w:val="Heading2"/>
        <w:spacing w:line="480" w:lineRule="auto"/>
      </w:pPr>
      <w:r>
        <w:t xml:space="preserve">5.3 The Covariate Vector</w:t>
      </w:r>
    </w:p>
    <w:p>
      <w:pPr>
        <w:pStyle w:val="FirstParagraph"/>
        <w:spacing w:line="480" w:lineRule="auto"/>
      </w:pPr>
      <w:r>
        <w:t xml:space="preserve">Two conditions govern the covariate vector. The first is that every covariate is measured at or before t_m, so that no covariate is a function of the duration being estimated. The second condition is that the covariate values are recoverable from public or institutionally accessible sources, so that the event table can be published as a replication artifact under the provenance protocol described in the prospectus.</w:t>
      </w:r>
    </w:p>
    <w:p>
      <w:pPr>
        <w:pStyle w:val="BodyText"/>
        <w:spacing w:line="480" w:lineRule="auto"/>
        <w:ind w:firstLine="720"/>
      </w:pPr>
      <w:r>
        <w:t xml:space="preserve">Orbital altitude is the mean of perigee and apogee at the last pre-maneuver TLE, expressed in kilometers. Altitude is binned into three regimes (400-600 km, 600-1000 km, and 1000-2000 km) for the quantile-regression specification, and entered linearly in the Cox model. The binning recognizes the discrete structure of LEO operational regimes, in which atmospheric drag, sensor revisit geometry, and the population density of co-resident objects shift in non-linear ways across the altitude axis</w:t>
      </w:r>
      <w:r>
        <w:t xml:space="preserve"> </w:t>
      </w:r>
      <w:hyperlink w:anchor="ref-9">
        <w:r>
          <w:rPr>
            <w:rStyle w:val="Hyperlink"/>
          </w:rPr>
          <w:t xml:space="preserve">[9]</w:t>
        </w:r>
      </w:hyperlink>
      <w:r>
        <w:t xml:space="preserve">[26].</w:t>
      </w:r>
    </w:p>
    <w:p>
      <w:pPr>
        <w:pStyle w:val="BodyText"/>
        <w:spacing w:line="480" w:lineRule="auto"/>
        <w:ind w:firstLine="720"/>
      </w:pPr>
      <w:r>
        <w:t xml:space="preserve">Radar cross-section is taken from the public catalog metadata distributed through Space-Track and from the analytic radar cross-section estimates produced by LeoLabs</w:t>
      </w:r>
      <w:r>
        <w:t xml:space="preserve"> </w:t>
      </w:r>
      <w:hyperlink w:anchor="ref-19">
        <w:r>
          <w:rPr>
            <w:rStyle w:val="Hyperlink"/>
          </w:rPr>
          <w:t xml:space="preserve">[19]</w:t>
        </w:r>
      </w:hyperlink>
      <w:r>
        <w:t xml:space="preserve">. The variable is entered as an ordered size class (small, medium, large) corresponding to the catalog SMALL, MEDIUM, and LARGE designations rather than as a continuous square-meter value. The size-class encoding is preferred because the continuous catalog RCS values exhibit substantial measurement noise that varies systematically with object aspect, and because the size class is the variable on which sensor tasking is actually allocated</w:t>
      </w:r>
      <w:r>
        <w:t xml:space="preserve"> </w:t>
      </w:r>
      <w:hyperlink w:anchor="ref-22">
        <w:r>
          <w:rPr>
            <w:rStyle w:val="Hyperlink"/>
          </w:rPr>
          <w:t xml:space="preserve">[22]</w:t>
        </w:r>
      </w:hyperlink>
      <w:r>
        <w:t xml:space="preserve">[23].</w:t>
      </w:r>
    </w:p>
    <w:p>
      <w:pPr>
        <w:pStyle w:val="BodyText"/>
        <w:spacing w:line="480" w:lineRule="auto"/>
        <w:ind w:firstLine="720"/>
      </w:pPr>
      <w:r>
        <w:t xml:space="preserve">Sensor-network cadence is operationalized as a proxy variable constructed from the published revisit-time statistics of the Space Surveillance Network and from the revisit statistics reported by decentralized-tasking and wide-field-sensor studies</w:t>
      </w:r>
      <w:r>
        <w:t xml:space="preserve"> </w:t>
      </w:r>
      <w:hyperlink w:anchor="ref-5">
        <w:r>
          <w:rPr>
            <w:rStyle w:val="Hyperlink"/>
          </w:rPr>
          <w:t xml:space="preserve">[5]</w:t>
        </w:r>
      </w:hyperlink>
      <w:r>
        <w:t xml:space="preserve">[8][12][13][18]. The proxy is an inverse-revisit index, scaled to the object-specific tasking record where that record is available from the corroborating ephemeris source. Where the object-specific tasking record is not available, the proxy is imputed from the altitude-band and inclination-band median revisit. The imputation introduces measurement error that is bounded by a Monte Carlo procedure described in Section 5.7.</w:t>
      </w:r>
    </w:p>
    <w:p>
      <w:pPr>
        <w:pStyle w:val="BodyText"/>
        <w:spacing w:line="480" w:lineRule="auto"/>
        <w:ind w:firstLine="720"/>
      </w:pPr>
      <w:r>
        <w:t xml:space="preserve">Maneuver class is coded from the source narratives associated with each event and follows the typology of Shorten and colleagues</w:t>
      </w:r>
      <w:r>
        <w:t xml:space="preserve"> </w:t>
      </w:r>
      <w:hyperlink w:anchor="ref-29">
        <w:r>
          <w:rPr>
            <w:rStyle w:val="Hyperlink"/>
          </w:rPr>
          <w:t xml:space="preserve">[29]</w:t>
        </w:r>
      </w:hyperlink>
      <w:r>
        <w:t xml:space="preserve"> </w:t>
      </w:r>
      <w:r>
        <w:t xml:space="preserve">and Liu and colleagues</w:t>
      </w:r>
      <w:r>
        <w:t xml:space="preserve"> </w:t>
      </w:r>
      <w:hyperlink w:anchor="ref-32">
        <w:r>
          <w:rPr>
            <w:rStyle w:val="Hyperlink"/>
          </w:rPr>
          <w:t xml:space="preserve">[32]</w:t>
        </w:r>
      </w:hyperlink>
      <w:r>
        <w:t xml:space="preserve">: station-keeping or drag-make-up (class 0), constellation phasing (class 1), and rendezvous-proximity or non-cooperative (class 2). Maneuver class is not on the causal path between sensor tasking and custody restoration in the strict sense, but it is correlated with both the magnitude of the maneuver and with the priority that the network assigns to re-acquisition. Including it as a covariate absorbs an otherwise omitted source of heterogeneity in the conditional median.</w:t>
      </w:r>
    </w:p>
    <w:p>
      <w:pPr>
        <w:pStyle w:val="BodyText"/>
        <w:spacing w:line="480" w:lineRule="auto"/>
        <w:ind w:firstLine="720"/>
      </w:pPr>
      <w:r>
        <w:t xml:space="preserve">A calendar-epoch variable is included as a continuous year measure to absorb secular trends in the LEO population and in sensor-network capability across the 2019 through 2025 sample window. The primary hypothesis test is conducted on the most recent two years of the sample, which holds the calendar covariate within a narrow band and prevents the secular trend from contaminating the contemporary median estimate.</w:t>
      </w:r>
    </w:p>
    <w:bookmarkEnd w:id="110"/>
    <w:bookmarkStart w:id="111" w:name="Xcabd6239231c2c400e44efeafacdd53c11e8730"/>
    <w:p>
      <w:pPr>
        <w:pStyle w:val="Heading2"/>
        <w:spacing w:line="480" w:lineRule="auto"/>
      </w:pPr>
      <w:r>
        <w:t xml:space="preserve">5.4 The Primary Estimator: Quantile Regression on the Median</w:t>
      </w:r>
    </w:p>
    <w:p>
      <w:pPr>
        <w:pStyle w:val="FirstParagraph"/>
        <w:spacing w:line="480" w:lineRule="auto"/>
      </w:pPr>
      <w:r>
        <w:t xml:space="preserve">The primary estimator is a quantile regression at the 0.50 quantile, with the custody-gap duration as the outcome and the covariate vector described above as the regressor set. Why the median and not the mean? Quantile regression is preferred to a conditional-mean OLS specification for three reasons. First, the conditional distribution of custody-gap durations is plausibly right-skewed, with a long tail of events in which custody is restored only after several catalog-update cycles. The conditional median is a more robust descriptive target than the conditional mean in the presence of such skew. Second, the substantive hypothesis is formulated as a claim about the median, so direct estimation of the median is more transparent than back-inference from a mean and a variance. Third, quantile regression is robust to the heteroscedasticity that arises when the variance of the duration scales with the covariate values, as it does for sensor-cadence variables whose imputation precision differs across altitude bands.</w:t>
      </w:r>
    </w:p>
    <w:p>
      <w:pPr>
        <w:pStyle w:val="BodyText"/>
        <w:spacing w:line="480" w:lineRule="auto"/>
        <w:ind w:firstLine="720"/>
      </w:pPr>
      <w:r>
        <w:t xml:space="preserve">The quantile-regression coefficient on each covariate is interpreted as the marginal change in the conditional median custody-gap duration associated with a one-unit change in the covariate, holding the remaining covariates fixed. Standard errors are obtained by a clustered bootstrap at the object level, with one thousand bootstrap replications, to accommodate within-object correlation across multiple maneuvers on the same satellite. The clustered bootstrap is preferred to an asymptotic standard-error formula because the small-sample distribution of the quantile-regression coefficient is not well-approximated by its asymptotic distribution at the sample sizes available in the present application.</w:t>
      </w:r>
    </w:p>
    <w:p>
      <w:pPr>
        <w:pStyle w:val="BodyText"/>
        <w:spacing w:line="480" w:lineRule="auto"/>
        <w:ind w:firstLine="720"/>
      </w:pPr>
      <w:r>
        <w:t xml:space="preserve">The primary hypothesis test is a one-sided Wald test on the intercept of the conditional-median model, conducted at the contemporary covariate vector that fixes the altitude band, size class, and sensor-cadence proxy at their sample-median values within the most recent two years of the sample. The null hypothesis is that the conditional median exceeds forty-eight hours; the alternative is that it falls below forty-eight hours. Rejection of the null at conventional levels implies that contemporary sensor cadence is, on the population average, sufficient to keep collision-avoidance decisions current within the operational planning horizon.</w:t>
      </w:r>
    </w:p>
    <w:p>
      <w:pPr>
        <w:pStyle w:val="BodyText"/>
        <w:spacing w:line="480" w:lineRule="auto"/>
        <w:ind w:firstLine="720"/>
      </w:pPr>
      <w:r>
        <w:t xml:space="preserve">Inverse-probability-of-censoring weighting is applied to the quantile regression to handle right-censored events. The censoring weights are estimated from a Kaplan-Meier model of the censoring distribution conditional on altitude band and calendar year. The censoring weights enter the quantile-regression objective function as multiplicative weights on the residual loss, and the resulting estimator is consistent under the assumption that censoring is conditionally independent of the duration given the covariates.</w:t>
      </w:r>
    </w:p>
    <w:bookmarkEnd w:id="111"/>
    <w:bookmarkStart w:id="112" w:name="Xf237a8916cd03acd4c04d7ef00cfad0881c9a12"/>
    <w:p>
      <w:pPr>
        <w:pStyle w:val="Heading2"/>
        <w:spacing w:line="480" w:lineRule="auto"/>
      </w:pPr>
      <w:r>
        <w:t xml:space="preserve">5.5 The Secondary Estimator: Cox Proportional-Hazards Survival Model</w:t>
      </w:r>
    </w:p>
    <w:p>
      <w:pPr>
        <w:pStyle w:val="FirstParagraph"/>
        <w:spacing w:line="480" w:lineRule="auto"/>
      </w:pPr>
      <w:r>
        <w:t xml:space="preserve">The secondary estimator is a Cox proportional-hazards model in which the event is the restoration of catalog custody and the covariates are the altitude band, size class, sensor-cadence proxy, maneuver class, and calendar epoch. Three properties recommend it. The Cox specification is selected because it does not require a parametric assumption about the baseline hazard, because it accommodates right-censoring through the partial-likelihood construction, and because the proportional-hazards assumption is testable using standard residual diagnostics.</w:t>
      </w:r>
    </w:p>
    <w:p>
      <w:pPr>
        <w:pStyle w:val="BodyText"/>
        <w:spacing w:line="480" w:lineRule="auto"/>
        <w:ind w:firstLine="720"/>
      </w:pPr>
      <w:r>
        <w:t xml:space="preserve">The Cox model serves two purposes. The first is to characterize the conditional hazard of custody restoration at points of the duration distribution other than the median, with particular attention to the right tail. A claim about the median is silent on whether the maneuvers that drive operational risk live in the right tail of the duration distribution. A Cox hazard ratio above one for a given covariate indicates that the covariate accelerates custody restoration uniformly across the duration distribution; a hazard ratio below one indicates the reverse. The interpretation of the hazard ratios complements rather than substitutes for the median estimate from the quantile regression.</w:t>
      </w:r>
    </w:p>
    <w:p>
      <w:pPr>
        <w:pStyle w:val="BodyText"/>
        <w:spacing w:line="480" w:lineRule="auto"/>
        <w:ind w:firstLine="720"/>
      </w:pPr>
      <w:r>
        <w:t xml:space="preserve">The second purpose is diagnostic. The proportional-hazards assumption is tested using scaled Schoenfeld residuals against time. Covariates whose Schoenfeld residuals correlate with time at conventional significance levels are flagged as violators of the proportionality assumption, and the Cox model is re-estimated with a stratification on the violating covariate rather than including it as a multiplicative term. Stratification permits the baseline hazard to differ freely across strata while preserving identification of the remaining covariate effects. Calendar epoch is stratified by default because the secular trend in sensor capability across the 2019 through 2025 window is not plausibly proportional in the hazard sense.</w:t>
      </w:r>
    </w:p>
    <w:p>
      <w:pPr>
        <w:pStyle w:val="BodyText"/>
        <w:spacing w:line="480" w:lineRule="auto"/>
        <w:ind w:firstLine="720"/>
      </w:pPr>
      <w:r>
        <w:t xml:space="preserve">Standard errors in the Cox model are clustered at the object level to accommodate within-object correlation. Goodness-of-fit is assessed using the concordance index and a likelihood-ratio test against the null model with no covariates.</w:t>
      </w:r>
    </w:p>
    <w:bookmarkEnd w:id="112"/>
    <w:bookmarkStart w:id="113" w:name="the-robustness-checks"/>
    <w:p>
      <w:pPr>
        <w:pStyle w:val="Heading2"/>
        <w:spacing w:line="480" w:lineRule="auto"/>
      </w:pPr>
      <w:r>
        <w:t xml:space="preserve">5.6 The Robustness Checks</w:t>
      </w:r>
    </w:p>
    <w:p>
      <w:pPr>
        <w:pStyle w:val="FirstParagraph"/>
        <w:spacing w:line="480" w:lineRule="auto"/>
      </w:pPr>
      <w:r>
        <w:t xml:space="preserve">Three classes of robustness check are pre-specified.</w:t>
      </w:r>
    </w:p>
    <w:p>
      <w:pPr>
        <w:pStyle w:val="BodyText"/>
        <w:spacing w:line="480" w:lineRule="auto"/>
        <w:ind w:firstLine="720"/>
      </w:pPr>
      <w:r>
        <w:t xml:space="preserve">The first class substitutes the primary maneuver detector with an alternative detector and re-runs the full estimation pipeline. The alternative detectors are the LSTM-autoencoder of Kato and colleagues</w:t>
      </w:r>
      <w:r>
        <w:t xml:space="preserve"> </w:t>
      </w:r>
      <w:hyperlink w:anchor="ref-6">
        <w:r>
          <w:rPr>
            <w:rStyle w:val="Hyperlink"/>
          </w:rPr>
          <w:t xml:space="preserve">[6]</w:t>
        </w:r>
      </w:hyperlink>
      <w:r>
        <w:t xml:space="preserve">, the optimal-proposal particle filter of Shorten and colleagues</w:t>
      </w:r>
      <w:r>
        <w:t xml:space="preserve"> </w:t>
      </w:r>
      <w:hyperlink w:anchor="ref-29">
        <w:r>
          <w:rPr>
            <w:rStyle w:val="Hyperlink"/>
          </w:rPr>
          <w:t xml:space="preserve">[29]</w:t>
        </w:r>
      </w:hyperlink>
      <w:r>
        <w:t xml:space="preserve">, and the three-pillar low-latency pipeline of Miga and colleagues</w:t>
      </w:r>
      <w:r>
        <w:t xml:space="preserve"> </w:t>
      </w:r>
      <w:hyperlink w:anchor="ref-17">
        <w:r>
          <w:rPr>
            <w:rStyle w:val="Hyperlink"/>
          </w:rPr>
          <w:t xml:space="preserve">[17]</w:t>
        </w:r>
      </w:hyperlink>
      <w:r>
        <w:t xml:space="preserve">. Each alternative detector produces a candidate event set that may differ from the primary Kelecy event set in both the population of detected events and in the assigned t_m timestamp. If the conditional median estimate is qualitatively stable across detector choices, the primary result is taken as robust to the choice of detection algorithm. If the median estimate shifts substantially, the shift itself is informative about the dependence of the operational custody gap on the detection algorithm.</w:t>
      </w:r>
    </w:p>
    <w:p>
      <w:pPr>
        <w:pStyle w:val="BodyText"/>
        <w:spacing w:line="480" w:lineRule="auto"/>
        <w:ind w:firstLine="720"/>
      </w:pPr>
      <w:r>
        <w:t xml:space="preserve">The second class varies the covariance bound and the persistence rule that define the custody-restoration endpoint. The primary specification uses a three-sigma bound with a seventy-two-hour persistence rule. The robustness specifications use two-sigma and four-sigma bounds, and forty-eight-hour and ninety-six-hour persistence rules. The four combinations bound the sensitivity of the median estimate to the operational definition of restored custody.</w:t>
      </w:r>
    </w:p>
    <w:p>
      <w:pPr>
        <w:pStyle w:val="BodyText"/>
        <w:spacing w:line="480" w:lineRule="auto"/>
        <w:ind w:firstLine="720"/>
      </w:pPr>
      <w:r>
        <w:t xml:space="preserve">The third class restricts the sample to subpopulations and re-runs the estimation. The subpopulation restrictions include large-RCS objects only, station-keeping maneuvers only, and the contemporary two-year window only. The subpopulation analyses are intended to test the stability of the median estimate against the heterogeneity of the LEO maneuvering population and to identify the subpopulation, if any, on which the median estimate is most fragile.</w:t>
      </w:r>
    </w:p>
    <w:bookmarkEnd w:id="113"/>
    <w:bookmarkStart w:id="114" w:name="X1d189e0776bd0a9225211f020d00b109bd29bed"/>
    <w:p>
      <w:pPr>
        <w:pStyle w:val="Heading2"/>
        <w:spacing w:line="480" w:lineRule="auto"/>
      </w:pPr>
      <w:r>
        <w:t xml:space="preserve">5.7 Threats to Validity and How Each Is Bounded</w:t>
      </w:r>
    </w:p>
    <w:p>
      <w:pPr>
        <w:pStyle w:val="FirstParagraph"/>
        <w:spacing w:line="480" w:lineRule="auto"/>
      </w:pPr>
      <w:r>
        <w:t xml:space="preserve">Six threats to validity are pre-specified, and each is bounded by an explicit procedure.</w:t>
      </w:r>
    </w:p>
    <w:p>
      <w:pPr>
        <w:pStyle w:val="BodyText"/>
        <w:spacing w:line="480" w:lineRule="auto"/>
        <w:ind w:firstLine="720"/>
      </w:pPr>
      <w:r>
        <w:rPr>
          <w:b/>
          <w:bCs/>
        </w:rPr>
        <w:t xml:space="preserve">Detector bias.</w:t>
      </w:r>
      <w:r>
        <w:t xml:space="preserve"> </w:t>
      </w:r>
      <w:r>
        <w:t xml:space="preserve">Small maneuvers hide below the noise. A TLE-based detector may systematically miss those whose orbital perturbation falls below the propagation noise floor</w:t>
      </w:r>
      <w:r>
        <w:t xml:space="preserve"> </w:t>
      </w:r>
      <w:hyperlink w:anchor="ref-4">
        <w:r>
          <w:rPr>
            <w:rStyle w:val="Hyperlink"/>
          </w:rPr>
          <w:t xml:space="preserve">[4]</w:t>
        </w:r>
      </w:hyperlink>
      <w:r>
        <w:t xml:space="preserve">. The robustness check against the Kato detector partially addresses this threat</w:t>
      </w:r>
      <w:r>
        <w:t xml:space="preserve"> </w:t>
      </w:r>
      <w:hyperlink w:anchor="ref-6">
        <w:r>
          <w:rPr>
            <w:rStyle w:val="Hyperlink"/>
          </w:rPr>
          <w:t xml:space="preserve">[6]</w:t>
        </w:r>
      </w:hyperlink>
      <w:r>
        <w:t xml:space="preserve">, as do the Shorten and Miga detectors</w:t>
      </w:r>
      <w:r>
        <w:t xml:space="preserve"> </w:t>
      </w:r>
      <w:hyperlink w:anchor="ref-17">
        <w:r>
          <w:rPr>
            <w:rStyle w:val="Hyperlink"/>
          </w:rPr>
          <w:t xml:space="preserve">[17]</w:t>
        </w:r>
      </w:hyperlink>
      <w:r>
        <w:t xml:space="preserve">[29]. The residual threat is that all four detectors share a dependence on the underlying observation stream and may therefore exhibit correlated miss patterns on the smallest maneuvers. The reported median is therefore interpreted as conditional on detectability and is presented as a lower bound on the true population custody gap for the maneuvering subpopulation. The reported confidence interval reflects sampling variability within the detected population and is not adjusted for the unobserved miss rate.</w:t>
      </w:r>
    </w:p>
    <w:p>
      <w:pPr>
        <w:pStyle w:val="BodyText"/>
        <w:spacing w:line="480" w:lineRule="auto"/>
        <w:ind w:firstLine="720"/>
      </w:pPr>
      <w:r>
        <w:rPr>
          <w:b/>
          <w:bCs/>
        </w:rPr>
        <w:t xml:space="preserve">Corroboration coverage.</w:t>
      </w:r>
      <w:r>
        <w:t xml:space="preserve"> </w:t>
      </w:r>
      <w:r>
        <w:t xml:space="preserve">The LeoLabs commercial radar archive covers the LEO regime densely but not uniformly</w:t>
      </w:r>
      <w:r>
        <w:t xml:space="preserve"> </w:t>
      </w:r>
      <w:hyperlink w:anchor="ref-10">
        <w:r>
          <w:rPr>
            <w:rStyle w:val="Hyperlink"/>
          </w:rPr>
          <w:t xml:space="preserve">[10]</w:t>
        </w:r>
      </w:hyperlink>
      <w:r>
        <w:t xml:space="preserve">[19]. Objects in orbits poorly served by the LeoLabs network will be underrepresented in the corroborated event set. The inclusion-probability weight on each event is constructed from the published LeoLabs coverage statistics, and the quantile regression is run both with and without the weight. A material difference between weighted and unweighted estimates is reported as evidence that coverage heterogeneity is biasing the median estimate. The Squires and colleagues description of the LeoLabs detection pipeline is used to construct the coverage proxy</w:t>
      </w:r>
      <w:r>
        <w:t xml:space="preserve"> </w:t>
      </w:r>
      <w:hyperlink w:anchor="ref-19">
        <w:r>
          <w:rPr>
            <w:rStyle w:val="Hyperlink"/>
          </w:rPr>
          <w:t xml:space="preserve">[19]</w:t>
        </w:r>
      </w:hyperlink>
      <w:r>
        <w:t xml:space="preserve">.</w:t>
      </w:r>
    </w:p>
    <w:p>
      <w:pPr>
        <w:pStyle w:val="BodyText"/>
        <w:spacing w:line="480" w:lineRule="auto"/>
        <w:ind w:firstLine="720"/>
      </w:pPr>
      <w:r>
        <w:rPr>
          <w:b/>
          <w:bCs/>
        </w:rPr>
        <w:t xml:space="preserve">Catalog-update cadence as upper bound on resolution.</w:t>
      </w:r>
      <w:r>
        <w:t xml:space="preserve"> </w:t>
      </w:r>
      <w:r>
        <w:t xml:space="preserve">The custody-gap endpoint is defined against the public TLE stream, which itself updates at a finite cadence. The estimated median is therefore quantized at the catalog-update interval, which is bounded by the inverse of the daily TLE-issuance rate for the LEO population. The quantization width is reported alongside the median estimate and is presented as the minimum resolvable difference in the custody-gap duration. The directional hypothesis test is unaffected by quantization because the quantization is symmetric in the duration metric and does not bias the median estimate against the forty-eight-hour threshold.</w:t>
      </w:r>
    </w:p>
    <w:p>
      <w:pPr>
        <w:pStyle w:val="BodyText"/>
        <w:spacing w:line="480" w:lineRule="auto"/>
        <w:ind w:firstLine="720"/>
      </w:pPr>
      <w:r>
        <w:rPr>
          <w:b/>
          <w:bCs/>
        </w:rPr>
        <w:t xml:space="preserve">Sensor-cadence proxy measurement error.</w:t>
      </w:r>
      <w:r>
        <w:t xml:space="preserve"> </w:t>
      </w:r>
      <w:r>
        <w:t xml:space="preserve">The sensor-cadence proxy is imputed from altitude-band and inclination-band medians where the object-specific tasking record is not available. The imputation introduces classical measurement error that, under standard assumptions, biases the associated quantile-regression coefficient toward zero. A Monte Carlo procedure draws one thousand replicate covariate vectors from the imputation distribution and re-runs the quantile regression on each replicate. The Monte Carlo standard error is added in quadrature to the bootstrap standard error to produce the reported confidence interval. The procedure does not eliminate the attenuation bias but bounds the uncertainty introduced by the imputation.</w:t>
      </w:r>
    </w:p>
    <w:p>
      <w:pPr>
        <w:pStyle w:val="BodyText"/>
        <w:spacing w:line="480" w:lineRule="auto"/>
        <w:ind w:firstLine="720"/>
      </w:pPr>
      <w:r>
        <w:rPr>
          <w:b/>
          <w:bCs/>
        </w:rPr>
        <w:t xml:space="preserve">Regime drift across the sample window.</w:t>
      </w:r>
      <w:r>
        <w:t xml:space="preserve"> </w:t>
      </w:r>
      <w:r>
        <w:t xml:space="preserve">The 2019 through 2025 window spans a period of rapid LEO population growth and corresponding changes in sensor tasking</w:t>
      </w:r>
      <w:r>
        <w:t xml:space="preserve"> </w:t>
      </w:r>
      <w:hyperlink w:anchor="ref-3">
        <w:r>
          <w:rPr>
            <w:rStyle w:val="Hyperlink"/>
          </w:rPr>
          <w:t xml:space="preserve">[3]</w:t>
        </w:r>
      </w:hyperlink>
      <w:r>
        <w:t xml:space="preserve">[9]. The quantile regression includes calendar epoch as a covariate; the Cox model stratifies on calendar year. The primary hypothesis test is conducted on the most recent two years of the sample. A pre-specified placebo test re-runs the primary hypothesis test on the earliest two years of the sample. A material difference between the contemporary and placebo estimates is reported as evidence that the secular trend is operationally significant and that the contemporary estimate should not be extrapolated to earlier periods.</w:t>
      </w:r>
    </w:p>
    <w:p>
      <w:pPr>
        <w:pStyle w:val="BodyText"/>
        <w:spacing w:line="480" w:lineRule="auto"/>
        <w:ind w:firstLine="720"/>
      </w:pPr>
      <w:r>
        <w:rPr>
          <w:b/>
          <w:bCs/>
        </w:rPr>
        <w:t xml:space="preserve">Conflation of maneuver and propagation artifact.</w:t>
      </w:r>
      <w:r>
        <w:t xml:space="preserve"> </w:t>
      </w:r>
      <w:r>
        <w:t xml:space="preserve">A TLE discontinuity may reflect an orbit-determination update rather than a true maneuver, particularly in the immediate aftermath of a sensor outage or a tasking shift</w:t>
      </w:r>
      <w:r>
        <w:t xml:space="preserve"> </w:t>
      </w:r>
      <w:hyperlink w:anchor="ref-25">
        <w:r>
          <w:rPr>
            <w:rStyle w:val="Hyperlink"/>
          </w:rPr>
          <w:t xml:space="preserve">[25]</w:t>
        </w:r>
      </w:hyperlink>
      <w:r>
        <w:t xml:space="preserve">[31]. The corroboration against the independent radar ephemeris is the primary defense against this threat: an event is admitted to the analysis only if the radar ephemeris confirms a state change consistent with a thrust event at t_m. The Pirovano and Armellin specification of catalog-maintenance detection</w:t>
      </w:r>
      <w:r>
        <w:t xml:space="preserve"> </w:t>
      </w:r>
      <w:hyperlink w:anchor="ref-25">
        <w:r>
          <w:rPr>
            <w:rStyle w:val="Hyperlink"/>
          </w:rPr>
          <w:t xml:space="preserve">[25]</w:t>
        </w:r>
      </w:hyperlink>
      <w:r>
        <w:t xml:space="preserve"> </w:t>
      </w:r>
      <w:r>
        <w:t xml:space="preserve">and the Kazemi and colleagues survey of orbit determination for SSA</w:t>
      </w:r>
      <w:r>
        <w:t xml:space="preserve"> </w:t>
      </w:r>
      <w:hyperlink w:anchor="ref-31">
        <w:r>
          <w:rPr>
            <w:rStyle w:val="Hyperlink"/>
          </w:rPr>
          <w:t xml:space="preserve">[31]</w:t>
        </w:r>
      </w:hyperlink>
      <w:r>
        <w:t xml:space="preserve"> </w:t>
      </w:r>
      <w:r>
        <w:t xml:space="preserve">inform the construction of the corroboration rule. A residual concern is that the corroboration is itself dependent on the LeoLabs detection pipeline and may share failure modes with the catalog. A subset of events drawn from a period of overlap with a second commercial tracking source is used as a manual check on the corroboration rule, and the resulting agreement rate is reported as a bound on the residual conflation rate.</w:t>
      </w:r>
    </w:p>
    <w:p>
      <w:pPr>
        <w:pStyle w:val="BodyText"/>
        <w:spacing w:line="480" w:lineRule="auto"/>
        <w:ind w:firstLine="720"/>
      </w:pPr>
      <w:r>
        <w:t xml:space="preserve">A seventh threat, external validity, is acknowledged but not bounded by procedure. The sample is restricted to the LEO regime and to the 2019 through 2025 window. Generalization to GEO, to MEO, or to future periods is not supported by the present design. The Cox model coefficients are presented as conditional structural descriptions of the present LEO regime rather than as transportable parameters.</w:t>
      </w:r>
    </w:p>
    <w:bookmarkEnd w:id="114"/>
    <w:bookmarkStart w:id="115" w:name="summary-1"/>
    <w:p>
      <w:pPr>
        <w:pStyle w:val="Heading2"/>
        <w:spacing w:line="480" w:lineRule="auto"/>
      </w:pPr>
      <w:r>
        <w:t xml:space="preserve">5.8 Summary</w:t>
      </w:r>
    </w:p>
    <w:p>
      <w:pPr>
        <w:pStyle w:val="FirstParagraph"/>
        <w:spacing w:line="480" w:lineRule="auto"/>
      </w:pPr>
      <w:r>
        <w:t xml:space="preserve">The methods described in this chapter implement a two-stage estimation strategy on a corroborated event set drawn from the public LEO catalog and an independent commercial radar archive. The primary estimator is a quantile regression on the conditional median custody-gap duration, with inverse-probability-of-censoring weights and clustered bootstrap standard errors. The secondary estimator is a Cox proportional-hazards model on the conditional hazard of custody restoration, with calendar-year stratification and clustered standard errors. Six threats to validity are pre-specified and each is bounded by an explicit procedure. The resulting estimates support a single falsifiable claim about the contemporary median custody-gap window in low Earth orbit and a characterization of the hazard structure that produces that median. Chapter 6 reports the descriptive statistics of the event table; Chapter 7 reports the primary and secondary estimates; Chapter 8 reports the robustness checks and the threat-bounding diagnostics.</w:t>
      </w:r>
    </w:p>
    <w:bookmarkEnd w:id="115"/>
    <w:bookmarkEnd w:id="116"/>
    <w:bookmarkStart w:id="121"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estimating exercises that anchor the dissertation. Paper 1 fits an ordinary least squares regression of confirmed detection latency on operational levers across a forty-object cross section drawn from open-source maneuver records and sensor tasking traces. Paper 2 fits a Cox proportional hazards model of the time from last confirmed state vector to first independent re-detection, on a thirty-five-observation low Earth orbit sample with right censoring at the seventy-two-hour boundary specified in the prospectus. The two specifications are deliberately complementary. The OLS exercise quantifies the conditional marginal effect of each operational lever on the mean of the custody-gap distribution. The hazard model recovers the shape of the time-to-re-detection process and so speaks directly to the survival-tail mass on which collision-avoidance policy depends</w:t>
      </w:r>
      <w:r>
        <w:t xml:space="preserve"> </w:t>
      </w:r>
      <w:hyperlink w:anchor="ref-1">
        <w:r>
          <w:rPr>
            <w:rStyle w:val="Hyperlink"/>
          </w:rPr>
          <w:t xml:space="preserve">[1]</w:t>
        </w:r>
      </w:hyperlink>
      <w:r>
        <w:t xml:space="preserve">[2]. The combined evidence allows a defensible characterization of how, and how unevenly, the levers available to sensor-network operators and to object owners shorten the interval during which the public catalog is operationally wrong.</w:t>
      </w:r>
    </w:p>
    <w:p>
      <w:pPr>
        <w:pStyle w:val="BodyText"/>
        <w:spacing w:line="480" w:lineRule="auto"/>
        <w:ind w:firstLine="720"/>
      </w:pPr>
      <w:r>
        <w:t xml:space="preserve">The chapter proceeds in four parts. Two fits, one reconciliation, one verdict. The first part reports the OLS fit and walks through each coefficient in the order in which it bears on the H0/H1 contrast advanced in the prospectus. The second part reports the proportional hazards fit and translates each coefficient into the implied multiplicative effect on the re-detection hazard. The third part reads the two specifications against each other, identifies the points of agreement, and isolates the one finding on which they appear to disagree. The fourth part returns to the forty-eight-hour planning horizon and assesses what the joint evidence implies for the falsifiable claim that defines the dissertation. Every numeric value reported below is read directly from the estimator output for the corresponding paper. Tables, formulas, figures, and the underlying observation tables are reserved for Appendix A.</w:t>
      </w:r>
    </w:p>
    <w:bookmarkStart w:id="117" w:name="Xae277865b97b8acbbed6538d039eb75e3e5ce84"/>
    <w:p>
      <w:pPr>
        <w:pStyle w:val="Heading2"/>
        <w:spacing w:line="480" w:lineRule="auto"/>
      </w:pPr>
      <w:r>
        <w:t xml:space="preserve">6.1 The OLS Estimate of Conditional Detection Latency</w:t>
      </w:r>
    </w:p>
    <w:p>
      <w:pPr>
        <w:pStyle w:val="FirstParagraph"/>
        <w:spacing w:line="480" w:lineRule="auto"/>
      </w:pPr>
      <w:r>
        <w:t xml:space="preserve">The OLS specification regresses confirmed detection latency in hours on five regressors: mean sensor revisit interval in hours, the count of distinct tasked sensors during the maneuver window, radar cross section in square meters, maneuver delta-v in meters per second, and mean orbital altitude in kilometers. The estimator returns heteroskedasticity-consistent HC1 standard errors. The sample is forty observations, drawn from commercial broadband constellations, legacy Earth observation platforms, small-RCS commercial sensing payloads, and a small set of proximity-operations cases reconstructed from open-source counterspace reporting in the manner described in the prospectus and in Paper 1.</w:t>
      </w:r>
    </w:p>
    <w:p>
      <w:pPr>
        <w:pStyle w:val="BodyText"/>
        <w:spacing w:line="480" w:lineRule="auto"/>
        <w:ind w:firstLine="720"/>
      </w:pPr>
      <w:r>
        <w:t xml:space="preserve">The fit is exceptionally tight. The coefficient of determination is 0.969, the adjusted coefficient is 0.965, and the overall F statistic is 1283.6 with a p-value of 1.08e-37 on five regressors and forty observations. The fit warrants two observations before any individual coefficient is interpreted. First, the explanatory variables span the operational axes that the maneuver-detection literature has long argued should drive detection latency</w:t>
      </w:r>
      <w:r>
        <w:t xml:space="preserve"> </w:t>
      </w:r>
      <w:hyperlink w:anchor="ref-3">
        <w:r>
          <w:rPr>
            <w:rStyle w:val="Hyperlink"/>
          </w:rPr>
          <w:t xml:space="preserve">[3]</w:t>
        </w:r>
      </w:hyperlink>
      <w:r>
        <w:t xml:space="preserve">[4][6]; finding that those axes together explain almost all of the cross-sectional variance is a substantive vindication of that literature rather than a curiosity of overfitting. Second, the adjusted statistic moves only four-tenths of a percentage point below the unadjusted, which suggests that none of the five regressors is purchased at the cost of the others, and that the apparent precision of the individual coefficients is unlikely to be an artifact of degrees-of-freedom inflation. The point of the OLS exercise is not to claim that the conditional mean of detection latency is exhausted by these five variables in the population. It is to claim that these five variables, in the configuration the prospectus specified, jointly track the cross-section of latencies with a precision sufficient to read each marginal effect as an operational planning number.</w:t>
      </w:r>
    </w:p>
    <w:p>
      <w:pPr>
        <w:pStyle w:val="BodyText"/>
        <w:spacing w:line="480" w:lineRule="auto"/>
        <w:ind w:firstLine="720"/>
      </w:pPr>
      <w:r>
        <w:t xml:space="preserve">The intercept is estimated at 11.7145 hours with a standard error of 3.5962 and a p-value of 0.0011. The intercept here is interpretable: it is the model’s estimate of the baseline custody gap before the operational levers are applied, in the sense that it is the predicted detection latency when revisit interval, tasked-sensor count, radar cross section, delta-v, and altitude are jointly set to zero. The intercept is not the floor latency for any real object; the floor latency for a real object is the intercept plus the operational levers evaluated at their relevant levels. The baseline of roughly half a day is consistent with the irreducible portion of detection latency described by NASA conjunction assessment operational concepts and by the change-detection literature on residual streams</w:t>
      </w:r>
      <w:r>
        <w:t xml:space="preserve"> </w:t>
      </w:r>
      <w:hyperlink w:anchor="ref-16">
        <w:r>
          <w:rPr>
            <w:rStyle w:val="Hyperlink"/>
          </w:rPr>
          <w:t xml:space="preserve">[16]</w:t>
        </w:r>
      </w:hyperlink>
      <w:r>
        <w:t xml:space="preserve">[14].</w:t>
      </w:r>
    </w:p>
    <w:p>
      <w:pPr>
        <w:pStyle w:val="BodyText"/>
        <w:spacing w:line="480" w:lineRule="auto"/>
        <w:ind w:firstLine="720"/>
      </w:pPr>
      <w:r>
        <w:t xml:space="preserve">Revisit interval comes first. The sensor revisit coefficient is estimated at 1.4230 hours of latency per hour of revisit interval, with a standard error of 0.1824 and a p-value indistinguishable from zero. The point estimate has a clean operational reading. An hour of additional mean revisit interval translates into roughly an hour and twenty-five minutes of additional custody-gap duration, with the other four regressors held fixed. The standard error implies a ninety-five percent confidence interval that does not approach unity from above and does not approach two from below, which is to say that the magnitude is tight in addition to the direction being correctly signed. The economic significance of the estimate is that the revisit lever is roughly one-for-one in operational time. A sensor network operator who closes one hour of mean revisit on the LEO objects in this sample purchases approximately the same hour back on the custody gap, plus an additional twenty-five-minute increment that the regression attributes to revisit independently of the other levers. The result is consistent with the theoretical prior advanced in Paper 1, with the cadence-floor argument in the AMOS satellite maneuver prediction literature</w:t>
      </w:r>
      <w:r>
        <w:t xml:space="preserve"> </w:t>
      </w:r>
      <w:hyperlink w:anchor="ref-11">
        <w:r>
          <w:rPr>
            <w:rStyle w:val="Hyperlink"/>
          </w:rPr>
          <w:t xml:space="preserve">[11]</w:t>
        </w:r>
      </w:hyperlink>
      <w:r>
        <w:t xml:space="preserve">, and with the constellation-sensor design rationale advanced by Morris and colleagues</w:t>
      </w:r>
      <w:r>
        <w:t xml:space="preserve"> </w:t>
      </w:r>
      <w:hyperlink w:anchor="ref-12">
        <w:r>
          <w:rPr>
            <w:rStyle w:val="Hyperlink"/>
          </w:rPr>
          <w:t xml:space="preserve">[12]</w:t>
        </w:r>
      </w:hyperlink>
      <w:r>
        <w:t xml:space="preserve">. It is also consistent with the cadence-driven hazard structure that the survival model will recover in the next section.</w:t>
      </w:r>
    </w:p>
    <w:p>
      <w:pPr>
        <w:pStyle w:val="BodyText"/>
        <w:spacing w:line="480" w:lineRule="auto"/>
        <w:ind w:firstLine="720"/>
      </w:pPr>
      <w:r>
        <w:t xml:space="preserve">Now count the sensors. The tasked-sensor coefficient is estimated at -3.3430 hours of latency per additional tasked sensor, with a standard error of 0.9441 and a p-value of 0.0004. The negative sign is the predicted direction. The magnitude is large. Each additional tasked sensor during the maneuver window compresses the custody gap by approximately three hours and twenty minutes, with revisit, observability, maneuver magnitude, and altitude held fixed. The standard error implies a ninety-five percent confidence interval that excludes both the no-effect null and any value that would make tasked-sensor count a marginal contribution relative to revisit interval. The point estimate suggests that the two operational levers available to a sensor network are not substitutes within the relevant range. Revisit interval and tasked-sensor count enter the regression with comparable t-statistics but with very different scale factors on the planning quantity, and the regression attributes independent compressive work to each. The reading offered in Paper 1 is the right reading: a sensor-network investment plan that buys only cadence, or only count, leaves compressible custody gap on the table. The finding bears directly on the decentralized tasking literature, in which the analytic case for parallel observation has long been made on tactical-relevance grounds</w:t>
      </w:r>
      <w:r>
        <w:t xml:space="preserve"> </w:t>
      </w:r>
      <w:hyperlink w:anchor="ref-5">
        <w:r>
          <w:rPr>
            <w:rStyle w:val="Hyperlink"/>
          </w:rPr>
          <w:t xml:space="preserve">[5]</w:t>
        </w:r>
      </w:hyperlink>
      <w:r>
        <w:t xml:space="preserve">. The present estimate puts a number on the tactical-relevance argument in the unit that operators actually plan against, namely wall-clock hours of stale catalog.</w:t>
      </w:r>
    </w:p>
    <w:p>
      <w:pPr>
        <w:pStyle w:val="BodyText"/>
        <w:spacing w:line="480" w:lineRule="auto"/>
        <w:ind w:firstLine="720"/>
      </w:pPr>
      <w:r>
        <w:t xml:space="preserve">Radar cross section springs a surprise. The coefficient is estimated at 0.0124 hours of latency per square meter of cross section, with a standard error of 0.0015 and a p-value indistinguishable from zero. The sign is positive, which is the opposite of the naive observability prior. A larger radar cross section is, in this sample, associated with a longer custody gap. The reading offered in Paper 1, and adopted here, is that the RCS coefficient is not measuring the observability physics. It is absorbing the residual coverage pattern that large-RCS objects in the sample inhabit: legacy Earth-observation platforms in orbits that historically attracted sparse tasking. The OLS specification cannot disentangle observability from tasking allocation in a sample that does not vary tasking exogenously across cross-section bins. The estimate is reported and signed; the structural interpretation that would make the estimate a statement about detection physics is not warranted by the design. The implication for policy is therefore narrow. Large-RCS objects are not, in this sample, the easy ones to keep custody on; they are the ones the network has chosen to task less densely. The result echoes the mission-oriented evaluation framework advanced by Schmedeman and colleagues</w:t>
      </w:r>
      <w:r>
        <w:t xml:space="preserve"> </w:t>
      </w:r>
      <w:hyperlink w:anchor="ref-22">
        <w:r>
          <w:rPr>
            <w:rStyle w:val="Hyperlink"/>
          </w:rPr>
          <w:t xml:space="preserve">[22]</w:t>
        </w:r>
      </w:hyperlink>
      <w:r>
        <w:t xml:space="preserve">, which argues that observability metrics divorced from tasking allocation systematically mis-rank custody risk.</w:t>
      </w:r>
    </w:p>
    <w:p>
      <w:pPr>
        <w:pStyle w:val="BodyText"/>
        <w:spacing w:line="480" w:lineRule="auto"/>
        <w:ind w:firstLine="720"/>
      </w:pPr>
      <w:r>
        <w:t xml:space="preserve">The delta-v coefficient is estimated at -15.9853 hours of latency per meter per second of maneuver magnitude, with a standard error of 6.5663 and a p-value of 0.0149. The sign is the predicted direction. The interpretation requires care because the unit of the regressor is small relative to the unit of the response. A station-keeping maneuver of one one-hundredth of a meter per second moves the predicted latency by less than ten minutes; a constellation phasing maneuver of a tenth of a meter per second moves the predicted latency by approximately ninety minutes; a rendezvous-proximity maneuver on the order of half a meter per second moves the predicted latency by about eight hours. The standard error implies a ninety-five percent confidence interval that excludes the no-effect null but is wider in relative terms than the revisit or tasked-sensor intervals. The point estimate is consistent with the change-detection theory advanced in Paper 1 and in the dual-moving-window curve-fitting literature</w:t>
      </w:r>
      <w:r>
        <w:t xml:space="preserve"> </w:t>
      </w:r>
      <w:hyperlink w:anchor="ref-27">
        <w:r>
          <w:rPr>
            <w:rStyle w:val="Hyperlink"/>
          </w:rPr>
          <w:t xml:space="preserve">[27]</w:t>
        </w:r>
      </w:hyperlink>
      <w:r>
        <w:t xml:space="preserve">, in which a larger residual crosses the detection threshold on fewer post-maneuver passes. The darker reading carried forward from Paper 1 is the reading that bears on the policy question. The custody-gap window is hardest to close precisely for the small-delta-v maneuvers that proximity operations and station-keeping deception would exhibit. The objects with the longest fitted latencies in the OLS sample are small-RCS commercial sensing payloads with small delta-v and sparse tasking; that operational signature is also the signature an adversary attempting to mask intent would adopt</w:t>
      </w:r>
      <w:r>
        <w:t xml:space="preserve"> </w:t>
      </w:r>
      <w:hyperlink w:anchor="ref-15">
        <w:r>
          <w:rPr>
            <w:rStyle w:val="Hyperlink"/>
          </w:rPr>
          <w:t xml:space="preserve">[15]</w:t>
        </w:r>
      </w:hyperlink>
      <w:r>
        <w:t xml:space="preserve">.</w:t>
      </w:r>
    </w:p>
    <w:p>
      <w:pPr>
        <w:pStyle w:val="BodyText"/>
        <w:spacing w:line="480" w:lineRule="auto"/>
        <w:ind w:firstLine="720"/>
      </w:pPr>
      <w:r>
        <w:t xml:space="preserve">Altitude does nothing. The coefficient is estimated at 0.0001 hours of latency per kilometer of mean orbital altitude, with a standard error of 0.0004 and a p-value of 0.7146. The estimate is statistically indistinguishable from zero. The result is the expected null. The theoretical prior on altitude is ambiguous in sign because higher LEO orbits give some sensors longer dwell but also longer revisit, and the prospectus declined to commit to a directional hypothesis. The OLS estimate is consistent with that theoretical ambiguity playing out as a near-zero conditional mean effect once the other four regressors are held fixed. The altitude null also has a methodological reading. It implies that the revisit, tasked-sensor, RCS, and delta-v coefficients are not silently absorbing an altitude effect through correlated coverage patterns; the regression has the degrees of freedom and the variation it needs to identify each of the operational levers independently of altitude.</w:t>
      </w:r>
    </w:p>
    <w:bookmarkEnd w:id="117"/>
    <w:bookmarkStart w:id="118" w:name="Xc860f275a057eb9301aae85c499231d8021a0c5"/>
    <w:p>
      <w:pPr>
        <w:pStyle w:val="Heading2"/>
        <w:spacing w:line="480" w:lineRule="auto"/>
      </w:pPr>
      <w:r>
        <w:t xml:space="preserve">6.2 The Proportional Hazards Estimate of Time to Re-Detection</w:t>
      </w:r>
    </w:p>
    <w:p>
      <w:pPr>
        <w:pStyle w:val="FirstParagraph"/>
        <w:spacing w:line="480" w:lineRule="auto"/>
      </w:pPr>
      <w:r>
        <w:t xml:space="preserve">The Cox specification regresses the hazard of re-detection at time t on four regressors: mean orbital altitude in kilometers, radar cross section in square meters, an ordinal sensor-density index taking values one, two, or three for low, medium, and high coverage respectively, and a categorical maneuver class indicator taking values zero for station-keeping or drag-make-up, one for constellation phasing, and two for rendezvous-proximity or non-cooperative maneuvers. The sample is thirty-five LEO observations, of which thirty-two are events and three are right-censored at the seventy-two-hour boundary, consistent with the censoring rule advanced in the prospectus. The estimator is a partial-likelihood Cox proportional hazards fit with a small ridge penalty for numerical stability, which is necessary because the unpenalized Hessian on this sample is near-singular at the maximum and returns degenerate standard errors. The penalty is small enough that the recovered coefficients are interpretable as approximate partial-likelihood point estimates; the implications for inference are discussed where they bear on each result.</w:t>
      </w:r>
    </w:p>
    <w:p>
      <w:pPr>
        <w:pStyle w:val="BodyText"/>
        <w:spacing w:line="480" w:lineRule="auto"/>
        <w:ind w:firstLine="720"/>
      </w:pPr>
      <w:r>
        <w:t xml:space="preserve">Coverage dominates the hazard. The sensor-density coefficient is estimated at 1.2246 with a standard error of 0.3631 and a p-value of 0.0007. The exponentiated coefficient, which is the conventional hazard ratio reading, is 3.4029. A one-step increase on the ordinal coverage index, from low to medium or from medium to high, multiplies the re-detection hazard by roughly three and a half. The direction matches the prospectus hypothesis and matches the operational reading of the OLS revisit and tasked-sensor results. The magnitude is large in hazard space, which is to say that what looks like an additive one-hour shift in conditional mean latency in the OLS specification appears in the hazard specification as a roughly three-and-a-half-fold acceleration of the conditional re-detection rate at any given elapsed time. The two specifications are not measuring the same object: the OLS coefficient measures a shift in the conditional mean, while the Cox coefficient measures a multiplicative acceleration of the conditional hazard. The two readings are mutually consistent and reinforcing. A network whose coverage index moves one step up acquires re-detection events earlier in the elapsed-time distribution; the same network appears in the OLS specification as a shorter mean custody gap. The decentralized-tasking and wide-field-sensor literatures predict precisely this joint pattern</w:t>
      </w:r>
      <w:r>
        <w:t xml:space="preserve"> </w:t>
      </w:r>
      <w:hyperlink w:anchor="ref-5">
        <w:r>
          <w:rPr>
            <w:rStyle w:val="Hyperlink"/>
          </w:rPr>
          <w:t xml:space="preserve">[5]</w:t>
        </w:r>
      </w:hyperlink>
      <w:r>
        <w:t xml:space="preserve">[8][18]. The present estimate makes the prediction quantitatively specific.</w:t>
      </w:r>
    </w:p>
    <w:p>
      <w:pPr>
        <w:pStyle w:val="BodyText"/>
        <w:spacing w:line="480" w:lineRule="auto"/>
        <w:ind w:firstLine="720"/>
      </w:pPr>
      <w:r>
        <w:t xml:space="preserve">The maneuver-class coefficient is estimated at 0.6927 with a standard error of 0.2914 and a p-value of 0.0174. The exponentiated coefficient is 1.9991. Moving one step up the maneuver-class ordinal, from station-keeping to constellation phasing, or from constellation phasing to rendezvous-proximity or non-cooperative, approximately doubles the re-detection hazard. The sign is the opposite of the directional hypothesis that the prospectus advanced. The prospectus argued, on the basis of operational reasoning about masked intent and the small-delta-v signature of proximity operations, that rendezvous-proximity maneuvers should lengthen the custody-gap window relative to station-keeping. The data say the opposite. The reading that reconciles the apparent disagreement starts from the observation that the OLS specification used delta-v in continuous meters per second as the maneuver-magnitude regressor, while the Cox specification uses an ordinal class indicator that aggregates over magnitude and over operational type. Rendezvous-proximity maneuvers in the open-source LEO sample compiled for Paper 2 are predominantly larger in magnitude than the station-keeping or constellation-phasing maneuvers in the same sample, and they are also predominantly conducted in altitude bands and at orbital regimes where coverage is comparatively dense. The hazard coefficient on the class indicator is therefore picking up both the delta-v effect that the OLS specification recovered as a negative coefficient on the continuous magnitude regressor and the coverage-density effect that the Cox specification recovers as a positive coefficient on the sensor-density index. The result is a class indicator whose marginal effect, conditional on altitude and RCS, is positive on the hazard scale. The substantive implication is not that rendezvous-proximity maneuvers are easy to keep custody on. It is that the LEO objects in the open-source sample that conducted rendezvous-proximity maneuvers were the ones the network was already watching. The policy reading that follows is the cautious one: the class coefficient should not be read as a general claim that proximity operations are easier to detect than station-keeping; it should be read as a sample-conditional finding about the joint distribution of who maneuvers and who is watched, broadly consistent with the open-source counterspace assessments that document selective tasking on objects of intelligence interest</w:t>
      </w:r>
      <w:r>
        <w:t xml:space="preserve"> </w:t>
      </w:r>
      <w:hyperlink w:anchor="ref-15">
        <w:r>
          <w:rPr>
            <w:rStyle w:val="Hyperlink"/>
          </w:rPr>
          <w:t xml:space="preserve">[15]</w:t>
        </w:r>
      </w:hyperlink>
      <w:r>
        <w:t xml:space="preserve">.</w:t>
      </w:r>
    </w:p>
    <w:p>
      <w:pPr>
        <w:pStyle w:val="BodyText"/>
        <w:spacing w:line="480" w:lineRule="auto"/>
        <w:ind w:firstLine="720"/>
      </w:pPr>
      <w:r>
        <w:t xml:space="preserve">The altitude coefficient is estimated at -0.0015 with a standard error of 0.0009 and a p-value of 0.0872. The exponentiated coefficient is 0.9985. The direction matches the prospectus expectation that higher LEO altitudes coincide with longer detection latencies under current SSA coverage, which translates on the hazard scale to a lower re-detection rate. The magnitude is small per-kilometer but operationally meaningful when accumulated over a several-hundred-kilometer altitude band. A two-hundred-kilometer increase in altitude multiplies the re-detection hazard by approximately 0.74 at the point estimate, which is to say that the conditional re-detection rate falls by roughly a quarter as one moves from the lower LEO band to the upper LEO band. The p-value at conventional thresholds is marginal. The OLS specification returned a near-zero, non-significant altitude coefficient on a different sample with a different specification; the Cox specification recovers a small, marginally significant negative coefficient on the hazard. The two estimates are not in tension. The OLS specification measured altitude’s contribution to the conditional mean of latency in a sample that mixed LEO with a small higher-altitude contingent; the Cox specification measures altitude’s contribution to the conditional re-detection rate within a pure LEO sample. The Cox estimate is the one that bears on the prospectus claim about LEO regimes, and it goes in the predicted direction.</w:t>
      </w:r>
    </w:p>
    <w:p>
      <w:pPr>
        <w:pStyle w:val="BodyText"/>
        <w:spacing w:line="480" w:lineRule="auto"/>
        <w:ind w:firstLine="720"/>
      </w:pPr>
      <w:r>
        <w:t xml:space="preserve">The radar cross section coefficient is estimated at 0.0113 with a standard error of 0.0079 and a p-value of 0.1546. The exponentiated coefficient is 1.0114. The point estimate suggests that a one-square-meter increase in cross section multiplies the re-detection hazard by approximately one percent, conditional on altitude, sensor density, and maneuver class. The estimate is not statistically distinguishable from zero at conventional thresholds, and the standard error implies a ninety-five percent confidence interval that comfortably brackets the unit hazard ratio. The reading is that RCS, once altitude and the sensor-density index are held fixed, does not carry independent explanatory weight for the conditional re-detection hazard in this sample. The result is consistent with the OLS reading that the positive RCS coefficient in Paper 1 was absorbing a residual coverage pattern rather than an observability effect. The Cox specification includes the sensor-density index explicitly, which leaves no residual coverage pattern for RCS to absorb, and the RCS coefficient consequently collapses toward zero in the hazard space. The convergence of the two specifications on this point is informative: in an observational sample where tasking allocation is endogenous to object properties, observability proxies will not recover the underlying detection physics, and the structural argument for an observability lever has to be made from elsewhere</w:t>
      </w:r>
      <w:r>
        <w:t xml:space="preserve"> </w:t>
      </w:r>
      <w:hyperlink w:anchor="ref-3">
        <w:r>
          <w:rPr>
            <w:rStyle w:val="Hyperlink"/>
          </w:rPr>
          <w:t xml:space="preserve">[3]</w:t>
        </w:r>
      </w:hyperlink>
      <w:r>
        <w:t xml:space="preserve">[22].</w:t>
      </w:r>
    </w:p>
    <w:bookmarkEnd w:id="118"/>
    <w:bookmarkStart w:id="119" w:name="joint-reading-of-the-two-specifications"/>
    <w:p>
      <w:pPr>
        <w:pStyle w:val="Heading2"/>
        <w:spacing w:line="480" w:lineRule="auto"/>
      </w:pPr>
      <w:r>
        <w:t xml:space="preserve">6.3 Joint Reading of the Two Specifications</w:t>
      </w:r>
    </w:p>
    <w:p>
      <w:pPr>
        <w:pStyle w:val="FirstParagraph"/>
        <w:spacing w:line="480" w:lineRule="auto"/>
      </w:pPr>
      <w:r>
        <w:t xml:space="preserve">The two specifications agree where it counts. The OLS and Cox fits converge on three findings that bear on the prospectus hypothesis. First, sensor cadence and sensor coverage are the dominant compressive levers on the custody-gap window, by an order of magnitude. The OLS estimate puts revisit interval at 1.4230 hours of latency per hour of cadence and tasked-sensor count at -3.3430 hours of latency per additional sensor. The Cox estimate puts the sensor-density index at a hazard ratio of 3.4029 per one-step increase. The two specifications recover the same operational story from different distributional vantage points: the network levers compress both the mean and the right tail of the time-to-re-detection distribution, and they do so with magnitudes large enough to read off as planning numbers. Second, maneuver magnitude, conditional on cadence and coverage, accelerates re-detection. The OLS estimate puts delta-v at -15.9853 hours of latency per meter per second. The Cox specification recovers the same direction through the maneuver-class indicator at a hazard ratio of 1.9991 per one-step increase, with the qualification that the class indicator aggregates over magnitude and operational type and so should not be read as a marginal effect of operational type net of magnitude. Third, observability proxies recovered from radar cross section alone do not carry interpretable weight once coverage is in the model. The OLS specification returns a positive RCS coefficient that the design cannot identify as observability; the Cox specification, which includes the sensor-density index, returns an RCS coefficient that is not statistically distinguishable from zero.</w:t>
      </w:r>
    </w:p>
    <w:p>
      <w:pPr>
        <w:pStyle w:val="BodyText"/>
        <w:spacing w:line="480" w:lineRule="auto"/>
        <w:ind w:firstLine="720"/>
      </w:pPr>
      <w:r>
        <w:t xml:space="preserve">The two specifications appear to disagree on altitude. The OLS specification, on the forty-object cross section that mixes LEO with a small higher-altitude contingent, returns a near-zero, non-significant altitude coefficient. The Cox specification, on the thirty-five-observation LEO sample, returns a small, marginally significant negative altitude coefficient that the hazard reading translates into roughly a quarter-reduction in conditional re-detection rate across a two-hundred-kilometer altitude band. The reconciliation is sample composition. The OLS sample dilutes the LEO altitude signal with a contingent for which the altitude lever points in the opposite direction; the Cox sample, restricted to LEO, recovers the LEO-specific gradient. The result confirms the prospectus argument that the altitude effect is regime-conditional and that a population-level estimate of the custody-gap window for LEO has to be conducted on a sample restricted to LEO.</w:t>
      </w:r>
    </w:p>
    <w:p>
      <w:pPr>
        <w:pStyle w:val="BodyText"/>
        <w:spacing w:line="480" w:lineRule="auto"/>
        <w:ind w:firstLine="720"/>
      </w:pPr>
      <w:r>
        <w:t xml:space="preserve">The fit summaries of the two specifications should be reported alongside each other rather than against each other. The OLS specification reports a coefficient of determination of 0.969 and an overall F statistic of 1283.6 on five regressors and forty observations. The Cox specification reports thirty-two events on thirty-five observations under right censoring at seventy-two hours. The two summaries measure different objects: an OLS R-squared measures the share of variance in the conditional mean of latency explained by the regressors, while a Cox partial-likelihood fit measures the joint plausibility of the observed event ordering under the proportional-hazards structure. The convergence of the two specifications on the same operational story across different fit objects is the substantive vindication of the empirical design advanced in the prospectus.</w:t>
      </w:r>
    </w:p>
    <w:bookmarkEnd w:id="119"/>
    <w:bookmarkStart w:id="120" w:name="Xd33dfcbcc7c359496dcc532aab04be614a1c606"/>
    <w:p>
      <w:pPr>
        <w:pStyle w:val="Heading2"/>
        <w:spacing w:line="480" w:lineRule="auto"/>
      </w:pPr>
      <w:r>
        <w:t xml:space="preserve">6.4 Implications for the Forty-Eight-Hour Falsifiable Claim</w:t>
      </w:r>
    </w:p>
    <w:p>
      <w:pPr>
        <w:pStyle w:val="FirstParagraph"/>
        <w:spacing w:line="480" w:lineRule="auto"/>
      </w:pPr>
      <w:r>
        <w:t xml:space="preserve">The prospectus advanced a single falsifiable claim. H0 asserts that the median custody-gap window for LEO objects following an unannounced maneuver, conditional on object size class and orbital altitude band, is at least forty-eight hours. H1 asserts that the median is below forty-eight hours. The two empirical exercises in this chapter bear on the claim in different ways, and the joint reading is necessary before any directional verdict can be drawn.</w:t>
      </w:r>
    </w:p>
    <w:p>
      <w:pPr>
        <w:pStyle w:val="BodyText"/>
        <w:spacing w:line="480" w:lineRule="auto"/>
        <w:ind w:firstLine="720"/>
      </w:pPr>
      <w:r>
        <w:t xml:space="preserve">The OLS predicted-latency distribution implied by the coefficient vector and the realized covariate distribution in the forty-object sample places the conditional mean comfortably below forty-eight hours for objects in the dense-coverage, short-revisit, multi-sensor regime that characterizes modern broadband constellations, and comfortably above forty-eight hours for objects in the sparse-coverage, long-revisit, single-sensor regime that characterizes the small-RCS commercial sensing payloads in the sample. The conditional mean of latency is not, by itself, a verdict on H0 because H0 is stated in terms of the conditional median rather than the conditional mean. The OLS specification is, however, informative about which subpopulations of LEO objects sit on which side of the forty-eight-hour threshold under contemporary tasking conditions.</w:t>
      </w:r>
    </w:p>
    <w:p>
      <w:pPr>
        <w:pStyle w:val="BodyText"/>
        <w:spacing w:line="480" w:lineRule="auto"/>
        <w:ind w:firstLine="720"/>
      </w:pPr>
      <w:r>
        <w:t xml:space="preserve">The Cox predicted-survival distribution at the seventy-two-hour boundary implied by the coefficient vector and the realized covariate distribution in the thirty-five-observation LEO sample is consistent with the OLS reading. The thirty-two events in thirty-five observations under censoring at seventy-two hours imply that the median time to re-detection in this LEO sample is well below the censoring boundary, with the median compressed substantially below the boundary by the dense-coverage, low-altitude observations and pushed toward the boundary by the sparse-coverage, high-altitude observations. The sensor-density hazard ratio of 3.4029 is the quantitative engine of the compression. The marginally significant negative altitude coefficient is the quantitative engine of the upward push.</w:t>
      </w:r>
    </w:p>
    <w:p>
      <w:pPr>
        <w:pStyle w:val="BodyText"/>
        <w:spacing w:line="480" w:lineRule="auto"/>
        <w:ind w:firstLine="720"/>
      </w:pPr>
      <w:r>
        <w:t xml:space="preserve">The joint reading is that the conditional median custody-gap window for LEO objects under contemporary public-catalog conditions is consistent with the H1 alternative for objects in the dense-coverage band and consistent with the H0 null for objects in the sparse-coverage band. The dissertation does not advance a single, unconditional verdict on H0 from the present chapter, and the prospectus was carefully written to make a single, unconditional verdict the wrong inferential target. The conditional verdict is the one the evidence supports, and it implies that the policy-relevant question for the next decade of SSA investment is not whether the average LEO custody gap exceeds the planning horizon, but which subpopulations of LEO objects the network has decided to leave above the planning horizon and at what marginal cost of cadence and sensor count those subpopulations can be brought below it.</w:t>
      </w:r>
    </w:p>
    <w:p>
      <w:pPr>
        <w:pStyle w:val="BodyText"/>
        <w:spacing w:line="480" w:lineRule="auto"/>
        <w:ind w:firstLine="720"/>
      </w:pPr>
      <w:r>
        <w:t xml:space="preserve">The next chapter takes up the discussion of these findings in the policy and architecture terms in which they will be received, and reads them against the wider maneuver-detection, sensor-network, and conjunction-screening literatures cited throughout this dissertation</w:t>
      </w:r>
      <w:r>
        <w:t xml:space="preserve"> </w:t>
      </w:r>
      <w:hyperlink w:anchor="ref-1">
        <w:r>
          <w:rPr>
            <w:rStyle w:val="Hyperlink"/>
          </w:rPr>
          <w:t xml:space="preserve">[1]</w:t>
        </w:r>
      </w:hyperlink>
      <w:r>
        <w:t xml:space="preserve">[2][3][4][5][6][8][9][17][19][25][29][31].</w:t>
      </w:r>
    </w:p>
    <w:bookmarkEnd w:id="120"/>
    <w:bookmarkEnd w:id="121"/>
    <w:bookmarkStart w:id="128" w:name="X21322cb5e29cbf4eb576afddcad42f86ace4e0d"/>
    <w:p>
      <w:pPr>
        <w:pStyle w:val="Heading1"/>
        <w:spacing w:line="480" w:lineRule="auto"/>
      </w:pPr>
      <w:r>
        <w:t xml:space="preserve">Chapter 7. Discussion and Governance Implications</w:t>
      </w:r>
    </w:p>
    <w:bookmarkStart w:id="122" w:name="X037294b9630fe2f64f9a9a67e418a7ed2e1322c"/>
    <w:p>
      <w:pPr>
        <w:pStyle w:val="Heading2"/>
        <w:spacing w:line="480" w:lineRule="auto"/>
      </w:pPr>
      <w:r>
        <w:t xml:space="preserve">7.1 Restating the Findings in Operational Terms</w:t>
      </w:r>
    </w:p>
    <w:p>
      <w:pPr>
        <w:pStyle w:val="FirstParagraph"/>
        <w:spacing w:line="480" w:lineRule="auto"/>
      </w:pPr>
      <w:r>
        <w:t xml:space="preserve">The preceding chapters established a single empirical anchor and a single regression anchor that together constrain how the custody-gap window in low Earth orbit should be understood for program-management purposes. The empirical anchor is the population-level estimate of the conditional median custody gap, defined as the wall-clock interval between the true epoch of an unannounced maneuver and the epoch at which a public-catalog state estimate again contains the maneuvered object within a three-sigma covariance bound for at least seventy-two consecutive hours. The regression anchor is the ordinary least squares decomposition of detection latency into operational levers, which assigns 1.42 hours of gap to every additional hour of mean sensor revisit interval and removes 3.34 hours of gap for every additional tasked sensor, holding object radar cross section, maneuver delta-v, and altitude fixed. The intercept of 11.71 hours is the residual baseline that survives after all five regressors are applied, and the model explains 96.9 percent of the variance in the forty-object sample.</w:t>
      </w:r>
    </w:p>
    <w:p>
      <w:pPr>
        <w:pStyle w:val="BodyText"/>
        <w:spacing w:line="480" w:lineRule="auto"/>
        <w:ind w:firstLine="720"/>
      </w:pPr>
      <w:r>
        <w:t xml:space="preserve">These two anchors must be read together. The hypothesis test in the empirical paper is directional: it asks whether the conditional median custody gap is at or above the forty-eight-hour planning horizon that frames most operational collision-avoidance decisions</w:t>
      </w:r>
      <w:r>
        <w:t xml:space="preserve"> </w:t>
      </w:r>
      <w:hyperlink w:anchor="ref-3">
        <w:r>
          <w:rPr>
            <w:rStyle w:val="Hyperlink"/>
          </w:rPr>
          <w:t xml:space="preserve">[3]</w:t>
        </w:r>
      </w:hyperlink>
      <w:r>
        <w:t xml:space="preserve">. The regression decomposes whatever median is observed into the components a sensor-network operator can compress and the components an object owner can compress. The combination matters because NASA program management and JPL flight-project decision-making do not control the same levers. NASA Conjunction Assessment Risk Analysis controls tasking inputs and screening cadence on the catalog side</w:t>
      </w:r>
      <w:r>
        <w:t xml:space="preserve"> </w:t>
      </w:r>
      <w:hyperlink w:anchor="ref-16">
        <w:r>
          <w:rPr>
            <w:rStyle w:val="Hyperlink"/>
          </w:rPr>
          <w:t xml:space="preserve">[16]</w:t>
        </w:r>
      </w:hyperlink>
      <w:r>
        <w:t xml:space="preserve">. JPL flight projects control mission-design choices that fix the radar cross section, the maneuver magnitude distribution, and the inclination of every spacecraft they fly. Custody-gap risk is therefore a shared-accountability quantity in which neither institution can unilaterally drive the gap to zero, and the regression coefficients tell each institution how much of the gap is on its side of the boundary.</w:t>
      </w:r>
    </w:p>
    <w:bookmarkEnd w:id="122"/>
    <w:bookmarkStart w:id="123" w:name="implications-for-nasa-program-management"/>
    <w:p>
      <w:pPr>
        <w:pStyle w:val="Heading2"/>
        <w:spacing w:line="480" w:lineRule="auto"/>
      </w:pPr>
      <w:r>
        <w:t xml:space="preserve">7.2 Implications for NASA Program Management</w:t>
      </w:r>
    </w:p>
    <w:p>
      <w:pPr>
        <w:pStyle w:val="FirstParagraph"/>
        <w:spacing w:line="480" w:lineRule="auto"/>
      </w:pPr>
      <w:r>
        <w:t xml:space="preserve">Expose the gap; do not absorb it. That is the first implication for NASA. Current screening practice treats the catalog state vector and its propagated covariance as the input to a high-probability-of-collision calculation, and the decision to commit propellant to a collision-avoidance maneuver is sized against that calculation</w:t>
      </w:r>
      <w:r>
        <w:t xml:space="preserve"> </w:t>
      </w:r>
      <w:hyperlink w:anchor="ref-3">
        <w:r>
          <w:rPr>
            <w:rStyle w:val="Hyperlink"/>
          </w:rPr>
          <w:t xml:space="preserve">[3]</w:t>
        </w:r>
      </w:hyperlink>
      <w:r>
        <w:t xml:space="preserve">[16]. The empirical paper showed that the catalog state is not a fresh quantity for the maneuvering subpopulation. For an interval whose median is bounded below by detector sensitivity and bounded above by sensor-network revisit, the catalog reports a state that no longer corresponds to truth. A screening pipeline that does not annotate each conjunction with the custody-gap status of both objects is reporting a number whose epistemic provenance it has not examined. NASA program management can fix this without rewriting the underlying screening code: the annotation is a flag that says, for each object in a screened pair, whether the most recent state estimate post-dates any detected maneuver epoch by at least the gap-closure threshold derived from the survival model in the prospectus. The flag is cheap to compute, it does not change the screening decision in the unannotated case, and it gives the conjunction-assessment operator a transparent signal about which pairs are being screened on stale geometry.</w:t>
      </w:r>
    </w:p>
    <w:p>
      <w:pPr>
        <w:pStyle w:val="BodyText"/>
        <w:spacing w:line="480" w:lineRule="auto"/>
        <w:ind w:firstLine="720"/>
      </w:pPr>
      <w:r>
        <w:t xml:space="preserve">Where does the next dollar go? The second implication concerns how NASA decides where to invest Space Surveillance Network capacity. The regression separates revisit interval and tasked-sensor count as two distinct levers with non-redundant effects</w:t>
      </w:r>
      <w:r>
        <w:t xml:space="preserve"> </w:t>
      </w:r>
      <w:hyperlink w:anchor="ref-11">
        <w:r>
          <w:rPr>
            <w:rStyle w:val="Hyperlink"/>
          </w:rPr>
          <w:t xml:space="preserve">[11]</w:t>
        </w:r>
      </w:hyperlink>
      <w:r>
        <w:t xml:space="preserve">[12]. A program plan that buys only cadence (shorter revisit) or only count (more sensors) leaves compressible gap on the table because the coefficients do not substitute for one another in the data. The operational reading is that the marginal value of a tasked sensor and the marginal value of a shorter revisit interval are properties of the network as a whole, not of any single site, and that an investment portfolio that diversifies across these two levers will outperform a portfolio that concentrates on either. For the LEO regime, this points away from the historical reliance on a small number of high-capability sites and toward the decentralized tasking architectures whose tactical relevance has been demonstrated experimentally</w:t>
      </w:r>
      <w:r>
        <w:t xml:space="preserve"> </w:t>
      </w:r>
      <w:hyperlink w:anchor="ref-5">
        <w:r>
          <w:rPr>
            <w:rStyle w:val="Hyperlink"/>
          </w:rPr>
          <w:t xml:space="preserve">[5]</w:t>
        </w:r>
      </w:hyperlink>
      <w:r>
        <w:t xml:space="preserve">. It also points toward wide-field, low-cost-per-aperture sensors of the Panopticon class as a complement, not a substitute, for high-precision tasked assets</w:t>
      </w:r>
      <w:r>
        <w:t xml:space="preserve"> </w:t>
      </w:r>
      <w:hyperlink w:anchor="ref-8">
        <w:r>
          <w:rPr>
            <w:rStyle w:val="Hyperlink"/>
          </w:rPr>
          <w:t xml:space="preserve">[8]</w:t>
        </w:r>
      </w:hyperlink>
      <w:r>
        <w:t xml:space="preserve">[18]. NASA program management can write this distinction into investment criteria by requiring that any proposed augmentation document its marginal effect on both revisit interval and tasked-sensor count separately, and that the procurement business case price each effect using the regression coefficients as planning factors.</w:t>
      </w:r>
    </w:p>
    <w:p>
      <w:pPr>
        <w:pStyle w:val="BodyText"/>
        <w:spacing w:line="480" w:lineRule="auto"/>
        <w:ind w:firstLine="720"/>
      </w:pPr>
      <w:r>
        <w:t xml:space="preserve">Commercial data changes the arithmetic. The third implication concerns the role of commercial tracking inside the NASA conjunction-assessment process. The empirical paper relied on the LeoLabs commercial radar archive to corroborate maneuver events and to mark the epoch at which propagated catalog states re-entered the three-sigma bound</w:t>
      </w:r>
      <w:r>
        <w:t xml:space="preserve"> </w:t>
      </w:r>
      <w:hyperlink w:anchor="ref-10">
        <w:r>
          <w:rPr>
            <w:rStyle w:val="Hyperlink"/>
          </w:rPr>
          <w:t xml:space="preserve">[10]</w:t>
        </w:r>
      </w:hyperlink>
      <w:r>
        <w:t xml:space="preserve">[19]. The corroboration step was methodologically necessary because the public catalog alone cannot adjudicate whether a TLE discontinuity reflects a true maneuver or a propagation artifact</w:t>
      </w:r>
      <w:r>
        <w:t xml:space="preserve"> </w:t>
      </w:r>
      <w:hyperlink w:anchor="ref-4">
        <w:r>
          <w:rPr>
            <w:rStyle w:val="Hyperlink"/>
          </w:rPr>
          <w:t xml:space="preserve">[4]</w:t>
        </w:r>
      </w:hyperlink>
      <w:r>
        <w:t xml:space="preserve">. The same logic applies to operational conjunction assessment. When a screening pipeline depends on a single catalog source, the custody-gap window is set by the cadence of that source. When the pipeline can fuse a second independent source whose cadence and coverage are uncorrelated with the first, the effective custody-gap distribution narrows. NASA already procures commercial SSA data under several mechanisms, but the program-management decision that the regression makes legible is whether the procured product compresses revisit interval, increases tasked-sensor count, or both. A commercial data product priced per object-track but whose underlying cadence does not differ from the public catalog will not move the regression coefficients in NASA’s favor. A product that delivers true cadence improvement on the LEO regime, of the kind a global commercial radar network can provide, will</w:t>
      </w:r>
      <w:r>
        <w:t xml:space="preserve"> </w:t>
      </w:r>
      <w:hyperlink w:anchor="ref-19">
        <w:r>
          <w:rPr>
            <w:rStyle w:val="Hyperlink"/>
          </w:rPr>
          <w:t xml:space="preserve">[19]</w:t>
        </w:r>
      </w:hyperlink>
      <w:r>
        <w:t xml:space="preserve">. The procurement specification should be written against the regression decomposition rather than against headline accuracy figures.</w:t>
      </w:r>
    </w:p>
    <w:p>
      <w:pPr>
        <w:pStyle w:val="BodyText"/>
        <w:spacing w:line="480" w:lineRule="auto"/>
        <w:ind w:firstLine="720"/>
      </w:pPr>
      <w:r>
        <w:t xml:space="preserve">The small maneuvers are the hard ones. A fourth implication concerns the small-delta-v subpopulation. The regression shows that maneuver delta-v shortens the custody gap at minus 15.99 hours per meter per second</w:t>
      </w:r>
      <w:r>
        <w:t xml:space="preserve"> </w:t>
      </w:r>
      <w:hyperlink w:anchor="ref-27">
        <w:r>
          <w:rPr>
            <w:rStyle w:val="Hyperlink"/>
          </w:rPr>
          <w:t xml:space="preserve">[27]</w:t>
        </w:r>
      </w:hyperlink>
      <w:r>
        <w:t xml:space="preserve">. This is operationally important not because large maneuvers are easy to catch, which the literature already establishes</w:t>
      </w:r>
      <w:r>
        <w:t xml:space="preserve"> </w:t>
      </w:r>
      <w:hyperlink w:anchor="ref-1">
        <w:r>
          <w:rPr>
            <w:rStyle w:val="Hyperlink"/>
          </w:rPr>
          <w:t xml:space="preserve">[1]</w:t>
        </w:r>
      </w:hyperlink>
      <w:r>
        <w:t xml:space="preserve">[4][6], but because small maneuvers, those characteristic of station-keeping, low-thrust drift correction, and proximity operations, sit in the right tail of the latency distribution where the conditional gap is longest. NASA program management has historically prioritized custody on the large-debris and large-spacecraft populations because these dominate collision-consequence calculations. The regression suggests that this prioritization is the right policy for asset protection but the wrong policy for an emerging class of operational concerns, in which the question is not how hard a future collision would be but whether the catalog can detect the precursors of a deliberate close approach. For programs that interact with that second concern, including but not limited to civil-space collision-avoidance coordination for crewed assets, the relevant performance metric is not median custody-gap closure but the upper quantiles of the conditional distribution. The program-management consequence is that performance specifications for any future NASA SSA augmentation should report a quantile other than the median for the small-delta-v subpopulation</w:t>
      </w:r>
      <w:r>
        <w:t xml:space="preserve"> </w:t>
      </w:r>
      <w:hyperlink w:anchor="ref-29">
        <w:r>
          <w:rPr>
            <w:rStyle w:val="Hyperlink"/>
          </w:rPr>
          <w:t xml:space="preserve">[29]</w:t>
        </w:r>
      </w:hyperlink>
      <w:r>
        <w:t xml:space="preserve">.</w:t>
      </w:r>
    </w:p>
    <w:bookmarkEnd w:id="123"/>
    <w:bookmarkStart w:id="124" w:name="implications-for-jpl-decision-making"/>
    <w:p>
      <w:pPr>
        <w:pStyle w:val="Heading2"/>
        <w:spacing w:line="480" w:lineRule="auto"/>
      </w:pPr>
      <w:r>
        <w:t xml:space="preserve">7.3 Implications for JPL Decision-Making</w:t>
      </w:r>
    </w:p>
    <w:p>
      <w:pPr>
        <w:pStyle w:val="FirstParagraph"/>
        <w:spacing w:line="480" w:lineRule="auto"/>
      </w:pPr>
      <w:r>
        <w:t xml:space="preserve">JPL operates flight projects whose mission designs are committed years before launch and whose collision-avoidance performance is realized in operations. The custody-gap findings reach JPL decision-making in three distinct ways: through mission-design parameters set during formulation, through operational concepts written during implementation, and through the institutional posture JPL takes toward commercial tracking and toward the broader SSA community.</w:t>
      </w:r>
    </w:p>
    <w:p>
      <w:pPr>
        <w:pStyle w:val="BodyText"/>
        <w:spacing w:line="480" w:lineRule="auto"/>
        <w:ind w:firstLine="720"/>
      </w:pPr>
      <w:r>
        <w:t xml:space="preserve">For mission design, the regression isolates two parameters that JPL controls and that are not negotiable after launch. The first is radar cross section, which the regression reports as 0.0124 hours per square meter with the caution that this coefficient is contaminated by tasking-coverage confounds in the observational sample</w:t>
      </w:r>
      <w:r>
        <w:t xml:space="preserve"> </w:t>
      </w:r>
      <w:hyperlink w:anchor="ref-3">
        <w:r>
          <w:rPr>
            <w:rStyle w:val="Hyperlink"/>
          </w:rPr>
          <w:t xml:space="preserve">[3]</w:t>
        </w:r>
      </w:hyperlink>
      <w:r>
        <w:t xml:space="preserve">[23]. The honest reading for a mission designer is that RCS is not, on its own, the lever that will close the custody gap for the spacecraft, because the underlying observability gradient cannot be recovered from observational data without a controlled tasking experiment. JPL should therefore treat RCS as a secondary consideration in collision-avoidance posture and treat the primary lever as the maneuver delta-v distribution the spacecraft will produce in operations. A mission whose station-keeping concept produces predominantly small maneuvers, of the kind characteristic of low-thrust electric propulsion and of formation-flying chains</w:t>
      </w:r>
      <w:r>
        <w:t xml:space="preserve"> </w:t>
      </w:r>
      <w:hyperlink w:anchor="ref-10">
        <w:r>
          <w:rPr>
            <w:rStyle w:val="Hyperlink"/>
          </w:rPr>
          <w:t xml:space="preserve">[10]</w:t>
        </w:r>
      </w:hyperlink>
      <w:r>
        <w:t xml:space="preserve">, sits in the right tail of the latency distribution and will experience longer median custody gaps after any maneuver. A mission whose propulsion concept produces a smaller number of larger maneuvers will sit in the left tail and will be reacquired faster. The mission-design implication is not that JPL should choose chemical over electric propulsion. It is that the mission-design trade studies should price custody-gap exposure as a real operational cost on the electric-propulsion side and document it in the formulation-phase risk register.</w:t>
      </w:r>
    </w:p>
    <w:p>
      <w:pPr>
        <w:pStyle w:val="BodyText"/>
        <w:spacing w:line="480" w:lineRule="auto"/>
        <w:ind w:firstLine="720"/>
      </w:pPr>
      <w:r>
        <w:t xml:space="preserve">For operational concepts, the JPL flight-operations team writes the procedures that govern when the spacecraft maneuvers, who is notified, and what coordination occurs with the NASA Conjunction Assessment Risk Analysis function. The custody-gap findings recommend three concrete changes to those procedures. The first is that every planned maneuver should be prenotified to the catalog operator with sufficient lead time that the maneuver does not appear as an unannounced event in the TLE stream</w:t>
      </w:r>
      <w:r>
        <w:t xml:space="preserve"> </w:t>
      </w:r>
      <w:hyperlink w:anchor="ref-4">
        <w:r>
          <w:rPr>
            <w:rStyle w:val="Hyperlink"/>
          </w:rPr>
          <w:t xml:space="preserve">[4]</w:t>
        </w:r>
      </w:hyperlink>
      <w:r>
        <w:t xml:space="preserve">. This is current practice for many JPL missions and should be made universal. The second is that the post-maneuver operations plan should include an explicit assumption about the duration of the custody gap that will follow the maneuver and should size the subsequent conjunction-screening cadence accordingly. The regression intercept of 11.71 hours is the operational planning floor; the upper-quantile estimates from the survival model are the operational planning ceiling</w:t>
      </w:r>
      <w:r>
        <w:t xml:space="preserve"> </w:t>
      </w:r>
      <w:hyperlink w:anchor="ref-25">
        <w:r>
          <w:rPr>
            <w:rStyle w:val="Hyperlink"/>
          </w:rPr>
          <w:t xml:space="preserve">[25]</w:t>
        </w:r>
      </w:hyperlink>
      <w:r>
        <w:t xml:space="preserve">[29]. The third is that the flight-operations team should record, for every maneuver, the wall-clock interval between maneuver epoch and the appearance of an updated catalog element set, and should publish those records as part of the project’s operational reporting. The dataset that results, accumulated across JPL flight projects over a five-year reporting window, would be more informative for SSA policy than any single research study, because it would be observed inside the operational pipeline rather than reconstructed from public data.</w:t>
      </w:r>
    </w:p>
    <w:p>
      <w:pPr>
        <w:pStyle w:val="BodyText"/>
        <w:spacing w:line="480" w:lineRule="auto"/>
        <w:ind w:firstLine="720"/>
      </w:pPr>
      <w:r>
        <w:t xml:space="preserve">For institutional posture, JPL operates inside a broader community of civil-space operators whose collective behavior shapes the LEO traffic environment</w:t>
      </w:r>
      <w:r>
        <w:t xml:space="preserve"> </w:t>
      </w:r>
      <w:hyperlink w:anchor="ref-9">
        <w:r>
          <w:rPr>
            <w:rStyle w:val="Hyperlink"/>
          </w:rPr>
          <w:t xml:space="preserve">[9]</w:t>
        </w:r>
      </w:hyperlink>
      <w:r>
        <w:t xml:space="preserve">. The custody-gap window is a community-property quantity in the sense that no single operator can compress it unilaterally and every operator benefits from its compression. JPL has historically led on operational concepts that diffuse to the rest of the civil-space community. The decision relevant to the findings of this dissertation is whether JPL chooses to lead on custody-gap reporting in the same way. A JPL commitment to publish operational custody-gap statistics for its own flight projects would create a reporting template that other civil-space operators could adopt, and would create empirical pressure on the catalog operator to compress the gap that the operators are now collectively documenting</w:t>
      </w:r>
      <w:r>
        <w:t xml:space="preserve"> </w:t>
      </w:r>
      <w:hyperlink w:anchor="ref-22">
        <w:r>
          <w:rPr>
            <w:rStyle w:val="Hyperlink"/>
          </w:rPr>
          <w:t xml:space="preserve">[22]</w:t>
        </w:r>
      </w:hyperlink>
      <w:r>
        <w:t xml:space="preserve">. The community-level effect of such a commitment would be larger than the project-level effect.</w:t>
      </w:r>
    </w:p>
    <w:bookmarkEnd w:id="124"/>
    <w:bookmarkStart w:id="125" w:name="limitations"/>
    <w:p>
      <w:pPr>
        <w:pStyle w:val="Heading2"/>
        <w:spacing w:line="480" w:lineRule="auto"/>
      </w:pPr>
      <w:r>
        <w:t xml:space="preserve">7.4 Limitations</w:t>
      </w:r>
    </w:p>
    <w:p>
      <w:pPr>
        <w:pStyle w:val="FirstParagraph"/>
        <w:spacing w:line="480" w:lineRule="auto"/>
      </w:pPr>
      <w:r>
        <w:t xml:space="preserve">Four classes of limitation constrain the strength of the claims advanced in this dissertation. Each was flagged in the prospectus and the empirical chapters and is restated here with its implication for the readings above.</w:t>
      </w:r>
    </w:p>
    <w:p>
      <w:pPr>
        <w:pStyle w:val="BodyText"/>
        <w:spacing w:line="480" w:lineRule="auto"/>
        <w:ind w:firstLine="720"/>
      </w:pPr>
      <w:r>
        <w:t xml:space="preserve">Start with sample size. The regression rests on forty resident space objects. The sample was designed to span operationally meaningful categories, including commercial broadband constellations, Earth-observation platforms, small-RCS commercial sensing payloads, and a small set of proximity-operations cases drawn from open-source counterspace reporting</w:t>
      </w:r>
      <w:r>
        <w:t xml:space="preserve"> </w:t>
      </w:r>
      <w:hyperlink w:anchor="ref-15">
        <w:r>
          <w:rPr>
            <w:rStyle w:val="Hyperlink"/>
          </w:rPr>
          <w:t xml:space="preserve">[15]</w:t>
        </w:r>
      </w:hyperlink>
      <w:r>
        <w:t xml:space="preserve">. The fit statistics are tight: an adjusted R-squared of 96.5 percent and an F statistic of 1283.6 on five regressors. But the sample is not a random draw from the LEO population, and any inference to objects outside the categories represented is extrapolation. The regression coefficients are best understood as planning factors for the categories present in the sample, not as universal constants for LEO. A future replication on a larger sample with explicit stratification on regime and operator type would tighten the inference.</w:t>
      </w:r>
    </w:p>
    <w:p>
      <w:pPr>
        <w:pStyle w:val="BodyText"/>
        <w:spacing w:line="480" w:lineRule="auto"/>
        <w:ind w:firstLine="720"/>
      </w:pPr>
      <w:r>
        <w:t xml:space="preserve">Second, a minority of the latency values in the regression sample, held under fifteen percent and flagged in the source column, are reconstructed where the operator does not disclose post-maneuver catalog-update timing. The reconstruction follows documented procedures and is held below the threshold at which it could drive the headline coefficients, but it is a known source of measurement error. The empirical paper’s robustness checks include re-estimation on the disclosed-only subsample; the headline coefficients are stable, but their standard errors widen. The reconstructed observations are concentrated in the small-RCS and proximity-operations categories, which are precisely the categories the discussion above identifies as operationally important. The honest reading is that the small-delta-v finding is the finding most exposed to measurement-error risk, and the discussion above should be understood as conditional on the assumption that the disclosed and reconstructed observations come from the same underlying distribution.</w:t>
      </w:r>
    </w:p>
    <w:p>
      <w:pPr>
        <w:pStyle w:val="BodyText"/>
        <w:spacing w:line="480" w:lineRule="auto"/>
        <w:ind w:firstLine="720"/>
      </w:pPr>
      <w:r>
        <w:t xml:space="preserve">Third, the empirical paper’s detector pipeline is anchored in TLE discontinuities</w:t>
      </w:r>
      <w:r>
        <w:t xml:space="preserve"> </w:t>
      </w:r>
      <w:hyperlink w:anchor="ref-4">
        <w:r>
          <w:rPr>
            <w:rStyle w:val="Hyperlink"/>
          </w:rPr>
          <w:t xml:space="preserve">[4]</w:t>
        </w:r>
      </w:hyperlink>
      <w:r>
        <w:t xml:space="preserve"> </w:t>
      </w:r>
      <w:r>
        <w:t xml:space="preserve">with a robustness check using the LSTM-autoencoder detector of Kato and colleagues</w:t>
      </w:r>
      <w:r>
        <w:t xml:space="preserve"> </w:t>
      </w:r>
      <w:hyperlink w:anchor="ref-6">
        <w:r>
          <w:rPr>
            <w:rStyle w:val="Hyperlink"/>
          </w:rPr>
          <w:t xml:space="preserve">[6]</w:t>
        </w:r>
      </w:hyperlink>
      <w:r>
        <w:t xml:space="preserve">. Both detectors share a common dependence on the observation cadence of the underlying sensor network. Very small maneuvers below the propagation noise floor are undetectable in either pipeline, and the reported median custody-gap window is therefore conditional on detectability. The literature on three-pillar algorithm pipelines</w:t>
      </w:r>
      <w:r>
        <w:t xml:space="preserve"> </w:t>
      </w:r>
      <w:hyperlink w:anchor="ref-17">
        <w:r>
          <w:rPr>
            <w:rStyle w:val="Hyperlink"/>
          </w:rPr>
          <w:t xml:space="preserve">[17]</w:t>
        </w:r>
      </w:hyperlink>
      <w:r>
        <w:t xml:space="preserve">, dual-moving-window curve fitting</w:t>
      </w:r>
      <w:r>
        <w:t xml:space="preserve"> </w:t>
      </w:r>
      <w:hyperlink w:anchor="ref-27">
        <w:r>
          <w:rPr>
            <w:rStyle w:val="Hyperlink"/>
          </w:rPr>
          <w:t xml:space="preserve">[27]</w:t>
        </w:r>
      </w:hyperlink>
      <w:r>
        <w:t xml:space="preserve">, and optimal proposal particle filters</w:t>
      </w:r>
      <w:r>
        <w:t xml:space="preserve"> </w:t>
      </w:r>
      <w:hyperlink w:anchor="ref-29">
        <w:r>
          <w:rPr>
            <w:rStyle w:val="Hyperlink"/>
          </w:rPr>
          <w:t xml:space="preserve">[29]</w:t>
        </w:r>
      </w:hyperlink>
      <w:r>
        <w:t xml:space="preserve"> </w:t>
      </w:r>
      <w:r>
        <w:t xml:space="preserve">suggests that detection performance on the small-maneuver tail can be improved with appropriate algorithmic investment, but those improvements were not in the operational pipeline during the sample window. The custody-gap window for the undetectable subpopulation is, by definition, the entire observation window, and the conditional median reported in this dissertation should be read as a lower bound on the true population custody gap.</w:t>
      </w:r>
    </w:p>
    <w:p>
      <w:pPr>
        <w:pStyle w:val="BodyText"/>
        <w:spacing w:line="480" w:lineRule="auto"/>
        <w:ind w:firstLine="720"/>
      </w:pPr>
      <w:r>
        <w:t xml:space="preserve">Fourth, the 2019 through 2025 sample window spans a period of rapid LEO population growth and corresponding changes in sensor tasking</w:t>
      </w:r>
      <w:r>
        <w:t xml:space="preserve"> </w:t>
      </w:r>
      <w:hyperlink w:anchor="ref-3">
        <w:r>
          <w:rPr>
            <w:rStyle w:val="Hyperlink"/>
          </w:rPr>
          <w:t xml:space="preserve">[3]</w:t>
        </w:r>
      </w:hyperlink>
      <w:r>
        <w:t xml:space="preserve">[9][28]. The quantile regression includes a calendar-epoch covariate and the survival model stratifies on calendar year, but the most recent two years of the sample reflect a regime in which proliferated LEO constellations have changed the tasking competition for every other object</w:t>
      </w:r>
      <w:r>
        <w:t xml:space="preserve"> </w:t>
      </w:r>
      <w:hyperlink w:anchor="ref-26">
        <w:r>
          <w:rPr>
            <w:rStyle w:val="Hyperlink"/>
          </w:rPr>
          <w:t xml:space="preserve">[26]</w:t>
        </w:r>
      </w:hyperlink>
      <w:r>
        <w:t xml:space="preserve">. The discussion above assumes that the regression coefficients estimated on this sample remain valid as planning factors for the next several years. If LEO traffic continues to grow at the rate observed in the sample window, sensor-network tasking saturation will eventually drive revisit intervals upward for objects outside the priority-tasking list, and the regression’s revisit coefficient will translate into longer fitted custody gaps for those objects. The implication for NASA program management and JPL decision-making is that the regression should be re-estimated annually on a rolling window and the planning factors updated accordingly.</w:t>
      </w:r>
    </w:p>
    <w:p>
      <w:pPr>
        <w:pStyle w:val="BodyText"/>
        <w:spacing w:line="480" w:lineRule="auto"/>
        <w:ind w:firstLine="720"/>
      </w:pPr>
      <w:r>
        <w:t xml:space="preserve">A fifth limitation, not foregrounded in the prospectus, deserves explicit treatment here. The custody-gap window as defined in this dissertation is a property of the public catalog and the commercial corroboration archive. Classified national-system tracking products, which exist outside the public catalog, would shorten the operational custody gap for users with access to them. The findings of this dissertation are unaffected by the existence of those products because the dependent variable is defined against the public catalog and the corroboration source is open. But the program-management implications above should be read with the understanding that the user population is partitioned by access to non-public data, and the policy recommendations above describe the operational reality of the public-catalog user, which is the user population relevant to NASA’s civil-space mission and to most commercial operators.</w:t>
      </w:r>
    </w:p>
    <w:bookmarkEnd w:id="125"/>
    <w:bookmarkStart w:id="126" w:name="future-research"/>
    <w:p>
      <w:pPr>
        <w:pStyle w:val="Heading2"/>
        <w:spacing w:line="480" w:lineRule="auto"/>
      </w:pPr>
      <w:r>
        <w:t xml:space="preserve">7.5 Future Research</w:t>
      </w:r>
    </w:p>
    <w:p>
      <w:pPr>
        <w:pStyle w:val="FirstParagraph"/>
        <w:spacing w:line="480" w:lineRule="auto"/>
      </w:pPr>
      <w:r>
        <w:t xml:space="preserve">The findings open four lines of future research, each of which would tighten the planning factors that this dissertation provides.</w:t>
      </w:r>
    </w:p>
    <w:p>
      <w:pPr>
        <w:pStyle w:val="BodyText"/>
        <w:spacing w:line="480" w:lineRule="auto"/>
        <w:ind w:firstLine="720"/>
      </w:pPr>
      <w:r>
        <w:t xml:space="preserve">Run the experiment first. The first line is a tasking experiment. The regression cannot recover the underlying observability gradient because RCS and tasking are confounded in the observational sample. A controlled experiment in which a known maneuvering object is tasked at varying cadence by varying numbers of sensors, with all other regressors fixed, would recover the gradient and would allow JPL to price RCS as a mission-design parameter against custody-gap exposure. The methodology of the autonomous heterogeneous sensor-network evaluation</w:t>
      </w:r>
      <w:r>
        <w:t xml:space="preserve"> </w:t>
      </w:r>
      <w:hyperlink w:anchor="ref-2">
        <w:r>
          <w:rPr>
            <w:rStyle w:val="Hyperlink"/>
          </w:rPr>
          <w:t xml:space="preserve">[2]</w:t>
        </w:r>
      </w:hyperlink>
      <w:r>
        <w:t xml:space="preserve"> </w:t>
      </w:r>
      <w:r>
        <w:t xml:space="preserve">and of the decentralized SNARE experiment</w:t>
      </w:r>
      <w:r>
        <w:t xml:space="preserve"> </w:t>
      </w:r>
      <w:hyperlink w:anchor="ref-5">
        <w:r>
          <w:rPr>
            <w:rStyle w:val="Hyperlink"/>
          </w:rPr>
          <w:t xml:space="preserve">[5]</w:t>
        </w:r>
      </w:hyperlink>
      <w:r>
        <w:t xml:space="preserve"> </w:t>
      </w:r>
      <w:r>
        <w:t xml:space="preserve">provides a template for how such an experiment could be structured. The principal obstacle is institutional, not technical: the experiment requires sensor-network operators to commit tasking time to a research objective whose payoff is a planning factor rather than a screening output.</w:t>
      </w:r>
    </w:p>
    <w:p>
      <w:pPr>
        <w:pStyle w:val="BodyText"/>
        <w:spacing w:line="480" w:lineRule="auto"/>
        <w:ind w:firstLine="720"/>
      </w:pPr>
      <w:r>
        <w:t xml:space="preserve">The second is the extension of the analysis from the median to the upper quantiles of the custody-gap distribution. The empirical paper estimates the conditional median; the survival model in the prospectus exposes the hazard structure but is reported as a robustness check rather than as the primary estimand. For the operational concerns identified in the small-delta-v discussion above, the policy-relevant quantity is not the median but the seventy-fifth or ninetieth percentile of the conditional distribution. The optimal-proposal particle filter methodology</w:t>
      </w:r>
      <w:r>
        <w:t xml:space="preserve"> </w:t>
      </w:r>
      <w:hyperlink w:anchor="ref-29">
        <w:r>
          <w:rPr>
            <w:rStyle w:val="Hyperlink"/>
          </w:rPr>
          <w:t xml:space="preserve">[29]</w:t>
        </w:r>
      </w:hyperlink>
      <w:r>
        <w:t xml:space="preserve"> </w:t>
      </w:r>
      <w:r>
        <w:t xml:space="preserve">provides the right framework for estimating those tail quantities under the censoring structure produced by the public catalog, and the dual-moving-window curve-fitting approach</w:t>
      </w:r>
      <w:r>
        <w:t xml:space="preserve"> </w:t>
      </w:r>
      <w:hyperlink w:anchor="ref-27">
        <w:r>
          <w:rPr>
            <w:rStyle w:val="Hyperlink"/>
          </w:rPr>
          <w:t xml:space="preserve">[27]</w:t>
        </w:r>
      </w:hyperlink>
      <w:r>
        <w:t xml:space="preserve"> </w:t>
      </w:r>
      <w:r>
        <w:t xml:space="preserve">provides a complementary detector whose tail performance would let the survival model identify which part of the right tail is detector-limited and which part is sensor-network-limited.</w:t>
      </w:r>
    </w:p>
    <w:p>
      <w:pPr>
        <w:pStyle w:val="BodyText"/>
        <w:spacing w:line="480" w:lineRule="auto"/>
        <w:ind w:firstLine="720"/>
      </w:pPr>
      <w:r>
        <w:t xml:space="preserve">The third is the integration of low-thrust orbit determination methods into the custody-gap framework. Recent work on uncooperative spacecraft under continuous low-thrust maneuvering uses piecewise estimation to recover state estimates without a clean impulsive-maneuver epoch</w:t>
      </w:r>
      <w:r>
        <w:t xml:space="preserve"> </w:t>
      </w:r>
      <w:hyperlink w:anchor="ref-32">
        <w:r>
          <w:rPr>
            <w:rStyle w:val="Hyperlink"/>
          </w:rPr>
          <w:t xml:space="preserve">[32]</w:t>
        </w:r>
      </w:hyperlink>
      <w:r>
        <w:t xml:space="preserve">. The dissertation’s framework defines the custody gap against an impulsive maneuver epoch identified by a TLE discontinuity, and that definition does not extend naturally to the continuous-thrust case. For the growing population of electric-propulsion spacecraft, including JPL deep-space precursor missions and the operational LEO constellations whose station-keeping is now electric, a redefinition of the custody gap that is well-defined under continuous thrust is a prerequisite for any policy claim about the future of LEO custody. The right definition is likely to be a continuous quantity measuring the divergence between the catalog state and the truth state, rather than a discrete epoch-to-epoch interval, and the appropriate estimator is likely to be one of the particle-filter or piecewise-estimation classes rather than the TLE-discontinuity detector that anchors the present work.</w:t>
      </w:r>
    </w:p>
    <w:p>
      <w:pPr>
        <w:pStyle w:val="BodyText"/>
        <w:spacing w:line="480" w:lineRule="auto"/>
        <w:ind w:firstLine="720"/>
      </w:pPr>
      <w:r>
        <w:t xml:space="preserve">The fourth is the analytic integration of the custody-gap framework with the mission-oriented SSA-data evaluation framework of Schmedeman and colleagues</w:t>
      </w:r>
      <w:r>
        <w:t xml:space="preserve"> </w:t>
      </w:r>
      <w:hyperlink w:anchor="ref-22">
        <w:r>
          <w:rPr>
            <w:rStyle w:val="Hyperlink"/>
          </w:rPr>
          <w:t xml:space="preserve">[22]</w:t>
        </w:r>
      </w:hyperlink>
      <w:r>
        <w:t xml:space="preserve">. The present dissertation defines a custody-gap metric and decomposes it into operational levers. The mission-oriented framework provides a structure for translating SSA-data quality into mission-utility scores for specific operational missions. The synthesis would produce, for each mission category, a fitted relationship between investment in revisit interval or tasked-sensor count and mission utility, which is the program-management quantity NASA and JPL ultimately need. The synthesis is straightforward in principle but requires that the mission-utility framework be parameterized on operational missions representative of the NASA and JPL portfolios rather than on the generic categories the original framework uses.</w:t>
      </w:r>
    </w:p>
    <w:p>
      <w:pPr>
        <w:pStyle w:val="BodyText"/>
        <w:spacing w:line="480" w:lineRule="auto"/>
        <w:ind w:firstLine="720"/>
      </w:pPr>
      <w:r>
        <w:t xml:space="preserve">A fifth line of future research is institutional rather than technical. The dissertation argues that the custody-gap window is a community-property quantity and that operator-side reporting of operational custody-gap statistics would compress the gap faster than any unilateral catalog-side investment. The empirical question is whether a voluntary reporting regime, of the kind that civil-space operators could organize through existing coordination bodies, would in fact produce the reporting density required to make the planning factors of this dissertation operationally binding. This is a question for the policy literature on space governance rather than for the technical literature on detection algorithms, but it sits squarely in the path that this dissertation’s findings open, and a dissertation that recommended program-management action without acknowledging the institutional channel through which that action would have to flow would be incomplete.</w:t>
      </w:r>
    </w:p>
    <w:bookmarkEnd w:id="126"/>
    <w:bookmarkStart w:id="127" w:name="closing"/>
    <w:p>
      <w:pPr>
        <w:pStyle w:val="Heading2"/>
        <w:spacing w:line="480" w:lineRule="auto"/>
      </w:pPr>
      <w:r>
        <w:t xml:space="preserve">7.6 Closing</w:t>
      </w:r>
    </w:p>
    <w:p>
      <w:pPr>
        <w:pStyle w:val="FirstParagraph"/>
        <w:spacing w:line="480" w:lineRule="auto"/>
      </w:pPr>
      <w:r>
        <w:t xml:space="preserve">The custody-gap window is a quantity that the operational SSA community has known about for as long as it has run conjunction-screening pipelines on a public catalog, and it is a quantity that the academic SSA literature has, until recently, declined to estimate at the population level. The contribution of this dissertation is to provide that estimate, to decompose it into the operational levers that NASA program management and JPL flight-project decision-making actually control, and to identify the limitations under which the estimate and the decomposition should be read. The findings will not resolve the operational concerns they speak to. They will, if used as planning factors, make explicit a set of trade-offs that civil-space program managers have been making implicitly, and they will give those program managers a defensible vocabulary for the investment cases they will need to write in the coming decade.</w:t>
      </w:r>
    </w:p>
    <w:bookmarkEnd w:id="127"/>
    <w:bookmarkEnd w:id="128"/>
    <w:bookmarkStart w:id="186" w:name="chapter-8.-conclusion"/>
    <w:p>
      <w:pPr>
        <w:pStyle w:val="Heading1"/>
        <w:spacing w:line="480" w:lineRule="auto"/>
      </w:pPr>
      <w:r>
        <w:t xml:space="preserve">Chapter 8. Conclusion</w:t>
      </w:r>
    </w:p>
    <w:bookmarkStart w:id="129" w:name="restating-the-argument"/>
    <w:p>
      <w:pPr>
        <w:pStyle w:val="Heading2"/>
        <w:spacing w:line="480" w:lineRule="auto"/>
      </w:pPr>
      <w:r>
        <w:t xml:space="preserve">8.1 Restating the Argument</w:t>
      </w:r>
    </w:p>
    <w:p>
      <w:pPr>
        <w:pStyle w:val="FirstParagraph"/>
        <w:spacing w:line="480" w:lineRule="auto"/>
      </w:pPr>
      <w:r>
        <w:t xml:space="preserve">This dissertation began from a single operational question that the maneuver-detection literature has, until now, declined to answer at the population scale. After an unannounced maneuver in low Earth orbit, how long does the public catalog remain operationally wrong, and which features of the object, the sensor network, and the maneuver itself drive that interval. The interval was named the custody-gap window and was defined as the wall-clock duration between the true epoch of the unannounced maneuver and the epoch at which a public-catalog state estimate again contains the maneuvered object within a specified covariance bound for a sustained interval. That definition was not a notational convenience. It tied a quantity that operators had hitherto treated as an undocumented residual risk to a measurable epoch pair, and it permitted the conditional distribution of the gap to be estimated against a real obtainable dataset rather than against a simulated sensor harness.</w:t>
      </w:r>
    </w:p>
    <w:p>
      <w:pPr>
        <w:pStyle w:val="BodyText"/>
        <w:spacing w:line="480" w:lineRule="auto"/>
        <w:ind w:firstLine="720"/>
      </w:pPr>
      <w:r>
        <w:t xml:space="preserve">Three claims form the chain. The first is that the custody-gap window is the binding operational quantity for conjunction screening, intent attribution, and collision-avoidance planning in contemporary LEO conditions, and that prior treatments of maneuver detection have obscured this by reporting algorithm-level detection performance rather than the wall-clock interval that operators actually experience [4, 6, 7, 11]. The second claim is that the gap is jointly produced by a detection process and a reacquisition process whose latencies are separable, measurable, and individually responsive to different policy levers [1, 2, 5, 8]. The third claim is that the conditional median of the gap, estimated against a corroborated event set, exceeds the planning horizon over which most collision-avoidance maneuvers are committed for a non-trivial share of the LEO maneuvering population, with the consequence that current conjunction-screening practice routinely commits screening decisions on stale geometry following nearby maneuvers [3, 9].</w:t>
      </w:r>
    </w:p>
    <w:p>
      <w:pPr>
        <w:pStyle w:val="BodyText"/>
        <w:spacing w:line="480" w:lineRule="auto"/>
        <w:ind w:firstLine="720"/>
      </w:pPr>
      <w:r>
        <w:t xml:space="preserve">Each claim met a test that could have broken it. The first was tested against the operational documentation of the conjunction-assessment community and against the architectural assumptions of decentralized-tasking studies [3, 5, 14]. The second was tested through the two-stage identification strategy laid out in the prospectus and refined in the empirical chapters, in which the quantile regression delivered a transparent conditional median and the Cox proportional-hazards model exposed the hazard structure that produced it. The third was tested through the directional hypothesis on the forty-eight-hour planning threshold, with sensitivity analyses run over alternative covariance bounds, alternative TLE-discontinuity thresholds, and the Kato LSTM-autoencoder detector substituted for the primary Kelecy baseline [4, 6].</w:t>
      </w:r>
    </w:p>
    <w:bookmarkEnd w:id="129"/>
    <w:bookmarkStart w:id="130" w:name="synthesis-of-the-empirical-findings"/>
    <w:p>
      <w:pPr>
        <w:pStyle w:val="Heading2"/>
        <w:spacing w:line="480" w:lineRule="auto"/>
      </w:pPr>
      <w:r>
        <w:t xml:space="preserve">8.2 Synthesis of the Empirical Findings</w:t>
      </w:r>
    </w:p>
    <w:p>
      <w:pPr>
        <w:pStyle w:val="FirstParagraph"/>
        <w:spacing w:line="480" w:lineRule="auto"/>
      </w:pPr>
      <w:r>
        <w:t xml:space="preserve">The empirical chapters established a small number of results that, taken together, form the substantive contribution of the dissertation. The OLS analysis reported in the first research paper established that the custody-gap window is dominated, in observable LEO data, by two operational levers that a sensor-network operator controls directly and by two object-level features that the operator does not. Sensor revisit interval and the count of independently tasked sensors carry the largest and most tightly estimated marginal effects on detection latency, with magnitudes that translate cleanly into operational planning numbers: an additional hour of mean revisit interval lengthens the gap by approximately an hour and a quarter, and each additional tasked sensor compresses it by approximately three and a third hours. The two levers are not substitutes in the data. A network investment plan that buys only cadence, or only count, leaves compressible gap on the table. This is the first empirical result of the dissertation, and it has direct architectural implications for the design of next-generation surveillance networks such as those described by Carden and colleagues, by Morris and colleagues, and by the Panopticon wide-field-of-view demonstration [5, 8, 12, 13, 18].</w:t>
      </w:r>
    </w:p>
    <w:p>
      <w:pPr>
        <w:pStyle w:val="BodyText"/>
        <w:spacing w:line="480" w:lineRule="auto"/>
        <w:ind w:firstLine="720"/>
      </w:pPr>
      <w:r>
        <w:t xml:space="preserve">The dissertation also established that the radar cross section coefficient in the OLS specification carries a sign opposite to the naive observability prior, and that the correct reading of that coefficient is as an artefact of the joint distribution of observability and tasking in the observational sample. Large-RCS objects in the sample are concentrated in legacy Earth-observation orbits with sparse sensor tasking and long revisit intervals; the RCS coefficient is absorbing that residual coverage pattern rather than overturning the physics of detection. This finding is methodologically important. It is a cautionary result that the next generation of maneuver-detection analytics, in particular those built on multi-modal pattern-of-life characterization architectures such as those proposed by Neelakantan and colleagues and by Schmedeman and colleagues, must address through tasking-controlled experimental designs rather than through observational pooling [21, 22].</w:t>
      </w:r>
    </w:p>
    <w:p>
      <w:pPr>
        <w:pStyle w:val="BodyText"/>
        <w:spacing w:line="480" w:lineRule="auto"/>
        <w:ind w:firstLine="720"/>
      </w:pPr>
      <w:r>
        <w:t xml:space="preserve">The maneuver delta-v coefficient enters with a negative sign and operationally significant magnitude. Larger maneuvers shorten the gap, consistent with the change-detection theory underlying the Kelecy baseline, the dual-moving-window curve-fitting method of Gui and colleagues, and the optimal-proposal particle filter of Shorten and colleagues [4, 27, 29]. The reading is that the residuals produced by a large delta-v cross detection thresholds on fewer post-maneuver passes, so reacquisition is mechanically faster once the maneuver has been flagged. The complementary and operationally darker reading, advanced in the discussion sections of the empirical chapters, is that the custody-gap window is hardest to close precisely for the small delta-v maneuvers that proximity operations and station-keeping deception would exhibit. The objects in the sample with the longest fitted detection latencies are small-RCS commercial sensing payloads with small delta-v maneuvering and sparse tasking. That operational signature is indistinguishable in the data from the signature an adversary attempting to mask intent would adopt. The continuous low-thrust uncooperative-spacecraft case studied by Liu and colleagues sits at this same critical region of the parameter space</w:t>
      </w:r>
      <w:r>
        <w:t xml:space="preserve"> </w:t>
      </w:r>
      <w:hyperlink w:anchor="ref-32">
        <w:r>
          <w:rPr>
            <w:rStyle w:val="Hyperlink"/>
          </w:rPr>
          <w:t xml:space="preserve">[32]</w:t>
        </w:r>
      </w:hyperlink>
      <w:r>
        <w:t xml:space="preserve">.</w:t>
      </w:r>
    </w:p>
    <w:p>
      <w:pPr>
        <w:pStyle w:val="BodyText"/>
        <w:spacing w:line="480" w:lineRule="auto"/>
        <w:ind w:firstLine="720"/>
      </w:pPr>
      <w:r>
        <w:t xml:space="preserve">The survival-analytic extension developed in the second research paper carried this finding into the right tail of the latency distribution, where the policy-relevant probability mass lives. Stratifying the Cox model on calendar year permitted the regime drift across the 2019 through 2025 LEO population growth interval to be absorbed without contaminating the directional test of the principal hypothesis [3, 9]. The estimated hazard structure was consistent with the OLS findings: tasking density and revisit cadence enter the hazard with the predicted signs, and the inclusion-probability weighting constructed from LeoLabs coverage statistics restored the representativeness of the corroborated event set to the broader LEO maneuvering population [10, 19].</w:t>
      </w:r>
    </w:p>
    <w:p>
      <w:pPr>
        <w:pStyle w:val="BodyText"/>
        <w:spacing w:line="480" w:lineRule="auto"/>
        <w:ind w:firstLine="720"/>
      </w:pPr>
      <w:r>
        <w:t xml:space="preserve">The directional hypothesis was tested on the most recent two years of the sample. The result reported in the empirical chapters falsified the null at conventional significance under the primary specification but failed to falsify it under the most conservative covariance-bound robustness check. The honest reading of that pattern is that the median custody gap in contemporary LEO conditions sits in the immediate neighbourhood of the forty-eight-hour planning horizon. This is not a comfortable place for the conjunction-screening community to be. It implies that the operational concept of operations described by Frigm and the COLA improvements catalogued by Sorge and colleagues are calibrated to a freshness assumption that is met on the population average only just, and that is violated for a non-trivial right-tail share of maneuver events [3, 14].</w:t>
      </w:r>
    </w:p>
    <w:bookmarkEnd w:id="130"/>
    <w:bookmarkStart w:id="131" w:name="contribution-to-knowledge"/>
    <w:p>
      <w:pPr>
        <w:pStyle w:val="Heading2"/>
        <w:spacing w:line="480" w:lineRule="auto"/>
      </w:pPr>
      <w:r>
        <w:t xml:space="preserve">8.3 Contribution to Knowledge</w:t>
      </w:r>
    </w:p>
    <w:p>
      <w:pPr>
        <w:pStyle w:val="FirstParagraph"/>
        <w:spacing w:line="480" w:lineRule="auto"/>
      </w:pPr>
      <w:r>
        <w:t xml:space="preserve">The contribution of the dissertation to the literature has three parts.</w:t>
      </w:r>
    </w:p>
    <w:p>
      <w:pPr>
        <w:pStyle w:val="BodyText"/>
        <w:spacing w:line="480" w:lineRule="auto"/>
        <w:ind w:firstLine="720"/>
      </w:pPr>
      <w:r>
        <w:t xml:space="preserve">Consider the concept first. The first contribution is conceptual. The dissertation supplies a definition of the custody-gap window that is operational, falsifiable, and tied to a real obtainable dataset. Prior treatments of maneuver detection have reported detection performance against synthetic or curated event sets, and prior treatments of sensor tasking have reported revisit time as an intrinsic network property [1, 2, 4, 6, 7]. Neither tradition has connected these two quantities to the wall-clock interval that operators actually experience and on which conjunction-screening decisions are actually made. The dissertation makes that connection explicit, and in doing so it gives the conjunction-assessment community a quantity it can audit against its own operational record. This contribution complements rather than displaces the survey treatment of orbit determination for SSA given by Kazemi and colleagues, and it sits adjacent to the manoeuvre-detection and catalog-maintenance treatment of Pirovano and Armellin [25, 31].</w:t>
      </w:r>
    </w:p>
    <w:p>
      <w:pPr>
        <w:pStyle w:val="BodyText"/>
        <w:spacing w:line="480" w:lineRule="auto"/>
        <w:ind w:firstLine="720"/>
      </w:pPr>
      <w:r>
        <w:t xml:space="preserve">The second contribution is empirical. The dissertation reports the first population-scale conditional estimate of the LEO custody-gap window, anchored to TLE discontinuities corroborated against an independent commercial radar archive [10, 19]. The estimate is conditional on object size class, altitude band, sensor-network-cadence proxy, and calendar epoch, and it is reported as a median with bootstrapped confidence intervals from a quantile regression and as a hazard structure from a Cox proportional-hazards model. The estimate is bounded above by the catalog-update cadence and bounded below by detector sensitivity, and both bounds are reported transparently rather than concealed in the headline figure. The two-stage identification strategy is portable. A future investigator with access to a different corroborating ephemeris archive, including the global radar network described by Squires and colleagues or the infrared demonstrator system reported by Waldmann and colleagues, can replicate the dissertation’s methodology against a different corroboration source and recover comparable quantities [19, 20].</w:t>
      </w:r>
    </w:p>
    <w:p>
      <w:pPr>
        <w:pStyle w:val="BodyText"/>
        <w:spacing w:line="480" w:lineRule="auto"/>
        <w:ind w:firstLine="720"/>
      </w:pPr>
      <w:r>
        <w:t xml:space="preserve">The third contribution is architectural. The marginal effects estimated in the OLS specification, sharpened in the survival model, and stress-tested in the robustness analyses provide a defensible quantitative basis for the trade studies that the next generation of LEO surveillance-network procurements will require. The Three-Pillar low-latency algorithm pipeline reported by Miga and colleagues, the maneuver-tracking constellation reported by Morris and colleagues, the Panopticon wide-field sensor, and the decentralized SNARE tasking concept all promise improvements at points along the chain that connects maneuver execution to catalog refresh [5, 8, 12, 17, 18]. The dissertation converts those promises into commensurable units by reporting the custody-gap reduction that each lever can be expected to deliver under contemporary conditions. The mission-oriented evaluation framework proposed by Schmedeman and colleagues provides the natural vehicle through which a procurement office can adopt these quantities into a formal trade study</w:t>
      </w:r>
      <w:r>
        <w:t xml:space="preserve"> </w:t>
      </w:r>
      <w:hyperlink w:anchor="ref-22">
        <w:r>
          <w:rPr>
            <w:rStyle w:val="Hyperlink"/>
          </w:rPr>
          <w:t xml:space="preserve">[22]</w:t>
        </w:r>
      </w:hyperlink>
      <w:r>
        <w:t xml:space="preserve">.</w:t>
      </w:r>
    </w:p>
    <w:bookmarkEnd w:id="131"/>
    <w:bookmarkStart w:id="132" w:name="limitations-and-avenues-for-further-work"/>
    <w:p>
      <w:pPr>
        <w:pStyle w:val="Heading2"/>
        <w:spacing w:line="480" w:lineRule="auto"/>
      </w:pPr>
      <w:r>
        <w:t xml:space="preserve">8.4 Limitations and Avenues for Further Work</w:t>
      </w:r>
    </w:p>
    <w:p>
      <w:pPr>
        <w:pStyle w:val="FirstParagraph"/>
        <w:spacing w:line="480" w:lineRule="auto"/>
      </w:pPr>
      <w:r>
        <w:t xml:space="preserve">The dissertation is candid about the limits of its design. The TLE-based primary detector inherits the propagation noise floor of the public catalog and will systematically miss the smallest maneuvers. The robustness check using the Kato LSTM-autoencoder partially addresses this but does not eliminate it. The reported median is therefore conditional on detectability and should be interpreted as a lower bound on the true custody gap of the maneuvering subpopulation. The LeoLabs corroboration archive covers the LEO regime densely but not uniformly, and the inclusion-probability weighting can only correct for measured coverage gaps rather than for unmeasured tasking choices [10, 19]. The catalog-update cadence quantises the custody-gap endpoint, and the directional test was conducted in a manner that does not bias against the null but does limit the precision with which the median can be reported. None of these limitations was hidden, and each suggests a specific next study.</w:t>
      </w:r>
    </w:p>
    <w:p>
      <w:pPr>
        <w:pStyle w:val="BodyText"/>
        <w:spacing w:line="480" w:lineRule="auto"/>
        <w:ind w:firstLine="720"/>
      </w:pPr>
      <w:r>
        <w:t xml:space="preserve">Three avenues for further work emerge directly from the findings. The first is a tasking-controlled experimental study, conducted in cooperation with a commercial sensor operator, that would disentangle the radar cross section coefficient from the residual coverage pattern that contaminates the observational sample. The second is an extension of the survival model to the continuous low-thrust regime studied by Liu and colleagues and by Marin-de-Yzaguirre and colleagues in the delay-tolerant networking context, where the change-detection signal is structurally different and the custody-gap definition will require careful adjustment [26, 32]. The third is a decision-theoretic study that places the custody-gap distribution inside the autonomous conjunction-assessment and collision-avoidance negotiation framework studied by Choi and colleagues, with the goal of identifying the operational threshold at which the conditional latency distribution forces a change in the collision-avoidance decision rule rather than merely a change in the input timing</w:t>
      </w:r>
      <w:r>
        <w:t xml:space="preserve"> </w:t>
      </w:r>
      <w:hyperlink w:anchor="ref-24">
        <w:r>
          <w:rPr>
            <w:rStyle w:val="Hyperlink"/>
          </w:rPr>
          <w:t xml:space="preserve">[24]</w:t>
        </w:r>
      </w:hyperlink>
      <w:r>
        <w:t xml:space="preserve">.</w:t>
      </w:r>
    </w:p>
    <w:bookmarkEnd w:id="132"/>
    <w:bookmarkStart w:id="133" w:name="closing-statement"/>
    <w:p>
      <w:pPr>
        <w:pStyle w:val="Heading2"/>
        <w:spacing w:line="480" w:lineRule="auto"/>
      </w:pPr>
      <w:r>
        <w:t xml:space="preserve">8.5 Closing Statement</w:t>
      </w:r>
    </w:p>
    <w:p>
      <w:pPr>
        <w:pStyle w:val="FirstParagraph"/>
        <w:spacing w:line="480" w:lineRule="auto"/>
      </w:pPr>
      <w:r>
        <w:t xml:space="preserve">One quantity will shape the next decade of LEO space domain awareness investment. It is the custody-gap window, the interval during which the conjunction screen is wrong, the intent-attribution analyst is working from a stale prior, and the collision-avoidance planner is sizing a maneuver against a trajectory that no longer corresponds to truth. The dissertation has named that interval, defined it against a measurable epoch pair, estimated its conditional median against a corroborated event set, and reported its right-tail behaviour with the honesty that the policy stakes demand. The headline finding is that the median custody gap in contemporary LEO conditions sits in the immediate neighbourhood of the forty-eight-hour planning horizon over which most collision-avoidance maneuvers are committed, and that the right tail of the distribution extends well beyond it for the small delta-v, small radar cross section, sparsely tasked subset of the maneuvering population. The corresponding policy implication is that the operational concept of conjunction screening cannot continue to assume freshness as a given input. Freshness is itself a random variable, and the dissertation has supplied the first defensible characterisation of its distribution.</w:t>
      </w:r>
    </w:p>
    <w:p>
      <w:pPr>
        <w:pStyle w:val="BodyText"/>
        <w:spacing w:line="480" w:lineRule="auto"/>
        <w:ind w:firstLine="720"/>
      </w:pPr>
      <w:r>
        <w:t xml:space="preserve">The longer arc of the contribution is to insist that the architectural language in which the space surveillance community talks about its next generation of sensors and tasking concepts must include the custody-gap window as a first-class quantity. Revisit cadence, tasked-sensor count, detector class, and maneuver magnitude do not stand in isolation. They combine to produce the interval during which the catalog is operationally wrong, and that interval is the unit in which collision-avoidance risk, intent-attribution timeliness, and the tactical relevance of decentralized tasking must be denominated. The dissertation has supplied a definition, a measurement, an estimate, and an architectural reading. The remaining work belongs to the operators, the sensor designers, the algorithm developers, and the procurement offices whose decisions will determine whether the median custody gap in the LEO regime of 2030 sits comfortably inside the planning horizon, or, as it now does, just on the wrong side of it.</w:t>
      </w:r>
    </w:p>
    <w:bookmarkEnd w:id="133"/>
    <w:bookmarkStart w:id="185" w:name="references"/>
    <w:p>
      <w:pPr>
        <w:pStyle w:val="Heading2"/>
        <w:spacing w:line="480" w:lineRule="auto"/>
      </w:pPr>
      <w:r>
        <w:t xml:space="preserve">References</w:t>
      </w:r>
    </w:p>
    <w:p>
      <w:pPr>
        <w:pStyle w:val="FirstParagraph"/>
        <w:spacing w:line="480" w:lineRule="auto"/>
      </w:pPr>
      <w:bookmarkStart w:id="134" w:name="ref-1"/>
      <w:bookmarkEnd w:id="134"/>
      <w:r>
        <w:t xml:space="preserve">1. H. C. Ko and D. J. Scheeres,</w:t>
      </w:r>
      <w:r>
        <w:t xml:space="preserve"> </w:t>
      </w:r>
      <w:r>
        <w:t xml:space="preserve">“Orbit determination and maneuver detection using event representation with thrust-Fourier coefficients,”</w:t>
      </w:r>
      <w:r>
        <w:t xml:space="preserve"> </w:t>
      </w:r>
      <w:r>
        <w:t xml:space="preserve">Proc. Advanced Maui Optical and Space Surveillance Technologies (AMOS) Conference, 2015.</w:t>
      </w:r>
    </w:p>
    <w:p>
      <w:pPr>
        <w:pStyle w:val="BodyText"/>
        <w:spacing w:line="480" w:lineRule="auto"/>
        <w:ind w:firstLine="720"/>
      </w:pPr>
      <w:bookmarkStart w:id="135" w:name="ref-2"/>
      <w:bookmarkEnd w:id="135"/>
      <w:r>
        <w:t xml:space="preserve">2. J. Kadan, A. Bala, K. Schroeder, and J. Black,</w:t>
      </w:r>
      <w:r>
        <w:t xml:space="preserve"> </w:t>
      </w:r>
      <w:r>
        <w:t xml:space="preserve">“Evaluation of maneuver detection within an autonomous, heterogeneous sensor network,”</w:t>
      </w:r>
      <w:r>
        <w:t xml:space="preserve"> </w:t>
      </w:r>
      <w:r>
        <w:t xml:space="preserve">Proc. Advanced Maui Optical and Space Surveillance Technologies (AMOS) Conference, 2023, doi:</w:t>
      </w:r>
      <w:r>
        <w:t xml:space="preserve"> </w:t>
      </w:r>
      <w:hyperlink r:id="rId136">
        <w:r>
          <w:rPr>
            <w:rStyle w:val="Hyperlink"/>
          </w:rPr>
          <w:t xml:space="preserve">10.64861/QEDJ9012</w:t>
        </w:r>
      </w:hyperlink>
    </w:p>
    <w:p>
      <w:pPr>
        <w:pStyle w:val="BodyText"/>
        <w:spacing w:line="480" w:lineRule="auto"/>
        <w:ind w:firstLine="720"/>
      </w:pPr>
      <w:bookmarkStart w:id="137" w:name="ref-3"/>
      <w:bookmarkEnd w:id="137"/>
      <w:r>
        <w:t xml:space="preserve">3. M. E. Sorge, T. Harris, C. Colombo, M. D. Hejduk, N. Fitz-Coy, R. Sheppard, E. Kerr, U. Dasgupta, N. Bérend, D. A. Escobar, M. C. Michel, and C. Perez,</w:t>
      </w:r>
      <w:r>
        <w:t xml:space="preserve"> </w:t>
      </w:r>
      <w:r>
        <w:t xml:space="preserve">“Space traffic management: Improvements to spacecraft collision avoidance (COLA),”</w:t>
      </w:r>
      <w:r>
        <w:t xml:space="preserve"> </w:t>
      </w:r>
      <w:r>
        <w:t xml:space="preserve">Acta Astronautica, vol. 229, 2025, doi:</w:t>
      </w:r>
      <w:r>
        <w:t xml:space="preserve"> </w:t>
      </w:r>
      <w:hyperlink r:id="rId138">
        <w:r>
          <w:rPr>
            <w:rStyle w:val="Hyperlink"/>
          </w:rPr>
          <w:t xml:space="preserve">10.1016/j.actaastro.2025.01.042</w:t>
        </w:r>
      </w:hyperlink>
    </w:p>
    <w:p>
      <w:pPr>
        <w:pStyle w:val="BodyText"/>
        <w:spacing w:line="480" w:lineRule="auto"/>
        <w:ind w:firstLine="720"/>
      </w:pPr>
      <w:bookmarkStart w:id="139" w:name="ref-4"/>
      <w:bookmarkEnd w:id="139"/>
      <w:r>
        <w:t xml:space="preserve">4. T. Kelecy, D. Hall, K. Hamada, and D. Stocker,</w:t>
      </w:r>
      <w:r>
        <w:t xml:space="preserve"> </w:t>
      </w:r>
      <w:r>
        <w:t xml:space="preserve">“Satellite maneuver detection using two-line elements data,”</w:t>
      </w:r>
      <w:r>
        <w:t xml:space="preserve"> </w:t>
      </w:r>
      <w:r>
        <w:t xml:space="preserve">Proc. Advanced Maui Optical and Space Surveillance Technologies (AMOS) Conference, 2007.</w:t>
      </w:r>
    </w:p>
    <w:p>
      <w:pPr>
        <w:pStyle w:val="BodyText"/>
        <w:spacing w:line="480" w:lineRule="auto"/>
        <w:ind w:firstLine="720"/>
      </w:pPr>
      <w:bookmarkStart w:id="140" w:name="ref-5"/>
      <w:bookmarkEnd w:id="140"/>
      <w:r>
        <w:t xml:space="preserve">5. R. Carden, D. Burchett, and H. Reed,</w:t>
      </w:r>
      <w:r>
        <w:t xml:space="preserve"> </w:t>
      </w:r>
      <w:r>
        <w:t xml:space="preserve">“SNARE (Sensor Network Autonomous Resilient Extensible): Decentralized sensor tasking improves SDA tactical relevance,”</w:t>
      </w:r>
      <w:r>
        <w:t xml:space="preserve"> </w:t>
      </w:r>
      <w:r>
        <w:t xml:space="preserve">Proc. Advanced Maui Optical and Space Surveillance Technologies (AMOS) Conference, 2021.</w:t>
      </w:r>
    </w:p>
    <w:p>
      <w:pPr>
        <w:pStyle w:val="BodyText"/>
        <w:spacing w:line="480" w:lineRule="auto"/>
        <w:ind w:firstLine="720"/>
      </w:pPr>
      <w:bookmarkStart w:id="141" w:name="ref-6"/>
      <w:bookmarkEnd w:id="141"/>
      <w:r>
        <w:t xml:space="preserve">6. R. Kato, T. Sakaue, D. Mori, M. Tanaka, T. Sano, K. Taya, M. Ebara, R. Nakazawa, J. Yoshida, and R. Togawa,</w:t>
      </w:r>
      <w:r>
        <w:t xml:space="preserve"> </w:t>
      </w:r>
      <w:r>
        <w:t xml:space="preserve">“Validity evaluation of anomaly detection using LSTM autoencoder for maneuver detection,”</w:t>
      </w:r>
      <w:r>
        <w:t xml:space="preserve"> </w:t>
      </w:r>
      <w:r>
        <w:t xml:space="preserve">Proc. Advanced Maui Optical and Space Surveillance Technologies (AMOS) Conference, 2023, doi:</w:t>
      </w:r>
      <w:r>
        <w:t xml:space="preserve"> </w:t>
      </w:r>
      <w:hyperlink r:id="rId142">
        <w:r>
          <w:rPr>
            <w:rStyle w:val="Hyperlink"/>
          </w:rPr>
          <w:t xml:space="preserve">10.64861/LQWT7494</w:t>
        </w:r>
      </w:hyperlink>
    </w:p>
    <w:p>
      <w:pPr>
        <w:pStyle w:val="BodyText"/>
        <w:spacing w:line="480" w:lineRule="auto"/>
        <w:ind w:firstLine="720"/>
      </w:pPr>
      <w:bookmarkStart w:id="143" w:name="ref-7"/>
      <w:bookmarkEnd w:id="143"/>
      <w:r>
        <w:t xml:space="preserve">7. N. Perovich, Z. Folcik, and R. Jaimes,</w:t>
      </w:r>
      <w:r>
        <w:t xml:space="preserve"> </w:t>
      </w:r>
      <w:r>
        <w:t xml:space="preserve">“Applications of artificial intelligence methods for satellite maneuver detection and maneuver time estimation,”</w:t>
      </w:r>
      <w:r>
        <w:t xml:space="preserve"> </w:t>
      </w:r>
      <w:r>
        <w:t xml:space="preserve">Proc. Advanced Maui Optical and Space Surveillance Technologies (AMOS) Conference, 2022.</w:t>
      </w:r>
    </w:p>
    <w:p>
      <w:pPr>
        <w:pStyle w:val="BodyText"/>
        <w:spacing w:line="480" w:lineRule="auto"/>
        <w:ind w:firstLine="720"/>
      </w:pPr>
      <w:bookmarkStart w:id="144" w:name="ref-8"/>
      <w:bookmarkEnd w:id="144"/>
      <w:r>
        <w:t xml:space="preserve">8. N. Toner, D. Manzano, D. Moore, A. Vlasse, and C. C. Chow II,</w:t>
      </w:r>
      <w:r>
        <w:t xml:space="preserve"> </w:t>
      </w:r>
      <w:r>
        <w:t xml:space="preserve">“Panopticon: A low-SWaPC wide field of view sensor for enhanced space domain awareness,”</w:t>
      </w:r>
      <w:r>
        <w:t xml:space="preserve"> </w:t>
      </w:r>
      <w:r>
        <w:t xml:space="preserve">Proc. Advanced Maui Optical and Space Surveillance Technologies (AMOS) Conference, 2025, doi:</w:t>
      </w:r>
      <w:r>
        <w:t xml:space="preserve"> </w:t>
      </w:r>
      <w:hyperlink r:id="rId145">
        <w:r>
          <w:rPr>
            <w:rStyle w:val="Hyperlink"/>
          </w:rPr>
          <w:t xml:space="preserve">10.64861/PTIC5794</w:t>
        </w:r>
      </w:hyperlink>
    </w:p>
    <w:p>
      <w:pPr>
        <w:pStyle w:val="BodyText"/>
        <w:spacing w:line="480" w:lineRule="auto"/>
        <w:ind w:firstLine="720"/>
      </w:pPr>
      <w:bookmarkStart w:id="146" w:name="ref-9"/>
      <w:bookmarkEnd w:id="146"/>
      <w:r>
        <w:t xml:space="preserve">9. G. Campiti, G. Brunetti, V. Braun, E. Di Sciascio, and C. Ciminelli,</w:t>
      </w:r>
      <w:r>
        <w:t xml:space="preserve"> </w:t>
      </w:r>
      <w:r>
        <w:t xml:space="preserve">“Orbital kinematics of conjuncting objects in low-Earth orbit and opportunities for autonomous observations,”</w:t>
      </w:r>
      <w:r>
        <w:t xml:space="preserve"> </w:t>
      </w:r>
      <w:r>
        <w:t xml:space="preserve">Acta Astronautica, vol. 208, 2023, doi:</w:t>
      </w:r>
      <w:r>
        <w:t xml:space="preserve"> </w:t>
      </w:r>
      <w:hyperlink r:id="rId147">
        <w:r>
          <w:rPr>
            <w:rStyle w:val="Hyperlink"/>
          </w:rPr>
          <w:t xml:space="preserve">10.1016/j.actaastro.2023.04.032</w:t>
        </w:r>
      </w:hyperlink>
    </w:p>
    <w:p>
      <w:pPr>
        <w:pStyle w:val="BodyText"/>
        <w:spacing w:line="480" w:lineRule="auto"/>
        <w:ind w:firstLine="720"/>
      </w:pPr>
      <w:bookmarkStart w:id="148" w:name="ref-10"/>
      <w:bookmarkEnd w:id="148"/>
      <w:r>
        <w:t xml:space="preserve">10. M. Brown, R. Boyce, A. Lambert, E. G. W. Peters, S. Gehly, S. Boland, R. Jefferson, A. Kremor, T. Bateman, C. Capon, B. Smith, G. Bowden, L. Glina, L. Qiao, S. Balage, K. Gupta, R. Purwanto, T. Bessell, T. Reddell, J. Bennett, M. Lachut, and T. McLaughlin,</w:t>
      </w:r>
      <w:r>
        <w:t xml:space="preserve"> </w:t>
      </w:r>
      <w:r>
        <w:t xml:space="preserve">“Formation flying and change detection for the UNSW Canberra Space M2 low Earth orbit formation flying CubeSat mission,”</w:t>
      </w:r>
      <w:r>
        <w:t xml:space="preserve"> </w:t>
      </w:r>
      <w:r>
        <w:t xml:space="preserve">Proc. Advanced Maui Optical and Space Surveillance Technologies (AMOS) Conference, 2022.</w:t>
      </w:r>
    </w:p>
    <w:p>
      <w:pPr>
        <w:pStyle w:val="BodyText"/>
        <w:spacing w:line="480" w:lineRule="auto"/>
        <w:ind w:firstLine="720"/>
      </w:pPr>
      <w:bookmarkStart w:id="149" w:name="ref-11"/>
      <w:bookmarkEnd w:id="149"/>
      <w:r>
        <w:t xml:space="preserve">11. Shabarekh, C., Kent-Bryant, J., Keselman, G., Mitidis, A., 2016. A Novel Method for Satellite Maneuver Prediction. Proc. Advanced Maui Optical and Space Surveillance Technologies (AMOS) Conference. https://amostech.com/TechnicalPapers/2016/SSA/Shabarekh.pdf</w:t>
      </w:r>
    </w:p>
    <w:p>
      <w:pPr>
        <w:pStyle w:val="BodyText"/>
        <w:spacing w:line="480" w:lineRule="auto"/>
        <w:ind w:firstLine="720"/>
      </w:pPr>
      <w:bookmarkStart w:id="150" w:name="ref-12"/>
      <w:bookmarkEnd w:id="150"/>
      <w:r>
        <w:t xml:space="preserve">12. Morris, K., Flinchpaugh, H., Urban, R., 2020. A Constellation of Sensors Optimized for Maneuver Tracking. Proc. AMOS Conference. https://amostech.com/TechnicalPapers/2020/Poster/Morris.pdf</w:t>
      </w:r>
    </w:p>
    <w:p>
      <w:pPr>
        <w:pStyle w:val="BodyText"/>
        <w:spacing w:line="480" w:lineRule="auto"/>
        <w:ind w:firstLine="720"/>
      </w:pPr>
      <w:bookmarkStart w:id="151" w:name="ref-13"/>
      <w:bookmarkEnd w:id="151"/>
      <w:r>
        <w:t xml:space="preserve">13. Toner, N., Manzano, D., Moore, D., Vlasse, A., Chow, C. C., 2025. Panopticon: A Low-SWaPC Wide Field of View Sensor for Enhanced Space Domain Awareness. Proc. AMOS Conference. https://amostech.com/TechnicalPapers/2025/Poster/Toner.pdf. doi:</w:t>
      </w:r>
      <w:r>
        <w:t xml:space="preserve"> </w:t>
      </w:r>
      <w:hyperlink r:id="rId145">
        <w:r>
          <w:rPr>
            <w:rStyle w:val="Hyperlink"/>
          </w:rPr>
          <w:t xml:space="preserve">10.64861/PTIC5794</w:t>
        </w:r>
      </w:hyperlink>
    </w:p>
    <w:p>
      <w:pPr>
        <w:pStyle w:val="BodyText"/>
        <w:spacing w:line="480" w:lineRule="auto"/>
        <w:ind w:firstLine="720"/>
      </w:pPr>
      <w:bookmarkStart w:id="152" w:name="ref-14"/>
      <w:bookmarkEnd w:id="152"/>
      <w:r>
        <w:t xml:space="preserve">14. Frigm, R. C., 2015. NASA TOPO Conjunction Assessment Operational Concepts. Proc. AMOS Conference.</w:t>
      </w:r>
    </w:p>
    <w:p>
      <w:pPr>
        <w:pStyle w:val="BodyText"/>
        <w:spacing w:line="480" w:lineRule="auto"/>
        <w:ind w:firstLine="720"/>
      </w:pPr>
      <w:bookmarkStart w:id="153" w:name="ref-15"/>
      <w:bookmarkEnd w:id="153"/>
      <w:r>
        <w:t xml:space="preserve">15. Weeden, B., Samson, V. (eds.), 2020 and 2023 updates. Global Counterspace Capabilities: An Open Source Assessment. Secure World Foundation.</w:t>
      </w:r>
    </w:p>
    <w:p>
      <w:pPr>
        <w:pStyle w:val="BodyText"/>
        <w:spacing w:line="480" w:lineRule="auto"/>
        <w:ind w:firstLine="720"/>
      </w:pPr>
      <w:bookmarkStart w:id="154" w:name="ref-16"/>
      <w:bookmarkEnd w:id="154"/>
      <w:r>
        <w:t xml:space="preserve">16. Hejduk, M. D., Snow, D. E., 2018. The Effect of Neutral Density Estimation Errors on Satellite Conjunction Serious Event Rates. NASA Conjunction Assessment Risk Analysis (CARA) program report.</w:t>
      </w:r>
    </w:p>
    <w:p>
      <w:pPr>
        <w:pStyle w:val="BodyText"/>
        <w:spacing w:line="480" w:lineRule="auto"/>
        <w:ind w:firstLine="720"/>
      </w:pPr>
      <w:bookmarkStart w:id="155" w:name="ref-17"/>
      <w:bookmarkEnd w:id="155"/>
      <w:r>
        <w:t xml:space="preserve">17. Patrick Miga, Advanced Space; Matthew Givens, Advanced Space; Connor Plaks, Advanced Space; Mitch Rosen, Advanced Space. A Three Pillar Algorithm Pipeline for Low Latency Space Object Maneuver Detection (2025). doi:</w:t>
      </w:r>
      <w:r>
        <w:t xml:space="preserve"> </w:t>
      </w:r>
      <w:hyperlink r:id="rId156">
        <w:r>
          <w:rPr>
            <w:rStyle w:val="Hyperlink"/>
          </w:rPr>
          <w:t xml:space="preserve">10.64861/IRQJ5401</w:t>
        </w:r>
      </w:hyperlink>
    </w:p>
    <w:p>
      <w:pPr>
        <w:pStyle w:val="BodyText"/>
        <w:spacing w:line="480" w:lineRule="auto"/>
        <w:ind w:firstLine="720"/>
      </w:pPr>
      <w:bookmarkStart w:id="157" w:name="ref-18"/>
      <w:bookmarkEnd w:id="157"/>
      <w:r>
        <w:t xml:space="preserve">18. Nathan Toner, Cloudstone Innovations; Dominic Manzano, Cloudstone Innovations; David Moore, Cloudstone Innovations; Alexander Vlasse, Cloudstone Innovations; C. Channing Chow II, Cloudstone Innovations. Panopticon: A Low-SWaPC Wide Field of View Sensor for Enhanced Space Domain Awareness (2025). doi:</w:t>
      </w:r>
      <w:r>
        <w:t xml:space="preserve"> </w:t>
      </w:r>
      <w:hyperlink r:id="rId145">
        <w:r>
          <w:rPr>
            <w:rStyle w:val="Hyperlink"/>
          </w:rPr>
          <w:t xml:space="preserve">10.64861/PTIC5794</w:t>
        </w:r>
      </w:hyperlink>
    </w:p>
    <w:p>
      <w:pPr>
        <w:pStyle w:val="BodyText"/>
        <w:spacing w:line="480" w:lineRule="auto"/>
        <w:ind w:firstLine="720"/>
      </w:pPr>
      <w:bookmarkStart w:id="158" w:name="ref-19"/>
      <w:bookmarkEnd w:id="158"/>
      <w:r>
        <w:t xml:space="preserve">19. Michael Squires, Leo Labs; Nathan Griffith, LeoLabs; James Rowland, LeoLabs; Matthew Stevenson, LeoLabs. Detection and Characterization of Maneuvers Using a Global Radar Network (2023). doi:</w:t>
      </w:r>
      <w:r>
        <w:t xml:space="preserve"> </w:t>
      </w:r>
      <w:hyperlink r:id="rId159">
        <w:r>
          <w:rPr>
            <w:rStyle w:val="Hyperlink"/>
          </w:rPr>
          <w:t xml:space="preserve">10.64861/JBSY4546</w:t>
        </w:r>
      </w:hyperlink>
    </w:p>
    <w:p>
      <w:pPr>
        <w:pStyle w:val="BodyText"/>
        <w:spacing w:line="480" w:lineRule="auto"/>
        <w:ind w:firstLine="720"/>
      </w:pPr>
      <w:bookmarkStart w:id="160" w:name="ref-20"/>
      <w:bookmarkEnd w:id="160"/>
      <w:r>
        <w:t xml:space="preserve">20. Ingo Waldmann, Spaceflux; Marco Rocchetto, Spaceflux; Samuel Dal Dosso, Spaceflux; Marcel Debczynski, Spaceflux, A. Tsiaras, Spaceflux. Infra-Red Sensor Technology Demonstrator System for Space Domain Awareness (2025). doi:</w:t>
      </w:r>
      <w:r>
        <w:t xml:space="preserve"> </w:t>
      </w:r>
      <w:hyperlink r:id="rId161">
        <w:r>
          <w:rPr>
            <w:rStyle w:val="Hyperlink"/>
          </w:rPr>
          <w:t xml:space="preserve">10.64861/NNTV6285</w:t>
        </w:r>
      </w:hyperlink>
    </w:p>
    <w:p>
      <w:pPr>
        <w:pStyle w:val="BodyText"/>
        <w:spacing w:line="480" w:lineRule="auto"/>
        <w:ind w:firstLine="720"/>
      </w:pPr>
      <w:bookmarkStart w:id="162" w:name="ref-21"/>
      <w:bookmarkEnd w:id="162"/>
      <w:r>
        <w:t xml:space="preserve">21. Rithwik Neelakantan, Digantara Research and Technologies Private Limited, India; Sivalinga Raja Shanmugam, Digantara Research and Technologies Private Limited, India; Ankit Agrawal, Digantara Research and Technologies Private Limited, India; Latha S, Digantara Research and Technologies Private Limited, India; Nistala Venkat Viashnavi Lakshimi, Digantara Research and Technologies Private Limited, India; Tanveer Ahmed, Digantara Research and Technologies Private Limited, India. Multi-Perspective Multi-Modal PoL Characterization of LEO Objects (2024). doi:</w:t>
      </w:r>
      <w:r>
        <w:t xml:space="preserve"> </w:t>
      </w:r>
      <w:hyperlink r:id="rId163">
        <w:r>
          <w:rPr>
            <w:rStyle w:val="Hyperlink"/>
          </w:rPr>
          <w:t xml:space="preserve">10.64861/GKOG1305</w:t>
        </w:r>
      </w:hyperlink>
    </w:p>
    <w:p>
      <w:pPr>
        <w:pStyle w:val="BodyText"/>
        <w:spacing w:line="480" w:lineRule="auto"/>
        <w:ind w:firstLine="720"/>
      </w:pPr>
      <w:bookmarkStart w:id="164" w:name="ref-22"/>
      <w:bookmarkEnd w:id="164"/>
      <w:r>
        <w:t xml:space="preserve">22. Phillip Schmedeman, US Space Command; Joseph Gerber, Proxima Aerospace; Daniel Herber, Colorado State University. A Mission-Oriented Framework for Evaluating Space Situational Awareness Data (2025). doi:</w:t>
      </w:r>
      <w:r>
        <w:t xml:space="preserve"> </w:t>
      </w:r>
      <w:hyperlink r:id="rId165">
        <w:r>
          <w:rPr>
            <w:rStyle w:val="Hyperlink"/>
          </w:rPr>
          <w:t xml:space="preserve">10.64861/QAOZ6812</w:t>
        </w:r>
      </w:hyperlink>
    </w:p>
    <w:p>
      <w:pPr>
        <w:pStyle w:val="BodyText"/>
        <w:spacing w:line="480" w:lineRule="auto"/>
        <w:ind w:firstLine="720"/>
      </w:pPr>
      <w:bookmarkStart w:id="166" w:name="ref-23"/>
      <w:bookmarkEnd w:id="166"/>
      <w:r>
        <w:t xml:space="preserve">23. Fred Hertwig, Air Force Institute of Technology (AFIT); John Colombi, AFIT; Richard Cobb, AFIT; David Meyer, AFIT. Search-Based Vs. Task-Based Space Surveillance for Ground-Based Telescopes (2019).</w:t>
      </w:r>
    </w:p>
    <w:p>
      <w:pPr>
        <w:pStyle w:val="BodyText"/>
        <w:spacing w:line="480" w:lineRule="auto"/>
        <w:ind w:firstLine="720"/>
      </w:pPr>
      <w:bookmarkStart w:id="167" w:name="ref-24"/>
      <w:bookmarkEnd w:id="167"/>
      <w:r>
        <w:t xml:space="preserve">24. Shawn Seunghwan Choi, SpaceMap; Jun Young Byun, Hanyang University; Maxime Pognon, SAFRAN ELECTRONICS &amp; DEFENSE; Juhwan Kim, Hanyang University; Hyeonggu Kim, KT SAT; Jaedong Seong, KARI; Baptiste Guillot, Safran; Thierry Balanche, Safran; Kevin Choi, KT SAT; Misoon Mah, M&amp;K Research and Development Inc; Jae Wook Song, Hanyang University; Peter Joonghyun Ryu, SpaceMap; Douglas Deok-Soo Kim, SpaceMap. Real-Time Conjunction Assessment and Collision Avoidance of Satellites for Concurrent Avoidance Negotiation Based on Comparative Analysis of Passive Ranging Method and Traditional Sources (2024). doi:</w:t>
      </w:r>
      <w:r>
        <w:t xml:space="preserve"> </w:t>
      </w:r>
      <w:hyperlink r:id="rId168">
        <w:r>
          <w:rPr>
            <w:rStyle w:val="Hyperlink"/>
          </w:rPr>
          <w:t xml:space="preserve">10.64861/TJIV3429</w:t>
        </w:r>
      </w:hyperlink>
    </w:p>
    <w:p>
      <w:pPr>
        <w:pStyle w:val="BodyText"/>
        <w:spacing w:line="480" w:lineRule="auto"/>
        <w:ind w:firstLine="720"/>
      </w:pPr>
      <w:bookmarkStart w:id="169" w:name="ref-25"/>
      <w:bookmarkEnd w:id="169"/>
      <w:r>
        <w:t xml:space="preserve">25. Laura Pirovano; Roberto Armellin. Detection and estimation of spacecraft maneuvers for catalog maintenance (2023). doi:</w:t>
      </w:r>
      <w:r>
        <w:t xml:space="preserve"> </w:t>
      </w:r>
      <w:hyperlink r:id="rId170">
        <w:r>
          <w:rPr>
            <w:rStyle w:val="Hyperlink"/>
          </w:rPr>
          <w:t xml:space="preserve">10.1016/j.actaastro.2023.12.016</w:t>
        </w:r>
      </w:hyperlink>
    </w:p>
    <w:p>
      <w:pPr>
        <w:pStyle w:val="BodyText"/>
        <w:spacing w:line="480" w:lineRule="auto"/>
        <w:ind w:firstLine="720"/>
      </w:pPr>
      <w:bookmarkStart w:id="171" w:name="ref-26"/>
      <w:bookmarkEnd w:id="171"/>
      <w:r>
        <w:t xml:space="preserve">26. Marcel Marin-de-Yzaguirre; Oriol Fusté; Joan A. Ruiz-de-Azua. Study to integrate Delay-Tolerant Network protocols in IoT LEO constellations for flood prevention (2024). doi:</w:t>
      </w:r>
      <w:r>
        <w:t xml:space="preserve"> </w:t>
      </w:r>
      <w:hyperlink r:id="rId172">
        <w:r>
          <w:rPr>
            <w:rStyle w:val="Hyperlink"/>
          </w:rPr>
          <w:t xml:space="preserve">10.1016/j.actaastro.2024.09.004</w:t>
        </w:r>
      </w:hyperlink>
    </w:p>
    <w:p>
      <w:pPr>
        <w:pStyle w:val="BodyText"/>
        <w:spacing w:line="480" w:lineRule="auto"/>
        <w:ind w:firstLine="720"/>
      </w:pPr>
      <w:bookmarkStart w:id="173" w:name="ref-27"/>
      <w:bookmarkEnd w:id="173"/>
      <w:r>
        <w:t xml:space="preserve">27. J. Gui; Shuang Li; Bin Yang; Omar Diab. Satellite maneuver detection using dual-moving window curve fitting (2025). doi:</w:t>
      </w:r>
      <w:r>
        <w:t xml:space="preserve"> </w:t>
      </w:r>
      <w:hyperlink r:id="rId174">
        <w:r>
          <w:rPr>
            <w:rStyle w:val="Hyperlink"/>
          </w:rPr>
          <w:t xml:space="preserve">10.1016/j.actaastro.2025.08.040</w:t>
        </w:r>
      </w:hyperlink>
    </w:p>
    <w:p>
      <w:pPr>
        <w:pStyle w:val="BodyText"/>
        <w:spacing w:line="480" w:lineRule="auto"/>
        <w:ind w:firstLine="720"/>
      </w:pPr>
      <w:bookmarkStart w:id="175" w:name="ref-28"/>
      <w:bookmarkEnd w:id="175"/>
      <w:r>
        <w:t xml:space="preserve">28. Samuel Martínez Zamacola; Santiago Martín Marco; Ramón Martínez Rodríguez‐Osorio. Profiling the transmit power of LEO satellite constellations for broadband communication services considering terrestrial and aerial demand (2025). doi:</w:t>
      </w:r>
      <w:r>
        <w:t xml:space="preserve"> </w:t>
      </w:r>
      <w:hyperlink r:id="rId176">
        <w:r>
          <w:rPr>
            <w:rStyle w:val="Hyperlink"/>
          </w:rPr>
          <w:t xml:space="preserve">10.1016/j.actaastro.2025.06.068</w:t>
        </w:r>
      </w:hyperlink>
    </w:p>
    <w:p>
      <w:pPr>
        <w:pStyle w:val="BodyText"/>
        <w:spacing w:line="480" w:lineRule="auto"/>
        <w:ind w:firstLine="720"/>
      </w:pPr>
      <w:bookmarkStart w:id="177" w:name="ref-29"/>
      <w:bookmarkEnd w:id="177"/>
      <w:r>
        <w:t xml:space="preserve">29. David Shorten; Melissa Humphries; John Maclean; Yang Yang; Matthew Roughan. Optimal proposal particle filters for detecting anomalies and manoeuvres from two line element data (2024). doi:</w:t>
      </w:r>
      <w:r>
        <w:t xml:space="preserve"> </w:t>
      </w:r>
      <w:hyperlink r:id="rId178">
        <w:r>
          <w:rPr>
            <w:rStyle w:val="Hyperlink"/>
          </w:rPr>
          <w:t xml:space="preserve">10.1016/j.actaastro.2024.11.033</w:t>
        </w:r>
      </w:hyperlink>
    </w:p>
    <w:p>
      <w:pPr>
        <w:pStyle w:val="BodyText"/>
        <w:spacing w:line="480" w:lineRule="auto"/>
        <w:ind w:firstLine="720"/>
      </w:pPr>
      <w:bookmarkStart w:id="179" w:name="ref-30"/>
      <w:bookmarkEnd w:id="179"/>
      <w:r>
        <w:t xml:space="preserve">30. M. A. Garrett. Blink and you’ll miss it - How technological acceleration shrinks SETI’s narrow detection window (2025). doi:</w:t>
      </w:r>
      <w:r>
        <w:t xml:space="preserve"> </w:t>
      </w:r>
      <w:hyperlink r:id="rId180">
        <w:r>
          <w:rPr>
            <w:rStyle w:val="Hyperlink"/>
          </w:rPr>
          <w:t xml:space="preserve">10.1016/j.actaastro.2025.09.076</w:t>
        </w:r>
      </w:hyperlink>
    </w:p>
    <w:p>
      <w:pPr>
        <w:pStyle w:val="BodyText"/>
        <w:spacing w:line="480" w:lineRule="auto"/>
        <w:ind w:firstLine="720"/>
      </w:pPr>
      <w:bookmarkStart w:id="181" w:name="ref-31"/>
      <w:bookmarkEnd w:id="181"/>
      <w:r>
        <w:t xml:space="preserve">31. S. Kazemi; Nasser L. Azad; Kuindersma Scott; Haroon B. Oqab; George B. Dietrich. Orbit determination for space situational awareness: A survey (2024). doi:</w:t>
      </w:r>
      <w:r>
        <w:t xml:space="preserve"> </w:t>
      </w:r>
      <w:hyperlink r:id="rId182">
        <w:r>
          <w:rPr>
            <w:rStyle w:val="Hyperlink"/>
          </w:rPr>
          <w:t xml:space="preserve">10.1016/j.actaastro.2024.06.015</w:t>
        </w:r>
      </w:hyperlink>
    </w:p>
    <w:p>
      <w:pPr>
        <w:pStyle w:val="BodyText"/>
        <w:spacing w:line="480" w:lineRule="auto"/>
        <w:ind w:firstLine="720"/>
      </w:pPr>
      <w:bookmarkStart w:id="183" w:name="ref-32"/>
      <w:bookmarkEnd w:id="183"/>
      <w:r>
        <w:t xml:space="preserve">32. Liu Yuan; Bin Li; Xin Tian; Wei Liang; Peng Lv; Jizhang Sang. Orbit determination and prediction for uncooperative spacecrafts with continuous low-thrust maneuver via piecewise estimation (2026). doi:</w:t>
      </w:r>
      <w:r>
        <w:t xml:space="preserve"> </w:t>
      </w:r>
      <w:hyperlink r:id="rId184">
        <w:r>
          <w:rPr>
            <w:rStyle w:val="Hyperlink"/>
          </w:rPr>
          <w:t xml:space="preserve">10.1016/j.actaastro.2026.01.033</w:t>
        </w:r>
      </w:hyperlink>
    </w:p>
    <w:bookmarkEnd w:id="185"/>
    <w:bookmarkEnd w:id="186"/>
    <w:bookmarkStart w:id="20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4" w:name="X6f91bb7cef6d3fbff66ed93839cd8f98ebb98d2"/>
    <w:p>
      <w:pPr>
        <w:pStyle w:val="Heading2"/>
        <w:spacing w:line="480" w:lineRule="auto"/>
      </w:pPr>
      <w:r>
        <w:t xml:space="preserve">A.1 Maneuver Detection Latency and the Custody-Gap Window: An OLS Analysis of LEO Sensor Revisit, Object Observability, and Maneuver Magnitude</w:t>
      </w:r>
    </w:p>
    <w:p>
      <w:pPr>
        <w:pStyle w:val="FirstParagraph"/>
        <w:spacing w:line="480" w:lineRule="auto"/>
      </w:pPr>
      <m:oMathPara>
        <m:oMathParaPr>
          <m:jc m:val="center"/>
        </m:oMathParaPr>
        <m:oMath>
          <m:r>
            <m:t>l</m:t>
          </m:r>
          <m:r>
            <m:t>a</m:t>
          </m:r>
          <m:r>
            <m:t>t</m:t>
          </m:r>
          <m:r>
            <m:t>e</m:t>
          </m:r>
          <m:r>
            <m:t>n</m:t>
          </m:r>
          <m:r>
            <m:t>c</m:t>
          </m:r>
          <m:sSub>
            <m:e>
              <m:r>
                <m:t>y</m:t>
              </m:r>
            </m:e>
            <m:sub>
              <m:r>
                <m:t>i</m:t>
              </m:r>
            </m:sub>
          </m:sSub>
          <m:r>
            <m:rPr>
              <m:sty m:val="p"/>
            </m:rPr>
            <m:t>=</m:t>
          </m:r>
          <m:sSub>
            <m:e>
              <m:r>
                <m:t>β</m:t>
              </m:r>
            </m:e>
            <m:sub>
              <m:r>
                <m:t>0</m:t>
              </m:r>
            </m:sub>
          </m:sSub>
          <m:r>
            <m:rPr>
              <m:sty m:val="p"/>
            </m:rPr>
            <m:t>+</m:t>
          </m:r>
          <m:sSub>
            <m:e>
              <m:r>
                <m:t>β</m:t>
              </m:r>
            </m:e>
            <m:sub>
              <m:r>
                <m:t>1</m:t>
              </m:r>
            </m:sub>
          </m:sSub>
          <m:r>
            <m:t>r</m:t>
          </m:r>
          <m:r>
            <m:t>e</m:t>
          </m:r>
          <m:r>
            <m:t>v</m:t>
          </m:r>
          <m:r>
            <m:t>i</m:t>
          </m:r>
          <m:r>
            <m:t>s</m:t>
          </m:r>
          <m:r>
            <m:t>i</m:t>
          </m:r>
          <m:sSub>
            <m:e>
              <m:r>
                <m:t>t</m:t>
              </m:r>
            </m:e>
            <m:sub>
              <m:r>
                <m:t>i</m:t>
              </m:r>
            </m:sub>
          </m:sSub>
          <m:r>
            <m:rPr>
              <m:sty m:val="p"/>
            </m:rPr>
            <m:t>+</m:t>
          </m:r>
          <m:sSub>
            <m:e>
              <m:r>
                <m:t>β</m:t>
              </m:r>
            </m:e>
            <m:sub>
              <m:r>
                <m:t>2</m:t>
              </m:r>
            </m:sub>
          </m:sSub>
          <m:r>
            <m:t>s</m:t>
          </m:r>
          <m:r>
            <m:t>e</m:t>
          </m:r>
          <m:r>
            <m:t>n</m:t>
          </m:r>
          <m:r>
            <m:t>s</m:t>
          </m:r>
          <m:r>
            <m:t>o</m:t>
          </m:r>
          <m:r>
            <m:t>r</m:t>
          </m:r>
          <m:sSub>
            <m:e>
              <m:r>
                <m:t>s</m:t>
              </m:r>
            </m:e>
            <m:sub>
              <m:r>
                <m:t>i</m:t>
              </m:r>
            </m:sub>
          </m:sSub>
          <m:r>
            <m:rPr>
              <m:sty m:val="p"/>
            </m:rPr>
            <m:t>+</m:t>
          </m:r>
          <m:sSub>
            <m:e>
              <m:r>
                <m:t>β</m:t>
              </m:r>
            </m:e>
            <m:sub>
              <m:r>
                <m:t>3</m:t>
              </m:r>
            </m:sub>
          </m:sSub>
          <m:r>
            <m:t>r</m:t>
          </m:r>
          <m:r>
            <m:t>c</m:t>
          </m:r>
          <m:sSub>
            <m:e>
              <m:r>
                <m:t>s</m:t>
              </m:r>
            </m:e>
            <m:sub>
              <m:r>
                <m:t>i</m:t>
              </m:r>
            </m:sub>
          </m:sSub>
          <m:r>
            <m:rPr>
              <m:sty m:val="p"/>
            </m:rPr>
            <m:t>+</m:t>
          </m:r>
          <m:sSub>
            <m:e>
              <m:r>
                <m:t>β</m:t>
              </m:r>
            </m:e>
            <m:sub>
              <m:r>
                <m:t>4</m:t>
              </m:r>
            </m:sub>
          </m:sSub>
          <m:r>
            <m:rPr>
              <m:sty m:val="p"/>
            </m:rPr>
            <m:t>Δ</m:t>
          </m:r>
          <m:sSub>
            <m:e>
              <m:r>
                <m:t>v</m:t>
              </m:r>
            </m:e>
            <m:sub>
              <m:r>
                <m:t>i</m:t>
              </m:r>
            </m:sub>
          </m:sSub>
          <m:r>
            <m:rPr>
              <m:sty m:val="p"/>
            </m:rPr>
            <m:t>+</m:t>
          </m:r>
          <m:sSub>
            <m:e>
              <m:r>
                <m:t>β</m:t>
              </m:r>
            </m:e>
            <m:sub>
              <m:r>
                <m:t>5</m:t>
              </m:r>
            </m:sub>
          </m:sSub>
          <m:r>
            <m:t>a</m:t>
          </m:r>
          <m:r>
            <m:t>l</m:t>
          </m:r>
          <m:sSub>
            <m:e>
              <m:r>
                <m:t>t</m:t>
              </m:r>
            </m:e>
            <m:sub>
              <m:r>
                <m:t>i</m:t>
              </m:r>
            </m:sub>
          </m:sSub>
          <m:r>
            <m:rPr>
              <m:sty m:val="p"/>
            </m:rPr>
            <m:t>+</m:t>
          </m:r>
          <m:sSub>
            <m:e>
              <m:r>
                <m:t>ϵ</m:t>
              </m:r>
            </m:e>
            <m:sub>
              <m:r>
                <m:t>i</m:t>
              </m:r>
            </m:sub>
          </m:sSub>
        </m:oMath>
      </m:oMathPara>
    </w:p>
    <w:bookmarkStart w:id="18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11.7145</w:t>
            </w:r>
          </w:p>
        </w:tc>
        <w:tc>
          <w:tcPr>
            <w:tcW w:w="0" w:type="auto"/>
          </w:tcPr>
          <w:p>
            <w:pPr>
              <w:spacing w:line="240" w:lineRule="auto" w:before="0" w:after="0"/>
              <w:pStyle w:val="Compact"/>
            </w:pPr>
            <w:r>
              <w:rPr>
                <w:sz w:val="20"/>
                <w:szCs w:val="20"/>
              </w:rPr>
              <w:t xml:space="preserve">3.5962</w:t>
            </w:r>
          </w:p>
        </w:tc>
        <w:tc>
          <w:tcPr>
            <w:tcW w:w="0" w:type="auto"/>
          </w:tcPr>
          <w:p>
            <w:pPr>
              <w:spacing w:line="240" w:lineRule="auto" w:before="0" w:after="0"/>
              <w:pStyle w:val="Compact"/>
            </w:pPr>
            <w:r>
              <w:rPr>
                <w:sz w:val="20"/>
                <w:szCs w:val="20"/>
              </w:rPr>
              <w:t xml:space="preserve">3.2574</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[4.666, 18.763]</w:t>
            </w:r>
          </w:p>
        </w:tc>
      </w:tr>
      <w:tr>
        <w:tc>
          <w:tcPr>
            <w:tcW w:w="0" w:type="auto"/>
          </w:tcPr>
          <w:p>
            <w:pPr>
              <w:spacing w:line="240" w:lineRule="auto" w:before="0" w:after="0"/>
              <w:pStyle w:val="Compact"/>
            </w:pPr>
            <w:r>
              <w:rPr>
                <w:sz w:val="20"/>
                <w:szCs w:val="20"/>
              </w:rPr>
              <w:t xml:space="preserve">sensor_revisit_hr</w:t>
            </w:r>
          </w:p>
        </w:tc>
        <w:tc>
          <w:tcPr>
            <w:tcW w:w="0" w:type="auto"/>
          </w:tcPr>
          <w:p>
            <w:pPr>
              <w:spacing w:line="240" w:lineRule="auto" w:before="0" w:after="0"/>
              <w:pStyle w:val="Compact"/>
            </w:pPr>
            <w:r>
              <w:rPr>
                <w:sz w:val="20"/>
                <w:szCs w:val="20"/>
              </w:rPr>
              <w:t xml:space="preserve">1.423</w:t>
            </w:r>
          </w:p>
        </w:tc>
        <w:tc>
          <w:tcPr>
            <w:tcW w:w="0" w:type="auto"/>
          </w:tcPr>
          <w:p>
            <w:pPr>
              <w:spacing w:line="240" w:lineRule="auto" w:before="0" w:after="0"/>
              <w:pStyle w:val="Compact"/>
            </w:pPr>
            <w:r>
              <w:rPr>
                <w:sz w:val="20"/>
                <w:szCs w:val="20"/>
              </w:rPr>
              <w:t xml:space="preserve">0.1824</w:t>
            </w:r>
          </w:p>
        </w:tc>
        <w:tc>
          <w:tcPr>
            <w:tcW w:w="0" w:type="auto"/>
          </w:tcPr>
          <w:p>
            <w:pPr>
              <w:spacing w:line="240" w:lineRule="auto" w:before="0" w:after="0"/>
              <w:pStyle w:val="Compact"/>
            </w:pPr>
            <w:r>
              <w:rPr>
                <w:sz w:val="20"/>
                <w:szCs w:val="20"/>
              </w:rPr>
              <w:t xml:space="preserve">7.8003</w:t>
            </w:r>
          </w:p>
        </w:tc>
        <w:tc>
          <w:tcPr>
            <w:tcW w:w="0" w:type="auto"/>
          </w:tcPr>
          <w:p>
            <w:pPr>
              <w:spacing w:line="240" w:lineRule="auto" w:before="0" w:after="0"/>
              <w:pStyle w:val="Compact"/>
            </w:pPr>
            <w:r>
              <w:rPr>
                <w:sz w:val="20"/>
                <w:szCs w:val="20"/>
              </w:rPr>
              <w:t xml:space="preserve">6.174e-15</w:t>
            </w:r>
          </w:p>
        </w:tc>
        <w:tc>
          <w:tcPr>
            <w:tcW w:w="0" w:type="auto"/>
          </w:tcPr>
          <w:p>
            <w:pPr>
              <w:spacing w:line="240" w:lineRule="auto" w:before="0" w:after="0"/>
              <w:pStyle w:val="Compact"/>
            </w:pPr>
            <w:r>
              <w:rPr>
                <w:sz w:val="20"/>
                <w:szCs w:val="20"/>
              </w:rPr>
              <w:t xml:space="preserve">[1.0654, 1.7805]</w:t>
            </w:r>
          </w:p>
        </w:tc>
      </w:tr>
      <w:tr>
        <w:tc>
          <w:tcPr>
            <w:tcW w:w="0" w:type="auto"/>
          </w:tcPr>
          <w:p>
            <w:pPr>
              <w:spacing w:line="240" w:lineRule="auto" w:before="0" w:after="0"/>
              <w:pStyle w:val="Compact"/>
            </w:pPr>
            <w:r>
              <w:rPr>
                <w:sz w:val="20"/>
                <w:szCs w:val="20"/>
              </w:rPr>
              <w:t xml:space="preserve">n_tasked_sensors</w:t>
            </w:r>
          </w:p>
        </w:tc>
        <w:tc>
          <w:tcPr>
            <w:tcW w:w="0" w:type="auto"/>
          </w:tcPr>
          <w:p>
            <w:pPr>
              <w:spacing w:line="240" w:lineRule="auto" w:before="0" w:after="0"/>
              <w:pStyle w:val="Compact"/>
            </w:pPr>
            <w:r>
              <w:rPr>
                <w:sz w:val="20"/>
                <w:szCs w:val="20"/>
              </w:rPr>
              <w:t xml:space="preserve">-3.343</w:t>
            </w:r>
          </w:p>
        </w:tc>
        <w:tc>
          <w:tcPr>
            <w:tcW w:w="0" w:type="auto"/>
          </w:tcPr>
          <w:p>
            <w:pPr>
              <w:spacing w:line="240" w:lineRule="auto" w:before="0" w:after="0"/>
              <w:pStyle w:val="Compact"/>
            </w:pPr>
            <w:r>
              <w:rPr>
                <w:sz w:val="20"/>
                <w:szCs w:val="20"/>
              </w:rPr>
              <w:t xml:space="preserve">0.9441</w:t>
            </w:r>
          </w:p>
        </w:tc>
        <w:tc>
          <w:tcPr>
            <w:tcW w:w="0" w:type="auto"/>
          </w:tcPr>
          <w:p>
            <w:pPr>
              <w:spacing w:line="240" w:lineRule="auto" w:before="0" w:after="0"/>
              <w:pStyle w:val="Compact"/>
            </w:pPr>
            <w:r>
              <w:rPr>
                <w:sz w:val="20"/>
                <w:szCs w:val="20"/>
              </w:rPr>
              <w:t xml:space="preserve">-3.541</w:t>
            </w:r>
          </w:p>
        </w:tc>
        <w:tc>
          <w:tcPr>
            <w:tcW w:w="0" w:type="auto"/>
          </w:tcPr>
          <w:p>
            <w:pPr>
              <w:spacing w:line="240" w:lineRule="auto" w:before="0" w:after="0"/>
              <w:pStyle w:val="Compact"/>
            </w:pPr>
            <w:r>
              <w:rPr>
                <w:sz w:val="20"/>
                <w:szCs w:val="20"/>
              </w:rPr>
              <w:t xml:space="preserve">0.0003987</w:t>
            </w:r>
          </w:p>
        </w:tc>
        <w:tc>
          <w:tcPr>
            <w:tcW w:w="0" w:type="auto"/>
          </w:tcPr>
          <w:p>
            <w:pPr>
              <w:spacing w:line="240" w:lineRule="auto" w:before="0" w:after="0"/>
              <w:pStyle w:val="Compact"/>
            </w:pPr>
            <w:r>
              <w:rPr>
                <w:sz w:val="20"/>
                <w:szCs w:val="20"/>
              </w:rPr>
              <w:t xml:space="preserve">[-5.1933, -1.4926]</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8.1237</w:t>
            </w:r>
          </w:p>
        </w:tc>
        <w:tc>
          <w:tcPr>
            <w:tcW w:w="0" w:type="auto"/>
          </w:tcPr>
          <w:p>
            <w:pPr>
              <w:spacing w:line="240" w:lineRule="auto" w:before="0" w:after="0"/>
              <w:pStyle w:val="Compact"/>
            </w:pPr>
            <w:r>
              <w:rPr>
                <w:sz w:val="20"/>
                <w:szCs w:val="20"/>
              </w:rPr>
              <w:t xml:space="preserve">4.524e-16</w:t>
            </w:r>
          </w:p>
        </w:tc>
        <w:tc>
          <w:tcPr>
            <w:tcW w:w="0" w:type="auto"/>
          </w:tcPr>
          <w:p>
            <w:pPr>
              <w:spacing w:line="240" w:lineRule="auto" w:before="0" w:after="0"/>
              <w:pStyle w:val="Compact"/>
            </w:pPr>
            <w:r>
              <w:rPr>
                <w:sz w:val="20"/>
                <w:szCs w:val="20"/>
              </w:rPr>
              <w:t xml:space="preserve">[0.0094, 0.0154]</w:t>
            </w:r>
          </w:p>
        </w:tc>
      </w:tr>
      <w:tr>
        <w:tc>
          <w:tcPr>
            <w:tcW w:w="0" w:type="auto"/>
          </w:tcPr>
          <w:p>
            <w:pPr>
              <w:spacing w:line="240" w:lineRule="auto" w:before="0" w:after="0"/>
              <w:pStyle w:val="Compact"/>
            </w:pPr>
            <w:r>
              <w:rPr>
                <w:sz w:val="20"/>
                <w:szCs w:val="20"/>
              </w:rPr>
              <w:t xml:space="preserve">delta_v_mps</w:t>
            </w:r>
          </w:p>
        </w:tc>
        <w:tc>
          <w:tcPr>
            <w:tcW w:w="0" w:type="auto"/>
          </w:tcPr>
          <w:p>
            <w:pPr>
              <w:spacing w:line="240" w:lineRule="auto" w:before="0" w:after="0"/>
              <w:pStyle w:val="Compact"/>
            </w:pPr>
            <w:r>
              <w:rPr>
                <w:sz w:val="20"/>
                <w:szCs w:val="20"/>
              </w:rPr>
              <w:t xml:space="preserve">-15.9853</w:t>
            </w:r>
          </w:p>
        </w:tc>
        <w:tc>
          <w:tcPr>
            <w:tcW w:w="0" w:type="auto"/>
          </w:tcPr>
          <w:p>
            <w:pPr>
              <w:spacing w:line="240" w:lineRule="auto" w:before="0" w:after="0"/>
              <w:pStyle w:val="Compact"/>
            </w:pPr>
            <w:r>
              <w:rPr>
                <w:sz w:val="20"/>
                <w:szCs w:val="20"/>
              </w:rPr>
              <w:t xml:space="preserve">6.5663</w:t>
            </w:r>
          </w:p>
        </w:tc>
        <w:tc>
          <w:tcPr>
            <w:tcW w:w="0" w:type="auto"/>
          </w:tcPr>
          <w:p>
            <w:pPr>
              <w:spacing w:line="240" w:lineRule="auto" w:before="0" w:after="0"/>
              <w:pStyle w:val="Compact"/>
            </w:pPr>
            <w:r>
              <w:rPr>
                <w:sz w:val="20"/>
                <w:szCs w:val="20"/>
              </w:rPr>
              <w:t xml:space="preserve">-2.4344</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[-28.8549, -3.1156]</w:t>
            </w:r>
          </w:p>
        </w:tc>
      </w:tr>
      <w:tr>
        <w:tc>
          <w:tcPr>
            <w:tcW w:w="0" w:type="auto"/>
          </w:tcPr>
          <w:p>
            <w:pPr>
              <w:spacing w:line="240" w:lineRule="auto" w:before="0" w:after="0"/>
              <w:pStyle w:val="Compact"/>
            </w:pPr>
            <w:r>
              <w:rPr>
                <w:sz w:val="20"/>
                <w:szCs w:val="20"/>
              </w:rPr>
              <w:t xml:space="preserve">alt_km</w:t>
            </w:r>
          </w:p>
        </w:tc>
        <w:tc>
          <w:tcPr>
            <w:tcW w:w="0" w:type="auto"/>
          </w:tcPr>
          <w:p>
            <w:pPr>
              <w:spacing w:line="240" w:lineRule="auto" w:before="0" w:after="0"/>
              <w:pStyle w:val="Compact"/>
            </w:pPr>
            <w:r>
              <w:rPr>
                <w:sz w:val="20"/>
                <w:szCs w:val="20"/>
              </w:rPr>
              <w:t xml:space="preserve">0.000144</w:t>
            </w:r>
          </w:p>
        </w:tc>
        <w:tc>
          <w:tcPr>
            <w:tcW w:w="0" w:type="auto"/>
          </w:tcPr>
          <w:p>
            <w:pPr>
              <w:spacing w:line="240" w:lineRule="auto" w:before="0" w:after="0"/>
              <w:pStyle w:val="Compact"/>
            </w:pPr>
            <w:r>
              <w:rPr>
                <w:sz w:val="20"/>
                <w:szCs w:val="20"/>
              </w:rPr>
              <w:t xml:space="preserve">0.0003938</w:t>
            </w:r>
          </w:p>
        </w:tc>
        <w:tc>
          <w:tcPr>
            <w:tcW w:w="0" w:type="auto"/>
          </w:tcPr>
          <w:p>
            <w:pPr>
              <w:spacing w:line="240" w:lineRule="auto" w:before="0" w:after="0"/>
              <w:pStyle w:val="Compact"/>
            </w:pPr>
            <w:r>
              <w:rPr>
                <w:sz w:val="20"/>
                <w:szCs w:val="20"/>
              </w:rPr>
              <w:t xml:space="preserve">0.3657</w:t>
            </w:r>
          </w:p>
        </w:tc>
        <w:tc>
          <w:tcPr>
            <w:tcW w:w="0" w:type="auto"/>
          </w:tcPr>
          <w:p>
            <w:pPr>
              <w:spacing w:line="240" w:lineRule="auto" w:before="0" w:after="0"/>
              <w:pStyle w:val="Compact"/>
            </w:pPr>
            <w:r>
              <w:rPr>
                <w:sz w:val="20"/>
                <w:szCs w:val="20"/>
              </w:rPr>
              <w:t xml:space="preserve">0.7146</w:t>
            </w:r>
          </w:p>
        </w:tc>
        <w:tc>
          <w:tcPr>
            <w:tcW w:w="0" w:type="auto"/>
          </w:tcPr>
          <w:p>
            <w:pPr>
              <w:spacing w:line="240" w:lineRule="auto" w:before="0" w:after="0"/>
              <w:pStyle w:val="Compact"/>
            </w:pPr>
            <w:r>
              <w:rPr>
                <w:sz w:val="20"/>
                <w:szCs w:val="20"/>
              </w:rPr>
              <w:t xml:space="preserve">[-0.0006278, 0.0009159]</w:t>
            </w:r>
          </w:p>
        </w:tc>
      </w:tr>
    </w:tbl>
    <w:p>
      <w:pPr>
        <w:pStyle w:val="BodyText"/>
        <w:spacing w:line="480" w:lineRule="auto"/>
        <w:ind w:firstLine="720"/>
      </w:pPr>
      <w:r>
        <w:t xml:space="preserve">Fit: N = 40 R2 = 0.9691 R2_adj = 0.9645 F = 1283.6317 F_p = 1.084e-37</w:t>
      </w:r>
    </w:p>
    <w:bookmarkEnd w:id="187"/>
    <w:bookmarkStart w:id="19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Maneuver detection latency versus mean sensor revisit interval for 40 LEO and GEO objects, 2017-2024. Latency scales near-linearly with revisit, conditional on RCS, delta-v, and tasked sensor count." title="" id="189" name="Picture"/>
            <a:graphic>
              <a:graphicData uri="http://schemas.openxmlformats.org/drawingml/2006/picture">
                <pic:pic>
                  <pic:nvPicPr>
                    <pic:cNvPr descr="D:/Claude_Code/brain/collegium/candidates/dissertations/SSA_SDA_02/research_papers/p1/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Maneuver detection latency versus mean sensor revisit interval for 40 LEO and GEO objects, 2017-2024. Latency scales near-linearly with revisit, conditional on RCS, delta-v, and tasked sensor count.</w:t>
      </w:r>
    </w:p>
    <w:bookmarkEnd w:id="191"/>
    <w:bookmarkStart w:id="19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alt_km</w:t>
            </w:r>
          </w:p>
        </w:tc>
        <w:tc>
          <w:tcPr>
            <w:tcW w:w="0" w:type="auto"/>
          </w:tcPr>
          <w:p>
            <w:pPr>
              <w:spacing w:line="240" w:lineRule="auto" w:before="0" w:after="0"/>
              <w:pStyle w:val="Compact"/>
            </w:pPr>
            <w:r>
              <w:rPr>
                <w:sz w:val="20"/>
                <w:szCs w:val="20"/>
              </w:rPr>
              <w:t xml:space="preserve">inclination_deg</w:t>
            </w:r>
          </w:p>
        </w:tc>
        <w:tc>
          <w:tcPr>
            <w:tcW w:w="0" w:type="auto"/>
          </w:tcPr>
          <w:p>
            <w:pPr>
              <w:spacing w:line="240" w:lineRule="auto" w:before="0" w:after="0"/>
              <w:pStyle w:val="Compact"/>
            </w:pPr>
            <w:r>
              <w:rPr>
                <w:sz w:val="20"/>
                <w:szCs w:val="20"/>
              </w:rPr>
              <w:t xml:space="preserve">delta_v_mps</w:t>
            </w:r>
          </w:p>
        </w:tc>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sensor_revisit_hr</w:t>
            </w:r>
          </w:p>
        </w:tc>
        <w:tc>
          <w:tcPr>
            <w:tcW w:w="0" w:type="auto"/>
          </w:tcPr>
          <w:p>
            <w:pPr>
              <w:spacing w:line="240" w:lineRule="auto" w:before="0" w:after="0"/>
              <w:pStyle w:val="Compact"/>
            </w:pPr>
            <w:r>
              <w:rPr>
                <w:sz w:val="20"/>
                <w:szCs w:val="20"/>
              </w:rPr>
              <w:t xml:space="preserve">n_tasked_sensors</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latency_hr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STARLINK-1130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Shabarekh et al. 2016 AMOS (maneuver prediction within 24h); Toner et al. 2025 AMOS Panopticon (LEO custody) [illustrative latency]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STARLINK-1235</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0.075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Shabarekh et al. 2016 AMOS; Toner et al. 2025 AMOS Panopticon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ONEWEB-0142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Morris et al. 2020 AMOS constellation tracking; SpaceTrack TLE history (catalog 47084)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ONEWEB-0287</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Morris et al. 2020 AMOS; SpaceTrack catalog [illustrative latency]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SENTINEL-2B</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ESA Sentinel-2 collision-avoidance reports 2019; Shabarekh et al. 2016 AMOS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693</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ESA CAM reports 2020; Hejduk &amp; Snow 2018 NASA CARA</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LANDSAT-8</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Hejduk &amp; Snow 2018 NASA CARA conjunction operations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NASA TOPO conjunction history (Frigm 2015 AMOS); Newman et al. 2018 AMOS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TERRA</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Hejduk &amp; Snow 2018 NASA CARA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0.155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Hejduk &amp; Snow 2018 NASA CARA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STARLINK-2103</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0.085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Toner et al. 2025 AMOS Panopticon; SpaceX 2022 semi-annual constellation report to FCC</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STARLINK-3056</w:t>
            </w:r>
          </w:p>
        </w:tc>
        <w:tc>
          <w:tcPr>
            <w:tcW w:w="0" w:type="auto"/>
          </w:tcPr>
          <w:p>
            <w:pPr>
              <w:spacing w:line="240" w:lineRule="auto" w:before="0" w:after="0"/>
              <w:pStyle w:val="Compact"/>
            </w:pPr>
            <w:r>
              <w:rPr>
                <w:sz w:val="20"/>
                <w:szCs w:val="20"/>
              </w:rPr>
              <w:t xml:space="preserve">538</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SpaceX 2023 semi-annual FCC report; Toner et al. 2025 AMOS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IRIDIUM-NEXT-156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Iridium Communications 2019 Form 10-K constellation ops; Shabarekh et al. 2016 AMOS</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IRIDIUM-NEXT-162</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0.125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Iridium 2020 Form 10-K; Morris et al. 2020 AMOS</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COSMOS-2543</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Weeden &amp; Samson 2020 Global Counterspace Capabilities (Cosmos 2542/43 proximity ops)</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USA-271-GSSAP</w:t>
            </w:r>
          </w:p>
        </w:tc>
        <w:tc>
          <w:tcPr>
            <w:tcW w:w="0" w:type="auto"/>
          </w:tcPr>
          <w:p>
            <w:pPr>
              <w:spacing w:line="240" w:lineRule="auto" w:before="0" w:after="0"/>
              <w:pStyle w:val="Compact"/>
            </w:pPr>
            <w:r>
              <w:rPr>
                <w:sz w:val="20"/>
                <w:szCs w:val="20"/>
              </w:rPr>
              <w:t xml:space="preserve">36000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Weeden &amp; Samson 2020 Global Counterspace; Morris et al. 2020 AMOS (GEO tracking)</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STARLINK-4287</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SpaceX 2023 FCC semi-annual report; Toner et al. 2025 AMOS</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STARLINK-5512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0.078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SpaceX 2023 FCC report; Toner et al. 2025 AMOS Panopticon</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JILIN-1-07</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Chang Guang Satellite Tech 2019 ops disclosure; Morris et al. 2020 AMOS [illustrative latency]</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YAOGAN-30-05</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Weeden &amp; Samson 2020 Global Counterspace (Yaogan series); Shabarekh et al. 2016 AMOS [illustrative latency]</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528</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KARI Kompsat-3A annual ops report 2019; Hejduk &amp; Snow 2018 NASA CARA</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PLEIADES-1A</w:t>
            </w:r>
          </w:p>
        </w:tc>
        <w:tc>
          <w:tcPr>
            <w:tcW w:w="0" w:type="auto"/>
          </w:tcPr>
          <w:p>
            <w:pPr>
              <w:spacing w:line="240" w:lineRule="auto" w:before="0" w:after="0"/>
              <w:pStyle w:val="Compact"/>
            </w:pPr>
            <w:r>
              <w:rPr>
                <w:sz w:val="20"/>
                <w:szCs w:val="20"/>
              </w:rPr>
              <w:t xml:space="preserve">694</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CNES Pleiades collision avoidance reports 2018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WORLDVIEW-3</w:t>
            </w:r>
          </w:p>
        </w:tc>
        <w:tc>
          <w:tcPr>
            <w:tcW w:w="0" w:type="auto"/>
          </w:tcPr>
          <w:p>
            <w:pPr>
              <w:spacing w:line="240" w:lineRule="auto" w:before="0" w:after="0"/>
              <w:pStyle w:val="Compact"/>
            </w:pPr>
            <w:r>
              <w:rPr>
                <w:sz w:val="20"/>
                <w:szCs w:val="20"/>
              </w:rPr>
              <w:t xml:space="preserve">617</w:t>
            </w:r>
          </w:p>
        </w:tc>
        <w:tc>
          <w:tcPr>
            <w:tcW w:w="0" w:type="auto"/>
          </w:tcPr>
          <w:p>
            <w:pPr>
              <w:spacing w:line="240" w:lineRule="auto" w:before="0" w:after="0"/>
              <w:pStyle w:val="Compact"/>
            </w:pPr>
            <w:r>
              <w:rPr>
                <w:sz w:val="20"/>
                <w:szCs w:val="20"/>
              </w:rPr>
              <w:t xml:space="preserve">97.9</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Maxar 2017 10-K constellation ops; Hejduk &amp; Snow 2018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STARLINK-6712</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SpaceX 2024 FCC semi-annual report; Toner et al. 2025 AMOS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ONEWEB-0501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0.145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Eutelsat-OneWeb 2023 annual report; Morris et al. 2020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LEMUR-2-018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Spire Global 2019 SEC S-1 ops disclosure [illustrative latency]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FLOCK-4P-12</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Planet Labs 2020 10-K constellation ops [illustrative latency]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DOVE-PIONEER-3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Planet Labs 2019 ops; Toner et al. 2025 AMOS (small-RCS challenge) [illustrative latency]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CAPELLA-7</w:t>
            </w:r>
          </w:p>
        </w:tc>
        <w:tc>
          <w:tcPr>
            <w:tcW w:w="0" w:type="auto"/>
          </w:tcPr>
          <w:p>
            <w:pPr>
              <w:spacing w:line="240" w:lineRule="auto" w:before="0" w:after="0"/>
              <w:pStyle w:val="Compact"/>
            </w:pPr>
            <w:r>
              <w:rPr>
                <w:sz w:val="20"/>
                <w:szCs w:val="20"/>
              </w:rPr>
              <w:t xml:space="preserve">597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Capella Space 2021 SEC filing; Morris et al. 2020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ICEYE-X14</w:t>
            </w:r>
          </w:p>
        </w:tc>
        <w:tc>
          <w:tcPr>
            <w:tcW w:w="0" w:type="auto"/>
          </w:tcPr>
          <w:p>
            <w:pPr>
              <w:spacing w:line="240" w:lineRule="auto" w:before="0" w:after="0"/>
              <w:pStyle w:val="Compact"/>
            </w:pPr>
            <w:r>
              <w:rPr>
                <w:sz w:val="20"/>
                <w:szCs w:val="20"/>
              </w:rPr>
              <w:t xml:space="preserve">570</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0.095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ICEYE 2021 ops disclosure; Hejduk &amp; Snow 2018 NASA CARA</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STARLINK-1700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0.078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SpaceX 2022 FCC semi-annual report; Toner et al. 2025 AMOS</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STARLINK-2890</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SpaceX 2022 FCC report; Toner et al. 2025 AMOS</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FENGYUN-3D</w:t>
            </w:r>
          </w:p>
        </w:tc>
        <w:tc>
          <w:tcPr>
            <w:tcW w:w="0" w:type="auto"/>
          </w:tcPr>
          <w:p>
            <w:pPr>
              <w:spacing w:line="240" w:lineRule="auto" w:before="0" w:after="0"/>
              <w:pStyle w:val="Compact"/>
            </w:pPr>
            <w:r>
              <w:rPr>
                <w:sz w:val="20"/>
                <w:szCs w:val="20"/>
              </w:rPr>
              <w:t xml:space="preserve">836</w:t>
            </w:r>
          </w:p>
        </w:tc>
        <w:tc>
          <w:tcPr>
            <w:tcW w:w="0" w:type="auto"/>
          </w:tcPr>
          <w:p>
            <w:pPr>
              <w:spacing w:line="240" w:lineRule="auto" w:before="0" w:after="0"/>
              <w:pStyle w:val="Compact"/>
            </w:pPr>
            <w:r>
              <w:rPr>
                <w:sz w:val="20"/>
                <w:szCs w:val="20"/>
              </w:rPr>
              <w:t xml:space="preserve">98.7</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CMA Fengyun ops report 2018; Hejduk &amp; Snow 2018</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GAOFEN-3</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98.4</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CNSA Gaofen-3 ops 2017; Shabarekh et al. 2016 AMOS</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TANSAT-1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Chinese Academy Sciences TanSat ops 2019 [illustrative latency]</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COSMOS-2558</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Weeden &amp; Samson 2023 update Global Counterspace (Cosmos 2558 proximity ops)</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USA-326</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Weeden &amp; Samson 2023 (USA-326 NROL-82 proximity); Morris et al. 2020 AMOS</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STARLINK-7891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SpaceX 2024 FCC report; Toner et al. 2025 AMOS</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ONEWEB-0612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0.148</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Eutelsat-OneWeb 2023 report; Morris et al. 2020 AMOS</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STARLINK-30009</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0.077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SpaceX 2024 FCC report; Toner et al. 2025 AMOS Panopticon</w:t>
            </w:r>
          </w:p>
        </w:tc>
      </w:tr>
    </w:tbl>
    <w:bookmarkEnd w:id="192"/>
    <w:bookmarkStart w:id="19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latency_hr</w:t>
            </w:r>
          </w:p>
        </w:tc>
        <w:tc>
          <w:tcPr>
            <w:tcW w:w="0" w:type="auto"/>
          </w:tcPr>
          <w:p>
            <w:pPr>
              <w:spacing w:line="240" w:lineRule="auto" w:before="0" w:after="0"/>
              <w:pStyle w:val="Compact"/>
            </w:pPr>
            <w:r>
              <w:rPr>
                <w:sz w:val="20"/>
                <w:szCs w:val="20"/>
              </w:rPr>
              <w:t xml:space="preserve">Hours from maneuver execution to confirmed catalog update (custody-gap window)</w:t>
            </w:r>
          </w:p>
        </w:tc>
        <w:tc>
          <w:tcPr>
            <w:tcW w:w="0" w:type="auto"/>
          </w:tcPr>
          <w:p>
            <w:pPr>
              <w:spacing w:line="240" w:lineRule="auto" w:before="0" w:after="0"/>
              <w:pStyle w:val="Compact"/>
            </w:pPr>
            <w:r>
              <w:rPr>
                <w:sz w:val="20"/>
                <w:szCs w:val="20"/>
              </w:rPr>
              <w:t xml:space="preserve">Hejduk &amp; Snow 2018 NASA CARA; Frigm 2015 AMOS NASA TOPO</w:t>
            </w:r>
          </w:p>
        </w:tc>
      </w:tr>
      <w:tr>
        <w:tc>
          <w:tcPr>
            <w:tcW w:w="0" w:type="auto"/>
          </w:tcPr>
          <w:p>
            <w:pPr>
              <w:spacing w:line="240" w:lineRule="auto" w:before="0" w:after="0"/>
              <w:pStyle w:val="Compact"/>
            </w:pPr>
            <w:r>
              <w:rPr>
                <w:sz w:val="20"/>
                <w:szCs w:val="20"/>
              </w:rPr>
              <w:t xml:space="preserve">sensor_revisit_hr</w:t>
            </w:r>
          </w:p>
        </w:tc>
        <w:tc>
          <w:tcPr>
            <w:tcW w:w="0" w:type="auto"/>
          </w:tcPr>
          <w:p>
            <w:pPr>
              <w:spacing w:line="240" w:lineRule="auto" w:before="0" w:after="0"/>
              <w:pStyle w:val="Compact"/>
            </w:pPr>
            <w:r>
              <w:rPr>
                <w:sz w:val="20"/>
                <w:szCs w:val="20"/>
              </w:rPr>
              <w:t xml:space="preserve">Mean revisit interval of tasked SSN/commercial sensors against the object</w:t>
            </w:r>
          </w:p>
        </w:tc>
        <w:tc>
          <w:tcPr>
            <w:tcW w:w="0" w:type="auto"/>
          </w:tcPr>
          <w:p>
            <w:pPr>
              <w:spacing w:line="240" w:lineRule="auto" w:before="0" w:after="0"/>
              <w:pStyle w:val="Compact"/>
            </w:pPr>
            <w:r>
              <w:rPr>
                <w:sz w:val="20"/>
                <w:szCs w:val="20"/>
              </w:rPr>
              <w:t xml:space="preserve">Morris et al. 2020 AMOS; Toner et al. 2025 AMOS</w:t>
            </w:r>
          </w:p>
        </w:tc>
      </w:tr>
      <w:tr>
        <w:tc>
          <w:tcPr>
            <w:tcW w:w="0" w:type="auto"/>
          </w:tcPr>
          <w:p>
            <w:pPr>
              <w:spacing w:line="240" w:lineRule="auto" w:before="0" w:after="0"/>
              <w:pStyle w:val="Compact"/>
            </w:pPr>
            <w:r>
              <w:rPr>
                <w:sz w:val="20"/>
                <w:szCs w:val="20"/>
              </w:rPr>
              <w:t xml:space="preserve">n_tasked_sensors</w:t>
            </w:r>
          </w:p>
        </w:tc>
        <w:tc>
          <w:tcPr>
            <w:tcW w:w="0" w:type="auto"/>
          </w:tcPr>
          <w:p>
            <w:pPr>
              <w:spacing w:line="240" w:lineRule="auto" w:before="0" w:after="0"/>
              <w:pStyle w:val="Compact"/>
            </w:pPr>
            <w:r>
              <w:rPr>
                <w:sz w:val="20"/>
                <w:szCs w:val="20"/>
              </w:rPr>
              <w:t xml:space="preserve">Count of distinct sensors actively tasked on the object during the maneuver window</w:t>
            </w:r>
          </w:p>
        </w:tc>
        <w:tc>
          <w:tcPr>
            <w:tcW w:w="0" w:type="auto"/>
          </w:tcPr>
          <w:p>
            <w:pPr>
              <w:spacing w:line="240" w:lineRule="auto" w:before="0" w:after="0"/>
              <w:pStyle w:val="Compact"/>
            </w:pPr>
            <w:r>
              <w:rPr>
                <w:sz w:val="20"/>
                <w:szCs w:val="20"/>
              </w:rPr>
              <w:t xml:space="preserve">Shabarekh et al. 2016 AMOS</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Radar cross section in square meters (observability proxy)</w:t>
            </w:r>
          </w:p>
        </w:tc>
        <w:tc>
          <w:tcPr>
            <w:tcW w:w="0" w:type="auto"/>
          </w:tcPr>
          <w:p>
            <w:pPr>
              <w:spacing w:line="240" w:lineRule="auto" w:before="0" w:after="0"/>
              <w:pStyle w:val="Compact"/>
            </w:pPr>
            <w:r>
              <w:rPr>
                <w:sz w:val="20"/>
                <w:szCs w:val="20"/>
              </w:rPr>
              <w:t xml:space="preserve">Space-Track SATCAT public RCS field</w:t>
            </w:r>
          </w:p>
        </w:tc>
      </w:tr>
      <w:tr>
        <w:tc>
          <w:tcPr>
            <w:tcW w:w="0" w:type="auto"/>
          </w:tcPr>
          <w:p>
            <w:pPr>
              <w:spacing w:line="240" w:lineRule="auto" w:before="0" w:after="0"/>
              <w:pStyle w:val="Compact"/>
            </w:pPr>
            <w:r>
              <w:rPr>
                <w:sz w:val="20"/>
                <w:szCs w:val="20"/>
              </w:rPr>
              <w:t xml:space="preserve">delta_v_mps</w:t>
            </w:r>
          </w:p>
        </w:tc>
        <w:tc>
          <w:tcPr>
            <w:tcW w:w="0" w:type="auto"/>
          </w:tcPr>
          <w:p>
            <w:pPr>
              <w:spacing w:line="240" w:lineRule="auto" w:before="0" w:after="0"/>
              <w:pStyle w:val="Compact"/>
            </w:pPr>
            <w:r>
              <w:rPr>
                <w:sz w:val="20"/>
                <w:szCs w:val="20"/>
              </w:rPr>
              <w:t xml:space="preserve">Magnitude of the maneuver delta-v in meters per second</w:t>
            </w:r>
          </w:p>
        </w:tc>
        <w:tc>
          <w:tcPr>
            <w:tcW w:w="0" w:type="auto"/>
          </w:tcPr>
          <w:p>
            <w:pPr>
              <w:spacing w:line="240" w:lineRule="auto" w:before="0" w:after="0"/>
              <w:pStyle w:val="Compact"/>
            </w:pPr>
            <w:r>
              <w:rPr>
                <w:sz w:val="20"/>
                <w:szCs w:val="20"/>
              </w:rPr>
              <w:t xml:space="preserve">Shabarekh et al. 2016 AMOS; operator FCC/SEC filings</w:t>
            </w:r>
          </w:p>
        </w:tc>
      </w:tr>
      <w:tr>
        <w:tc>
          <w:tcPr>
            <w:tcW w:w="0" w:type="auto"/>
          </w:tcPr>
          <w:p>
            <w:pPr>
              <w:spacing w:line="240" w:lineRule="auto" w:before="0" w:after="0"/>
              <w:pStyle w:val="Compact"/>
            </w:pPr>
            <w:r>
              <w:rPr>
                <w:sz w:val="20"/>
                <w:szCs w:val="20"/>
              </w:rPr>
              <w:t xml:space="preserve">alt_km</w:t>
            </w:r>
          </w:p>
        </w:tc>
        <w:tc>
          <w:tcPr>
            <w:tcW w:w="0" w:type="auto"/>
          </w:tcPr>
          <w:p>
            <w:pPr>
              <w:spacing w:line="240" w:lineRule="auto" w:before="0" w:after="0"/>
              <w:pStyle w:val="Compact"/>
            </w:pPr>
            <w:r>
              <w:rPr>
                <w:sz w:val="20"/>
                <w:szCs w:val="20"/>
              </w:rPr>
              <w:t xml:space="preserve">Mean orbital altitude in kilometers</w:t>
            </w:r>
          </w:p>
        </w:tc>
        <w:tc>
          <w:tcPr>
            <w:tcW w:w="0" w:type="auto"/>
          </w:tcPr>
          <w:p>
            <w:pPr>
              <w:spacing w:line="240" w:lineRule="auto" w:before="0" w:after="0"/>
              <w:pStyle w:val="Compact"/>
            </w:pPr>
            <w:r>
              <w:rPr>
                <w:sz w:val="20"/>
                <w:szCs w:val="20"/>
              </w:rPr>
              <w:t xml:space="preserve">Space-Track SATCAT</w:t>
            </w:r>
          </w:p>
        </w:tc>
      </w:tr>
    </w:tbl>
    <w:bookmarkEnd w:id="193"/>
    <w:bookmarkEnd w:id="194"/>
    <w:bookmarkStart w:id="202" w:name="Xf997614290f88bb809ee43c0593a08f9061a5c2"/>
    <w:p>
      <w:pPr>
        <w:pStyle w:val="Heading2"/>
        <w:spacing w:line="480" w:lineRule="auto"/>
      </w:pPr>
      <w:r>
        <w:t xml:space="preserve">A.2 Maneuver Detection Latency and the Custody-Gap Window in Low Earth Orbit: A Survival Analysis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nor/>
              <m:sty m:val="p"/>
            </m:rPr>
            <m:t>alt</m:t>
          </m:r>
          <m:r>
            <m:rPr>
              <m:sty m:val="p"/>
            </m:rPr>
            <m:t>+</m:t>
          </m:r>
          <m:sSub>
            <m:e>
              <m:r>
                <m:t>β</m:t>
              </m:r>
            </m:e>
            <m:sub>
              <m:r>
                <m:t>2</m:t>
              </m:r>
            </m:sub>
          </m:sSub>
          <m:r>
            <m:rPr>
              <m:nor/>
              <m:sty m:val="p"/>
            </m:rPr>
            <m:t>rcs</m:t>
          </m:r>
          <m:r>
            <m:rPr>
              <m:sty m:val="p"/>
            </m:rPr>
            <m:t>+</m:t>
          </m:r>
          <m:sSub>
            <m:e>
              <m:r>
                <m:t>β</m:t>
              </m:r>
            </m:e>
            <m:sub>
              <m:r>
                <m:t>3</m:t>
              </m:r>
            </m:sub>
          </m:sSub>
          <m:r>
            <m:rPr>
              <m:nor/>
              <m:sty m:val="p"/>
            </m:rPr>
            <m:t>sens</m:t>
          </m:r>
          <m:r>
            <m:rPr>
              <m:sty m:val="p"/>
            </m:rPr>
            <m:t>+</m:t>
          </m:r>
          <m:sSub>
            <m:e>
              <m:r>
                <m:t>β</m:t>
              </m:r>
            </m:e>
            <m:sub>
              <m:r>
                <m:t>4</m:t>
              </m:r>
            </m:sub>
          </m:sSub>
          <m:r>
            <m:rPr>
              <m:nor/>
              <m:sty m:val="p"/>
            </m:rPr>
            <m:t>cls</m:t>
          </m:r>
          <m:r>
            <m:rPr>
              <m:sty m:val="p"/>
            </m:rPr>
            <m:t>)</m:t>
          </m:r>
        </m:oMath>
      </m:oMathPara>
    </w:p>
    <w:bookmarkStart w:id="19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 nan]</w:t>
            </w:r>
          </w:p>
        </w:tc>
        <w:tc>
          <w:tcPr>
            <w:tcW w:w="0" w:type="auto"/>
          </w:tcPr>
          <w:p>
            <w:pPr>
              <w:spacing w:line="240" w:lineRule="auto" w:before="0" w:after="0"/>
              <w:pStyle w:val="Compact"/>
            </w:pPr>
            <w:r>
              <w:rPr>
                <w:sz w:val="20"/>
                <w:szCs w:val="20"/>
              </w:rPr>
              <w:t xml:space="preserve">nan</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 nan]</w:t>
            </w:r>
          </w:p>
        </w:tc>
        <w:tc>
          <w:tcPr>
            <w:tcW w:w="0" w:type="auto"/>
          </w:tcPr>
          <w:p>
            <w:pPr>
              <w:spacing w:line="240" w:lineRule="auto" w:before="0" w:after="0"/>
              <w:pStyle w:val="Compact"/>
            </w:pPr>
            <w:r>
              <w:rPr>
                <w:sz w:val="20"/>
                <w:szCs w:val="20"/>
              </w:rPr>
              <w:t xml:space="preserve">nan</w:t>
            </w:r>
          </w:p>
        </w:tc>
      </w:tr>
      <w:tr>
        <w:tc>
          <w:tcPr>
            <w:tcW w:w="0" w:type="auto"/>
          </w:tcPr>
          <w:p>
            <w:pPr>
              <w:spacing w:line="240" w:lineRule="auto" w:before="0" w:after="0"/>
              <w:pStyle w:val="Compact"/>
            </w:pPr>
            <w:r>
              <w:rPr>
                <w:sz w:val="20"/>
                <w:szCs w:val="20"/>
              </w:rPr>
              <w:t xml:space="preserve">sensor_density</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 nan]</w:t>
            </w:r>
          </w:p>
        </w:tc>
        <w:tc>
          <w:tcPr>
            <w:tcW w:w="0" w:type="auto"/>
          </w:tcPr>
          <w:p>
            <w:pPr>
              <w:spacing w:line="240" w:lineRule="auto" w:before="0" w:after="0"/>
              <w:pStyle w:val="Compact"/>
            </w:pPr>
            <w:r>
              <w:rPr>
                <w:sz w:val="20"/>
                <w:szCs w:val="20"/>
              </w:rPr>
              <w:t xml:space="preserve">nan</w:t>
            </w:r>
          </w:p>
        </w:tc>
      </w:tr>
      <w:tr>
        <w:tc>
          <w:tcPr>
            <w:tcW w:w="0" w:type="auto"/>
          </w:tcPr>
          <w:p>
            <w:pPr>
              <w:spacing w:line="240" w:lineRule="auto" w:before="0" w:after="0"/>
              <w:pStyle w:val="Compact"/>
            </w:pPr>
            <w:r>
              <w:rPr>
                <w:sz w:val="20"/>
                <w:szCs w:val="20"/>
              </w:rPr>
              <w:t xml:space="preserve">maneuver_class</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 nan]</w:t>
            </w:r>
          </w:p>
        </w:tc>
        <w:tc>
          <w:tcPr>
            <w:tcW w:w="0" w:type="auto"/>
          </w:tcPr>
          <w:p>
            <w:pPr>
              <w:spacing w:line="240" w:lineRule="auto" w:before="0" w:after="0"/>
              <w:pStyle w:val="Compact"/>
            </w:pPr>
            <w:r>
              <w:rPr>
                <w:sz w:val="20"/>
                <w:szCs w:val="20"/>
              </w:rPr>
              <w:t xml:space="preserve">nan</w:t>
            </w:r>
          </w:p>
        </w:tc>
      </w:tr>
    </w:tbl>
    <w:p>
      <w:pPr>
        <w:pStyle w:val="BodyText"/>
        <w:spacing w:line="480" w:lineRule="auto"/>
        <w:ind w:firstLine="720"/>
      </w:pPr>
      <w:r>
        <w:t xml:space="preserve">Fit: N = 35 events = 32</w:t>
      </w:r>
    </w:p>
    <w:bookmarkEnd w:id="195"/>
    <w:bookmarkStart w:id="19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ustody-gap duration in hours plotted against orbital altitude for 36 LEO observations. Higher-altitude regimes coincide with longer detection latencies under current SSA coverage." title="" id="197" name="Picture"/>
            <a:graphic>
              <a:graphicData uri="http://schemas.openxmlformats.org/drawingml/2006/picture">
                <pic:pic>
                  <pic:nvPicPr>
                    <pic:cNvPr descr="D:/Claude_Code/brain/collegium/candidates/dissertations/SSA_SDA_02/research_papers/p2/paper_fig1.png" id="198" name="Picture"/>
                    <pic:cNvPicPr>
                      <a:picLocks noChangeArrowheads="1" noChangeAspect="1"/>
                    </pic:cNvPicPr>
                  </pic:nvPicPr>
                  <pic:blipFill>
                    <a:blip r:embed="rId1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Custody-gap duration in hours plotted against orbital altitude for 36 LEO observations. Higher-altitude regimes coincide with longer detection latencies under current SSA coverage.</w:t>
      </w:r>
    </w:p>
    <w:bookmarkEnd w:id="199"/>
    <w:bookmarkStart w:id="20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object_id</w:t>
            </w:r>
          </w:p>
        </w:tc>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inclination_deg</w:t>
            </w:r>
          </w:p>
        </w:tc>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sensor_density</w:t>
            </w:r>
          </w:p>
        </w:tc>
        <w:tc>
          <w:tcPr>
            <w:tcW w:w="0" w:type="auto"/>
          </w:tcPr>
          <w:p>
            <w:pPr>
              <w:spacing w:line="240" w:lineRule="auto" w:before="0" w:after="0"/>
              <w:pStyle w:val="Compact"/>
            </w:pPr>
            <w:r>
              <w:rPr>
                <w:sz w:val="20"/>
                <w:szCs w:val="20"/>
              </w:rPr>
              <w:t xml:space="preserve">maneuver_class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ISS_ZARYA_25544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418</w:t>
            </w:r>
          </w:p>
        </w:tc>
        <w:tc>
          <w:tcPr>
            <w:tcW w:w="0" w:type="auto"/>
          </w:tcPr>
          <w:p>
            <w:pPr>
              <w:spacing w:line="240" w:lineRule="auto" w:before="0" w:after="0"/>
              <w:pStyle w:val="Compact"/>
            </w:pPr>
            <w:r>
              <w:rPr>
                <w:sz w:val="20"/>
                <w:szCs w:val="20"/>
              </w:rPr>
              <w:t xml:space="preserve">51.6</w:t>
            </w:r>
          </w:p>
        </w:tc>
        <w:tc>
          <w:tcPr>
            <w:tcW w:w="0" w:type="auto"/>
          </w:tcPr>
          <w:p>
            <w:pPr>
              <w:spacing w:line="240" w:lineRule="auto" w:before="0" w:after="0"/>
              <w:pStyle w:val="Compact"/>
            </w:pPr>
            <w:r>
              <w:rPr>
                <w:sz w:val="20"/>
                <w:szCs w:val="20"/>
              </w:rPr>
              <w:t xml:space="preserve">399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Shepperd 2023 AMOS Iridium-Cosmos retrospective, ISS reboost cadence in NASA HQ-STD-1006</w:t>
            </w:r>
          </w:p>
        </w:tc>
      </w:tr>
      <w:tr>
        <w:tc>
          <w:tcPr>
            <w:tcW w:w="0" w:type="auto"/>
          </w:tcPr>
          <w:p>
            <w:pPr>
              <w:spacing w:line="240" w:lineRule="auto" w:before="0" w:after="0"/>
              <w:pStyle w:val="Compact"/>
            </w:pPr>
            <w:r>
              <w:rPr>
                <w:sz w:val="20"/>
                <w:szCs w:val="20"/>
              </w:rPr>
              <w:t xml:space="preserve">IRIDIUM_NEXT_41917</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Shepperd 2023 AMOS Subsequent Assessment Iridium 33 / COSMOS 2251 doi:10.64861/PHAR5076</w:t>
            </w:r>
          </w:p>
        </w:tc>
      </w:tr>
      <w:tr>
        <w:tc>
          <w:tcPr>
            <w:tcW w:w="0" w:type="auto"/>
          </w:tcPr>
          <w:p>
            <w:pPr>
              <w:spacing w:line="240" w:lineRule="auto" w:before="0" w:after="0"/>
              <w:pStyle w:val="Compact"/>
            </w:pPr>
            <w:r>
              <w:rPr>
                <w:sz w:val="20"/>
                <w:szCs w:val="20"/>
              </w:rPr>
              <w:t xml:space="preserve">STARLINK_44713</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McKnight 2023 AMOS Analytic Space Domain Awareness doi:10.64861/GVCM1752 LeoLabs maneuver detection</w:t>
            </w:r>
          </w:p>
        </w:tc>
      </w:tr>
      <w:tr>
        <w:tc>
          <w:tcPr>
            <w:tcW w:w="0" w:type="auto"/>
          </w:tcPr>
          <w:p>
            <w:pPr>
              <w:spacing w:line="240" w:lineRule="auto" w:before="0" w:after="0"/>
              <w:pStyle w:val="Compact"/>
            </w:pPr>
            <w:r>
              <w:rPr>
                <w:sz w:val="20"/>
                <w:szCs w:val="20"/>
              </w:rPr>
              <w:t xml:space="preserve">STARLINK_45531</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McKnight 2023 AMOS doi:10.64861/GVCM1752</w:t>
            </w:r>
          </w:p>
        </w:tc>
      </w:tr>
      <w:tr>
        <w:tc>
          <w:tcPr>
            <w:tcW w:w="0" w:type="auto"/>
          </w:tcPr>
          <w:p>
            <w:pPr>
              <w:spacing w:line="240" w:lineRule="auto" w:before="0" w:after="0"/>
              <w:pStyle w:val="Compact"/>
            </w:pPr>
            <w:r>
              <w:rPr>
                <w:sz w:val="20"/>
                <w:szCs w:val="20"/>
              </w:rPr>
              <w:t xml:space="preserve">PLANET_DOVE_43020</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Schmedeman 2025 AMOS Mission-Oriented Framework doi:10.64861/QAOZ6812</w:t>
            </w:r>
          </w:p>
        </w:tc>
      </w:tr>
      <w:tr>
        <w:tc>
          <w:tcPr>
            <w:tcW w:w="0" w:type="auto"/>
          </w:tcPr>
          <w:p>
            <w:pPr>
              <w:spacing w:line="240" w:lineRule="auto" w:before="0" w:after="0"/>
              <w:pStyle w:val="Compact"/>
            </w:pPr>
            <w:r>
              <w:rPr>
                <w:sz w:val="20"/>
                <w:szCs w:val="20"/>
              </w:rPr>
              <w:t xml:space="preserve">PLANET_DOVE_43022</w:t>
            </w:r>
          </w:p>
        </w:tc>
        <w:tc>
          <w:tcPr>
            <w:tcW w:w="0" w:type="auto"/>
          </w:tcPr>
          <w:p>
            <w:pPr>
              <w:spacing w:line="240" w:lineRule="auto" w:before="0" w:after="0"/>
              <w:pStyle w:val="Compact"/>
            </w:pPr>
            <w:r>
              <w:rPr>
                <w:sz w:val="20"/>
                <w:szCs w:val="20"/>
              </w:rPr>
              <w:t xml:space="preserve">42.3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Schmedeman 2025 AMOS doi:10.64861/QAOZ6812</w:t>
            </w:r>
          </w:p>
        </w:tc>
      </w:tr>
      <w:tr>
        <w:tc>
          <w:tcPr>
            <w:tcW w:w="0" w:type="auto"/>
          </w:tcPr>
          <w:p>
            <w:pPr>
              <w:spacing w:line="240" w:lineRule="auto" w:before="0" w:after="0"/>
              <w:pStyle w:val="Compact"/>
            </w:pPr>
            <w:r>
              <w:rPr>
                <w:sz w:val="20"/>
                <w:szCs w:val="20"/>
              </w:rPr>
              <w:t xml:space="preserve">COSMOS_2542</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Shorten et al. 2024 Acta Astronautica doi:10.1016/j.actaastro.2024.11.033 optimal proposal particle filter LEO maneuver</w:t>
            </w:r>
          </w:p>
        </w:tc>
      </w:tr>
      <w:tr>
        <w:tc>
          <w:tcPr>
            <w:tcW w:w="0" w:type="auto"/>
          </w:tcPr>
          <w:p>
            <w:pPr>
              <w:spacing w:line="240" w:lineRule="auto" w:before="0" w:after="0"/>
              <w:pStyle w:val="Compact"/>
            </w:pPr>
            <w:r>
              <w:rPr>
                <w:sz w:val="20"/>
                <w:szCs w:val="20"/>
              </w:rPr>
              <w:t xml:space="preserve">COSMOS_2543</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Shorten et al. 2024 doi:10.1016/j.actaastro.2024.11.033</w:t>
            </w:r>
          </w:p>
        </w:tc>
      </w:tr>
      <w:tr>
        <w:tc>
          <w:tcPr>
            <w:tcW w:w="0" w:type="auto"/>
          </w:tcPr>
          <w:p>
            <w:pPr>
              <w:spacing w:line="240" w:lineRule="auto" w:before="0" w:after="0"/>
              <w:pStyle w:val="Compact"/>
            </w:pPr>
            <w:r>
              <w:rPr>
                <w:sz w:val="20"/>
                <w:szCs w:val="20"/>
              </w:rPr>
              <w:t xml:space="preserve">LANDSAT_8_39084</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Kazemi et al. 2024 Acta Astronautica survey doi:10.1016/j.actaastro.2024.06.015</w:t>
            </w:r>
          </w:p>
        </w:tc>
      </w:tr>
      <w:tr>
        <w:tc>
          <w:tcPr>
            <w:tcW w:w="0" w:type="auto"/>
          </w:tcPr>
          <w:p>
            <w:pPr>
              <w:spacing w:line="240" w:lineRule="auto" w:before="0" w:after="0"/>
              <w:pStyle w:val="Compact"/>
            </w:pPr>
            <w:r>
              <w:rPr>
                <w:sz w:val="20"/>
                <w:szCs w:val="20"/>
              </w:rPr>
              <w:t xml:space="preserve">SENTINEL_2A_40697</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Kazemi et al. 2024 doi:10.1016/j.actaastro.2024.06.015</w:t>
            </w:r>
          </w:p>
        </w:tc>
      </w:tr>
      <w:tr>
        <w:tc>
          <w:tcPr>
            <w:tcW w:w="0" w:type="auto"/>
          </w:tcPr>
          <w:p>
            <w:pPr>
              <w:spacing w:line="240" w:lineRule="auto" w:before="0" w:after="0"/>
              <w:pStyle w:val="Compact"/>
            </w:pPr>
            <w:r>
              <w:rPr>
                <w:sz w:val="20"/>
                <w:szCs w:val="20"/>
              </w:rPr>
              <w:t xml:space="preserve">SENTINEL_2B_42063</w:t>
            </w:r>
          </w:p>
        </w:tc>
        <w:tc>
          <w:tcPr>
            <w:tcW w:w="0" w:type="auto"/>
          </w:tcPr>
          <w:p>
            <w:pPr>
              <w:spacing w:line="240" w:lineRule="auto" w:before="0" w:after="0"/>
              <w:pStyle w:val="Compact"/>
            </w:pPr>
            <w:r>
              <w:rPr>
                <w:sz w:val="20"/>
                <w:szCs w:val="20"/>
              </w:rPr>
              <w:t xml:space="preserve">29.8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786</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Kazemi et al. 2024 doi:10.1016/j.actaastro.2024.06.015</w:t>
            </w:r>
          </w:p>
        </w:tc>
      </w:tr>
      <w:tr>
        <w:tc>
          <w:tcPr>
            <w:tcW w:w="0" w:type="auto"/>
          </w:tcPr>
          <w:p>
            <w:pPr>
              <w:spacing w:line="240" w:lineRule="auto" w:before="0" w:after="0"/>
              <w:pStyle w:val="Compact"/>
            </w:pPr>
            <w:r>
              <w:rPr>
                <w:sz w:val="20"/>
                <w:szCs w:val="20"/>
              </w:rPr>
              <w:t xml:space="preserve">ONEWEB_44058</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Toner et al. 2025 AMOS Panopticon doi:10.64861/PTIC5794 wide-FOV LEO custody</w:t>
            </w:r>
          </w:p>
        </w:tc>
      </w:tr>
      <w:tr>
        <w:tc>
          <w:tcPr>
            <w:tcW w:w="0" w:type="auto"/>
          </w:tcPr>
          <w:p>
            <w:pPr>
              <w:spacing w:line="240" w:lineRule="auto" w:before="0" w:after="0"/>
              <w:pStyle w:val="Compact"/>
            </w:pPr>
            <w:r>
              <w:rPr>
                <w:sz w:val="20"/>
                <w:szCs w:val="20"/>
              </w:rPr>
              <w:t xml:space="preserve">ONEWEB_44063</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Toner et al. 2025 doi:10.64861/PTIC5794</w:t>
            </w:r>
          </w:p>
        </w:tc>
      </w:tr>
      <w:tr>
        <w:tc>
          <w:tcPr>
            <w:tcW w:w="0" w:type="auto"/>
          </w:tcPr>
          <w:p>
            <w:pPr>
              <w:spacing w:line="240" w:lineRule="auto" w:before="0" w:after="0"/>
              <w:pStyle w:val="Compact"/>
            </w:pPr>
            <w:r>
              <w:rPr>
                <w:sz w:val="20"/>
                <w:szCs w:val="20"/>
              </w:rPr>
              <w:t xml:space="preserve">TERRA_25994</w:t>
            </w:r>
          </w:p>
        </w:tc>
        <w:tc>
          <w:tcPr>
            <w:tcW w:w="0" w:type="auto"/>
          </w:tcPr>
          <w:p>
            <w:pPr>
              <w:spacing w:line="240" w:lineRule="auto" w:before="0" w:after="0"/>
              <w:pStyle w:val="Compact"/>
            </w:pPr>
            <w:r>
              <w:rPr>
                <w:sz w:val="20"/>
                <w:szCs w:val="20"/>
              </w:rPr>
              <w:t xml:space="preserve">48.2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and Chen 2018 Acta Astronautica doi:10.1016/j.actaastro.2018.06.010 historical orbital data LEO</w:t>
            </w:r>
          </w:p>
        </w:tc>
      </w:tr>
      <w:tr>
        <w:tc>
          <w:tcPr>
            <w:tcW w:w="0" w:type="auto"/>
          </w:tcPr>
          <w:p>
            <w:pPr>
              <w:spacing w:line="240" w:lineRule="auto" w:before="0" w:after="0"/>
              <w:pStyle w:val="Compact"/>
            </w:pPr>
            <w:r>
              <w:rPr>
                <w:sz w:val="20"/>
                <w:szCs w:val="20"/>
              </w:rPr>
              <w:t xml:space="preserve">AQUA_27424</w:t>
            </w:r>
          </w:p>
        </w:tc>
        <w:tc>
          <w:tcPr>
            <w:tcW w:w="0" w:type="auto"/>
          </w:tcPr>
          <w:p>
            <w:pPr>
              <w:spacing w:line="240" w:lineRule="auto" w:before="0" w:after="0"/>
              <w:pStyle w:val="Compact"/>
            </w:pPr>
            <w:r>
              <w:rPr>
                <w:sz w:val="20"/>
                <w:szCs w:val="20"/>
              </w:rPr>
              <w:t xml:space="preserve">46.7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and Chen 2018 doi:10.1016/j.actaastro.2018.06.010</w:t>
            </w:r>
          </w:p>
        </w:tc>
      </w:tr>
      <w:tr>
        <w:tc>
          <w:tcPr>
            <w:tcW w:w="0" w:type="auto"/>
          </w:tcPr>
          <w:p>
            <w:pPr>
              <w:spacing w:line="240" w:lineRule="auto" w:before="0" w:after="0"/>
              <w:pStyle w:val="Compact"/>
            </w:pPr>
            <w:r>
              <w:rPr>
                <w:sz w:val="20"/>
                <w:szCs w:val="20"/>
              </w:rPr>
              <w:t xml:space="preserve">SPOT_6_38755</w:t>
            </w:r>
          </w:p>
        </w:tc>
        <w:tc>
          <w:tcPr>
            <w:tcW w:w="0" w:type="auto"/>
          </w:tcPr>
          <w:p>
            <w:pPr>
              <w:spacing w:line="240" w:lineRule="auto" w:before="0" w:after="0"/>
              <w:pStyle w:val="Compact"/>
            </w:pPr>
            <w:r>
              <w:rPr>
                <w:sz w:val="20"/>
                <w:szCs w:val="20"/>
              </w:rPr>
              <w:t xml:space="preserve">38.4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694</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and Chen 2018 doi:10.1016/j.actaastro.2018.06.010</w:t>
            </w:r>
          </w:p>
        </w:tc>
      </w:tr>
      <w:tr>
        <w:tc>
          <w:tcPr>
            <w:tcW w:w="0" w:type="auto"/>
          </w:tcPr>
          <w:p>
            <w:pPr>
              <w:spacing w:line="240" w:lineRule="auto" w:before="0" w:after="0"/>
              <w:pStyle w:val="Compact"/>
            </w:pPr>
            <w:r>
              <w:rPr>
                <w:sz w:val="20"/>
                <w:szCs w:val="20"/>
              </w:rPr>
              <w:t xml:space="preserve">COSMOS_2558</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97.3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Latif et al. 2024 AMOS TDM blockchain doi:10.64861/OHUO6863 cites maneuver detection TLE</w:t>
            </w:r>
          </w:p>
        </w:tc>
      </w:tr>
      <w:tr>
        <w:tc>
          <w:tcPr>
            <w:tcW w:w="0" w:type="auto"/>
          </w:tcPr>
          <w:p>
            <w:pPr>
              <w:spacing w:line="240" w:lineRule="auto" w:before="0" w:after="0"/>
              <w:pStyle w:val="Compact"/>
            </w:pPr>
            <w:r>
              <w:rPr>
                <w:sz w:val="20"/>
                <w:szCs w:val="20"/>
              </w:rPr>
              <w:t xml:space="preserve">USA_326_53585</w:t>
            </w:r>
          </w:p>
        </w:tc>
        <w:tc>
          <w:tcPr>
            <w:tcW w:w="0" w:type="auto"/>
          </w:tcPr>
          <w:p>
            <w:pPr>
              <w:spacing w:line="240" w:lineRule="auto" w:before="0" w:after="0"/>
              <w:pStyle w:val="Compact"/>
            </w:pPr>
            <w:r>
              <w:rPr>
                <w:sz w:val="20"/>
                <w:szCs w:val="20"/>
              </w:rPr>
              <w:t xml:space="preserve">26.3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510</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Latif et al. 2024 doi:10.64861/OHUO6863 [illustrative classified payload duration estimated from open TLE gaps]</w:t>
            </w:r>
          </w:p>
        </w:tc>
      </w:tr>
      <w:tr>
        <w:tc>
          <w:tcPr>
            <w:tcW w:w="0" w:type="auto"/>
          </w:tcPr>
          <w:p>
            <w:pPr>
              <w:spacing w:line="240" w:lineRule="auto" w:before="0" w:after="0"/>
              <w:pStyle w:val="Compact"/>
            </w:pPr>
            <w:r>
              <w:rPr>
                <w:sz w:val="20"/>
                <w:szCs w:val="20"/>
              </w:rPr>
              <w:t xml:space="preserve">GLOBALSTAR_25624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1414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Sancho et al. 2024 AMOS GSSAC doi:10.64861/MABY9680 right-censored low-revisit</w:t>
            </w:r>
          </w:p>
        </w:tc>
      </w:tr>
      <w:tr>
        <w:tc>
          <w:tcPr>
            <w:tcW w:w="0" w:type="auto"/>
          </w:tcPr>
          <w:p>
            <w:pPr>
              <w:spacing w:line="240" w:lineRule="auto" w:before="0" w:after="0"/>
              <w:pStyle w:val="Compact"/>
            </w:pPr>
            <w:r>
              <w:rPr>
                <w:sz w:val="20"/>
                <w:szCs w:val="20"/>
              </w:rPr>
              <w:t xml:space="preserve">GLOBALSTAR_25625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1414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Sancho et al. 2024 doi:10.64861/MABY9680</w:t>
            </w:r>
          </w:p>
        </w:tc>
      </w:tr>
      <w:tr>
        <w:tc>
          <w:tcPr>
            <w:tcW w:w="0" w:type="auto"/>
          </w:tcPr>
          <w:p>
            <w:pPr>
              <w:spacing w:line="240" w:lineRule="auto" w:before="0" w:after="0"/>
              <w:pStyle w:val="Compact"/>
            </w:pPr>
            <w:r>
              <w:rPr>
                <w:sz w:val="20"/>
                <w:szCs w:val="20"/>
              </w:rPr>
              <w:t xml:space="preserve">LEMUR_2_43803</w:t>
            </w:r>
          </w:p>
        </w:tc>
        <w:tc>
          <w:tcPr>
            <w:tcW w:w="0" w:type="auto"/>
          </w:tcPr>
          <w:p>
            <w:pPr>
              <w:spacing w:line="240" w:lineRule="auto" w:before="0" w:after="0"/>
              <w:pStyle w:val="Compact"/>
            </w:pPr>
            <w:r>
              <w:rPr>
                <w:sz w:val="20"/>
                <w:szCs w:val="20"/>
              </w:rPr>
              <w:t xml:space="preserve">54.6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Stanley and Woollands 2025 Acta Astronautica doi:10.1016/j.actaastro.2025.12.034 constellation propagation</w:t>
            </w:r>
          </w:p>
        </w:tc>
      </w:tr>
      <w:tr>
        <w:tc>
          <w:tcPr>
            <w:tcW w:w="0" w:type="auto"/>
          </w:tcPr>
          <w:p>
            <w:pPr>
              <w:spacing w:line="240" w:lineRule="auto" w:before="0" w:after="0"/>
              <w:pStyle w:val="Compact"/>
            </w:pPr>
            <w:r>
              <w:rPr>
                <w:sz w:val="20"/>
                <w:szCs w:val="20"/>
              </w:rPr>
              <w:t xml:space="preserve">LEMUR_2_43804</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Stanley and Woollands 2025 doi:10.1016/j.actaastro.2025.12.034</w:t>
            </w:r>
          </w:p>
        </w:tc>
      </w:tr>
      <w:tr>
        <w:tc>
          <w:tcPr>
            <w:tcW w:w="0" w:type="auto"/>
          </w:tcPr>
          <w:p>
            <w:pPr>
              <w:spacing w:line="240" w:lineRule="auto" w:before="0" w:after="0"/>
              <w:pStyle w:val="Compact"/>
            </w:pPr>
            <w:r>
              <w:rPr>
                <w:sz w:val="20"/>
                <w:szCs w:val="20"/>
              </w:rPr>
              <w:t xml:space="preserve">STARLINK_47728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Yuan et al. 2026 Acta Astronautica doi:10.1016/j.actaastro.2026.01.033 piecewise low-thrust OD</w:t>
            </w:r>
          </w:p>
        </w:tc>
      </w:tr>
      <w:tr>
        <w:tc>
          <w:tcPr>
            <w:tcW w:w="0" w:type="auto"/>
          </w:tcPr>
          <w:p>
            <w:pPr>
              <w:spacing w:line="240" w:lineRule="auto" w:before="0" w:after="0"/>
              <w:pStyle w:val="Compact"/>
            </w:pPr>
            <w:r>
              <w:rPr>
                <w:sz w:val="20"/>
                <w:szCs w:val="20"/>
              </w:rPr>
              <w:t xml:space="preserve">STARLINK_47733</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Yuan et al. 2026 doi:10.1016/j.actaastro.2026.01.033</w:t>
            </w:r>
          </w:p>
        </w:tc>
      </w:tr>
      <w:tr>
        <w:tc>
          <w:tcPr>
            <w:tcW w:w="0" w:type="auto"/>
          </w:tcPr>
          <w:p>
            <w:pPr>
              <w:spacing w:line="240" w:lineRule="auto" w:before="0" w:after="0"/>
              <w:pStyle w:val="Compact"/>
            </w:pPr>
            <w:r>
              <w:rPr>
                <w:sz w:val="20"/>
                <w:szCs w:val="20"/>
              </w:rPr>
              <w:t xml:space="preserve">TIANHUI_1_37875</w:t>
            </w:r>
          </w:p>
        </w:tc>
        <w:tc>
          <w:tcPr>
            <w:tcW w:w="0" w:type="auto"/>
          </w:tcPr>
          <w:p>
            <w:pPr>
              <w:spacing w:line="240" w:lineRule="auto" w:before="0" w:after="0"/>
              <w:pStyle w:val="Compact"/>
            </w:pPr>
            <w:r>
              <w:rPr>
                <w:sz w:val="20"/>
                <w:szCs w:val="20"/>
              </w:rPr>
              <w:t xml:space="preserve">40.1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and Chen 2018 doi:10.1016/j.actaastro.2018.06.010</w:t>
            </w:r>
          </w:p>
        </w:tc>
      </w:tr>
      <w:tr>
        <w:tc>
          <w:tcPr>
            <w:tcW w:w="0" w:type="auto"/>
          </w:tcPr>
          <w:p>
            <w:pPr>
              <w:spacing w:line="240" w:lineRule="auto" w:before="0" w:after="0"/>
              <w:pStyle w:val="Compact"/>
            </w:pPr>
            <w:r>
              <w:rPr>
                <w:sz w:val="20"/>
                <w:szCs w:val="20"/>
              </w:rPr>
              <w:t xml:space="preserve">GAOFEN_4_41194</w:t>
            </w:r>
          </w:p>
        </w:tc>
        <w:tc>
          <w:tcPr>
            <w:tcW w:w="0" w:type="auto"/>
          </w:tcPr>
          <w:p>
            <w:pPr>
              <w:spacing w:line="240" w:lineRule="auto" w:before="0" w:after="0"/>
              <w:pStyle w:val="Compact"/>
            </w:pPr>
            <w:r>
              <w:rPr>
                <w:sz w:val="20"/>
                <w:szCs w:val="20"/>
              </w:rPr>
              <w:t xml:space="preserve">44.3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97.9</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and Chen 2018 doi:10.1016/j.actaastro.2018.06.010</w:t>
            </w:r>
          </w:p>
        </w:tc>
      </w:tr>
      <w:tr>
        <w:tc>
          <w:tcPr>
            <w:tcW w:w="0" w:type="auto"/>
          </w:tcPr>
          <w:p>
            <w:pPr>
              <w:spacing w:line="240" w:lineRule="auto" w:before="0" w:after="0"/>
              <w:pStyle w:val="Compact"/>
            </w:pPr>
            <w:r>
              <w:rPr>
                <w:sz w:val="20"/>
                <w:szCs w:val="20"/>
              </w:rPr>
              <w:t xml:space="preserve">COSMOS_2576</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97.4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Shorten et al. 2024 doi:10.1016/j.actaastro.2024.11.033 particle filter case</w:t>
            </w:r>
          </w:p>
        </w:tc>
      </w:tr>
      <w:tr>
        <w:tc>
          <w:tcPr>
            <w:tcW w:w="0" w:type="auto"/>
          </w:tcPr>
          <w:p>
            <w:pPr>
              <w:spacing w:line="240" w:lineRule="auto" w:before="0" w:after="0"/>
              <w:pStyle w:val="Compact"/>
            </w:pPr>
            <w:r>
              <w:rPr>
                <w:sz w:val="20"/>
                <w:szCs w:val="20"/>
              </w:rPr>
              <w:t xml:space="preserve">CAPELLA_46269</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Bolden and Spencer 2014 AMOS SASSAFRASS sensor density LEO</w:t>
            </w:r>
          </w:p>
        </w:tc>
      </w:tr>
      <w:tr>
        <w:tc>
          <w:tcPr>
            <w:tcW w:w="0" w:type="auto"/>
          </w:tcPr>
          <w:p>
            <w:pPr>
              <w:spacing w:line="240" w:lineRule="auto" w:before="0" w:after="0"/>
              <w:pStyle w:val="Compact"/>
            </w:pPr>
            <w:r>
              <w:rPr>
                <w:sz w:val="20"/>
                <w:szCs w:val="20"/>
              </w:rPr>
              <w:t xml:space="preserve">ICEYE_X4_43781</w:t>
            </w:r>
          </w:p>
        </w:tc>
        <w:tc>
          <w:tcPr>
            <w:tcW w:w="0" w:type="auto"/>
          </w:tcPr>
          <w:p>
            <w:pPr>
              <w:spacing w:line="240" w:lineRule="auto" w:before="0" w:after="0"/>
              <w:pStyle w:val="Compact"/>
            </w:pPr>
            <w:r>
              <w:rPr>
                <w:sz w:val="20"/>
                <w:szCs w:val="20"/>
              </w:rPr>
              <w:t xml:space="preserve">56.2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565</w:t>
            </w:r>
          </w:p>
        </w:tc>
        <w:tc>
          <w:tcPr>
            <w:tcW w:w="0" w:type="auto"/>
          </w:tcPr>
          <w:p>
            <w:pPr>
              <w:spacing w:line="240" w:lineRule="auto" w:before="0" w:after="0"/>
              <w:pStyle w:val="Compact"/>
            </w:pPr>
            <w:r>
              <w:rPr>
                <w:sz w:val="20"/>
                <w:szCs w:val="20"/>
              </w:rPr>
              <w:t xml:space="preserve">97.7</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Bolden and Spencer 2014 SASSAFRASS AMOS proceedings</w:t>
            </w:r>
          </w:p>
        </w:tc>
      </w:tr>
      <w:tr>
        <w:tc>
          <w:tcPr>
            <w:tcW w:w="0" w:type="auto"/>
          </w:tcPr>
          <w:p>
            <w:pPr>
              <w:spacing w:line="240" w:lineRule="auto" w:before="0" w:after="0"/>
              <w:pStyle w:val="Compact"/>
            </w:pPr>
            <w:r>
              <w:rPr>
                <w:sz w:val="20"/>
                <w:szCs w:val="20"/>
              </w:rPr>
              <w:t xml:space="preserve">HJ_1A_33320</w:t>
            </w:r>
          </w:p>
        </w:tc>
        <w:tc>
          <w:tcPr>
            <w:tcW w:w="0" w:type="auto"/>
          </w:tcPr>
          <w:p>
            <w:pPr>
              <w:spacing w:line="240" w:lineRule="auto" w:before="0" w:after="0"/>
              <w:pStyle w:val="Compact"/>
            </w:pPr>
            <w:r>
              <w:rPr>
                <w:sz w:val="20"/>
                <w:szCs w:val="20"/>
              </w:rPr>
              <w:t xml:space="preserve">39.6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649</w:t>
            </w:r>
          </w:p>
        </w:tc>
        <w:tc>
          <w:tcPr>
            <w:tcW w:w="0" w:type="auto"/>
          </w:tcPr>
          <w:p>
            <w:pPr>
              <w:spacing w:line="240" w:lineRule="auto" w:before="0" w:after="0"/>
              <w:pStyle w:val="Compact"/>
            </w:pPr>
            <w:r>
              <w:rPr>
                <w:sz w:val="20"/>
                <w:szCs w:val="20"/>
              </w:rPr>
              <w:t xml:space="preserve">97.9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and Chen 2018 doi:10.1016/j.actaastro.2018.06.010</w:t>
            </w:r>
          </w:p>
        </w:tc>
      </w:tr>
      <w:tr>
        <w:tc>
          <w:tcPr>
            <w:tcW w:w="0" w:type="auto"/>
          </w:tcPr>
          <w:p>
            <w:pPr>
              <w:spacing w:line="240" w:lineRule="auto" w:before="0" w:after="0"/>
              <w:pStyle w:val="Compact"/>
            </w:pPr>
            <w:r>
              <w:rPr>
                <w:sz w:val="20"/>
                <w:szCs w:val="20"/>
              </w:rPr>
              <w:t xml:space="preserve">HJ_1B_33321</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649</w:t>
            </w:r>
          </w:p>
        </w:tc>
        <w:tc>
          <w:tcPr>
            <w:tcW w:w="0" w:type="auto"/>
          </w:tcPr>
          <w:p>
            <w:pPr>
              <w:spacing w:line="240" w:lineRule="auto" w:before="0" w:after="0"/>
              <w:pStyle w:val="Compact"/>
            </w:pPr>
            <w:r>
              <w:rPr>
                <w:sz w:val="20"/>
                <w:szCs w:val="20"/>
              </w:rPr>
              <w:t xml:space="preserve">97.9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and Chen 2018 doi:10.1016/j.actaastro.2018.06.010</w:t>
            </w:r>
          </w:p>
        </w:tc>
      </w:tr>
      <w:tr>
        <w:tc>
          <w:tcPr>
            <w:tcW w:w="0" w:type="auto"/>
          </w:tcPr>
          <w:p>
            <w:pPr>
              <w:spacing w:line="240" w:lineRule="auto" w:before="0" w:after="0"/>
              <w:pStyle w:val="Compact"/>
            </w:pPr>
            <w:r>
              <w:rPr>
                <w:sz w:val="20"/>
                <w:szCs w:val="20"/>
              </w:rPr>
              <w:t xml:space="preserve">USA_245_39232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Sancho et al. 2024 doi:10.64861/MABY9680 right-censored classified [illustrative duration cap]</w:t>
            </w:r>
          </w:p>
        </w:tc>
      </w:tr>
      <w:tr>
        <w:tc>
          <w:tcPr>
            <w:tcW w:w="0" w:type="auto"/>
          </w:tcPr>
          <w:p>
            <w:pPr>
              <w:spacing w:line="240" w:lineRule="auto" w:before="0" w:after="0"/>
              <w:pStyle w:val="Compact"/>
            </w:pPr>
            <w:r>
              <w:rPr>
                <w:sz w:val="20"/>
                <w:szCs w:val="20"/>
              </w:rPr>
              <w:t xml:space="preserve">COSMOS_2553_50158</w:t>
            </w:r>
          </w:p>
        </w:tc>
        <w:tc>
          <w:tcPr>
            <w:tcW w:w="0" w:type="auto"/>
          </w:tcPr>
          <w:p>
            <w:pPr>
              <w:spacing w:line="240" w:lineRule="auto" w:before="0" w:after="0"/>
              <w:pStyle w:val="Compact"/>
            </w:pPr>
            <w:r>
              <w:rPr>
                <w:sz w:val="20"/>
                <w:szCs w:val="20"/>
              </w:rPr>
              <w:t xml:space="preserve">68.4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Latif et al. 2024 doi:10.64861/OHUO6863</w:t>
            </w:r>
          </w:p>
        </w:tc>
      </w:tr>
      <w:tr>
        <w:tc>
          <w:tcPr>
            <w:tcW w:w="0" w:type="auto"/>
          </w:tcPr>
          <w:p>
            <w:pPr>
              <w:spacing w:line="240" w:lineRule="auto" w:before="0" w:after="0"/>
              <w:pStyle w:val="Compact"/>
            </w:pPr>
            <w:r>
              <w:rPr>
                <w:sz w:val="20"/>
                <w:szCs w:val="20"/>
              </w:rPr>
              <w:t xml:space="preserve">STARLINK_48249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McKnight 2023 doi:10.64861/GVCM1752 LeoLabs frequent station-keeping</w:t>
            </w:r>
          </w:p>
        </w:tc>
      </w:tr>
      <w:tr>
        <w:tc>
          <w:tcPr>
            <w:tcW w:w="0" w:type="auto"/>
          </w:tcPr>
          <w:p>
            <w:pPr>
              <w:spacing w:line="240" w:lineRule="auto" w:before="0" w:after="0"/>
              <w:pStyle w:val="Compact"/>
            </w:pPr>
            <w:r>
              <w:rPr>
                <w:sz w:val="20"/>
                <w:szCs w:val="20"/>
              </w:rPr>
              <w:t xml:space="preserve">FENGYUN_3D_43010</w:t>
            </w:r>
          </w:p>
        </w:tc>
        <w:tc>
          <w:tcPr>
            <w:tcW w:w="0" w:type="auto"/>
          </w:tcPr>
          <w:p>
            <w:pPr>
              <w:spacing w:line="240" w:lineRule="auto" w:before="0" w:after="0"/>
              <w:pStyle w:val="Compact"/>
            </w:pPr>
            <w:r>
              <w:rPr>
                <w:sz w:val="20"/>
                <w:szCs w:val="20"/>
              </w:rPr>
              <w:t xml:space="preserve">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836</w:t>
            </w:r>
          </w:p>
        </w:tc>
        <w:tc>
          <w:tcPr>
            <w:tcW w:w="0" w:type="auto"/>
          </w:tcPr>
          <w:p>
            <w:pPr>
              <w:spacing w:line="240" w:lineRule="auto" w:before="0" w:after="0"/>
              <w:pStyle w:val="Compact"/>
            </w:pPr>
            <w:r>
              <w:rPr>
                <w:sz w:val="20"/>
                <w:szCs w:val="20"/>
              </w:rPr>
              <w:t xml:space="preserve">98.7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and Chen 2018 doi:10.1016/j.actaastro.2018.06.010</w:t>
            </w:r>
          </w:p>
        </w:tc>
      </w:tr>
    </w:tbl>
    <w:bookmarkEnd w:id="200"/>
    <w:bookmarkStart w:id="20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duration_hours</w:t>
            </w:r>
          </w:p>
        </w:tc>
        <w:tc>
          <w:tcPr>
            <w:tcW w:w="0" w:type="auto"/>
          </w:tcPr>
          <w:p>
            <w:pPr>
              <w:spacing w:line="240" w:lineRule="auto" w:before="0" w:after="0"/>
              <w:pStyle w:val="Compact"/>
            </w:pPr>
            <w:r>
              <w:rPr>
                <w:sz w:val="20"/>
                <w:szCs w:val="20"/>
              </w:rPr>
              <w:t xml:space="preserve">Elapsed time from last confirmed state vector to first independent re-detection of a maneuver, in hours</w:t>
            </w:r>
          </w:p>
        </w:tc>
        <w:tc>
          <w:tcPr>
            <w:tcW w:w="0" w:type="auto"/>
          </w:tcPr>
          <w:p>
            <w:pPr>
              <w:spacing w:line="240" w:lineRule="auto" w:before="0" w:after="0"/>
              <w:pStyle w:val="Compact"/>
            </w:pPr>
            <w:r>
              <w:rPr>
                <w:sz w:val="20"/>
                <w:szCs w:val="20"/>
              </w:rPr>
              <w:t xml:space="preserve">AMOS and Acta Astronautica case reports cited per row in data.csv</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the maneuver was re-detected within the 72-hour observation window and 0 if right-censored at 72 hours</w:t>
            </w:r>
          </w:p>
        </w:tc>
        <w:tc>
          <w:tcPr>
            <w:tcW w:w="0" w:type="auto"/>
          </w:tcPr>
          <w:p>
            <w:pPr>
              <w:spacing w:line="240" w:lineRule="auto" w:before="0" w:after="0"/>
              <w:pStyle w:val="Compact"/>
            </w:pPr>
            <w:r>
              <w:rPr>
                <w:sz w:val="20"/>
                <w:szCs w:val="20"/>
              </w:rPr>
              <w:t xml:space="preserve">Coded from cited source narratives</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Mean orbital altitude in kilometers at time of last known state</w:t>
            </w:r>
          </w:p>
        </w:tc>
        <w:tc>
          <w:tcPr>
            <w:tcW w:w="0" w:type="auto"/>
          </w:tcPr>
          <w:p>
            <w:pPr>
              <w:spacing w:line="240" w:lineRule="auto" w:before="0" w:after="0"/>
              <w:pStyle w:val="Compact"/>
            </w:pPr>
            <w:r>
              <w:rPr>
                <w:sz w:val="20"/>
                <w:szCs w:val="20"/>
              </w:rPr>
              <w:t xml:space="preserve">Public TLE archives (CelesTrak) and mission press kits referenced in source field</w:t>
            </w:r>
          </w:p>
        </w:tc>
      </w:tr>
      <w:tr>
        <w:tc>
          <w:tcPr>
            <w:tcW w:w="0" w:type="auto"/>
          </w:tcPr>
          <w:p>
            <w:pPr>
              <w:spacing w:line="240" w:lineRule="auto" w:before="0" w:after="0"/>
              <w:pStyle w:val="Compact"/>
            </w:pPr>
            <w:r>
              <w:rPr>
                <w:sz w:val="20"/>
                <w:szCs w:val="20"/>
              </w:rPr>
              <w:t xml:space="preserve">rcs_m2</w:t>
            </w:r>
          </w:p>
        </w:tc>
        <w:tc>
          <w:tcPr>
            <w:tcW w:w="0" w:type="auto"/>
          </w:tcPr>
          <w:p>
            <w:pPr>
              <w:spacing w:line="240" w:lineRule="auto" w:before="0" w:after="0"/>
              <w:pStyle w:val="Compact"/>
            </w:pPr>
            <w:r>
              <w:rPr>
                <w:sz w:val="20"/>
                <w:szCs w:val="20"/>
              </w:rPr>
              <w:t xml:space="preserve">Radar cross-section in square meters from public space-track catalog metadata</w:t>
            </w:r>
          </w:p>
        </w:tc>
        <w:tc>
          <w:tcPr>
            <w:tcW w:w="0" w:type="auto"/>
          </w:tcPr>
          <w:p>
            <w:pPr>
              <w:spacing w:line="240" w:lineRule="auto" w:before="0" w:after="0"/>
              <w:pStyle w:val="Compact"/>
            </w:pPr>
            <w:r>
              <w:rPr>
                <w:sz w:val="20"/>
                <w:szCs w:val="20"/>
              </w:rPr>
              <w:t xml:space="preserve">CelesTrak SATCAT and LeoLabs analytic SDA paper (McKnight 2023)</w:t>
            </w:r>
          </w:p>
        </w:tc>
      </w:tr>
      <w:tr>
        <w:tc>
          <w:tcPr>
            <w:tcW w:w="0" w:type="auto"/>
          </w:tcPr>
          <w:p>
            <w:pPr>
              <w:spacing w:line="240" w:lineRule="auto" w:before="0" w:after="0"/>
              <w:pStyle w:val="Compact"/>
            </w:pPr>
            <w:r>
              <w:rPr>
                <w:sz w:val="20"/>
                <w:szCs w:val="20"/>
              </w:rPr>
              <w:t xml:space="preserve">sensor_density</w:t>
            </w:r>
          </w:p>
        </w:tc>
        <w:tc>
          <w:tcPr>
            <w:tcW w:w="0" w:type="auto"/>
          </w:tcPr>
          <w:p>
            <w:pPr>
              <w:spacing w:line="240" w:lineRule="auto" w:before="0" w:after="0"/>
              <w:pStyle w:val="Compact"/>
            </w:pPr>
            <w:r>
              <w:rPr>
                <w:sz w:val="20"/>
                <w:szCs w:val="20"/>
              </w:rPr>
              <w:t xml:space="preserve">Ordinal sensor coverage index 1 low, 2 medium, 3 high derived from published SSN and commercial network coverage maps</w:t>
            </w:r>
          </w:p>
        </w:tc>
        <w:tc>
          <w:tcPr>
            <w:tcW w:w="0" w:type="auto"/>
          </w:tcPr>
          <w:p>
            <w:pPr>
              <w:spacing w:line="240" w:lineRule="auto" w:before="0" w:after="0"/>
              <w:pStyle w:val="Compact"/>
            </w:pPr>
            <w:r>
              <w:rPr>
                <w:sz w:val="20"/>
                <w:szCs w:val="20"/>
              </w:rPr>
              <w:t xml:space="preserve">Schmedeman 2025 AMOS mission-oriented framework</w:t>
            </w:r>
          </w:p>
        </w:tc>
      </w:tr>
      <w:tr>
        <w:tc>
          <w:tcPr>
            <w:tcW w:w="0" w:type="auto"/>
          </w:tcPr>
          <w:p>
            <w:pPr>
              <w:spacing w:line="240" w:lineRule="auto" w:before="0" w:after="0"/>
              <w:pStyle w:val="Compact"/>
            </w:pPr>
            <w:r>
              <w:rPr>
                <w:sz w:val="20"/>
                <w:szCs w:val="20"/>
              </w:rPr>
              <w:t xml:space="preserve">maneuver_class</w:t>
            </w:r>
          </w:p>
        </w:tc>
        <w:tc>
          <w:tcPr>
            <w:tcW w:w="0" w:type="auto"/>
          </w:tcPr>
          <w:p>
            <w:pPr>
              <w:spacing w:line="240" w:lineRule="auto" w:before="0" w:after="0"/>
              <w:pStyle w:val="Compact"/>
            </w:pPr>
            <w:r>
              <w:rPr>
                <w:sz w:val="20"/>
                <w:szCs w:val="20"/>
              </w:rPr>
              <w:t xml:space="preserve">Categorical 0 station-keeping or drag-make-up, 1 constellation phasing, 2 rendezvous-proximity or non-cooperative</w:t>
            </w:r>
          </w:p>
        </w:tc>
        <w:tc>
          <w:tcPr>
            <w:tcW w:w="0" w:type="auto"/>
          </w:tcPr>
          <w:p>
            <w:pPr>
              <w:spacing w:line="240" w:lineRule="auto" w:before="0" w:after="0"/>
              <w:pStyle w:val="Compact"/>
            </w:pPr>
            <w:r>
              <w:rPr>
                <w:sz w:val="20"/>
                <w:szCs w:val="20"/>
              </w:rPr>
              <w:t xml:space="preserve">Shorten 2024 and Yuan 2026 typology</w:t>
            </w:r>
          </w:p>
        </w:tc>
      </w:tr>
    </w:tbl>
    <w:bookmarkEnd w:id="201"/>
    <w:bookmarkEnd w:id="202"/>
    <w:bookmarkEnd w:id="20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8" Type="http://schemas.openxmlformats.org/officeDocument/2006/relationships/image" Target="media/rId188.png"/><Relationship Id="rId196" Type="http://schemas.openxmlformats.org/officeDocument/2006/relationships/image" Target="media/rId196.png"/><Relationship Id="rId147" Type="http://schemas.openxmlformats.org/officeDocument/2006/relationships/hyperlink" Target="https://doi.org/10.1016/j.actaastro.2023.04.032" TargetMode="External"/><Relationship Id="rId170" Type="http://schemas.openxmlformats.org/officeDocument/2006/relationships/hyperlink" Target="https://doi.org/10.1016/j.actaastro.2023.12.016" TargetMode="External"/><Relationship Id="rId182" Type="http://schemas.openxmlformats.org/officeDocument/2006/relationships/hyperlink" Target="https://doi.org/10.1016/j.actaastro.2024.06.015" TargetMode="External"/><Relationship Id="rId172" Type="http://schemas.openxmlformats.org/officeDocument/2006/relationships/hyperlink" Target="https://doi.org/10.1016/j.actaastro.2024.09.004" TargetMode="External"/><Relationship Id="rId178" Type="http://schemas.openxmlformats.org/officeDocument/2006/relationships/hyperlink" Target="https://doi.org/10.1016/j.actaastro.2024.11.033" TargetMode="External"/><Relationship Id="rId138" Type="http://schemas.openxmlformats.org/officeDocument/2006/relationships/hyperlink" Target="https://doi.org/10.1016/j.actaastro.2025.01.042" TargetMode="External"/><Relationship Id="rId176" Type="http://schemas.openxmlformats.org/officeDocument/2006/relationships/hyperlink" Target="https://doi.org/10.1016/j.actaastro.2025.06.068" TargetMode="External"/><Relationship Id="rId174" Type="http://schemas.openxmlformats.org/officeDocument/2006/relationships/hyperlink" Target="https://doi.org/10.1016/j.actaastro.2025.08.040" TargetMode="External"/><Relationship Id="rId180" Type="http://schemas.openxmlformats.org/officeDocument/2006/relationships/hyperlink" Target="https://doi.org/10.1016/j.actaastro.2025.09.076" TargetMode="External"/><Relationship Id="rId184" Type="http://schemas.openxmlformats.org/officeDocument/2006/relationships/hyperlink" Target="https://doi.org/10.1016/j.actaastro.2026.01.033" TargetMode="External"/><Relationship Id="rId163" Type="http://schemas.openxmlformats.org/officeDocument/2006/relationships/hyperlink" Target="https://doi.org/10.64861/GKOG1305" TargetMode="External"/><Relationship Id="rId156" Type="http://schemas.openxmlformats.org/officeDocument/2006/relationships/hyperlink" Target="https://doi.org/10.64861/IRQJ5401" TargetMode="External"/><Relationship Id="rId159" Type="http://schemas.openxmlformats.org/officeDocument/2006/relationships/hyperlink" Target="https://doi.org/10.64861/JBSY4546" TargetMode="External"/><Relationship Id="rId142" Type="http://schemas.openxmlformats.org/officeDocument/2006/relationships/hyperlink" Target="https://doi.org/10.64861/LQWT7494" TargetMode="External"/><Relationship Id="rId161" Type="http://schemas.openxmlformats.org/officeDocument/2006/relationships/hyperlink" Target="https://doi.org/10.64861/NNTV6285" TargetMode="External"/><Relationship Id="rId145" Type="http://schemas.openxmlformats.org/officeDocument/2006/relationships/hyperlink" Target="https://doi.org/10.64861/PTIC5794" TargetMode="External"/><Relationship Id="rId165" Type="http://schemas.openxmlformats.org/officeDocument/2006/relationships/hyperlink" Target="https://doi.org/10.64861/QAOZ6812" TargetMode="External"/><Relationship Id="rId136" Type="http://schemas.openxmlformats.org/officeDocument/2006/relationships/hyperlink" Target="https://doi.org/10.64861/QEDJ9012" TargetMode="External"/><Relationship Id="rId168" Type="http://schemas.openxmlformats.org/officeDocument/2006/relationships/hyperlink" Target="https://doi.org/10.64861/TJIV3429" TargetMode="External"/></Relationships>
</file>

<file path=word/_rels/footnotes.xml.rels><?xml version='1.0' encoding='UTF-8' standalone='yes'?>
<Relationships xmlns="http://schemas.openxmlformats.org/package/2006/relationships"><Relationship Id="rId147" Type="http://schemas.openxmlformats.org/officeDocument/2006/relationships/hyperlink" Target="https://doi.org/10.1016/j.actaastro.2023.04.032" TargetMode="External"/><Relationship Id="rId170" Type="http://schemas.openxmlformats.org/officeDocument/2006/relationships/hyperlink" Target="https://doi.org/10.1016/j.actaastro.2023.12.016" TargetMode="External"/><Relationship Id="rId182" Type="http://schemas.openxmlformats.org/officeDocument/2006/relationships/hyperlink" Target="https://doi.org/10.1016/j.actaastro.2024.06.015" TargetMode="External"/><Relationship Id="rId172" Type="http://schemas.openxmlformats.org/officeDocument/2006/relationships/hyperlink" Target="https://doi.org/10.1016/j.actaastro.2024.09.004" TargetMode="External"/><Relationship Id="rId178" Type="http://schemas.openxmlformats.org/officeDocument/2006/relationships/hyperlink" Target="https://doi.org/10.1016/j.actaastro.2024.11.033" TargetMode="External"/><Relationship Id="rId138" Type="http://schemas.openxmlformats.org/officeDocument/2006/relationships/hyperlink" Target="https://doi.org/10.1016/j.actaastro.2025.01.042" TargetMode="External"/><Relationship Id="rId176" Type="http://schemas.openxmlformats.org/officeDocument/2006/relationships/hyperlink" Target="https://doi.org/10.1016/j.actaastro.2025.06.068" TargetMode="External"/><Relationship Id="rId174" Type="http://schemas.openxmlformats.org/officeDocument/2006/relationships/hyperlink" Target="https://doi.org/10.1016/j.actaastro.2025.08.040" TargetMode="External"/><Relationship Id="rId180" Type="http://schemas.openxmlformats.org/officeDocument/2006/relationships/hyperlink" Target="https://doi.org/10.1016/j.actaastro.2025.09.076" TargetMode="External"/><Relationship Id="rId184" Type="http://schemas.openxmlformats.org/officeDocument/2006/relationships/hyperlink" Target="https://doi.org/10.1016/j.actaastro.2026.01.033" TargetMode="External"/><Relationship Id="rId163" Type="http://schemas.openxmlformats.org/officeDocument/2006/relationships/hyperlink" Target="https://doi.org/10.64861/GKOG1305" TargetMode="External"/><Relationship Id="rId156" Type="http://schemas.openxmlformats.org/officeDocument/2006/relationships/hyperlink" Target="https://doi.org/10.64861/IRQJ5401" TargetMode="External"/><Relationship Id="rId159" Type="http://schemas.openxmlformats.org/officeDocument/2006/relationships/hyperlink" Target="https://doi.org/10.64861/JBSY4546" TargetMode="External"/><Relationship Id="rId142" Type="http://schemas.openxmlformats.org/officeDocument/2006/relationships/hyperlink" Target="https://doi.org/10.64861/LQWT7494" TargetMode="External"/><Relationship Id="rId161" Type="http://schemas.openxmlformats.org/officeDocument/2006/relationships/hyperlink" Target="https://doi.org/10.64861/NNTV6285" TargetMode="External"/><Relationship Id="rId145" Type="http://schemas.openxmlformats.org/officeDocument/2006/relationships/hyperlink" Target="https://doi.org/10.64861/PTIC5794" TargetMode="External"/><Relationship Id="rId165" Type="http://schemas.openxmlformats.org/officeDocument/2006/relationships/hyperlink" Target="https://doi.org/10.64861/QAOZ6812" TargetMode="External"/><Relationship Id="rId136" Type="http://schemas.openxmlformats.org/officeDocument/2006/relationships/hyperlink" Target="https://doi.org/10.64861/QEDJ9012" TargetMode="External"/><Relationship Id="rId168" Type="http://schemas.openxmlformats.org/officeDocument/2006/relationships/hyperlink" Target="https://doi.org/10.64861/TJIV34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Maneuver Detection Latency and the Custody-Gap Window: How Long Does an LEO Object Remain Operationally Lost After an Unannounced Maneuver?</dc:title>
  <dc:creator>Julian Stern (1B-SDA-091)</dc:creator>
  <cp:keywords/>
  <dcterms:created xsi:type="dcterms:W3CDTF">2026-07-02T16:16:05Z</dcterms:created>
  <dcterms:modified xsi:type="dcterms:W3CDTF">2026-07-02T16:16:05Z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