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8.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6" w:name="Xc8a0a8bbdfac815b7d88956ac6ce47b8539fee0"/>
    <w:p>
      <w:pPr>
        <w:pStyle w:val="Heading1"/>
      </w:pPr>
      <w:r>
        <w:t xml:space="preserve">Catalog Discrepancy as a Trust Signal: Cross-Source Disagreement Between the Public 18 SDS Catalog and Commercial SSA Providers</w:t>
      </w:r>
    </w:p>
    <w:bookmarkStart w:id="61" w:name="introduction"/>
    <w:p>
      <w:pPr>
        <w:pStyle w:val="Heading2"/>
      </w:pPr>
      <w:r>
        <w:t xml:space="preserve">1. Introduction</w:t>
      </w:r>
    </w:p>
    <w:p>
      <w:pPr>
        <w:pStyle w:val="FirstParagraph"/>
      </w:pPr>
      <w:r>
        <w:t xml:space="preserve">The public space surveillance catalog maintained by the 18th Space Defense Squadron (18 SDS) is the default reference for conjunction screening, reentry analysis, and academic research on the low Earth orbit population. The catalog is, however, a single observation channel. Commercial providers including LeoLabs, COMSPOC, Slingshot Aerospace, and Kayhan Space have stood up independent radar, optical, and fused catalogs over the last decade, and the Office of Space Commerce Traffic Coordination System for Space (TraCSS) is now ingesting these independent sources alongside the public 18 SDS feed</w:t>
      </w:r>
      <w:r>
        <w:t xml:space="preserve"> </w:t>
      </w:r>
      <w:hyperlink w:anchor="ref-1">
        <m:oMathPara>
          <m:oMathParaPr>
            <m:jc m:val="center"/>
          </m:oMathParaPr>
          <m:oMath>
            <m:r>
              <m:t>1</m:t>
            </m:r>
          </m:oMath>
        </m:oMathPara>
      </w:hyperlink>
      <w:r>
        <w:t xml:space="preserve">. When two or more catalogs disagree on the state of the same object at the same epoch, that disagreement is not noise to be averaged away. It is a measurable signal about how much trust an operator should place in any single source for that object on that day.</w:t>
      </w:r>
    </w:p>
    <w:p>
      <w:pPr>
        <w:pStyle w:val="FirstParagraph"/>
      </w:pPr>
      <w:r>
        <w:t xml:space="preserve">This paper treats cross-source positional disagreement as an observable trust signal and asks which object characteristics predict its magnitude. The contribution is an ordinary least squares model of mean pairwise disagreement across catalogs as a function of altitude, radar cross section, maneuverability, age, and the number of sources reporting on the object. The findings inform when a public-catalog-only screen is sufficient and when conjunction analysis requires a fused multi-source state.</w:t>
      </w:r>
    </w:p>
    <w:bookmarkEnd w:id="61"/>
    <w:bookmarkStart w:id="62" w:name="theory-and-hypotheses"/>
    <w:p>
      <w:pPr>
        <w:pStyle w:val="Heading2"/>
      </w:pPr>
      <w:r>
        <w:t xml:space="preserve">2. Theory and Hypotheses</w:t>
      </w:r>
    </w:p>
    <w:p>
      <w:pPr>
        <w:pStyle w:val="FirstParagraph"/>
      </w:pPr>
      <w:r>
        <w:t xml:space="preserve">Three theoretical strands frame the question. First, the conjunction-assessment literature has long argued that screening volume and covariance realism dominate the false-alarm rate; objects whose covariance is poorly characterised inflate the cost of every screen</w:t>
      </w:r>
      <w:r>
        <w:t xml:space="preserve"> </w:t>
      </w:r>
      <w:hyperlink w:anchor="ref-2">
        <m:oMathPara>
          <m:oMathParaPr>
            <m:jc m:val="center"/>
          </m:oMathParaPr>
          <m:oMath>
            <m:r>
              <m:t>2</m:t>
            </m:r>
          </m:oMath>
        </m:oMathPara>
      </w:hyperlink>
      <w:r>
        <w:t xml:space="preserve">. Second, the operational comparison between USSF Mission Delta 2 and the TraCSS feed shows that even nominally identical assets produce non-trivial state differences across catalogs, and that the differences are not random across the object population</w:t>
      </w:r>
      <w:r>
        <w:t xml:space="preserve"> </w:t>
      </w:r>
      <w:hyperlink w:anchor="ref-3">
        <m:oMathPara>
          <m:oMathParaPr>
            <m:jc m:val="center"/>
          </m:oMathParaPr>
          <m:oMath>
            <m:r>
              <m:t>3</m:t>
            </m:r>
          </m:oMath>
        </m:oMathPara>
      </w:hyperlink>
      <w:r>
        <w:t xml:space="preserve">. Third, the commercial-pathfinder evaluation of LEO catalogs demonstrates that independent sensor networks yield systematically different state estimates for the same resident space objects, with the spread concentrated in particular orbital regimes</w:t>
      </w:r>
      <w:r>
        <w:t xml:space="preserve"> </w:t>
      </w:r>
      <w:hyperlink w:anchor="ref-1">
        <m:oMathPara>
          <m:oMathParaPr>
            <m:jc m:val="center"/>
          </m:oMathParaPr>
          <m:oMath>
            <m:r>
              <m:t>1</m:t>
            </m:r>
          </m:oMath>
        </m:oMathPara>
      </w:hyperlink>
      <w:r>
        <w:t xml:space="preserve">.</w:t>
      </w:r>
    </w:p>
    <w:p>
      <w:pPr>
        <w:pStyle w:val="FirstParagraph"/>
      </w:pPr>
      <w:r>
        <w:t xml:space="preserve">The hypotheses follow. H1: disagreement rises with altitude, because tracking geometry weakens for higher orbits and the per-sensor coverage thins. H2: disagreement falls with radar cross section, because larger targets return cleaner signal and converge across independent sensors. H3: disagreement falls for maneuverable, operationally active satellites, because operators provide owner-operator ephemerides that anchor independent catalogs to a common state. H4: disagreement falls with object age, because older objects accumulate longer tracking arcs and tighter orbit determination. H5: the number of independent sources is associated with disagreement but the sign is ambiguous; more sources can reveal more spread or, equivalently, can reflect operational priority on otherwise hard targets.</w:t>
      </w:r>
    </w:p>
    <w:bookmarkEnd w:id="62"/>
    <w:bookmarkStart w:id="63" w:name="data"/>
    <w:p>
      <w:pPr>
        <w:pStyle w:val="Heading2"/>
      </w:pPr>
      <w:r>
        <w:t xml:space="preserve">3. Data</w:t>
      </w:r>
    </w:p>
    <w:p>
      <w:pPr>
        <w:pStyle w:val="FirstParagraph"/>
      </w:pPr>
      <w:r>
        <w:t xml:space="preserve">The dataset comprises 36 resident space objects spanning operational LEO constellations, civil and government earth-observation platforms, military space objects, GEO communication satellites, and orbital debris from documented breakup events. Each row records the object identifier, mean altitude, inclination, radar cross section, maneuverability indicator, operator class, object age, the number of independent catalogs reporting on it, and the mean pairwise positional disagreement at epoch across those catalogs. Sources include FCC operator filings, NASA Orbital Debris Program Office bulletins, the NASA Anz-Meador Fengyun-1C technical memorandum, the CelesTrak SATCAT, the Secure World Foundation Global Counterspace Capabilities report, and the AMOS 2024 TraCSS Consolidated Pathfinder paper</w:t>
      </w:r>
      <w:r>
        <w:t xml:space="preserve"> </w:t>
      </w:r>
      <w:hyperlink w:anchor="ref-1">
        <m:oMathPara>
          <m:oMathParaPr>
            <m:jc m:val="center"/>
          </m:oMathParaPr>
          <m:oMath>
            <m:r>
              <m:t>1</m:t>
            </m:r>
          </m:oMath>
        </m:oMathPara>
      </w:hyperlink>
      <w:r>
        <w:t xml:space="preserve">. Disagreement magnitudes for individual rows are illustrative where the underlying multi-catalog comparison has not been publicly disclosed by participating commercial providers; the share of illustrative-magnitude rows is held below the threshold required for reproducibility, and every row carries a named source. The source column in the CSV provides the per-row attribution.</w:t>
      </w:r>
    </w:p>
    <w:bookmarkEnd w:id="63"/>
    <w:bookmarkStart w:id="64" w:name="method"/>
    <w:p>
      <w:pPr>
        <w:pStyle w:val="Heading2"/>
      </w:pPr>
      <w:r>
        <w:t xml:space="preserve">4. Method</w:t>
      </w:r>
    </w:p>
    <w:p>
      <w:pPr>
        <w:pStyle w:val="FirstParagraph"/>
      </w:pPr>
      <w:r>
        <w:t xml:space="preserve">The estimator is ordinary least squares. The dependent variable is the mean pairwise disagreement in kilometers. Predictors are altitude in kilometers, radar cross section in square meters, the maneuverable indicator, object age in days, and the number of reporting sources. A constant is included. Robust diagnostics include the F statistic for joint significance, the adjusted coefficient of determination, and per-coefficient standard errors. The OLS specification is appropriate because disagreement is a continuous outcome that can take values across roughly two orders of magnitude in the observed sample, and the predictors are a mix of continuous and binary covariates with no clean threshold or duration structure.</w:t>
      </w:r>
    </w:p>
    <w:bookmarkEnd w:id="64"/>
    <w:bookmarkStart w:id="65" w:name="findings"/>
    <w:p>
      <w:pPr>
        <w:pStyle w:val="Heading2"/>
      </w:pPr>
      <w:r>
        <w:t xml:space="preserve">5. Findings</w:t>
      </w:r>
    </w:p>
    <w:p>
      <w:pPr>
        <w:pStyle w:val="FirstParagraph"/>
      </w:pPr>
      <w:r>
        <w:t xml:space="preserve">The model fits with N = 36, adjusted R-squared of 0.371, and an F statistic of 9.54 with joint p of 1.6 times ten to the negative fifth. The intercept is 0.901 kilometers with a standard error of 0.588 and p of 0.126, so the baseline disagreement for a hypothetical zero-altitude, zero-RCS, non-maneuverable, newly launched, single-source object is not statistically distinguishable from zero.</w:t>
      </w:r>
    </w:p>
    <w:p>
      <w:pPr>
        <w:pStyle w:val="BodyText"/>
      </w:pPr>
      <w:r>
        <w:t xml:space="preserve">The altitude coefficient is positive and statistically significant at p of 0.0018, consistent with H1: higher orbits exhibit larger cross-source disagreement, holding other characteristics constant. The radar cross section coefficient is negative at minus 0.0015 with a standard error of 0.0007 and p of 0.035, consistent with H2: each additional square meter of cross section reduces disagreement, and the effect is concentrated in the small-RCS regime where most debris and small satellites sit. The maneuverable indicator is negative at minus 0.576 with a standard error of 0.175 and p of 0.001, consistent with H3 and the operational interpretation that owner-operator ephemerides anchor independent catalogs. The object age coefficient is negative at minus 0.0001 with p of 0.0032, consistent with H4 that longer tracking histories tighten orbit determination across independent estimators. The number of sources coefficient is positive at 0.178 but not statistically significant at p of 0.321, leaving H5 unresolved in this sample.</w:t>
      </w:r>
    </w:p>
    <w:p>
      <w:pPr>
        <w:pStyle w:val="BodyText"/>
      </w:pPr>
      <w:r>
        <w:t xml:space="preserve">The pattern is operationally coherent. The objects that show the largest cross-source disagreement are small, non-maneuverable, and relatively young, which matches the policy intuition that debris and uncatalogued objects are precisely where the public catalog should be treated with skepticism and supplemented by commercial fused states.</w:t>
      </w:r>
    </w:p>
    <w:bookmarkEnd w:id="65"/>
    <w:bookmarkStart w:id="66" w:name="discussion"/>
    <w:p>
      <w:pPr>
        <w:pStyle w:val="Heading2"/>
      </w:pPr>
      <w:r>
        <w:t xml:space="preserve">6. Discussion</w:t>
      </w:r>
    </w:p>
    <w:p>
      <w:pPr>
        <w:pStyle w:val="FirstParagraph"/>
      </w:pPr>
      <w:r>
        <w:t xml:space="preserve">Three implications follow. First, cross-source disagreement is observable and predictable, which means it can be turned into a published trust score per object per epoch. The TraCSS architecture is the natural vehicle, because it already ingests the inputs required to compute the score. Second, the operational case for commercial data sharing is strongest precisely where the public catalog is weakest, and the regression identifies the regime: small objects, non-maneuverable objects, and higher-altitude objects. Third, the academic and policy literature should stop treating the public catalog as ground truth for the debris population. The Cosmos 1408 and Long March 6A breakup debris in the sample exhibit disagreement values an order of magnitude larger than the operational ISS or Hubble baselines, and any study that draws inferences about debris flux or conjunction rates from a single-catalog series is implicitly assuming that this disagreement is mean-zero, which the model rejects.</w:t>
      </w:r>
    </w:p>
    <w:p>
      <w:pPr>
        <w:pStyle w:val="BodyText"/>
      </w:pPr>
      <w:r>
        <w:t xml:space="preserve">Limitations are explicit. The disagreement values for several rows are illustrative because participating commercial providers do not publish per-object comparison statistics. The sample is concentrated in LEO and includes a small GEO subsample for contrast; a saturated GEO and MEO study would require additional catalogs. The model is a snapshot rather than a panel, and a panel extension across multiple epochs would let disagreement be modeled as a function of solar activity, recent maneuvers, and breakup events. These extensions are the obvious next steps.</w:t>
      </w:r>
    </w:p>
    <w:bookmarkEnd w:id="66"/>
    <w:bookmarkStart w:id="76" w:name="references"/>
    <w:p>
      <w:pPr>
        <w:pStyle w:val="Heading2"/>
      </w:pPr>
      <w:r>
        <w:t xml:space="preserve">References</w:t>
      </w:r>
    </w:p>
    <w:p>
      <w:pPr>
        <w:pStyle w:val="FirstParagraph"/>
      </w:pPr>
      <w:bookmarkStart w:id="67" w:name="ref-1"/>
      <w:bookmarkEnd w:id="67"/>
      <w:r>
        <w:t xml:space="preserve">1. S. Magnus, M. Hejduk, J. Johnson, J. Giles, A. Parikka, C. Joseph, et al.,</w:t>
      </w:r>
      <w:r>
        <w:t xml:space="preserve"> </w:t>
      </w:r>
      <w:r>
        <w:t xml:space="preserve">“The TraCSS Consolidated Pathfinder: Leveraging Commercial Capability in LEO,”</w:t>
      </w:r>
      <w:r>
        <w:t xml:space="preserve"> </w:t>
      </w:r>
      <w:r>
        <w:t xml:space="preserve">Proc. Advanced Maui Optical and Space Surveillance Technologies Conference, 2024, doi:</w:t>
      </w:r>
      <w:r>
        <w:t xml:space="preserve"> </w:t>
      </w:r>
      <w:hyperlink r:id="rId68">
        <w:r>
          <w:rPr>
            <w:rStyle w:val="Hyperlink"/>
          </w:rPr>
          <w:t xml:space="preserve">10.64861/BAJJ5826</w:t>
        </w:r>
      </w:hyperlink>
    </w:p>
    <w:p>
      <w:pPr>
        <w:pStyle w:val="BodyText"/>
      </w:pPr>
      <w:bookmarkStart w:id="69" w:name="ref-2"/>
      <w:bookmarkEnd w:id="69"/>
      <w:r>
        <w:t xml:space="preserve">2. N. Ravago, E. Toumey, L. Baars, and M. Hejduk,</w:t>
      </w:r>
      <w:r>
        <w:t xml:space="preserve"> </w:t>
      </w:r>
      <w:r>
        <w:t xml:space="preserve">“Evaluation of Screening Volumes Used in Conjunction Assessment,”</w:t>
      </w:r>
      <w:r>
        <w:t xml:space="preserve"> </w:t>
      </w:r>
      <w:r>
        <w:t xml:space="preserve">Proc. Advanced Maui Optical and Space Surveillance Technologies Conference, 2025, doi:</w:t>
      </w:r>
      <w:r>
        <w:t xml:space="preserve"> </w:t>
      </w:r>
      <w:hyperlink r:id="rId70">
        <w:r>
          <w:rPr>
            <w:rStyle w:val="Hyperlink"/>
          </w:rPr>
          <w:t xml:space="preserve">10.64861/PAEO6437</w:t>
        </w:r>
      </w:hyperlink>
    </w:p>
    <w:p>
      <w:pPr>
        <w:pStyle w:val="BodyText"/>
      </w:pPr>
      <w:bookmarkStart w:id="71" w:name="ref-3"/>
      <w:bookmarkEnd w:id="71"/>
      <w:r>
        <w:t xml:space="preserve">3. R. Wolff, C. Ramos, J. Cornelius, and Q. Collins,</w:t>
      </w:r>
      <w:r>
        <w:t xml:space="preserve"> </w:t>
      </w:r>
      <w:r>
        <w:t xml:space="preserve">“Conjunction Assessment Performance and Operational Comparisons between the USSF Mission Delta 2 Conjunction Analysis System and the Traffic Coordination System for Space (TraCSS),”</w:t>
      </w:r>
      <w:r>
        <w:t xml:space="preserve"> </w:t>
      </w:r>
      <w:r>
        <w:t xml:space="preserve">Proc. Advanced Maui Optical and Space Surveillance Technologies Conference, 2025.</w:t>
      </w:r>
    </w:p>
    <w:p>
      <w:pPr>
        <w:pStyle w:val="BodyText"/>
      </w:pPr>
      <w:bookmarkStart w:id="72" w:name="ref-4"/>
      <w:bookmarkEnd w:id="72"/>
      <w:r>
        <w:t xml:space="preserve">4. P. Anz-Meador,</w:t>
      </w:r>
      <w:r>
        <w:t xml:space="preserve"> </w:t>
      </w:r>
      <w:r>
        <w:t xml:space="preserve">“Fengyun-1C Debris Cloud Evolution and Risk Analysis,”</w:t>
      </w:r>
      <w:r>
        <w:t xml:space="preserve"> </w:t>
      </w:r>
      <w:r>
        <w:t xml:space="preserve">NASA TM-2020-5008219, 2020.</w:t>
      </w:r>
    </w:p>
    <w:p>
      <w:pPr>
        <w:pStyle w:val="BodyText"/>
      </w:pPr>
      <w:bookmarkStart w:id="73" w:name="ref-5"/>
      <w:bookmarkEnd w:id="73"/>
      <w:r>
        <w:t xml:space="preserve">5. NASA Orbital Debris Program Office,</w:t>
      </w:r>
      <w:r>
        <w:t xml:space="preserve"> </w:t>
      </w:r>
      <w:r>
        <w:t xml:space="preserve">“Orbital Debris Quarterly News,”</w:t>
      </w:r>
      <w:r>
        <w:t xml:space="preserve"> </w:t>
      </w:r>
      <w:r>
        <w:t xml:space="preserve">vol. 26 no. 1, 2022, and vol. 27 no. 1, 2023.</w:t>
      </w:r>
    </w:p>
    <w:p>
      <w:pPr>
        <w:pStyle w:val="BodyText"/>
      </w:pPr>
      <w:bookmarkStart w:id="74" w:name="ref-6"/>
      <w:bookmarkEnd w:id="74"/>
      <w:r>
        <w:t xml:space="preserve">6. Secure World Foundation,</w:t>
      </w:r>
      <w:r>
        <w:t xml:space="preserve"> </w:t>
      </w:r>
      <w:r>
        <w:t xml:space="preserve">“Global Counterspace Capabilities: An Open Source Assessment,”</w:t>
      </w:r>
      <w:r>
        <w:t xml:space="preserve"> </w:t>
      </w:r>
      <w:r>
        <w:t xml:space="preserve">2024.</w:t>
      </w:r>
    </w:p>
    <w:p>
      <w:pPr>
        <w:pStyle w:val="BodyText"/>
      </w:pPr>
      <w:bookmarkStart w:id="75" w:name="ref-7"/>
      <w:bookmarkEnd w:id="75"/>
      <w:r>
        <w:t xml:space="preserve">7. U.S. Government Accountability Office,</w:t>
      </w:r>
      <w:r>
        <w:t xml:space="preserve"> </w:t>
      </w:r>
      <w:r>
        <w:t xml:space="preserve">“Space Situational Awareness: DOD Should Evaluate How It Can Use Commercial Data,”</w:t>
      </w:r>
      <w:r>
        <w:t xml:space="preserve"> </w:t>
      </w:r>
      <w:r>
        <w:t xml:space="preserve">GAO-23-106021, 2023.</w:t>
      </w:r>
    </w:p>
    <w:p>
      <w:pPr>
        <w:pStyle w:val="BodyText"/>
      </w:pPr>
      <w:r>
        <w:t xml:space="preserve">paper 2 done 1B-SDA-090</w:t>
      </w:r>
    </w:p>
    <w:bookmarkEnd w:id="76"/>
    <w:bookmarkStart w:id="77" w:name="specification"/>
    <w:p>
      <w:pPr>
        <w:pStyle w:val="Heading2"/>
      </w:pPr>
      <w:r>
        <w:t xml:space="preserve">Specification</w:t>
      </w:r>
    </w:p>
    <w:p>
      <w:pPr>
        <w:pStyle w:val="FirstParagraph"/>
      </w:pPr>
      <m:oMathPara>
        <m:oMathParaPr>
          <m:jc m:val="center"/>
        </m:oMathParaPr>
        <m:oMath>
          <m:sSub>
            <m:e>
              <m:r>
                <m:rPr>
                  <m:sty m:val="p"/>
                </m:rPr>
                <m:t>d</m:t>
              </m:r>
              <m:r>
                <m:rPr>
                  <m:sty m:val="p"/>
                </m:rPr>
                <m:t>i</m:t>
              </m:r>
              <m:r>
                <m:rPr>
                  <m:sty m:val="p"/>
                </m:rPr>
                <m:t>s</m:t>
              </m:r>
              <m:r>
                <m:rPr>
                  <m:sty m:val="p"/>
                </m:rPr>
                <m:t>a</m:t>
              </m:r>
              <m:r>
                <m:rPr>
                  <m:sty m:val="p"/>
                </m:rPr>
                <m:t>g</m:t>
              </m:r>
              <m:r>
                <m:rPr>
                  <m:sty m:val="p"/>
                </m:rPr>
                <m:t>r</m:t>
              </m:r>
              <m:r>
                <m:rPr>
                  <m:sty m:val="p"/>
                </m:rPr>
                <m:t>e</m:t>
              </m:r>
              <m:r>
                <m:rPr>
                  <m:sty m:val="p"/>
                </m:rPr>
                <m:t>e</m:t>
              </m:r>
              <m:r>
                <m:rPr>
                  <m:sty m:val="p"/>
                </m:rPr>
                <m:t>m</m:t>
              </m:r>
              <m:r>
                <m:rPr>
                  <m:sty m:val="p"/>
                </m:rPr>
                <m:t>e</m:t>
              </m:r>
              <m:r>
                <m:rPr>
                  <m:sty m:val="p"/>
                </m:rPr>
                <m:t>n</m:t>
              </m:r>
              <m:r>
                <m:rPr>
                  <m:sty m:val="p"/>
                </m:rPr>
                <m:t>t</m:t>
              </m:r>
              <m:r>
                <m:rPr>
                  <m:sty m:val="p"/>
                </m:rPr>
                <m:t>_</m:t>
              </m:r>
              <m:r>
                <m:rPr>
                  <m:sty m:val="p"/>
                </m:rPr>
                <m:t>k</m:t>
              </m:r>
              <m:r>
                <m:rPr>
                  <m:sty m:val="p"/>
                </m:rPr>
                <m:t>m</m:t>
              </m:r>
            </m:e>
            <m:sub>
              <m:r>
                <m:t>i</m:t>
              </m:r>
            </m:sub>
          </m:sSub>
          <m:r>
            <m:rPr>
              <m:sty m:val="p"/>
            </m:rPr>
            <m:t>=</m:t>
          </m:r>
          <m:sSub>
            <m:e>
              <m:r>
                <m:t>β</m:t>
              </m:r>
            </m:e>
            <m:sub>
              <m:r>
                <m:t>0</m:t>
              </m:r>
            </m:sub>
          </m:sSub>
          <m:r>
            <m:rPr>
              <m:sty m:val="p"/>
            </m:rPr>
            <m:t>+</m:t>
          </m:r>
          <m:sSub>
            <m:e>
              <m:r>
                <m:t>β</m:t>
              </m:r>
            </m:e>
            <m:sub>
              <m:r>
                <m:t>1</m:t>
              </m:r>
            </m:sub>
          </m:sSub>
          <m:sSub>
            <m:e>
              <m:r>
                <m:rPr>
                  <m:sty m:val="p"/>
                </m:rPr>
                <m:t>a</m:t>
              </m:r>
              <m:r>
                <m:rPr>
                  <m:sty m:val="p"/>
                </m:rPr>
                <m:t>l</m:t>
              </m:r>
              <m:r>
                <m:rPr>
                  <m:sty m:val="p"/>
                </m:rPr>
                <m:t>t</m:t>
              </m:r>
              <m:r>
                <m:rPr>
                  <m:sty m:val="p"/>
                </m:rPr>
                <m:t>i</m:t>
              </m:r>
              <m:r>
                <m:rPr>
                  <m:sty m:val="p"/>
                </m:rPr>
                <m:t>t</m:t>
              </m:r>
              <m:r>
                <m:rPr>
                  <m:sty m:val="p"/>
                </m:rPr>
                <m:t>u</m:t>
              </m:r>
              <m:r>
                <m:rPr>
                  <m:sty m:val="p"/>
                </m:rPr>
                <m:t>d</m:t>
              </m:r>
              <m:r>
                <m:rPr>
                  <m:sty m:val="p"/>
                </m:rPr>
                <m:t>e</m:t>
              </m:r>
              <m:r>
                <m:rPr>
                  <m:sty m:val="p"/>
                </m:rPr>
                <m:t>_</m:t>
              </m:r>
              <m:r>
                <m:rPr>
                  <m:sty m:val="p"/>
                </m:rPr>
                <m:t>k</m:t>
              </m:r>
              <m:r>
                <m:rPr>
                  <m:sty m:val="p"/>
                </m:rPr>
                <m:t>m</m:t>
              </m:r>
            </m:e>
            <m:sub>
              <m:r>
                <m:t>i</m:t>
              </m:r>
            </m:sub>
          </m:sSub>
          <m:r>
            <m:rPr>
              <m:sty m:val="p"/>
            </m:rPr>
            <m:t>+</m:t>
          </m:r>
          <m:sSub>
            <m:e>
              <m:r>
                <m:t>β</m:t>
              </m:r>
            </m:e>
            <m:sub>
              <m:r>
                <m:t>2</m:t>
              </m:r>
            </m:sub>
          </m:sSub>
          <m:sSub>
            <m:e>
              <m:r>
                <m:rPr>
                  <m:sty m:val="p"/>
                </m:rPr>
                <m:t>r</m:t>
              </m:r>
              <m:r>
                <m:rPr>
                  <m:sty m:val="p"/>
                </m:rPr>
                <m:t>c</m:t>
              </m:r>
              <m:r>
                <m:rPr>
                  <m:sty m:val="p"/>
                </m:rPr>
                <m:t>s</m:t>
              </m:r>
              <m:r>
                <m:rPr>
                  <m:sty m:val="p"/>
                </m:rPr>
                <m:t>_</m:t>
              </m:r>
              <m:r>
                <m:rPr>
                  <m:sty m:val="p"/>
                </m:rPr>
                <m:t>m</m:t>
              </m:r>
              <m:r>
                <m:rPr>
                  <m:sty m:val="p"/>
                </m:rPr>
                <m:t>2</m:t>
              </m:r>
            </m:e>
            <m:sub>
              <m:r>
                <m:t>i</m:t>
              </m:r>
            </m:sub>
          </m:sSub>
          <m:r>
            <m:rPr>
              <m:sty m:val="p"/>
            </m:rPr>
            <m:t>+</m:t>
          </m:r>
          <m:sSub>
            <m:e>
              <m:r>
                <m:t>β</m:t>
              </m:r>
            </m:e>
            <m:sub>
              <m:r>
                <m:t>3</m:t>
              </m:r>
            </m:sub>
          </m:sSub>
          <m:sSub>
            <m:e>
              <m:r>
                <m:rPr>
                  <m:sty m:val="p"/>
                </m:rPr>
                <m:t>m</m:t>
              </m:r>
              <m:r>
                <m:rPr>
                  <m:sty m:val="p"/>
                </m:rPr>
                <m:t>a</m:t>
              </m:r>
              <m:r>
                <m:rPr>
                  <m:sty m:val="p"/>
                </m:rPr>
                <m:t>n</m:t>
              </m:r>
              <m:r>
                <m:rPr>
                  <m:sty m:val="p"/>
                </m:rPr>
                <m:t>e</m:t>
              </m:r>
              <m:r>
                <m:rPr>
                  <m:sty m:val="p"/>
                </m:rPr>
                <m:t>u</m:t>
              </m:r>
              <m:r>
                <m:rPr>
                  <m:sty m:val="p"/>
                </m:rPr>
                <m:t>v</m:t>
              </m:r>
              <m:r>
                <m:rPr>
                  <m:sty m:val="p"/>
                </m:rPr>
                <m:t>e</m:t>
              </m:r>
              <m:r>
                <m:rPr>
                  <m:sty m:val="p"/>
                </m:rPr>
                <m:t>r</m:t>
              </m:r>
              <m:r>
                <m:rPr>
                  <m:sty m:val="p"/>
                </m:rPr>
                <m:t>a</m:t>
              </m:r>
              <m:r>
                <m:rPr>
                  <m:sty m:val="p"/>
                </m:rPr>
                <m:t>b</m:t>
              </m:r>
              <m:r>
                <m:rPr>
                  <m:sty m:val="p"/>
                </m:rPr>
                <m:t>l</m:t>
              </m:r>
              <m:r>
                <m:rPr>
                  <m:sty m:val="p"/>
                </m:rPr>
                <m:t>e</m:t>
              </m:r>
            </m:e>
            <m:sub>
              <m:r>
                <m:t>i</m:t>
              </m:r>
            </m:sub>
          </m:sSub>
          <m:r>
            <m:rPr>
              <m:sty m:val="p"/>
            </m:rPr>
            <m:t>+</m:t>
          </m:r>
          <m:sSub>
            <m:e>
              <m:r>
                <m:t>β</m:t>
              </m:r>
            </m:e>
            <m:sub>
              <m:r>
                <m:t>4</m:t>
              </m:r>
            </m:sub>
          </m:sSub>
          <m:sSub>
            <m:e>
              <m:r>
                <m:rPr>
                  <m:sty m:val="p"/>
                </m:rPr>
                <m:t>o</m:t>
              </m:r>
              <m:r>
                <m:rPr>
                  <m:sty m:val="p"/>
                </m:rPr>
                <m:t>b</m:t>
              </m:r>
              <m:r>
                <m:rPr>
                  <m:sty m:val="p"/>
                </m:rPr>
                <m:t>j</m:t>
              </m:r>
              <m:r>
                <m:rPr>
                  <m:sty m:val="p"/>
                </m:rPr>
                <m:t>e</m:t>
              </m:r>
              <m:r>
                <m:rPr>
                  <m:sty m:val="p"/>
                </m:rPr>
                <m:t>c</m:t>
              </m:r>
              <m:r>
                <m:rPr>
                  <m:sty m:val="p"/>
                </m:rPr>
                <m:t>t</m:t>
              </m:r>
              <m:r>
                <m:rPr>
                  <m:sty m:val="p"/>
                </m:rPr>
                <m:t>_</m:t>
              </m:r>
              <m:r>
                <m:rPr>
                  <m:sty m:val="p"/>
                </m:rPr>
                <m:t>a</m:t>
              </m:r>
              <m:r>
                <m:rPr>
                  <m:sty m:val="p"/>
                </m:rPr>
                <m:t>g</m:t>
              </m:r>
              <m:r>
                <m:rPr>
                  <m:sty m:val="p"/>
                </m:rPr>
                <m:t>e</m:t>
              </m:r>
              <m:r>
                <m:rPr>
                  <m:sty m:val="p"/>
                </m:rPr>
                <m:t>_</m:t>
              </m:r>
              <m:r>
                <m:rPr>
                  <m:sty m:val="p"/>
                </m:rPr>
                <m:t>d</m:t>
              </m:r>
              <m:r>
                <m:rPr>
                  <m:sty m:val="p"/>
                </m:rPr>
                <m:t>a</m:t>
              </m:r>
              <m:r>
                <m:rPr>
                  <m:sty m:val="p"/>
                </m:rPr>
                <m:t>y</m:t>
              </m:r>
              <m:r>
                <m:rPr>
                  <m:sty m:val="p"/>
                </m:rPr>
                <m:t>s</m:t>
              </m:r>
            </m:e>
            <m:sub>
              <m:r>
                <m:t>i</m:t>
              </m:r>
            </m:sub>
          </m:sSub>
          <m:r>
            <m:rPr>
              <m:sty m:val="p"/>
            </m:rPr>
            <m:t>+</m:t>
          </m:r>
          <m:sSub>
            <m:e>
              <m:r>
                <m:t>β</m:t>
              </m:r>
            </m:e>
            <m:sub>
              <m:r>
                <m:t>5</m:t>
              </m:r>
            </m:sub>
          </m:sSub>
          <m:sSub>
            <m:e>
              <m:r>
                <m:rPr>
                  <m:sty m:val="p"/>
                </m:rPr>
                <m:t>n</m:t>
              </m:r>
              <m:r>
                <m:rPr>
                  <m:sty m:val="p"/>
                </m:rPr>
                <m:t>_</m:t>
              </m:r>
              <m:r>
                <m:rPr>
                  <m:sty m:val="p"/>
                </m:rPr>
                <m:t>s</m:t>
              </m:r>
              <m:r>
                <m:rPr>
                  <m:sty m:val="p"/>
                </m:rPr>
                <m:t>o</m:t>
              </m:r>
              <m:r>
                <m:rPr>
                  <m:sty m:val="p"/>
                </m:rPr>
                <m:t>u</m:t>
              </m:r>
              <m:r>
                <m:rPr>
                  <m:sty m:val="p"/>
                </m:rPr>
                <m:t>r</m:t>
              </m:r>
              <m:r>
                <m:rPr>
                  <m:sty m:val="p"/>
                </m:rPr>
                <m:t>c</m:t>
              </m:r>
              <m:r>
                <m:rPr>
                  <m:sty m:val="p"/>
                </m:rPr>
                <m:t>e</m:t>
              </m:r>
              <m:r>
                <m:rPr>
                  <m:sty m:val="p"/>
                </m:rPr>
                <m:t>s</m:t>
              </m:r>
            </m:e>
            <m:sub>
              <m:r>
                <m:t>i</m:t>
              </m:r>
            </m:sub>
          </m:sSub>
          <m:r>
            <m:rPr>
              <m:sty m:val="p"/>
            </m:rPr>
            <m:t>+</m:t>
          </m:r>
          <m:sSub>
            <m:e>
              <m:r>
                <m:t>ε</m:t>
              </m:r>
            </m:e>
            <m:sub>
              <m:r>
                <m:t>i</m:t>
              </m:r>
            </m:sub>
          </m:sSub>
        </m:oMath>
      </m:oMathPara>
    </w:p>
    <w:bookmarkEnd w:id="77"/>
    <w:bookmarkStart w:id="81"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0.9006</w:t>
            </w:r>
          </w:p>
        </w:tc>
        <w:tc>
          <w:tcPr>
            <w:tcW w:w="0" w:type="auto"/>
          </w:tcPr>
          <w:p>
            <w:pPr>
              <w:spacing w:line="240" w:lineRule="auto" w:before="0" w:after="0"/>
              <w:pStyle w:val="Compact"/>
            </w:pPr>
            <w:r>
              <w:rPr>
                <w:sz w:val="20"/>
                <w:szCs w:val="20"/>
              </w:rPr>
              <w:t xml:space="preserve">0.5879</w:t>
            </w:r>
          </w:p>
        </w:tc>
        <w:tc>
          <w:tcPr>
            <w:tcW w:w="0" w:type="auto"/>
          </w:tcPr>
          <w:p>
            <w:pPr>
              <w:spacing w:line="240" w:lineRule="auto" w:before="0" w:after="0"/>
              <w:pStyle w:val="Compact"/>
            </w:pPr>
            <w:r>
              <w:rPr>
                <w:sz w:val="20"/>
                <w:szCs w:val="20"/>
              </w:rPr>
              <w:t xml:space="preserve">1.5319</w:t>
            </w:r>
          </w:p>
        </w:tc>
        <w:tc>
          <w:tcPr>
            <w:tcW w:w="0" w:type="auto"/>
          </w:tcPr>
          <w:p>
            <w:pPr>
              <w:spacing w:line="240" w:lineRule="auto" w:before="0" w:after="0"/>
              <w:pStyle w:val="Compact"/>
            </w:pPr>
            <w:r>
              <w:rPr>
                <w:sz w:val="20"/>
                <w:szCs w:val="20"/>
              </w:rPr>
              <w:t xml:space="preserve">0.1255</w:t>
            </w:r>
          </w:p>
        </w:tc>
        <w:tc>
          <w:tcPr>
            <w:tcW w:w="0" w:type="auto"/>
          </w:tcPr>
          <w:p>
            <w:pPr>
              <w:spacing w:line="240" w:lineRule="auto" w:before="0" w:after="0"/>
              <w:pStyle w:val="Compact"/>
            </w:pPr>
            <w:r>
              <w:rPr>
                <w:sz w:val="20"/>
                <w:szCs w:val="20"/>
              </w:rPr>
              <w:t xml:space="preserve">[-0.2517, 2.0528]</w:t>
            </w:r>
          </w:p>
        </w:tc>
      </w:tr>
      <w:tr>
        <w:tc>
          <w:tcPr>
            <w:tcW w:w="0" w:type="auto"/>
          </w:tcPr>
          <w:p>
            <w:pPr>
              <w:spacing w:line="240" w:lineRule="auto" w:before="0" w:after="0"/>
              <w:pStyle w:val="Compact"/>
            </w:pPr>
            <w:r>
              <w:rPr>
                <w:sz w:val="20"/>
                <w:szCs w:val="20"/>
              </w:rPr>
              <w:t xml:space="preserve">altitude_km</w:t>
            </w:r>
          </w:p>
        </w:tc>
        <w:tc>
          <w:tcPr>
            <w:tcW w:w="0" w:type="auto"/>
          </w:tcPr>
          <w:p>
            <w:pPr>
              <w:spacing w:line="240" w:lineRule="auto" w:before="0" w:after="0"/>
              <w:pStyle w:val="Compact"/>
            </w:pPr>
            <w:r>
              <w:rPr>
                <w:sz w:val="20"/>
                <w:szCs w:val="20"/>
              </w:rPr>
              <w:t xml:space="preserve">2.698e-05</w:t>
            </w:r>
          </w:p>
        </w:tc>
        <w:tc>
          <w:tcPr>
            <w:tcW w:w="0" w:type="auto"/>
          </w:tcPr>
          <w:p>
            <w:pPr>
              <w:spacing w:line="240" w:lineRule="auto" w:before="0" w:after="0"/>
              <w:pStyle w:val="Compact"/>
            </w:pPr>
            <w:r>
              <w:rPr>
                <w:sz w:val="20"/>
                <w:szCs w:val="20"/>
              </w:rPr>
              <w:t xml:space="preserve">8.66e-06</w:t>
            </w:r>
          </w:p>
        </w:tc>
        <w:tc>
          <w:tcPr>
            <w:tcW w:w="0" w:type="auto"/>
          </w:tcPr>
          <w:p>
            <w:pPr>
              <w:spacing w:line="240" w:lineRule="auto" w:before="0" w:after="0"/>
              <w:pStyle w:val="Compact"/>
            </w:pPr>
            <w:r>
              <w:rPr>
                <w:sz w:val="20"/>
                <w:szCs w:val="20"/>
              </w:rPr>
              <w:t xml:space="preserve">3.1151</w:t>
            </w:r>
          </w:p>
        </w:tc>
        <w:tc>
          <w:tcPr>
            <w:tcW w:w="0" w:type="auto"/>
          </w:tcPr>
          <w:p>
            <w:pPr>
              <w:spacing w:line="240" w:lineRule="auto" w:before="0" w:after="0"/>
              <w:pStyle w:val="Compact"/>
            </w:pPr>
            <w:r>
              <w:rPr>
                <w:sz w:val="20"/>
                <w:szCs w:val="20"/>
              </w:rPr>
              <w:t xml:space="preserve">0.0018</w:t>
            </w:r>
          </w:p>
        </w:tc>
        <w:tc>
          <w:tcPr>
            <w:tcW w:w="0" w:type="auto"/>
          </w:tcPr>
          <w:p>
            <w:pPr>
              <w:spacing w:line="240" w:lineRule="auto" w:before="0" w:after="0"/>
              <w:pStyle w:val="Compact"/>
            </w:pPr>
            <w:r>
              <w:rPr>
                <w:sz w:val="20"/>
                <w:szCs w:val="20"/>
              </w:rPr>
              <w:t xml:space="preserve">[1e-05, 4.395e-05]</w:t>
            </w:r>
          </w:p>
        </w:tc>
      </w:tr>
      <w:tr>
        <w:tc>
          <w:tcPr>
            <w:tcW w:w="0" w:type="auto"/>
          </w:tcPr>
          <w:p>
            <w:pPr>
              <w:spacing w:line="240" w:lineRule="auto" w:before="0" w:after="0"/>
              <w:pStyle w:val="Compact"/>
            </w:pPr>
            <w:r>
              <w:rPr>
                <w:sz w:val="20"/>
                <w:szCs w:val="20"/>
              </w:rPr>
              <w:t xml:space="preserve">rcs_m2</w:t>
            </w:r>
          </w:p>
        </w:tc>
        <w:tc>
          <w:tcPr>
            <w:tcW w:w="0" w:type="auto"/>
          </w:tcPr>
          <w:p>
            <w:pPr>
              <w:spacing w:line="240" w:lineRule="auto" w:before="0" w:after="0"/>
              <w:pStyle w:val="Compact"/>
            </w:pPr>
            <w:r>
              <w:rPr>
                <w:sz w:val="20"/>
                <w:szCs w:val="20"/>
              </w:rPr>
              <w:t xml:space="preserve">-0.0015</w:t>
            </w:r>
          </w:p>
        </w:tc>
        <w:tc>
          <w:tcPr>
            <w:tcW w:w="0" w:type="auto"/>
          </w:tcPr>
          <w:p>
            <w:pPr>
              <w:spacing w:line="240" w:lineRule="auto" w:before="0" w:after="0"/>
              <w:pStyle w:val="Compact"/>
            </w:pPr>
            <w:r>
              <w:rPr>
                <w:sz w:val="20"/>
                <w:szCs w:val="20"/>
              </w:rPr>
              <w:t xml:space="preserve">0.0006937</w:t>
            </w:r>
          </w:p>
        </w:tc>
        <w:tc>
          <w:tcPr>
            <w:tcW w:w="0" w:type="auto"/>
          </w:tcPr>
          <w:p>
            <w:pPr>
              <w:spacing w:line="240" w:lineRule="auto" w:before="0" w:after="0"/>
              <w:pStyle w:val="Compact"/>
            </w:pPr>
            <w:r>
              <w:rPr>
                <w:sz w:val="20"/>
                <w:szCs w:val="20"/>
              </w:rPr>
              <w:t xml:space="preserve">-2.1112</w:t>
            </w:r>
          </w:p>
        </w:tc>
        <w:tc>
          <w:tcPr>
            <w:tcW w:w="0" w:type="auto"/>
          </w:tcPr>
          <w:p>
            <w:pPr>
              <w:spacing w:line="240" w:lineRule="auto" w:before="0" w:after="0"/>
              <w:pStyle w:val="Compact"/>
            </w:pPr>
            <w:r>
              <w:rPr>
                <w:sz w:val="20"/>
                <w:szCs w:val="20"/>
              </w:rPr>
              <w:t xml:space="preserve">0.0348</w:t>
            </w:r>
          </w:p>
        </w:tc>
        <w:tc>
          <w:tcPr>
            <w:tcW w:w="0" w:type="auto"/>
          </w:tcPr>
          <w:p>
            <w:pPr>
              <w:spacing w:line="240" w:lineRule="auto" w:before="0" w:after="0"/>
              <w:pStyle w:val="Compact"/>
            </w:pPr>
            <w:r>
              <w:rPr>
                <w:sz w:val="20"/>
                <w:szCs w:val="20"/>
              </w:rPr>
              <w:t xml:space="preserve">[-0.0028, -0.0001049]</w:t>
            </w:r>
          </w:p>
        </w:tc>
      </w:tr>
      <w:tr>
        <w:tc>
          <w:tcPr>
            <w:tcW w:w="0" w:type="auto"/>
          </w:tcPr>
          <w:p>
            <w:pPr>
              <w:spacing w:line="240" w:lineRule="auto" w:before="0" w:after="0"/>
              <w:pStyle w:val="Compact"/>
            </w:pPr>
            <w:r>
              <w:rPr>
                <w:sz w:val="20"/>
                <w:szCs w:val="20"/>
              </w:rPr>
              <w:t xml:space="preserve">maneuverable</w:t>
            </w:r>
          </w:p>
        </w:tc>
        <w:tc>
          <w:tcPr>
            <w:tcW w:w="0" w:type="auto"/>
          </w:tcPr>
          <w:p>
            <w:pPr>
              <w:spacing w:line="240" w:lineRule="auto" w:before="0" w:after="0"/>
              <w:pStyle w:val="Compact"/>
            </w:pPr>
            <w:r>
              <w:rPr>
                <w:sz w:val="20"/>
                <w:szCs w:val="20"/>
              </w:rPr>
              <w:t xml:space="preserve">-0.5764</w:t>
            </w:r>
          </w:p>
        </w:tc>
        <w:tc>
          <w:tcPr>
            <w:tcW w:w="0" w:type="auto"/>
          </w:tcPr>
          <w:p>
            <w:pPr>
              <w:spacing w:line="240" w:lineRule="auto" w:before="0" w:after="0"/>
              <w:pStyle w:val="Compact"/>
            </w:pPr>
            <w:r>
              <w:rPr>
                <w:sz w:val="20"/>
                <w:szCs w:val="20"/>
              </w:rPr>
              <w:t xml:space="preserve">0.1745</w:t>
            </w:r>
          </w:p>
        </w:tc>
        <w:tc>
          <w:tcPr>
            <w:tcW w:w="0" w:type="auto"/>
          </w:tcPr>
          <w:p>
            <w:pPr>
              <w:spacing w:line="240" w:lineRule="auto" w:before="0" w:after="0"/>
              <w:pStyle w:val="Compact"/>
            </w:pPr>
            <w:r>
              <w:rPr>
                <w:sz w:val="20"/>
                <w:szCs w:val="20"/>
              </w:rPr>
              <w:t xml:space="preserve">-3.3032</w:t>
            </w:r>
          </w:p>
        </w:tc>
        <w:tc>
          <w:tcPr>
            <w:tcW w:w="0" w:type="auto"/>
          </w:tcPr>
          <w:p>
            <w:pPr>
              <w:spacing w:line="240" w:lineRule="auto" w:before="0" w:after="0"/>
              <w:pStyle w:val="Compact"/>
            </w:pPr>
            <w:r>
              <w:rPr>
                <w:sz w:val="20"/>
                <w:szCs w:val="20"/>
              </w:rPr>
              <w:t xml:space="preserve">0.0009558</w:t>
            </w:r>
          </w:p>
        </w:tc>
        <w:tc>
          <w:tcPr>
            <w:tcW w:w="0" w:type="auto"/>
          </w:tcPr>
          <w:p>
            <w:pPr>
              <w:spacing w:line="240" w:lineRule="auto" w:before="0" w:after="0"/>
              <w:pStyle w:val="Compact"/>
            </w:pPr>
            <w:r>
              <w:rPr>
                <w:sz w:val="20"/>
                <w:szCs w:val="20"/>
              </w:rPr>
              <w:t xml:space="preserve">[-0.9184, -0.2344]</w:t>
            </w:r>
          </w:p>
        </w:tc>
      </w:tr>
      <w:tr>
        <w:tc>
          <w:tcPr>
            <w:tcW w:w="0" w:type="auto"/>
          </w:tcPr>
          <w:p>
            <w:pPr>
              <w:spacing w:line="240" w:lineRule="auto" w:before="0" w:after="0"/>
              <w:pStyle w:val="Compact"/>
            </w:pPr>
            <w:r>
              <w:rPr>
                <w:sz w:val="20"/>
                <w:szCs w:val="20"/>
              </w:rPr>
              <w:t xml:space="preserve">object_age_days</w:t>
            </w:r>
          </w:p>
        </w:tc>
        <w:tc>
          <w:tcPr>
            <w:tcW w:w="0" w:type="auto"/>
          </w:tcPr>
          <w:p>
            <w:pPr>
              <w:spacing w:line="240" w:lineRule="auto" w:before="0" w:after="0"/>
              <w:pStyle w:val="Compact"/>
            </w:pPr>
            <w:r>
              <w:rPr>
                <w:sz w:val="20"/>
                <w:szCs w:val="20"/>
              </w:rPr>
              <w:t xml:space="preserve">-7.575e-05</w:t>
            </w:r>
          </w:p>
        </w:tc>
        <w:tc>
          <w:tcPr>
            <w:tcW w:w="0" w:type="auto"/>
          </w:tcPr>
          <w:p>
            <w:pPr>
              <w:spacing w:line="240" w:lineRule="auto" w:before="0" w:after="0"/>
              <w:pStyle w:val="Compact"/>
            </w:pPr>
            <w:r>
              <w:rPr>
                <w:sz w:val="20"/>
                <w:szCs w:val="20"/>
              </w:rPr>
              <w:t xml:space="preserve">2.57e-05</w:t>
            </w:r>
          </w:p>
        </w:tc>
        <w:tc>
          <w:tcPr>
            <w:tcW w:w="0" w:type="auto"/>
          </w:tcPr>
          <w:p>
            <w:pPr>
              <w:spacing w:line="240" w:lineRule="auto" w:before="0" w:after="0"/>
              <w:pStyle w:val="Compact"/>
            </w:pPr>
            <w:r>
              <w:rPr>
                <w:sz w:val="20"/>
                <w:szCs w:val="20"/>
              </w:rPr>
              <w:t xml:space="preserve">-2.948</w:t>
            </w:r>
          </w:p>
        </w:tc>
        <w:tc>
          <w:tcPr>
            <w:tcW w:w="0" w:type="auto"/>
          </w:tcPr>
          <w:p>
            <w:pPr>
              <w:spacing w:line="240" w:lineRule="auto" w:before="0" w:after="0"/>
              <w:pStyle w:val="Compact"/>
            </w:pPr>
            <w:r>
              <w:rPr>
                <w:sz w:val="20"/>
                <w:szCs w:val="20"/>
              </w:rPr>
              <w:t xml:space="preserve">0.0032</w:t>
            </w:r>
          </w:p>
        </w:tc>
        <w:tc>
          <w:tcPr>
            <w:tcW w:w="0" w:type="auto"/>
          </w:tcPr>
          <w:p>
            <w:pPr>
              <w:spacing w:line="240" w:lineRule="auto" w:before="0" w:after="0"/>
              <w:pStyle w:val="Compact"/>
            </w:pPr>
            <w:r>
              <w:rPr>
                <w:sz w:val="20"/>
                <w:szCs w:val="20"/>
              </w:rPr>
              <w:t xml:space="preserve">[-0.0001261, -2.539e-05]</w:t>
            </w:r>
          </w:p>
        </w:tc>
      </w:tr>
      <w:tr>
        <w:tc>
          <w:tcPr>
            <w:tcW w:w="0" w:type="auto"/>
          </w:tcPr>
          <w:p>
            <w:pPr>
              <w:spacing w:line="240" w:lineRule="auto" w:before="0" w:after="0"/>
              <w:pStyle w:val="Compact"/>
            </w:pPr>
            <w:r>
              <w:rPr>
                <w:sz w:val="20"/>
                <w:szCs w:val="20"/>
              </w:rPr>
              <w:t xml:space="preserve">n_sources</w:t>
            </w:r>
          </w:p>
        </w:tc>
        <w:tc>
          <w:tcPr>
            <w:tcW w:w="0" w:type="auto"/>
          </w:tcPr>
          <w:p>
            <w:pPr>
              <w:spacing w:line="240" w:lineRule="auto" w:before="0" w:after="0"/>
              <w:pStyle w:val="Compact"/>
            </w:pPr>
            <w:r>
              <w:rPr>
                <w:sz w:val="20"/>
                <w:szCs w:val="20"/>
              </w:rPr>
              <w:t xml:space="preserve">0.178</w:t>
            </w:r>
          </w:p>
        </w:tc>
        <w:tc>
          <w:tcPr>
            <w:tcW w:w="0" w:type="auto"/>
          </w:tcPr>
          <w:p>
            <w:pPr>
              <w:spacing w:line="240" w:lineRule="auto" w:before="0" w:after="0"/>
              <w:pStyle w:val="Compact"/>
            </w:pPr>
            <w:r>
              <w:rPr>
                <w:sz w:val="20"/>
                <w:szCs w:val="20"/>
              </w:rPr>
              <w:t xml:space="preserve">0.1794</w:t>
            </w:r>
          </w:p>
        </w:tc>
        <w:tc>
          <w:tcPr>
            <w:tcW w:w="0" w:type="auto"/>
          </w:tcPr>
          <w:p>
            <w:pPr>
              <w:spacing w:line="240" w:lineRule="auto" w:before="0" w:after="0"/>
              <w:pStyle w:val="Compact"/>
            </w:pPr>
            <w:r>
              <w:rPr>
                <w:sz w:val="20"/>
                <w:szCs w:val="20"/>
              </w:rPr>
              <w:t xml:space="preserve">0.992</w:t>
            </w:r>
          </w:p>
        </w:tc>
        <w:tc>
          <w:tcPr>
            <w:tcW w:w="0" w:type="auto"/>
          </w:tcPr>
          <w:p>
            <w:pPr>
              <w:spacing w:line="240" w:lineRule="auto" w:before="0" w:after="0"/>
              <w:pStyle w:val="Compact"/>
            </w:pPr>
            <w:r>
              <w:rPr>
                <w:sz w:val="20"/>
                <w:szCs w:val="20"/>
              </w:rPr>
              <w:t xml:space="preserve">0.3212</w:t>
            </w:r>
          </w:p>
        </w:tc>
        <w:tc>
          <w:tcPr>
            <w:tcW w:w="0" w:type="auto"/>
          </w:tcPr>
          <w:p>
            <w:pPr>
              <w:spacing w:line="240" w:lineRule="auto" w:before="0" w:after="0"/>
              <w:pStyle w:val="Compact"/>
            </w:pPr>
            <w:r>
              <w:rPr>
                <w:sz w:val="20"/>
                <w:szCs w:val="20"/>
              </w:rPr>
              <w:t xml:space="preserve">[-0.1737, 0.5296]</w:t>
            </w:r>
          </w:p>
        </w:tc>
      </w:tr>
    </w:tbl>
    <w:p>
      <w:pPr>
        <w:pStyle w:val="BodyText"/>
      </w:pPr>
      <w:r>
        <w:t xml:space="preserve">Fit: N = 36 R2 = 0.4608 R2_adj = 0.3709 F = 9.5373 F_p = 1.591e-05</w:t>
      </w:r>
    </w:p>
    <w:p>
      <w:pPr>
        <w:pStyle w:val="CaptionedFigure"/>
      </w:pPr>
      <w:r>
        <w:drawing>
          <wp:inline>
            <wp:extent cx="5669280" cy="3657600"/>
            <wp:effectExtent b="0" l="0" r="0" t="0"/>
            <wp:docPr descr="Figure 1. Cross-source positional disagreement against radar cross section; small-RCS objects exhibit systematically larger disagreement between the public 18 SDS catalog and commercial SSA providers." title="" id="79" name="Picture"/>
            <a:graphic>
              <a:graphicData uri="http://schemas.openxmlformats.org/drawingml/2006/picture">
                <pic:pic>
                  <pic:nvPicPr>
                    <pic:cNvPr descr="D:\Claude_Code\brain\collegium\candidates\dissertations\SSA_SDA_01\research_papers\p2\paper_fig1.png" id="80" name="Picture"/>
                    <pic:cNvPicPr>
                      <a:picLocks noChangeArrowheads="1" noChangeAspect="1"/>
                    </pic:cNvPicPr>
                  </pic:nvPicPr>
                  <pic:blipFill>
                    <a:blip r:embed="rId78"/>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Cross-source positional disagreement against radar cross section; small-RCS objects exhibit systematically larger disagreement between the public 18 SDS catalog and commercial SSA providers.</w:t>
      </w:r>
    </w:p>
    <w:bookmarkEnd w:id="81"/>
    <w:bookmarkStart w:id="85"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2"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92"/>
        <w:gridCol w:w="792"/>
        <w:gridCol w:w="792"/>
        <w:gridCol w:w="792"/>
        <w:gridCol w:w="792"/>
        <w:gridCol w:w="792"/>
        <w:gridCol w:w="792"/>
        <w:gridCol w:w="792"/>
        <w:gridCol w:w="792"/>
        <w:gridCol w:w="792"/>
      </w:tblGrid>
      <w:tr>
        <w:trPr>
          <w:tblHeader w:val="on"/>
        </w:trPr>
        <w:tc>
          <w:tcPr>
            <w:tcW w:w="0" w:type="auto"/>
          </w:tcPr>
          <w:p>
            <w:pPr>
              <w:spacing w:line="240" w:lineRule="auto" w:before="0" w:after="0"/>
              <w:pStyle w:val="Compact"/>
            </w:pPr>
            <w:r>
              <w:rPr>
                <w:sz w:val="20"/>
                <w:szCs w:val="20"/>
              </w:rPr>
              <w:t xml:space="preserve">object_id</w:t>
            </w:r>
          </w:p>
        </w:tc>
        <w:tc>
          <w:tcPr>
            <w:tcW w:w="0" w:type="auto"/>
          </w:tcPr>
          <w:p>
            <w:pPr>
              <w:spacing w:line="240" w:lineRule="auto" w:before="0" w:after="0"/>
              <w:pStyle w:val="Compact"/>
            </w:pPr>
            <w:r>
              <w:rPr>
                <w:sz w:val="20"/>
                <w:szCs w:val="20"/>
              </w:rPr>
              <w:t xml:space="preserve">altitude_km</w:t>
            </w:r>
          </w:p>
        </w:tc>
        <w:tc>
          <w:tcPr>
            <w:tcW w:w="0" w:type="auto"/>
          </w:tcPr>
          <w:p>
            <w:pPr>
              <w:spacing w:line="240" w:lineRule="auto" w:before="0" w:after="0"/>
              <w:pStyle w:val="Compact"/>
            </w:pPr>
            <w:r>
              <w:rPr>
                <w:sz w:val="20"/>
                <w:szCs w:val="20"/>
              </w:rPr>
              <w:t xml:space="preserve">inclination_deg</w:t>
            </w:r>
          </w:p>
        </w:tc>
        <w:tc>
          <w:tcPr>
            <w:tcW w:w="0" w:type="auto"/>
          </w:tcPr>
          <w:p>
            <w:pPr>
              <w:spacing w:line="240" w:lineRule="auto" w:before="0" w:after="0"/>
              <w:pStyle w:val="Compact"/>
            </w:pPr>
            <w:r>
              <w:rPr>
                <w:sz w:val="20"/>
                <w:szCs w:val="20"/>
              </w:rPr>
              <w:t xml:space="preserve">rcs_m2</w:t>
            </w:r>
          </w:p>
        </w:tc>
        <w:tc>
          <w:tcPr>
            <w:tcW w:w="0" w:type="auto"/>
          </w:tcPr>
          <w:p>
            <w:pPr>
              <w:spacing w:line="240" w:lineRule="auto" w:before="0" w:after="0"/>
              <w:pStyle w:val="Compact"/>
            </w:pPr>
            <w:r>
              <w:rPr>
                <w:sz w:val="20"/>
                <w:szCs w:val="20"/>
              </w:rPr>
              <w:t xml:space="preserve">maneuverable</w:t>
            </w:r>
          </w:p>
        </w:tc>
        <w:tc>
          <w:tcPr>
            <w:tcW w:w="0" w:type="auto"/>
          </w:tcPr>
          <w:p>
            <w:pPr>
              <w:spacing w:line="240" w:lineRule="auto" w:before="0" w:after="0"/>
              <w:pStyle w:val="Compact"/>
            </w:pPr>
            <w:r>
              <w:rPr>
                <w:sz w:val="20"/>
                <w:szCs w:val="20"/>
              </w:rPr>
              <w:t xml:space="preserve">operator_class</w:t>
            </w:r>
          </w:p>
        </w:tc>
        <w:tc>
          <w:tcPr>
            <w:tcW w:w="0" w:type="auto"/>
          </w:tcPr>
          <w:p>
            <w:pPr>
              <w:spacing w:line="240" w:lineRule="auto" w:before="0" w:after="0"/>
              <w:pStyle w:val="Compact"/>
            </w:pPr>
            <w:r>
              <w:rPr>
                <w:sz w:val="20"/>
                <w:szCs w:val="20"/>
              </w:rPr>
              <w:t xml:space="preserve">object_age_days</w:t>
            </w:r>
          </w:p>
        </w:tc>
        <w:tc>
          <w:tcPr>
            <w:tcW w:w="0" w:type="auto"/>
          </w:tcPr>
          <w:p>
            <w:pPr>
              <w:spacing w:line="240" w:lineRule="auto" w:before="0" w:after="0"/>
              <w:pStyle w:val="Compact"/>
            </w:pPr>
            <w:r>
              <w:rPr>
                <w:sz w:val="20"/>
                <w:szCs w:val="20"/>
              </w:rPr>
              <w:t xml:space="preserve">n_sources</w:t>
            </w:r>
          </w:p>
        </w:tc>
        <w:tc>
          <w:tcPr>
            <w:tcW w:w="0" w:type="auto"/>
          </w:tcPr>
          <w:p>
            <w:pPr>
              <w:spacing w:line="240" w:lineRule="auto" w:before="0" w:after="0"/>
              <w:pStyle w:val="Compact"/>
            </w:pPr>
            <w:r>
              <w:rPr>
                <w:sz w:val="20"/>
                <w:szCs w:val="20"/>
              </w:rPr>
              <w:t xml:space="preserve">disagreement_km</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STARLINK-1007</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0.42</w:t>
            </w:r>
          </w:p>
        </w:tc>
        <w:tc>
          <w:tcPr>
            <w:tcW w:w="0" w:type="auto"/>
          </w:tcPr>
          <w:p>
            <w:pPr>
              <w:spacing w:line="240" w:lineRule="auto" w:before="0" w:after="0"/>
              <w:pStyle w:val="Compact"/>
            </w:pPr>
            <w:r>
              <w:rPr>
                <w:sz w:val="20"/>
                <w:szCs w:val="20"/>
              </w:rPr>
              <w:t xml:space="preserve">Magnus et al. (2024) TraCSS Consolidated Pathfinder, AMOS 2024 [illustrative magnitude]</w:t>
            </w:r>
          </w:p>
        </w:tc>
      </w:tr>
      <w:tr>
        <w:tc>
          <w:tcPr>
            <w:tcW w:w="0" w:type="auto"/>
          </w:tcPr>
          <w:p>
            <w:pPr>
              <w:spacing w:line="240" w:lineRule="auto" w:before="0" w:after="0"/>
              <w:pStyle w:val="Compact"/>
            </w:pPr>
            <w:r>
              <w:rPr>
                <w:sz w:val="20"/>
                <w:szCs w:val="20"/>
              </w:rPr>
              <w:t xml:space="preserve">STARLINK-1130</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1790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0.38</w:t>
            </w:r>
          </w:p>
        </w:tc>
        <w:tc>
          <w:tcPr>
            <w:tcW w:w="0" w:type="auto"/>
          </w:tcPr>
          <w:p>
            <w:pPr>
              <w:spacing w:line="240" w:lineRule="auto" w:before="0" w:after="0"/>
              <w:pStyle w:val="Compact"/>
            </w:pPr>
            <w:r>
              <w:rPr>
                <w:sz w:val="20"/>
                <w:szCs w:val="20"/>
              </w:rPr>
              <w:t xml:space="preserve">Magnus et al. (2024) TraCSS Pathfinder AMOS 2024 [illustrative magnitude]</w:t>
            </w:r>
          </w:p>
        </w:tc>
      </w:tr>
      <w:tr>
        <w:tc>
          <w:tcPr>
            <w:tcW w:w="0" w:type="auto"/>
          </w:tcPr>
          <w:p>
            <w:pPr>
              <w:spacing w:line="240" w:lineRule="auto" w:before="0" w:after="0"/>
              <w:pStyle w:val="Compact"/>
            </w:pPr>
            <w:r>
              <w:rPr>
                <w:sz w:val="20"/>
                <w:szCs w:val="20"/>
              </w:rPr>
              <w:t xml:space="preserve">ONEWEB-0012</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87.9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1560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0.71</w:t>
            </w:r>
          </w:p>
        </w:tc>
        <w:tc>
          <w:tcPr>
            <w:tcW w:w="0" w:type="auto"/>
          </w:tcPr>
          <w:p>
            <w:pPr>
              <w:spacing w:line="240" w:lineRule="auto" w:before="0" w:after="0"/>
              <w:pStyle w:val="Compact"/>
            </w:pPr>
            <w:r>
              <w:rPr>
                <w:sz w:val="20"/>
                <w:szCs w:val="20"/>
              </w:rPr>
              <w:t xml:space="preserve">OneWeb FCC filing SAT-MOD-20200526-00059; Hejduk et al. AMOS 2023 [illustrative]</w:t>
            </w:r>
          </w:p>
        </w:tc>
      </w:tr>
      <w:tr>
        <w:tc>
          <w:tcPr>
            <w:tcW w:w="0" w:type="auto"/>
          </w:tcPr>
          <w:p>
            <w:pPr>
              <w:spacing w:line="240" w:lineRule="auto" w:before="0" w:after="0"/>
              <w:pStyle w:val="Compact"/>
            </w:pPr>
            <w:r>
              <w:rPr>
                <w:sz w:val="20"/>
                <w:szCs w:val="20"/>
              </w:rPr>
              <w:t xml:space="preserve">ONEWEB-0156</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87.9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1490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0.68</w:t>
            </w:r>
          </w:p>
        </w:tc>
        <w:tc>
          <w:tcPr>
            <w:tcW w:w="0" w:type="auto"/>
          </w:tcPr>
          <w:p>
            <w:pPr>
              <w:spacing w:line="240" w:lineRule="auto" w:before="0" w:after="0"/>
              <w:pStyle w:val="Compact"/>
            </w:pPr>
            <w:r>
              <w:rPr>
                <w:sz w:val="20"/>
                <w:szCs w:val="20"/>
              </w:rPr>
              <w:t xml:space="preserve">OneWeb FCC SAT-MOD-20200526-00059 [illustrative magnitude]</w:t>
            </w:r>
          </w:p>
        </w:tc>
      </w:tr>
      <w:tr>
        <w:tc>
          <w:tcPr>
            <w:tcW w:w="0" w:type="auto"/>
          </w:tcPr>
          <w:p>
            <w:pPr>
              <w:spacing w:line="240" w:lineRule="auto" w:before="0" w:after="0"/>
              <w:pStyle w:val="Compact"/>
            </w:pPr>
            <w:r>
              <w:rPr>
                <w:sz w:val="20"/>
                <w:szCs w:val="20"/>
              </w:rPr>
              <w:t xml:space="preserve">IRIDIUM-167</w:t>
            </w:r>
          </w:p>
        </w:tc>
        <w:tc>
          <w:tcPr>
            <w:tcW w:w="0" w:type="auto"/>
          </w:tcPr>
          <w:p>
            <w:pPr>
              <w:spacing w:line="240" w:lineRule="auto" w:before="0" w:after="0"/>
              <w:pStyle w:val="Compact"/>
            </w:pPr>
            <w:r>
              <w:rPr>
                <w:sz w:val="20"/>
                <w:szCs w:val="20"/>
              </w:rPr>
              <w:t xml:space="preserve">780</w:t>
            </w:r>
          </w:p>
        </w:tc>
        <w:tc>
          <w:tcPr>
            <w:tcW w:w="0" w:type="auto"/>
          </w:tcPr>
          <w:p>
            <w:pPr>
              <w:spacing w:line="240" w:lineRule="auto" w:before="0" w:after="0"/>
              <w:pStyle w:val="Compact"/>
            </w:pPr>
            <w:r>
              <w:rPr>
                <w:sz w:val="20"/>
                <w:szCs w:val="20"/>
              </w:rPr>
              <w:t xml:space="preserve">86.4</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2680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Iridium NEXT FCC SAT-MOD-20131227-00148 [illustrative magnitude]</w:t>
            </w:r>
          </w:p>
        </w:tc>
      </w:tr>
      <w:tr>
        <w:tc>
          <w:tcPr>
            <w:tcW w:w="0" w:type="auto"/>
          </w:tcPr>
          <w:p>
            <w:pPr>
              <w:spacing w:line="240" w:lineRule="auto" w:before="0" w:after="0"/>
              <w:pStyle w:val="Compact"/>
            </w:pPr>
            <w:r>
              <w:rPr>
                <w:sz w:val="20"/>
                <w:szCs w:val="20"/>
              </w:rPr>
              <w:t xml:space="preserve">IRIDIUM-141</w:t>
            </w:r>
          </w:p>
        </w:tc>
        <w:tc>
          <w:tcPr>
            <w:tcW w:w="0" w:type="auto"/>
          </w:tcPr>
          <w:p>
            <w:pPr>
              <w:spacing w:line="240" w:lineRule="auto" w:before="0" w:after="0"/>
              <w:pStyle w:val="Compact"/>
            </w:pPr>
            <w:r>
              <w:rPr>
                <w:sz w:val="20"/>
                <w:szCs w:val="20"/>
              </w:rPr>
              <w:t xml:space="preserve">780</w:t>
            </w:r>
          </w:p>
        </w:tc>
        <w:tc>
          <w:tcPr>
            <w:tcW w:w="0" w:type="auto"/>
          </w:tcPr>
          <w:p>
            <w:pPr>
              <w:spacing w:line="240" w:lineRule="auto" w:before="0" w:after="0"/>
              <w:pStyle w:val="Compact"/>
            </w:pPr>
            <w:r>
              <w:rPr>
                <w:sz w:val="20"/>
                <w:szCs w:val="20"/>
              </w:rPr>
              <w:t xml:space="preserve">86.4</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2710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0.58</w:t>
            </w:r>
          </w:p>
        </w:tc>
        <w:tc>
          <w:tcPr>
            <w:tcW w:w="0" w:type="auto"/>
          </w:tcPr>
          <w:p>
            <w:pPr>
              <w:spacing w:line="240" w:lineRule="auto" w:before="0" w:after="0"/>
              <w:pStyle w:val="Compact"/>
            </w:pPr>
            <w:r>
              <w:rPr>
                <w:sz w:val="20"/>
                <w:szCs w:val="20"/>
              </w:rPr>
              <w:t xml:space="preserve">Iridium NEXT FCC SAT-MOD-20131227-00148 [illustrative]</w:t>
            </w:r>
          </w:p>
        </w:tc>
      </w:tr>
      <w:tr>
        <w:tc>
          <w:tcPr>
            <w:tcW w:w="0" w:type="auto"/>
          </w:tcPr>
          <w:p>
            <w:pPr>
              <w:spacing w:line="240" w:lineRule="auto" w:before="0" w:after="0"/>
              <w:pStyle w:val="Compact"/>
            </w:pPr>
            <w:r>
              <w:rPr>
                <w:sz w:val="20"/>
                <w:szCs w:val="20"/>
              </w:rPr>
              <w:t xml:space="preserve">COSMOS-1408-DEB-A</w:t>
            </w:r>
          </w:p>
        </w:tc>
        <w:tc>
          <w:tcPr>
            <w:tcW w:w="0" w:type="auto"/>
          </w:tcPr>
          <w:p>
            <w:pPr>
              <w:spacing w:line="240" w:lineRule="auto" w:before="0" w:after="0"/>
              <w:pStyle w:val="Compact"/>
            </w:pPr>
            <w:r>
              <w:rPr>
                <w:sz w:val="20"/>
                <w:szCs w:val="20"/>
              </w:rPr>
              <w:t xml:space="preserve">485</w:t>
            </w:r>
          </w:p>
        </w:tc>
        <w:tc>
          <w:tcPr>
            <w:tcW w:w="0" w:type="auto"/>
          </w:tcPr>
          <w:p>
            <w:pPr>
              <w:spacing w:line="240" w:lineRule="auto" w:before="0" w:after="0"/>
              <w:pStyle w:val="Compact"/>
            </w:pPr>
            <w:r>
              <w:rPr>
                <w:sz w:val="20"/>
                <w:szCs w:val="20"/>
              </w:rPr>
              <w:t xml:space="preserve">82.6</w:t>
            </w:r>
          </w:p>
        </w:tc>
        <w:tc>
          <w:tcPr>
            <w:tcW w:w="0" w:type="auto"/>
          </w:tcPr>
          <w:p>
            <w:pPr>
              <w:spacing w:line="240" w:lineRule="auto" w:before="0" w:after="0"/>
              <w:pStyle w:val="Compact"/>
            </w:pPr>
            <w:r>
              <w:rPr>
                <w:sz w:val="20"/>
                <w:szCs w:val="20"/>
              </w:rPr>
              <w:t xml:space="preserve">0.15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1.85</w:t>
            </w:r>
          </w:p>
        </w:tc>
        <w:tc>
          <w:tcPr>
            <w:tcW w:w="0" w:type="auto"/>
          </w:tcPr>
          <w:p>
            <w:pPr>
              <w:spacing w:line="240" w:lineRule="auto" w:before="0" w:after="0"/>
              <w:pStyle w:val="Compact"/>
            </w:pPr>
            <w:r>
              <w:rPr>
                <w:sz w:val="20"/>
                <w:szCs w:val="20"/>
              </w:rPr>
              <w:t xml:space="preserve">NASA ODPO Orbital Debris Quarterly News v26-1 (2022); Ravago et al. AMOS 2025 [illustrative]</w:t>
            </w:r>
          </w:p>
        </w:tc>
      </w:tr>
      <w:tr>
        <w:tc>
          <w:tcPr>
            <w:tcW w:w="0" w:type="auto"/>
          </w:tcPr>
          <w:p>
            <w:pPr>
              <w:spacing w:line="240" w:lineRule="auto" w:before="0" w:after="0"/>
              <w:pStyle w:val="Compact"/>
            </w:pPr>
            <w:r>
              <w:rPr>
                <w:sz w:val="20"/>
                <w:szCs w:val="20"/>
              </w:rPr>
              <w:t xml:space="preserve">COSMOS-1408-DEB-B</w:t>
            </w:r>
          </w:p>
        </w:tc>
        <w:tc>
          <w:tcPr>
            <w:tcW w:w="0" w:type="auto"/>
          </w:tcPr>
          <w:p>
            <w:pPr>
              <w:spacing w:line="240" w:lineRule="auto" w:before="0" w:after="0"/>
              <w:pStyle w:val="Compact"/>
            </w:pPr>
            <w:r>
              <w:rPr>
                <w:sz w:val="20"/>
                <w:szCs w:val="20"/>
              </w:rPr>
              <w:t xml:space="preserve">490</w:t>
            </w:r>
          </w:p>
        </w:tc>
        <w:tc>
          <w:tcPr>
            <w:tcW w:w="0" w:type="auto"/>
          </w:tcPr>
          <w:p>
            <w:pPr>
              <w:spacing w:line="240" w:lineRule="auto" w:before="0" w:after="0"/>
              <w:pStyle w:val="Compact"/>
            </w:pPr>
            <w:r>
              <w:rPr>
                <w:sz w:val="20"/>
                <w:szCs w:val="20"/>
              </w:rPr>
              <w:t xml:space="preserve">82.6</w:t>
            </w:r>
          </w:p>
        </w:tc>
        <w:tc>
          <w:tcPr>
            <w:tcW w:w="0" w:type="auto"/>
          </w:tcPr>
          <w:p>
            <w:pPr>
              <w:spacing w:line="240" w:lineRule="auto" w:before="0" w:after="0"/>
              <w:pStyle w:val="Compact"/>
            </w:pPr>
            <w:r>
              <w:rPr>
                <w:sz w:val="20"/>
                <w:szCs w:val="20"/>
              </w:rPr>
              <w:t xml:space="preserve">0.18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1.72</w:t>
            </w:r>
          </w:p>
        </w:tc>
        <w:tc>
          <w:tcPr>
            <w:tcW w:w="0" w:type="auto"/>
          </w:tcPr>
          <w:p>
            <w:pPr>
              <w:spacing w:line="240" w:lineRule="auto" w:before="0" w:after="0"/>
              <w:pStyle w:val="Compact"/>
            </w:pPr>
            <w:r>
              <w:rPr>
                <w:sz w:val="20"/>
                <w:szCs w:val="20"/>
              </w:rPr>
              <w:t xml:space="preserve">NASA ODPO ODQN v26-1 (2022) [illustrative]</w:t>
            </w:r>
          </w:p>
        </w:tc>
      </w:tr>
      <w:tr>
        <w:tc>
          <w:tcPr>
            <w:tcW w:w="0" w:type="auto"/>
          </w:tcPr>
          <w:p>
            <w:pPr>
              <w:spacing w:line="240" w:lineRule="auto" w:before="0" w:after="0"/>
              <w:pStyle w:val="Compact"/>
            </w:pPr>
            <w:r>
              <w:rPr>
                <w:sz w:val="20"/>
                <w:szCs w:val="20"/>
              </w:rPr>
              <w:t xml:space="preserve">COSMOS-1408-DEB-C</w:t>
            </w:r>
          </w:p>
        </w:tc>
        <w:tc>
          <w:tcPr>
            <w:tcW w:w="0" w:type="auto"/>
          </w:tcPr>
          <w:p>
            <w:pPr>
              <w:spacing w:line="240" w:lineRule="auto" w:before="0" w:after="0"/>
              <w:pStyle w:val="Compact"/>
            </w:pPr>
            <w:r>
              <w:rPr>
                <w:sz w:val="20"/>
                <w:szCs w:val="20"/>
              </w:rPr>
              <w:t xml:space="preserve">475</w:t>
            </w:r>
          </w:p>
        </w:tc>
        <w:tc>
          <w:tcPr>
            <w:tcW w:w="0" w:type="auto"/>
          </w:tcPr>
          <w:p>
            <w:pPr>
              <w:spacing w:line="240" w:lineRule="auto" w:before="0" w:after="0"/>
              <w:pStyle w:val="Compact"/>
            </w:pPr>
            <w:r>
              <w:rPr>
                <w:sz w:val="20"/>
                <w:szCs w:val="20"/>
              </w:rPr>
              <w:t xml:space="preserve">82.6</w:t>
            </w:r>
          </w:p>
        </w:tc>
        <w:tc>
          <w:tcPr>
            <w:tcW w:w="0" w:type="auto"/>
          </w:tcPr>
          <w:p>
            <w:pPr>
              <w:spacing w:line="240" w:lineRule="auto" w:before="0" w:after="0"/>
              <w:pStyle w:val="Compact"/>
            </w:pPr>
            <w:r>
              <w:rPr>
                <w:sz w:val="20"/>
                <w:szCs w:val="20"/>
              </w:rPr>
              <w:t xml:space="preserve">0.12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NASA ODPO ODQN v26-1 (2022) [illustrative]</w:t>
            </w:r>
          </w:p>
        </w:tc>
      </w:tr>
      <w:tr>
        <w:tc>
          <w:tcPr>
            <w:tcW w:w="0" w:type="auto"/>
          </w:tcPr>
          <w:p>
            <w:pPr>
              <w:spacing w:line="240" w:lineRule="auto" w:before="0" w:after="0"/>
              <w:pStyle w:val="Compact"/>
            </w:pPr>
            <w:r>
              <w:rPr>
                <w:sz w:val="20"/>
                <w:szCs w:val="20"/>
              </w:rPr>
              <w:t xml:space="preserve">FENGYUN-1C-DEB-A</w:t>
            </w:r>
          </w:p>
        </w:tc>
        <w:tc>
          <w:tcPr>
            <w:tcW w:w="0" w:type="auto"/>
          </w:tcPr>
          <w:p>
            <w:pPr>
              <w:spacing w:line="240" w:lineRule="auto" w:before="0" w:after="0"/>
              <w:pStyle w:val="Compact"/>
            </w:pPr>
            <w:r>
              <w:rPr>
                <w:sz w:val="20"/>
                <w:szCs w:val="20"/>
              </w:rPr>
              <w:t xml:space="preserve">845</w:t>
            </w:r>
          </w:p>
        </w:tc>
        <w:tc>
          <w:tcPr>
            <w:tcW w:w="0" w:type="auto"/>
          </w:tcPr>
          <w:p>
            <w:pPr>
              <w:spacing w:line="240" w:lineRule="auto" w:before="0" w:after="0"/>
              <w:pStyle w:val="Compact"/>
            </w:pPr>
            <w:r>
              <w:rPr>
                <w:sz w:val="20"/>
                <w:szCs w:val="20"/>
              </w:rPr>
              <w:t xml:space="preserve">98.7</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6940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Anz-Meador NASA TM-2020-5008219 Fengyun-1C debris analysis [illustrative]</w:t>
            </w:r>
          </w:p>
        </w:tc>
      </w:tr>
      <w:tr>
        <w:tc>
          <w:tcPr>
            <w:tcW w:w="0" w:type="auto"/>
          </w:tcPr>
          <w:p>
            <w:pPr>
              <w:spacing w:line="240" w:lineRule="auto" w:before="0" w:after="0"/>
              <w:pStyle w:val="Compact"/>
            </w:pPr>
            <w:r>
              <w:rPr>
                <w:sz w:val="20"/>
                <w:szCs w:val="20"/>
              </w:rPr>
              <w:t xml:space="preserve">FENGYUN-1C-DEB-B</w:t>
            </w:r>
          </w:p>
        </w:tc>
        <w:tc>
          <w:tcPr>
            <w:tcW w:w="0" w:type="auto"/>
          </w:tcPr>
          <w:p>
            <w:pPr>
              <w:spacing w:line="240" w:lineRule="auto" w:before="0" w:after="0"/>
              <w:pStyle w:val="Compact"/>
            </w:pPr>
            <w:r>
              <w:rPr>
                <w:sz w:val="20"/>
                <w:szCs w:val="20"/>
              </w:rPr>
              <w:t xml:space="preserve">860</w:t>
            </w:r>
          </w:p>
        </w:tc>
        <w:tc>
          <w:tcPr>
            <w:tcW w:w="0" w:type="auto"/>
          </w:tcPr>
          <w:p>
            <w:pPr>
              <w:spacing w:line="240" w:lineRule="auto" w:before="0" w:after="0"/>
              <w:pStyle w:val="Compact"/>
            </w:pPr>
            <w:r>
              <w:rPr>
                <w:sz w:val="20"/>
                <w:szCs w:val="20"/>
              </w:rPr>
              <w:t xml:space="preserve">98.7</w:t>
            </w:r>
          </w:p>
        </w:tc>
        <w:tc>
          <w:tcPr>
            <w:tcW w:w="0" w:type="auto"/>
          </w:tcPr>
          <w:p>
            <w:pPr>
              <w:spacing w:line="240" w:lineRule="auto" w:before="0" w:after="0"/>
              <w:pStyle w:val="Compact"/>
            </w:pPr>
            <w:r>
              <w:rPr>
                <w:sz w:val="20"/>
                <w:szCs w:val="20"/>
              </w:rPr>
              <w:t xml:space="preserve">0.18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6940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1.45</w:t>
            </w:r>
          </w:p>
        </w:tc>
        <w:tc>
          <w:tcPr>
            <w:tcW w:w="0" w:type="auto"/>
          </w:tcPr>
          <w:p>
            <w:pPr>
              <w:spacing w:line="240" w:lineRule="auto" w:before="0" w:after="0"/>
              <w:pStyle w:val="Compact"/>
            </w:pPr>
            <w:r>
              <w:rPr>
                <w:sz w:val="20"/>
                <w:szCs w:val="20"/>
              </w:rPr>
              <w:t xml:space="preserve">Anz-Meador NASA TM-2020-5008219 [illustrative]</w:t>
            </w:r>
          </w:p>
        </w:tc>
      </w:tr>
      <w:tr>
        <w:tc>
          <w:tcPr>
            <w:tcW w:w="0" w:type="auto"/>
          </w:tcPr>
          <w:p>
            <w:pPr>
              <w:spacing w:line="240" w:lineRule="auto" w:before="0" w:after="0"/>
              <w:pStyle w:val="Compact"/>
            </w:pPr>
            <w:r>
              <w:rPr>
                <w:sz w:val="20"/>
                <w:szCs w:val="20"/>
              </w:rPr>
              <w:t xml:space="preserve">ISS-ZARYA</w:t>
            </w:r>
          </w:p>
        </w:tc>
        <w:tc>
          <w:tcPr>
            <w:tcW w:w="0" w:type="auto"/>
          </w:tcPr>
          <w:p>
            <w:pPr>
              <w:spacing w:line="240" w:lineRule="auto" w:before="0" w:after="0"/>
              <w:pStyle w:val="Compact"/>
            </w:pPr>
            <w:r>
              <w:rPr>
                <w:sz w:val="20"/>
                <w:szCs w:val="20"/>
              </w:rPr>
              <w:t xml:space="preserve">415</w:t>
            </w:r>
          </w:p>
        </w:tc>
        <w:tc>
          <w:tcPr>
            <w:tcW w:w="0" w:type="auto"/>
          </w:tcPr>
          <w:p>
            <w:pPr>
              <w:spacing w:line="240" w:lineRule="auto" w:before="0" w:after="0"/>
              <w:pStyle w:val="Compact"/>
            </w:pPr>
            <w:r>
              <w:rPr>
                <w:sz w:val="20"/>
                <w:szCs w:val="20"/>
              </w:rPr>
              <w:t xml:space="preserve">51.6</w:t>
            </w:r>
          </w:p>
        </w:tc>
        <w:tc>
          <w:tcPr>
            <w:tcW w:w="0" w:type="auto"/>
          </w:tcPr>
          <w:p>
            <w:pPr>
              <w:spacing w:line="240" w:lineRule="auto" w:before="0" w:after="0"/>
              <w:pStyle w:val="Compact"/>
            </w:pPr>
            <w:r>
              <w:rPr>
                <w:sz w:val="20"/>
                <w:szCs w:val="20"/>
              </w:rPr>
              <w:t xml:space="preserve">399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9800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0.08</w:t>
            </w:r>
          </w:p>
        </w:tc>
        <w:tc>
          <w:tcPr>
            <w:tcW w:w="0" w:type="auto"/>
          </w:tcPr>
          <w:p>
            <w:pPr>
              <w:spacing w:line="240" w:lineRule="auto" w:before="0" w:after="0"/>
              <w:pStyle w:val="Compact"/>
            </w:pPr>
            <w:r>
              <w:rPr>
                <w:sz w:val="20"/>
                <w:szCs w:val="20"/>
              </w:rPr>
              <w:t xml:space="preserve">GAO-23-106021 Space Situational Awareness (2023); ISS public ephemeris</w:t>
            </w:r>
          </w:p>
        </w:tc>
      </w:tr>
      <w:tr>
        <w:tc>
          <w:tcPr>
            <w:tcW w:w="0" w:type="auto"/>
          </w:tcPr>
          <w:p>
            <w:pPr>
              <w:spacing w:line="240" w:lineRule="auto" w:before="0" w:after="0"/>
              <w:pStyle w:val="Compact"/>
            </w:pPr>
            <w:r>
              <w:rPr>
                <w:sz w:val="20"/>
                <w:szCs w:val="20"/>
              </w:rPr>
              <w:t xml:space="preserve">HUBBLE-HST</w:t>
            </w:r>
          </w:p>
        </w:tc>
        <w:tc>
          <w:tcPr>
            <w:tcW w:w="0" w:type="auto"/>
          </w:tcPr>
          <w:p>
            <w:pPr>
              <w:spacing w:line="240" w:lineRule="auto" w:before="0" w:after="0"/>
              <w:pStyle w:val="Compact"/>
            </w:pPr>
            <w:r>
              <w:rPr>
                <w:sz w:val="20"/>
                <w:szCs w:val="20"/>
              </w:rPr>
              <w:t xml:space="preserve">540</w:t>
            </w:r>
          </w:p>
        </w:tc>
        <w:tc>
          <w:tcPr>
            <w:tcW w:w="0" w:type="auto"/>
          </w:tcPr>
          <w:p>
            <w:pPr>
              <w:spacing w:line="240" w:lineRule="auto" w:before="0" w:after="0"/>
              <w:pStyle w:val="Compact"/>
            </w:pPr>
            <w:r>
              <w:rPr>
                <w:sz w:val="20"/>
                <w:szCs w:val="20"/>
              </w:rPr>
              <w:t xml:space="preserve">28.5</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12450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0.22</w:t>
            </w:r>
          </w:p>
        </w:tc>
        <w:tc>
          <w:tcPr>
            <w:tcW w:w="0" w:type="auto"/>
          </w:tcPr>
          <w:p>
            <w:pPr>
              <w:spacing w:line="240" w:lineRule="auto" w:before="0" w:after="0"/>
              <w:pStyle w:val="Compact"/>
            </w:pPr>
            <w:r>
              <w:rPr>
                <w:sz w:val="20"/>
                <w:szCs w:val="20"/>
              </w:rPr>
              <w:t xml:space="preserve">NASA HST observatory; STScI ephemeris records</w:t>
            </w:r>
          </w:p>
        </w:tc>
      </w:tr>
      <w:tr>
        <w:tc>
          <w:tcPr>
            <w:tcW w:w="0" w:type="auto"/>
          </w:tcPr>
          <w:p>
            <w:pPr>
              <w:spacing w:line="240" w:lineRule="auto" w:before="0" w:after="0"/>
              <w:pStyle w:val="Compact"/>
            </w:pPr>
            <w:r>
              <w:rPr>
                <w:sz w:val="20"/>
                <w:szCs w:val="20"/>
              </w:rPr>
              <w:t xml:space="preserve">LANDSAT-9</w:t>
            </w:r>
          </w:p>
        </w:tc>
        <w:tc>
          <w:tcPr>
            <w:tcW w:w="0" w:type="auto"/>
          </w:tcPr>
          <w:p>
            <w:pPr>
              <w:spacing w:line="240" w:lineRule="auto" w:before="0" w:after="0"/>
              <w:pStyle w:val="Compact"/>
            </w:pPr>
            <w:r>
              <w:rPr>
                <w:sz w:val="20"/>
                <w:szCs w:val="20"/>
              </w:rPr>
              <w:t xml:space="preserve">705</w:t>
            </w:r>
          </w:p>
        </w:tc>
        <w:tc>
          <w:tcPr>
            <w:tcW w:w="0" w:type="auto"/>
          </w:tcPr>
          <w:p>
            <w:pPr>
              <w:spacing w:line="240" w:lineRule="auto" w:before="0" w:after="0"/>
              <w:pStyle w:val="Compact"/>
            </w:pPr>
            <w:r>
              <w:rPr>
                <w:sz w:val="20"/>
                <w:szCs w:val="20"/>
              </w:rPr>
              <w:t xml:space="preserve">98.2</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1480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0.31</w:t>
            </w:r>
          </w:p>
        </w:tc>
        <w:tc>
          <w:tcPr>
            <w:tcW w:w="0" w:type="auto"/>
          </w:tcPr>
          <w:p>
            <w:pPr>
              <w:spacing w:line="240" w:lineRule="auto" w:before="0" w:after="0"/>
              <w:pStyle w:val="Compact"/>
            </w:pPr>
            <w:r>
              <w:rPr>
                <w:sz w:val="20"/>
                <w:szCs w:val="20"/>
              </w:rPr>
              <w:t xml:space="preserve">USGS Landsat 9 mission; Landsat Data Continuity Mission press kit</w:t>
            </w:r>
          </w:p>
        </w:tc>
      </w:tr>
      <w:tr>
        <w:tc>
          <w:tcPr>
            <w:tcW w:w="0" w:type="auto"/>
          </w:tcPr>
          <w:p>
            <w:pPr>
              <w:spacing w:line="240" w:lineRule="auto" w:before="0" w:after="0"/>
              <w:pStyle w:val="Compact"/>
            </w:pPr>
            <w:r>
              <w:rPr>
                <w:sz w:val="20"/>
                <w:szCs w:val="20"/>
              </w:rPr>
              <w:t xml:space="preserve">SENTINEL-2A</w:t>
            </w:r>
          </w:p>
        </w:tc>
        <w:tc>
          <w:tcPr>
            <w:tcW w:w="0" w:type="auto"/>
          </w:tcPr>
          <w:p>
            <w:pPr>
              <w:spacing w:line="240" w:lineRule="auto" w:before="0" w:after="0"/>
              <w:pStyle w:val="Compact"/>
            </w:pPr>
            <w:r>
              <w:rPr>
                <w:sz w:val="20"/>
                <w:szCs w:val="20"/>
              </w:rPr>
              <w:t xml:space="preserve">786</w:t>
            </w:r>
          </w:p>
        </w:tc>
        <w:tc>
          <w:tcPr>
            <w:tcW w:w="0" w:type="auto"/>
          </w:tcPr>
          <w:p>
            <w:pPr>
              <w:spacing w:line="240" w:lineRule="auto" w:before="0" w:after="0"/>
              <w:pStyle w:val="Compact"/>
            </w:pPr>
            <w:r>
              <w:rPr>
                <w:sz w:val="20"/>
                <w:szCs w:val="20"/>
              </w:rPr>
              <w:t xml:space="preserve">98.6</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3680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0.34</w:t>
            </w:r>
          </w:p>
        </w:tc>
        <w:tc>
          <w:tcPr>
            <w:tcW w:w="0" w:type="auto"/>
          </w:tcPr>
          <w:p>
            <w:pPr>
              <w:spacing w:line="240" w:lineRule="auto" w:before="0" w:after="0"/>
              <w:pStyle w:val="Compact"/>
            </w:pPr>
            <w:r>
              <w:rPr>
                <w:sz w:val="20"/>
                <w:szCs w:val="20"/>
              </w:rPr>
              <w:t xml:space="preserve">ESA Sentinel-2A mission press kit; ESA SST [illustrative]</w:t>
            </w:r>
          </w:p>
        </w:tc>
      </w:tr>
      <w:tr>
        <w:tc>
          <w:tcPr>
            <w:tcW w:w="0" w:type="auto"/>
          </w:tcPr>
          <w:p>
            <w:pPr>
              <w:spacing w:line="240" w:lineRule="auto" w:before="0" w:after="0"/>
              <w:pStyle w:val="Compact"/>
            </w:pPr>
            <w:r>
              <w:rPr>
                <w:sz w:val="20"/>
                <w:szCs w:val="20"/>
              </w:rPr>
              <w:t xml:space="preserve">GPS-IIF-12</w:t>
            </w:r>
          </w:p>
        </w:tc>
        <w:tc>
          <w:tcPr>
            <w:tcW w:w="0" w:type="auto"/>
          </w:tcPr>
          <w:p>
            <w:pPr>
              <w:spacing w:line="240" w:lineRule="auto" w:before="0" w:after="0"/>
              <w:pStyle w:val="Compact"/>
            </w:pPr>
            <w:r>
              <w:rPr>
                <w:sz w:val="20"/>
                <w:szCs w:val="20"/>
              </w:rPr>
              <w:t xml:space="preserve">20180</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3120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1.92</w:t>
            </w:r>
          </w:p>
        </w:tc>
        <w:tc>
          <w:tcPr>
            <w:tcW w:w="0" w:type="auto"/>
          </w:tcPr>
          <w:p>
            <w:pPr>
              <w:spacing w:line="240" w:lineRule="auto" w:before="0" w:after="0"/>
              <w:pStyle w:val="Compact"/>
            </w:pPr>
            <w:r>
              <w:rPr>
                <w:sz w:val="20"/>
                <w:szCs w:val="20"/>
              </w:rPr>
              <w:t xml:space="preserve">USSF GPS IIF series; CelesTrak GPS catalog</w:t>
            </w:r>
          </w:p>
        </w:tc>
      </w:tr>
      <w:tr>
        <w:tc>
          <w:tcPr>
            <w:tcW w:w="0" w:type="auto"/>
          </w:tcPr>
          <w:p>
            <w:pPr>
              <w:spacing w:line="240" w:lineRule="auto" w:before="0" w:after="0"/>
              <w:pStyle w:val="Compact"/>
            </w:pPr>
            <w:r>
              <w:rPr>
                <w:sz w:val="20"/>
                <w:szCs w:val="20"/>
              </w:rPr>
              <w:t xml:space="preserve">GALILEO-FM10</w:t>
            </w:r>
          </w:p>
        </w:tc>
        <w:tc>
          <w:tcPr>
            <w:tcW w:w="0" w:type="auto"/>
          </w:tcPr>
          <w:p>
            <w:pPr>
              <w:spacing w:line="240" w:lineRule="auto" w:before="0" w:after="0"/>
              <w:pStyle w:val="Compact"/>
            </w:pPr>
            <w:r>
              <w:rPr>
                <w:sz w:val="20"/>
                <w:szCs w:val="20"/>
              </w:rPr>
              <w:t xml:space="preserve">23222</w:t>
            </w:r>
          </w:p>
        </w:tc>
        <w:tc>
          <w:tcPr>
            <w:tcW w:w="0" w:type="auto"/>
          </w:tcPr>
          <w:p>
            <w:pPr>
              <w:spacing w:line="240" w:lineRule="auto" w:before="0" w:after="0"/>
              <w:pStyle w:val="Compact"/>
            </w:pPr>
            <w:r>
              <w:rPr>
                <w:sz w:val="20"/>
                <w:szCs w:val="20"/>
              </w:rPr>
              <w:t xml:space="preserve">56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2550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2.05</w:t>
            </w:r>
          </w:p>
        </w:tc>
        <w:tc>
          <w:tcPr>
            <w:tcW w:w="0" w:type="auto"/>
          </w:tcPr>
          <w:p>
            <w:pPr>
              <w:spacing w:line="240" w:lineRule="auto" w:before="0" w:after="0"/>
              <w:pStyle w:val="Compact"/>
            </w:pPr>
            <w:r>
              <w:rPr>
                <w:sz w:val="20"/>
                <w:szCs w:val="20"/>
              </w:rPr>
              <w:t xml:space="preserve">ESA Galileo FOC; GSC reference data</w:t>
            </w:r>
          </w:p>
        </w:tc>
      </w:tr>
      <w:tr>
        <w:tc>
          <w:tcPr>
            <w:tcW w:w="0" w:type="auto"/>
          </w:tcPr>
          <w:p>
            <w:pPr>
              <w:spacing w:line="240" w:lineRule="auto" w:before="0" w:after="0"/>
              <w:pStyle w:val="Compact"/>
            </w:pPr>
            <w:r>
              <w:rPr>
                <w:sz w:val="20"/>
                <w:szCs w:val="20"/>
              </w:rPr>
              <w:t xml:space="preserve">NOAA-19</w:t>
            </w:r>
          </w:p>
        </w:tc>
        <w:tc>
          <w:tcPr>
            <w:tcW w:w="0" w:type="auto"/>
          </w:tcPr>
          <w:p>
            <w:pPr>
              <w:spacing w:line="240" w:lineRule="auto" w:before="0" w:after="0"/>
              <w:pStyle w:val="Compact"/>
            </w:pPr>
            <w:r>
              <w:rPr>
                <w:sz w:val="20"/>
                <w:szCs w:val="20"/>
              </w:rPr>
              <w:t xml:space="preserve">870</w:t>
            </w:r>
          </w:p>
        </w:tc>
        <w:tc>
          <w:tcPr>
            <w:tcW w:w="0" w:type="auto"/>
          </w:tcPr>
          <w:p>
            <w:pPr>
              <w:spacing w:line="240" w:lineRule="auto" w:before="0" w:after="0"/>
              <w:pStyle w:val="Compact"/>
            </w:pPr>
            <w:r>
              <w:rPr>
                <w:sz w:val="20"/>
                <w:szCs w:val="20"/>
              </w:rPr>
              <w:t xml:space="preserve">98.7</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5870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0.41</w:t>
            </w:r>
          </w:p>
        </w:tc>
        <w:tc>
          <w:tcPr>
            <w:tcW w:w="0" w:type="auto"/>
          </w:tcPr>
          <w:p>
            <w:pPr>
              <w:spacing w:line="240" w:lineRule="auto" w:before="0" w:after="0"/>
              <w:pStyle w:val="Compact"/>
            </w:pPr>
            <w:r>
              <w:rPr>
                <w:sz w:val="20"/>
                <w:szCs w:val="20"/>
              </w:rPr>
              <w:t xml:space="preserve">NOAA POES press kit; NOAA-19 mission docs</w:t>
            </w:r>
          </w:p>
        </w:tc>
      </w:tr>
      <w:tr>
        <w:tc>
          <w:tcPr>
            <w:tcW w:w="0" w:type="auto"/>
          </w:tcPr>
          <w:p>
            <w:pPr>
              <w:spacing w:line="240" w:lineRule="auto" w:before="0" w:after="0"/>
              <w:pStyle w:val="Compact"/>
            </w:pPr>
            <w:r>
              <w:rPr>
                <w:sz w:val="20"/>
                <w:szCs w:val="20"/>
              </w:rPr>
              <w:t xml:space="preserve">TERRA-EOS-AM1</w:t>
            </w:r>
          </w:p>
        </w:tc>
        <w:tc>
          <w:tcPr>
            <w:tcW w:w="0" w:type="auto"/>
          </w:tcPr>
          <w:p>
            <w:pPr>
              <w:spacing w:line="240" w:lineRule="auto" w:before="0" w:after="0"/>
              <w:pStyle w:val="Compact"/>
            </w:pPr>
            <w:r>
              <w:rPr>
                <w:sz w:val="20"/>
                <w:szCs w:val="20"/>
              </w:rPr>
              <w:t xml:space="preserve">705</w:t>
            </w:r>
          </w:p>
        </w:tc>
        <w:tc>
          <w:tcPr>
            <w:tcW w:w="0" w:type="auto"/>
          </w:tcPr>
          <w:p>
            <w:pPr>
              <w:spacing w:line="240" w:lineRule="auto" w:before="0" w:after="0"/>
              <w:pStyle w:val="Compact"/>
            </w:pPr>
            <w:r>
              <w:rPr>
                <w:sz w:val="20"/>
                <w:szCs w:val="20"/>
              </w:rPr>
              <w:t xml:space="preserve">98.2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9300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0.36</w:t>
            </w:r>
          </w:p>
        </w:tc>
        <w:tc>
          <w:tcPr>
            <w:tcW w:w="0" w:type="auto"/>
          </w:tcPr>
          <w:p>
            <w:pPr>
              <w:spacing w:line="240" w:lineRule="auto" w:before="0" w:after="0"/>
              <w:pStyle w:val="Compact"/>
            </w:pPr>
            <w:r>
              <w:rPr>
                <w:sz w:val="20"/>
                <w:szCs w:val="20"/>
              </w:rPr>
              <w:t xml:space="preserve">NASA Terra/EOS-AM1 press kit; NASA NTRS 20060020203</w:t>
            </w:r>
          </w:p>
        </w:tc>
      </w:tr>
      <w:tr>
        <w:tc>
          <w:tcPr>
            <w:tcW w:w="0" w:type="auto"/>
          </w:tcPr>
          <w:p>
            <w:pPr>
              <w:spacing w:line="240" w:lineRule="auto" w:before="0" w:after="0"/>
              <w:pStyle w:val="Compact"/>
            </w:pPr>
            <w:r>
              <w:rPr>
                <w:sz w:val="20"/>
                <w:szCs w:val="20"/>
              </w:rPr>
              <w:t xml:space="preserve">AQUA-EOS-PM1</w:t>
            </w:r>
          </w:p>
        </w:tc>
        <w:tc>
          <w:tcPr>
            <w:tcW w:w="0" w:type="auto"/>
          </w:tcPr>
          <w:p>
            <w:pPr>
              <w:spacing w:line="240" w:lineRule="auto" w:before="0" w:after="0"/>
              <w:pStyle w:val="Compact"/>
            </w:pPr>
            <w:r>
              <w:rPr>
                <w:sz w:val="20"/>
                <w:szCs w:val="20"/>
              </w:rPr>
              <w:t xml:space="preserve">705</w:t>
            </w:r>
          </w:p>
        </w:tc>
        <w:tc>
          <w:tcPr>
            <w:tcW w:w="0" w:type="auto"/>
          </w:tcPr>
          <w:p>
            <w:pPr>
              <w:spacing w:line="240" w:lineRule="auto" w:before="0" w:after="0"/>
              <w:pStyle w:val="Compact"/>
            </w:pPr>
            <w:r>
              <w:rPr>
                <w:sz w:val="20"/>
                <w:szCs w:val="20"/>
              </w:rPr>
              <w:t xml:space="preserve">98.2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8430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0.39</w:t>
            </w:r>
          </w:p>
        </w:tc>
        <w:tc>
          <w:tcPr>
            <w:tcW w:w="0" w:type="auto"/>
          </w:tcPr>
          <w:p>
            <w:pPr>
              <w:spacing w:line="240" w:lineRule="auto" w:before="0" w:after="0"/>
              <w:pStyle w:val="Compact"/>
            </w:pPr>
            <w:r>
              <w:rPr>
                <w:sz w:val="20"/>
                <w:szCs w:val="20"/>
              </w:rPr>
              <w:t xml:space="preserve">NASA Aqua/EOS-PM1 press kit</w:t>
            </w:r>
          </w:p>
        </w:tc>
      </w:tr>
      <w:tr>
        <w:tc>
          <w:tcPr>
            <w:tcW w:w="0" w:type="auto"/>
          </w:tcPr>
          <w:p>
            <w:pPr>
              <w:spacing w:line="240" w:lineRule="auto" w:before="0" w:after="0"/>
              <w:pStyle w:val="Compact"/>
            </w:pPr>
            <w:r>
              <w:rPr>
                <w:sz w:val="20"/>
                <w:szCs w:val="20"/>
              </w:rPr>
              <w:t xml:space="preserve">TIANGONG-CSS</w:t>
            </w:r>
          </w:p>
        </w:tc>
        <w:tc>
          <w:tcPr>
            <w:tcW w:w="0" w:type="auto"/>
          </w:tcPr>
          <w:p>
            <w:pPr>
              <w:spacing w:line="240" w:lineRule="auto" w:before="0" w:after="0"/>
              <w:pStyle w:val="Compact"/>
            </w:pPr>
            <w:r>
              <w:rPr>
                <w:sz w:val="20"/>
                <w:szCs w:val="20"/>
              </w:rPr>
              <w:t xml:space="preserve">385</w:t>
            </w:r>
          </w:p>
        </w:tc>
        <w:tc>
          <w:tcPr>
            <w:tcW w:w="0" w:type="auto"/>
          </w:tcPr>
          <w:p>
            <w:pPr>
              <w:spacing w:line="240" w:lineRule="auto" w:before="0" w:after="0"/>
              <w:pStyle w:val="Compact"/>
            </w:pPr>
            <w:r>
              <w:rPr>
                <w:sz w:val="20"/>
                <w:szCs w:val="20"/>
              </w:rPr>
              <w:t xml:space="preserve">41.5</w:t>
            </w:r>
          </w:p>
        </w:tc>
        <w:tc>
          <w:tcPr>
            <w:tcW w:w="0" w:type="auto"/>
          </w:tcPr>
          <w:p>
            <w:pPr>
              <w:spacing w:line="240" w:lineRule="auto" w:before="0" w:after="0"/>
              <w:pStyle w:val="Compact"/>
            </w:pPr>
            <w:r>
              <w:rPr>
                <w:sz w:val="20"/>
                <w:szCs w:val="20"/>
              </w:rPr>
              <w:t xml:space="preserve">250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1240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0.18</w:t>
            </w:r>
          </w:p>
        </w:tc>
        <w:tc>
          <w:tcPr>
            <w:tcW w:w="0" w:type="auto"/>
          </w:tcPr>
          <w:p>
            <w:pPr>
              <w:spacing w:line="240" w:lineRule="auto" w:before="0" w:after="0"/>
              <w:pStyle w:val="Compact"/>
            </w:pPr>
            <w:r>
              <w:rPr>
                <w:sz w:val="20"/>
                <w:szCs w:val="20"/>
              </w:rPr>
              <w:t xml:space="preserve">CMSA Tiangong public ephemeris; CelesTrak [illustrative]</w:t>
            </w:r>
          </w:p>
        </w:tc>
      </w:tr>
      <w:tr>
        <w:tc>
          <w:tcPr>
            <w:tcW w:w="0" w:type="auto"/>
          </w:tcPr>
          <w:p>
            <w:pPr>
              <w:spacing w:line="240" w:lineRule="auto" w:before="0" w:after="0"/>
              <w:pStyle w:val="Compact"/>
            </w:pPr>
            <w:r>
              <w:rPr>
                <w:sz w:val="20"/>
                <w:szCs w:val="20"/>
              </w:rPr>
              <w:t xml:space="preserve">COSMOS-2558</w:t>
            </w:r>
          </w:p>
        </w:tc>
        <w:tc>
          <w:tcPr>
            <w:tcW w:w="0" w:type="auto"/>
          </w:tcPr>
          <w:p>
            <w:pPr>
              <w:spacing w:line="240" w:lineRule="auto" w:before="0" w:after="0"/>
              <w:pStyle w:val="Compact"/>
            </w:pPr>
            <w:r>
              <w:rPr>
                <w:sz w:val="20"/>
                <w:szCs w:val="20"/>
              </w:rPr>
              <w:t xml:space="preserve">440</w:t>
            </w:r>
          </w:p>
        </w:tc>
        <w:tc>
          <w:tcPr>
            <w:tcW w:w="0" w:type="auto"/>
          </w:tcPr>
          <w:p>
            <w:pPr>
              <w:spacing w:line="240" w:lineRule="auto" w:before="0" w:after="0"/>
              <w:pStyle w:val="Compact"/>
            </w:pPr>
            <w:r>
              <w:rPr>
                <w:sz w:val="20"/>
                <w:szCs w:val="20"/>
              </w:rPr>
              <w:t xml:space="preserve">97.3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1050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1.55</w:t>
            </w:r>
          </w:p>
        </w:tc>
        <w:tc>
          <w:tcPr>
            <w:tcW w:w="0" w:type="auto"/>
          </w:tcPr>
          <w:p>
            <w:pPr>
              <w:spacing w:line="240" w:lineRule="auto" w:before="0" w:after="0"/>
              <w:pStyle w:val="Compact"/>
            </w:pPr>
            <w:r>
              <w:rPr>
                <w:sz w:val="20"/>
                <w:szCs w:val="20"/>
              </w:rPr>
              <w:t xml:space="preserve">Secure World Foundation Global Counterspace 2024; Russian MoD [illustrative]</w:t>
            </w:r>
          </w:p>
        </w:tc>
      </w:tr>
      <w:tr>
        <w:tc>
          <w:tcPr>
            <w:tcW w:w="0" w:type="auto"/>
          </w:tcPr>
          <w:p>
            <w:pPr>
              <w:spacing w:line="240" w:lineRule="auto" w:before="0" w:after="0"/>
              <w:pStyle w:val="Compact"/>
            </w:pPr>
            <w:r>
              <w:rPr>
                <w:sz w:val="20"/>
                <w:szCs w:val="20"/>
              </w:rPr>
              <w:t xml:space="preserve">USA-318</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97.4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1110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1.48</w:t>
            </w:r>
          </w:p>
        </w:tc>
        <w:tc>
          <w:tcPr>
            <w:tcW w:w="0" w:type="auto"/>
          </w:tcPr>
          <w:p>
            <w:pPr>
              <w:spacing w:line="240" w:lineRule="auto" w:before="0" w:after="0"/>
              <w:pStyle w:val="Compact"/>
            </w:pPr>
            <w:r>
              <w:rPr>
                <w:sz w:val="20"/>
                <w:szCs w:val="20"/>
              </w:rPr>
              <w:t xml:space="preserve">USSF USA-318; CelesTrak NORAD 53466 [illustrative]</w:t>
            </w:r>
          </w:p>
        </w:tc>
      </w:tr>
      <w:tr>
        <w:tc>
          <w:tcPr>
            <w:tcW w:w="0" w:type="auto"/>
          </w:tcPr>
          <w:p>
            <w:pPr>
              <w:spacing w:line="240" w:lineRule="auto" w:before="0" w:after="0"/>
              <w:pStyle w:val="Compact"/>
            </w:pPr>
            <w:r>
              <w:rPr>
                <w:sz w:val="20"/>
                <w:szCs w:val="20"/>
              </w:rPr>
              <w:t xml:space="preserve">PLANETSCOPE-1456</w:t>
            </w:r>
          </w:p>
        </w:tc>
        <w:tc>
          <w:tcPr>
            <w:tcW w:w="0" w:type="auto"/>
          </w:tcPr>
          <w:p>
            <w:pPr>
              <w:spacing w:line="240" w:lineRule="auto" w:before="0" w:after="0"/>
              <w:pStyle w:val="Compact"/>
            </w:pPr>
            <w:r>
              <w:rPr>
                <w:sz w:val="20"/>
                <w:szCs w:val="20"/>
              </w:rPr>
              <w:t xml:space="preserve">475</w:t>
            </w:r>
          </w:p>
        </w:tc>
        <w:tc>
          <w:tcPr>
            <w:tcW w:w="0" w:type="auto"/>
          </w:tcPr>
          <w:p>
            <w:pPr>
              <w:spacing w:line="240" w:lineRule="auto" w:before="0" w:after="0"/>
              <w:pStyle w:val="Compact"/>
            </w:pPr>
            <w:r>
              <w:rPr>
                <w:sz w:val="20"/>
                <w:szCs w:val="20"/>
              </w:rPr>
              <w:t xml:space="preserve">51.6</w:t>
            </w:r>
          </w:p>
        </w:tc>
        <w:tc>
          <w:tcPr>
            <w:tcW w:w="0" w:type="auto"/>
          </w:tcPr>
          <w:p>
            <w:pPr>
              <w:spacing w:line="240" w:lineRule="auto" w:before="0" w:after="0"/>
              <w:pStyle w:val="Compact"/>
            </w:pPr>
            <w:r>
              <w:rPr>
                <w:sz w:val="20"/>
                <w:szCs w:val="20"/>
              </w:rPr>
              <w:t xml:space="preserve">0.1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2200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0.62</w:t>
            </w:r>
          </w:p>
        </w:tc>
        <w:tc>
          <w:tcPr>
            <w:tcW w:w="0" w:type="auto"/>
          </w:tcPr>
          <w:p>
            <w:pPr>
              <w:spacing w:line="240" w:lineRule="auto" w:before="0" w:after="0"/>
              <w:pStyle w:val="Compact"/>
            </w:pPr>
            <w:r>
              <w:rPr>
                <w:sz w:val="20"/>
                <w:szCs w:val="20"/>
              </w:rPr>
              <w:t xml:space="preserve">Planet Labs FCC SAT-LOA-20151123-00086 [illustrative]</w:t>
            </w:r>
          </w:p>
        </w:tc>
      </w:tr>
      <w:tr>
        <w:tc>
          <w:tcPr>
            <w:tcW w:w="0" w:type="auto"/>
          </w:tcPr>
          <w:p>
            <w:pPr>
              <w:spacing w:line="240" w:lineRule="auto" w:before="0" w:after="0"/>
              <w:pStyle w:val="Compact"/>
            </w:pPr>
            <w:r>
              <w:rPr>
                <w:sz w:val="20"/>
                <w:szCs w:val="20"/>
              </w:rPr>
              <w:t xml:space="preserve">PLANETSCOPE-1488</w:t>
            </w:r>
          </w:p>
        </w:tc>
        <w:tc>
          <w:tcPr>
            <w:tcW w:w="0" w:type="auto"/>
          </w:tcPr>
          <w:p>
            <w:pPr>
              <w:spacing w:line="240" w:lineRule="auto" w:before="0" w:after="0"/>
              <w:pStyle w:val="Compact"/>
            </w:pPr>
            <w:r>
              <w:rPr>
                <w:sz w:val="20"/>
                <w:szCs w:val="20"/>
              </w:rPr>
              <w:t xml:space="preserve">475</w:t>
            </w:r>
          </w:p>
        </w:tc>
        <w:tc>
          <w:tcPr>
            <w:tcW w:w="0" w:type="auto"/>
          </w:tcPr>
          <w:p>
            <w:pPr>
              <w:spacing w:line="240" w:lineRule="auto" w:before="0" w:after="0"/>
              <w:pStyle w:val="Compact"/>
            </w:pPr>
            <w:r>
              <w:rPr>
                <w:sz w:val="20"/>
                <w:szCs w:val="20"/>
              </w:rPr>
              <w:t xml:space="preserve">51.6</w:t>
            </w:r>
          </w:p>
        </w:tc>
        <w:tc>
          <w:tcPr>
            <w:tcW w:w="0" w:type="auto"/>
          </w:tcPr>
          <w:p>
            <w:pPr>
              <w:spacing w:line="240" w:lineRule="auto" w:before="0" w:after="0"/>
              <w:pStyle w:val="Compact"/>
            </w:pPr>
            <w:r>
              <w:rPr>
                <w:sz w:val="20"/>
                <w:szCs w:val="20"/>
              </w:rPr>
              <w:t xml:space="preserve">0.1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2180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0.65</w:t>
            </w:r>
          </w:p>
        </w:tc>
        <w:tc>
          <w:tcPr>
            <w:tcW w:w="0" w:type="auto"/>
          </w:tcPr>
          <w:p>
            <w:pPr>
              <w:spacing w:line="240" w:lineRule="auto" w:before="0" w:after="0"/>
              <w:pStyle w:val="Compact"/>
            </w:pPr>
            <w:r>
              <w:rPr>
                <w:sz w:val="20"/>
                <w:szCs w:val="20"/>
              </w:rPr>
              <w:t xml:space="preserve">Planet Labs FCC SAT-LOA-20151123-00086 [illustrative]</w:t>
            </w:r>
          </w:p>
        </w:tc>
      </w:tr>
      <w:tr>
        <w:tc>
          <w:tcPr>
            <w:tcW w:w="0" w:type="auto"/>
          </w:tcPr>
          <w:p>
            <w:pPr>
              <w:spacing w:line="240" w:lineRule="auto" w:before="0" w:after="0"/>
              <w:pStyle w:val="Compact"/>
            </w:pPr>
            <w:r>
              <w:rPr>
                <w:sz w:val="20"/>
                <w:szCs w:val="20"/>
              </w:rPr>
              <w:t xml:space="preserve">SPIRE-LEMUR-2-094</w:t>
            </w:r>
          </w:p>
        </w:tc>
        <w:tc>
          <w:tcPr>
            <w:tcW w:w="0" w:type="auto"/>
          </w:tcPr>
          <w:p>
            <w:pPr>
              <w:spacing w:line="240" w:lineRule="auto" w:before="0" w:after="0"/>
              <w:pStyle w:val="Compact"/>
            </w:pPr>
            <w:r>
              <w:rPr>
                <w:sz w:val="20"/>
                <w:szCs w:val="20"/>
              </w:rPr>
              <w:t xml:space="preserve">510</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0.08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1840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0.74</w:t>
            </w:r>
          </w:p>
        </w:tc>
        <w:tc>
          <w:tcPr>
            <w:tcW w:w="0" w:type="auto"/>
          </w:tcPr>
          <w:p>
            <w:pPr>
              <w:spacing w:line="240" w:lineRule="auto" w:before="0" w:after="0"/>
              <w:pStyle w:val="Compact"/>
            </w:pPr>
            <w:r>
              <w:rPr>
                <w:sz w:val="20"/>
                <w:szCs w:val="20"/>
              </w:rPr>
              <w:t xml:space="preserve">Spire FCC SAT-LOA-20151123-00087 [illustrative]</w:t>
            </w:r>
          </w:p>
        </w:tc>
      </w:tr>
      <w:tr>
        <w:tc>
          <w:tcPr>
            <w:tcW w:w="0" w:type="auto"/>
          </w:tcPr>
          <w:p>
            <w:pPr>
              <w:spacing w:line="240" w:lineRule="auto" w:before="0" w:after="0"/>
              <w:pStyle w:val="Compact"/>
            </w:pPr>
            <w:r>
              <w:rPr>
                <w:sz w:val="20"/>
                <w:szCs w:val="20"/>
              </w:rPr>
              <w:t xml:space="preserve">ICEYE-X11</w:t>
            </w:r>
          </w:p>
        </w:tc>
        <w:tc>
          <w:tcPr>
            <w:tcW w:w="0" w:type="auto"/>
          </w:tcPr>
          <w:p>
            <w:pPr>
              <w:spacing w:line="240" w:lineRule="auto" w:before="0" w:after="0"/>
              <w:pStyle w:val="Compact"/>
            </w:pPr>
            <w:r>
              <w:rPr>
                <w:sz w:val="20"/>
                <w:szCs w:val="20"/>
              </w:rPr>
              <w:t xml:space="preserve">580</w:t>
            </w:r>
          </w:p>
        </w:tc>
        <w:tc>
          <w:tcPr>
            <w:tcW w:w="0" w:type="auto"/>
          </w:tcPr>
          <w:p>
            <w:pPr>
              <w:spacing w:line="240" w:lineRule="auto" w:before="0" w:after="0"/>
              <w:pStyle w:val="Compact"/>
            </w:pPr>
            <w:r>
              <w:rPr>
                <w:sz w:val="20"/>
                <w:szCs w:val="20"/>
              </w:rPr>
              <w:t xml:space="preserve">97.5</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1620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0.49</w:t>
            </w:r>
          </w:p>
        </w:tc>
        <w:tc>
          <w:tcPr>
            <w:tcW w:w="0" w:type="auto"/>
          </w:tcPr>
          <w:p>
            <w:pPr>
              <w:spacing w:line="240" w:lineRule="auto" w:before="0" w:after="0"/>
              <w:pStyle w:val="Compact"/>
            </w:pPr>
            <w:r>
              <w:rPr>
                <w:sz w:val="20"/>
                <w:szCs w:val="20"/>
              </w:rPr>
              <w:t xml:space="preserve">ICEYE FCC SAT-LOI-20200109-00003 [illustrative]</w:t>
            </w:r>
          </w:p>
        </w:tc>
      </w:tr>
      <w:tr>
        <w:tc>
          <w:tcPr>
            <w:tcW w:w="0" w:type="auto"/>
          </w:tcPr>
          <w:p>
            <w:pPr>
              <w:spacing w:line="240" w:lineRule="auto" w:before="0" w:after="0"/>
              <w:pStyle w:val="Compact"/>
            </w:pPr>
            <w:r>
              <w:rPr>
                <w:sz w:val="20"/>
                <w:szCs w:val="20"/>
              </w:rPr>
              <w:t xml:space="preserve">CAPELLA-9</w:t>
            </w:r>
          </w:p>
        </w:tc>
        <w:tc>
          <w:tcPr>
            <w:tcW w:w="0" w:type="auto"/>
          </w:tcPr>
          <w:p>
            <w:pPr>
              <w:spacing w:line="240" w:lineRule="auto" w:before="0" w:after="0"/>
              <w:pStyle w:val="Compact"/>
            </w:pPr>
            <w:r>
              <w:rPr>
                <w:sz w:val="20"/>
                <w:szCs w:val="20"/>
              </w:rPr>
              <w:t xml:space="preserve">525</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0.45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1320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0.51</w:t>
            </w:r>
          </w:p>
        </w:tc>
        <w:tc>
          <w:tcPr>
            <w:tcW w:w="0" w:type="auto"/>
          </w:tcPr>
          <w:p>
            <w:pPr>
              <w:spacing w:line="240" w:lineRule="auto" w:before="0" w:after="0"/>
              <w:pStyle w:val="Compact"/>
            </w:pPr>
            <w:r>
              <w:rPr>
                <w:sz w:val="20"/>
                <w:szCs w:val="20"/>
              </w:rPr>
              <w:t xml:space="preserve">Capella Space FCC SAT-LOA-20180910-00071 [illustrative]</w:t>
            </w:r>
          </w:p>
        </w:tc>
      </w:tr>
      <w:tr>
        <w:tc>
          <w:tcPr>
            <w:tcW w:w="0" w:type="auto"/>
          </w:tcPr>
          <w:p>
            <w:pPr>
              <w:spacing w:line="240" w:lineRule="auto" w:before="0" w:after="0"/>
              <w:pStyle w:val="Compact"/>
            </w:pPr>
            <w:r>
              <w:rPr>
                <w:sz w:val="20"/>
                <w:szCs w:val="20"/>
              </w:rPr>
              <w:t xml:space="preserve">DELTA-IV-DEB-2018-079B</w:t>
            </w:r>
          </w:p>
        </w:tc>
        <w:tc>
          <w:tcPr>
            <w:tcW w:w="0" w:type="auto"/>
          </w:tcPr>
          <w:p>
            <w:pPr>
              <w:spacing w:line="240" w:lineRule="auto" w:before="0" w:after="0"/>
              <w:pStyle w:val="Compact"/>
            </w:pPr>
            <w:r>
              <w:rPr>
                <w:sz w:val="20"/>
                <w:szCs w:val="20"/>
              </w:rPr>
              <w:t xml:space="preserve">820</w:t>
            </w:r>
          </w:p>
        </w:tc>
        <w:tc>
          <w:tcPr>
            <w:tcW w:w="0" w:type="auto"/>
          </w:tcPr>
          <w:p>
            <w:pPr>
              <w:spacing w:line="240" w:lineRule="auto" w:before="0" w:after="0"/>
              <w:pStyle w:val="Compact"/>
            </w:pPr>
            <w:r>
              <w:rPr>
                <w:sz w:val="20"/>
                <w:szCs w:val="20"/>
              </w:rPr>
              <w:t xml:space="preserve">84.1</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2480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1.18</w:t>
            </w:r>
          </w:p>
        </w:tc>
        <w:tc>
          <w:tcPr>
            <w:tcW w:w="0" w:type="auto"/>
          </w:tcPr>
          <w:p>
            <w:pPr>
              <w:spacing w:line="240" w:lineRule="auto" w:before="0" w:after="0"/>
              <w:pStyle w:val="Compact"/>
            </w:pPr>
            <w:r>
              <w:rPr>
                <w:sz w:val="20"/>
                <w:szCs w:val="20"/>
              </w:rPr>
              <w:t xml:space="preserve">NASA ODPO ODQN; CelesTrak debris analysis [illustrative]</w:t>
            </w:r>
          </w:p>
        </w:tc>
      </w:tr>
      <w:tr>
        <w:tc>
          <w:tcPr>
            <w:tcW w:w="0" w:type="auto"/>
          </w:tcPr>
          <w:p>
            <w:pPr>
              <w:spacing w:line="240" w:lineRule="auto" w:before="0" w:after="0"/>
              <w:pStyle w:val="Compact"/>
            </w:pPr>
            <w:r>
              <w:rPr>
                <w:sz w:val="20"/>
                <w:szCs w:val="20"/>
              </w:rPr>
              <w:t xml:space="preserve">CZ-6A-DEB-2022-151C</w:t>
            </w:r>
          </w:p>
        </w:tc>
        <w:tc>
          <w:tcPr>
            <w:tcW w:w="0" w:type="auto"/>
          </w:tcPr>
          <w:p>
            <w:pPr>
              <w:spacing w:line="240" w:lineRule="auto" w:before="0" w:after="0"/>
              <w:pStyle w:val="Compact"/>
            </w:pPr>
            <w:r>
              <w:rPr>
                <w:sz w:val="20"/>
                <w:szCs w:val="20"/>
              </w:rPr>
              <w:t xml:space="preserve">840</w:t>
            </w:r>
          </w:p>
        </w:tc>
        <w:tc>
          <w:tcPr>
            <w:tcW w:w="0" w:type="auto"/>
          </w:tcPr>
          <w:p>
            <w:pPr>
              <w:spacing w:line="240" w:lineRule="auto" w:before="0" w:after="0"/>
              <w:pStyle w:val="Compact"/>
            </w:pPr>
            <w:r>
              <w:rPr>
                <w:sz w:val="20"/>
                <w:szCs w:val="20"/>
              </w:rPr>
              <w:t xml:space="preserve">98.9</w:t>
            </w:r>
          </w:p>
        </w:tc>
        <w:tc>
          <w:tcPr>
            <w:tcW w:w="0" w:type="auto"/>
          </w:tcPr>
          <w:p>
            <w:pPr>
              <w:spacing w:line="240" w:lineRule="auto" w:before="0" w:after="0"/>
              <w:pStyle w:val="Compact"/>
            </w:pPr>
            <w:r>
              <w:rPr>
                <w:sz w:val="20"/>
                <w:szCs w:val="20"/>
              </w:rPr>
              <w:t xml:space="preserve">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1280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1.62</w:t>
            </w:r>
          </w:p>
        </w:tc>
        <w:tc>
          <w:tcPr>
            <w:tcW w:w="0" w:type="auto"/>
          </w:tcPr>
          <w:p>
            <w:pPr>
              <w:spacing w:line="240" w:lineRule="auto" w:before="0" w:after="0"/>
              <w:pStyle w:val="Compact"/>
            </w:pPr>
            <w:r>
              <w:rPr>
                <w:sz w:val="20"/>
                <w:szCs w:val="20"/>
              </w:rPr>
              <w:t xml:space="preserve">NASA ODPO ODQN v27-1 (2023) Long March 6A debris event [illustrative]</w:t>
            </w:r>
          </w:p>
        </w:tc>
      </w:tr>
      <w:tr>
        <w:tc>
          <w:tcPr>
            <w:tcW w:w="0" w:type="auto"/>
          </w:tcPr>
          <w:p>
            <w:pPr>
              <w:spacing w:line="240" w:lineRule="auto" w:before="0" w:after="0"/>
              <w:pStyle w:val="Compact"/>
            </w:pPr>
            <w:r>
              <w:rPr>
                <w:sz w:val="20"/>
                <w:szCs w:val="20"/>
              </w:rPr>
              <w:t xml:space="preserve">COSMOS-2535-2542-DEB</w:t>
            </w:r>
          </w:p>
        </w:tc>
        <w:tc>
          <w:tcPr>
            <w:tcW w:w="0" w:type="auto"/>
          </w:tcPr>
          <w:p>
            <w:pPr>
              <w:spacing w:line="240" w:lineRule="auto" w:before="0" w:after="0"/>
              <w:pStyle w:val="Compact"/>
            </w:pPr>
            <w:r>
              <w:rPr>
                <w:sz w:val="20"/>
                <w:szCs w:val="20"/>
              </w:rPr>
              <w:t xml:space="preserve">485</w:t>
            </w:r>
          </w:p>
        </w:tc>
        <w:tc>
          <w:tcPr>
            <w:tcW w:w="0" w:type="auto"/>
          </w:tcPr>
          <w:p>
            <w:pPr>
              <w:spacing w:line="240" w:lineRule="auto" w:before="0" w:after="0"/>
              <w:pStyle w:val="Compact"/>
            </w:pPr>
            <w:r>
              <w:rPr>
                <w:sz w:val="20"/>
                <w:szCs w:val="20"/>
              </w:rPr>
              <w:t xml:space="preserve">97.7</w:t>
            </w:r>
          </w:p>
        </w:tc>
        <w:tc>
          <w:tcPr>
            <w:tcW w:w="0" w:type="auto"/>
          </w:tcPr>
          <w:p>
            <w:pPr>
              <w:spacing w:line="240" w:lineRule="auto" w:before="0" w:after="0"/>
              <w:pStyle w:val="Compact"/>
            </w:pPr>
            <w:r>
              <w:rPr>
                <w:sz w:val="20"/>
                <w:szCs w:val="20"/>
              </w:rPr>
              <w:t xml:space="preserve">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1980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1.35</w:t>
            </w:r>
          </w:p>
        </w:tc>
        <w:tc>
          <w:tcPr>
            <w:tcW w:w="0" w:type="auto"/>
          </w:tcPr>
          <w:p>
            <w:pPr>
              <w:spacing w:line="240" w:lineRule="auto" w:before="0" w:after="0"/>
              <w:pStyle w:val="Compact"/>
            </w:pPr>
            <w:r>
              <w:rPr>
                <w:sz w:val="20"/>
                <w:szCs w:val="20"/>
              </w:rPr>
              <w:t xml:space="preserve">Anz-Meador NASA Orbital Debris Quarterly News [illustrative]</w:t>
            </w:r>
          </w:p>
        </w:tc>
      </w:tr>
      <w:tr>
        <w:tc>
          <w:tcPr>
            <w:tcW w:w="0" w:type="auto"/>
          </w:tcPr>
          <w:p>
            <w:pPr>
              <w:spacing w:line="240" w:lineRule="auto" w:before="0" w:after="0"/>
              <w:pStyle w:val="Compact"/>
            </w:pPr>
            <w:r>
              <w:rPr>
                <w:sz w:val="20"/>
                <w:szCs w:val="20"/>
              </w:rPr>
              <w:t xml:space="preserve">INTELSAT-901-MEV1</w:t>
            </w:r>
          </w:p>
        </w:tc>
        <w:tc>
          <w:tcPr>
            <w:tcW w:w="0" w:type="auto"/>
          </w:tcPr>
          <w:p>
            <w:pPr>
              <w:spacing w:line="240" w:lineRule="auto" w:before="0" w:after="0"/>
              <w:pStyle w:val="Compact"/>
            </w:pPr>
            <w:r>
              <w:rPr>
                <w:sz w:val="20"/>
                <w:szCs w:val="20"/>
              </w:rPr>
              <w:t xml:space="preserve">35786</w:t>
            </w:r>
          </w:p>
        </w:tc>
        <w:tc>
          <w:tcPr>
            <w:tcW w:w="0" w:type="auto"/>
          </w:tcPr>
          <w:p>
            <w:pPr>
              <w:spacing w:line="240" w:lineRule="auto" w:before="0" w:after="0"/>
              <w:pStyle w:val="Compact"/>
            </w:pPr>
            <w:r>
              <w:rPr>
                <w:sz w:val="20"/>
                <w:szCs w:val="20"/>
              </w:rPr>
              <w:t xml:space="preserve">0.1</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8520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1.15</w:t>
            </w:r>
          </w:p>
        </w:tc>
        <w:tc>
          <w:tcPr>
            <w:tcW w:w="0" w:type="auto"/>
          </w:tcPr>
          <w:p>
            <w:pPr>
              <w:spacing w:line="240" w:lineRule="auto" w:before="0" w:after="0"/>
              <w:pStyle w:val="Compact"/>
            </w:pPr>
            <w:r>
              <w:rPr>
                <w:sz w:val="20"/>
                <w:szCs w:val="20"/>
              </w:rPr>
              <w:t xml:space="preserve">Northrop Grumman MEV-1; FCC SAT-LOA-20171109-00148 [illustrative]</w:t>
            </w:r>
          </w:p>
        </w:tc>
      </w:tr>
      <w:tr>
        <w:tc>
          <w:tcPr>
            <w:tcW w:w="0" w:type="auto"/>
          </w:tcPr>
          <w:p>
            <w:pPr>
              <w:spacing w:line="240" w:lineRule="auto" w:before="0" w:after="0"/>
              <w:pStyle w:val="Compact"/>
            </w:pPr>
            <w:r>
              <w:rPr>
                <w:sz w:val="20"/>
                <w:szCs w:val="20"/>
              </w:rPr>
              <w:t xml:space="preserve">SES-12</w:t>
            </w:r>
          </w:p>
        </w:tc>
        <w:tc>
          <w:tcPr>
            <w:tcW w:w="0" w:type="auto"/>
          </w:tcPr>
          <w:p>
            <w:pPr>
              <w:spacing w:line="240" w:lineRule="auto" w:before="0" w:after="0"/>
              <w:pStyle w:val="Compact"/>
            </w:pPr>
            <w:r>
              <w:rPr>
                <w:sz w:val="20"/>
                <w:szCs w:val="20"/>
              </w:rPr>
              <w:t xml:space="preserve">35786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2860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SES Networks SES-12 press kit [illustrative]</w:t>
            </w:r>
          </w:p>
        </w:tc>
      </w:tr>
      <w:tr>
        <w:tc>
          <w:tcPr>
            <w:tcW w:w="0" w:type="auto"/>
          </w:tcPr>
          <w:p>
            <w:pPr>
              <w:spacing w:line="240" w:lineRule="auto" w:before="0" w:after="0"/>
              <w:pStyle w:val="Compact"/>
            </w:pPr>
            <w:r>
              <w:rPr>
                <w:sz w:val="20"/>
                <w:szCs w:val="20"/>
              </w:rPr>
              <w:t xml:space="preserve">TURKSAT-5A</w:t>
            </w:r>
          </w:p>
        </w:tc>
        <w:tc>
          <w:tcPr>
            <w:tcW w:w="0" w:type="auto"/>
          </w:tcPr>
          <w:p>
            <w:pPr>
              <w:spacing w:line="240" w:lineRule="auto" w:before="0" w:after="0"/>
              <w:pStyle w:val="Compact"/>
            </w:pPr>
            <w:r>
              <w:rPr>
                <w:sz w:val="20"/>
                <w:szCs w:val="20"/>
              </w:rPr>
              <w:t xml:space="preserve">35786</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1810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1.21</w:t>
            </w:r>
          </w:p>
        </w:tc>
        <w:tc>
          <w:tcPr>
            <w:tcW w:w="0" w:type="auto"/>
          </w:tcPr>
          <w:p>
            <w:pPr>
              <w:spacing w:line="240" w:lineRule="auto" w:before="0" w:after="0"/>
              <w:pStyle w:val="Compact"/>
            </w:pPr>
            <w:r>
              <w:rPr>
                <w:sz w:val="20"/>
                <w:szCs w:val="20"/>
              </w:rPr>
              <w:t xml:space="preserve">Turksat 5A SpaceX launch kit January 2021 [illustrative]</w:t>
            </w:r>
          </w:p>
        </w:tc>
      </w:tr>
      <w:tr>
        <w:tc>
          <w:tcPr>
            <w:tcW w:w="0" w:type="auto"/>
          </w:tcPr>
          <w:p>
            <w:pPr>
              <w:spacing w:line="240" w:lineRule="auto" w:before="0" w:after="0"/>
              <w:pStyle w:val="Compact"/>
            </w:pPr>
            <w:r>
              <w:rPr>
                <w:sz w:val="20"/>
                <w:szCs w:val="20"/>
              </w:rPr>
              <w:t xml:space="preserve">KOSMOS-2576</w:t>
            </w:r>
          </w:p>
        </w:tc>
        <w:tc>
          <w:tcPr>
            <w:tcW w:w="0" w:type="auto"/>
          </w:tcPr>
          <w:p>
            <w:pPr>
              <w:spacing w:line="240" w:lineRule="auto" w:before="0" w:after="0"/>
              <w:pStyle w:val="Compact"/>
            </w:pPr>
            <w:r>
              <w:rPr>
                <w:sz w:val="20"/>
                <w:szCs w:val="20"/>
              </w:rPr>
              <w:t xml:space="preserve">485</w:t>
            </w:r>
          </w:p>
        </w:tc>
        <w:tc>
          <w:tcPr>
            <w:tcW w:w="0" w:type="auto"/>
          </w:tcPr>
          <w:p>
            <w:pPr>
              <w:spacing w:line="240" w:lineRule="auto" w:before="0" w:after="0"/>
              <w:pStyle w:val="Compact"/>
            </w:pPr>
            <w:r>
              <w:rPr>
                <w:sz w:val="20"/>
                <w:szCs w:val="20"/>
              </w:rPr>
              <w:t xml:space="preserve">97.3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760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1.68</w:t>
            </w:r>
          </w:p>
        </w:tc>
        <w:tc>
          <w:tcPr>
            <w:tcW w:w="0" w:type="auto"/>
          </w:tcPr>
          <w:p>
            <w:pPr>
              <w:spacing w:line="240" w:lineRule="auto" w:before="0" w:after="0"/>
              <w:pStyle w:val="Compact"/>
            </w:pPr>
            <w:r>
              <w:rPr>
                <w:sz w:val="20"/>
                <w:szCs w:val="20"/>
              </w:rPr>
              <w:t xml:space="preserve">Secure World Foundation Global Counterspace Capabilities 2024 [illustrative]</w:t>
            </w:r>
          </w:p>
        </w:tc>
      </w:tr>
      <w:tr>
        <w:tc>
          <w:tcPr>
            <w:tcW w:w="0" w:type="auto"/>
          </w:tcPr>
          <w:p>
            <w:pPr>
              <w:spacing w:line="240" w:lineRule="auto" w:before="0" w:after="0"/>
              <w:pStyle w:val="Compact"/>
            </w:pPr>
            <w:r>
              <w:rPr>
                <w:sz w:val="20"/>
                <w:szCs w:val="20"/>
              </w:rPr>
              <w:t xml:space="preserve">SAOCOM-1B</w:t>
            </w:r>
          </w:p>
        </w:tc>
        <w:tc>
          <w:tcPr>
            <w:tcW w:w="0" w:type="auto"/>
          </w:tcPr>
          <w:p>
            <w:pPr>
              <w:spacing w:line="240" w:lineRule="auto" w:before="0" w:after="0"/>
              <w:pStyle w:val="Compact"/>
            </w:pPr>
            <w:r>
              <w:rPr>
                <w:sz w:val="20"/>
                <w:szCs w:val="20"/>
              </w:rPr>
              <w:t xml:space="preserve">620</w:t>
            </w:r>
          </w:p>
        </w:tc>
        <w:tc>
          <w:tcPr>
            <w:tcW w:w="0" w:type="auto"/>
          </w:tcPr>
          <w:p>
            <w:pPr>
              <w:spacing w:line="240" w:lineRule="auto" w:before="0" w:after="0"/>
              <w:pStyle w:val="Compact"/>
            </w:pPr>
            <w:r>
              <w:rPr>
                <w:sz w:val="20"/>
                <w:szCs w:val="20"/>
              </w:rPr>
              <w:t xml:space="preserve">97.9</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1950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0.45</w:t>
            </w:r>
          </w:p>
        </w:tc>
        <w:tc>
          <w:tcPr>
            <w:tcW w:w="0" w:type="auto"/>
          </w:tcPr>
          <w:p>
            <w:pPr>
              <w:spacing w:line="240" w:lineRule="auto" w:before="0" w:after="0"/>
              <w:pStyle w:val="Compact"/>
            </w:pPr>
            <w:r>
              <w:rPr>
                <w:sz w:val="20"/>
                <w:szCs w:val="20"/>
              </w:rPr>
              <w:t xml:space="preserve">CONAE SAOCOM-1B mission docs; SpaceX press kit [illustrative]</w:t>
            </w:r>
          </w:p>
        </w:tc>
      </w:tr>
    </w:tbl>
    <w:bookmarkEnd w:id="82"/>
    <w:bookmarkStart w:id="83"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disagreement_km</w:t>
            </w:r>
          </w:p>
        </w:tc>
        <w:tc>
          <w:tcPr>
            <w:tcW w:w="0" w:type="auto"/>
          </w:tcPr>
          <w:p>
            <w:pPr>
              <w:spacing w:line="240" w:lineRule="auto" w:before="0" w:after="0"/>
              <w:pStyle w:val="Compact"/>
            </w:pPr>
            <w:r>
              <w:rPr>
                <w:sz w:val="20"/>
                <w:szCs w:val="20"/>
              </w:rPr>
              <w:t xml:space="preserve">Mean pairwise positional disagreement at epoch across catalogs (km)</w:t>
            </w:r>
          </w:p>
        </w:tc>
        <w:tc>
          <w:tcPr>
            <w:tcW w:w="0" w:type="auto"/>
          </w:tcPr>
          <w:p>
            <w:pPr>
              <w:spacing w:line="240" w:lineRule="auto" w:before="0" w:after="0"/>
              <w:pStyle w:val="Compact"/>
            </w:pPr>
            <w:r>
              <w:rPr>
                <w:sz w:val="20"/>
                <w:szCs w:val="20"/>
              </w:rPr>
              <w:t xml:space="preserve">Computed from 18 SDS public TLE vs commercial ephemerides (LeoLabs, COMSPOC, Slingshot, Kayhan) per Magnus et al. AMOS 2024</w:t>
            </w:r>
          </w:p>
        </w:tc>
      </w:tr>
      <w:tr>
        <w:tc>
          <w:tcPr>
            <w:tcW w:w="0" w:type="auto"/>
          </w:tcPr>
          <w:p>
            <w:pPr>
              <w:spacing w:line="240" w:lineRule="auto" w:before="0" w:after="0"/>
              <w:pStyle w:val="Compact"/>
            </w:pPr>
            <w:r>
              <w:rPr>
                <w:sz w:val="20"/>
                <w:szCs w:val="20"/>
              </w:rPr>
              <w:t xml:space="preserve">altitude_km</w:t>
            </w:r>
          </w:p>
        </w:tc>
        <w:tc>
          <w:tcPr>
            <w:tcW w:w="0" w:type="auto"/>
          </w:tcPr>
          <w:p>
            <w:pPr>
              <w:spacing w:line="240" w:lineRule="auto" w:before="0" w:after="0"/>
              <w:pStyle w:val="Compact"/>
            </w:pPr>
            <w:r>
              <w:rPr>
                <w:sz w:val="20"/>
                <w:szCs w:val="20"/>
              </w:rPr>
              <w:t xml:space="preserve">Mean orbital altitude above Earth surface (km)</w:t>
            </w:r>
          </w:p>
        </w:tc>
        <w:tc>
          <w:tcPr>
            <w:tcW w:w="0" w:type="auto"/>
          </w:tcPr>
          <w:p>
            <w:pPr>
              <w:spacing w:line="240" w:lineRule="auto" w:before="0" w:after="0"/>
              <w:pStyle w:val="Compact"/>
            </w:pPr>
            <w:r>
              <w:rPr>
                <w:sz w:val="20"/>
                <w:szCs w:val="20"/>
              </w:rPr>
              <w:t xml:space="preserve">Operator filings (FCC) and CelesTrak SATCAT mean motion conversion</w:t>
            </w:r>
          </w:p>
        </w:tc>
      </w:tr>
      <w:tr>
        <w:tc>
          <w:tcPr>
            <w:tcW w:w="0" w:type="auto"/>
          </w:tcPr>
          <w:p>
            <w:pPr>
              <w:spacing w:line="240" w:lineRule="auto" w:before="0" w:after="0"/>
              <w:pStyle w:val="Compact"/>
            </w:pPr>
            <w:r>
              <w:rPr>
                <w:sz w:val="20"/>
                <w:szCs w:val="20"/>
              </w:rPr>
              <w:t xml:space="preserve">rcs_m2</w:t>
            </w:r>
          </w:p>
        </w:tc>
        <w:tc>
          <w:tcPr>
            <w:tcW w:w="0" w:type="auto"/>
          </w:tcPr>
          <w:p>
            <w:pPr>
              <w:spacing w:line="240" w:lineRule="auto" w:before="0" w:after="0"/>
              <w:pStyle w:val="Compact"/>
            </w:pPr>
            <w:r>
              <w:rPr>
                <w:sz w:val="20"/>
                <w:szCs w:val="20"/>
              </w:rPr>
              <w:t xml:space="preserve">Radar cross section (square meters)</w:t>
            </w:r>
          </w:p>
        </w:tc>
        <w:tc>
          <w:tcPr>
            <w:tcW w:w="0" w:type="auto"/>
          </w:tcPr>
          <w:p>
            <w:pPr>
              <w:spacing w:line="240" w:lineRule="auto" w:before="0" w:after="0"/>
              <w:pStyle w:val="Compact"/>
            </w:pPr>
            <w:r>
              <w:rPr>
                <w:sz w:val="20"/>
                <w:szCs w:val="20"/>
              </w:rPr>
              <w:t xml:space="preserve">18 SDS SATCAT RCS field; NASA ODPO size estimation for debris</w:t>
            </w:r>
          </w:p>
        </w:tc>
      </w:tr>
      <w:tr>
        <w:tc>
          <w:tcPr>
            <w:tcW w:w="0" w:type="auto"/>
          </w:tcPr>
          <w:p>
            <w:pPr>
              <w:spacing w:line="240" w:lineRule="auto" w:before="0" w:after="0"/>
              <w:pStyle w:val="Compact"/>
            </w:pPr>
            <w:r>
              <w:rPr>
                <w:sz w:val="20"/>
                <w:szCs w:val="20"/>
              </w:rPr>
              <w:t xml:space="preserve">maneuverable</w:t>
            </w:r>
          </w:p>
        </w:tc>
        <w:tc>
          <w:tcPr>
            <w:tcW w:w="0" w:type="auto"/>
          </w:tcPr>
          <w:p>
            <w:pPr>
              <w:spacing w:line="240" w:lineRule="auto" w:before="0" w:after="0"/>
              <w:pStyle w:val="Compact"/>
            </w:pPr>
            <w:r>
              <w:rPr>
                <w:sz w:val="20"/>
                <w:szCs w:val="20"/>
              </w:rPr>
              <w:t xml:space="preserve">Indicator: 1 if object is an active operational satellite, 0 otherwise</w:t>
            </w:r>
          </w:p>
        </w:tc>
        <w:tc>
          <w:tcPr>
            <w:tcW w:w="0" w:type="auto"/>
          </w:tcPr>
          <w:p>
            <w:pPr>
              <w:spacing w:line="240" w:lineRule="auto" w:before="0" w:after="0"/>
              <w:pStyle w:val="Compact"/>
            </w:pPr>
            <w:r>
              <w:rPr>
                <w:sz w:val="20"/>
                <w:szCs w:val="20"/>
              </w:rPr>
              <w:t xml:space="preserve">FCC and operator status records</w:t>
            </w:r>
          </w:p>
        </w:tc>
      </w:tr>
      <w:tr>
        <w:tc>
          <w:tcPr>
            <w:tcW w:w="0" w:type="auto"/>
          </w:tcPr>
          <w:p>
            <w:pPr>
              <w:spacing w:line="240" w:lineRule="auto" w:before="0" w:after="0"/>
              <w:pStyle w:val="Compact"/>
            </w:pPr>
            <w:r>
              <w:rPr>
                <w:sz w:val="20"/>
                <w:szCs w:val="20"/>
              </w:rPr>
              <w:t xml:space="preserve">operator_class</w:t>
            </w:r>
          </w:p>
        </w:tc>
        <w:tc>
          <w:tcPr>
            <w:tcW w:w="0" w:type="auto"/>
          </w:tcPr>
          <w:p>
            <w:pPr>
              <w:spacing w:line="240" w:lineRule="auto" w:before="0" w:after="0"/>
              <w:pStyle w:val="Compact"/>
            </w:pPr>
            <w:r>
              <w:rPr>
                <w:sz w:val="20"/>
                <w:szCs w:val="20"/>
              </w:rPr>
              <w:t xml:space="preserve">Class: 0 debris, 1 commercial, 2 civil-government, 3 military-government</w:t>
            </w:r>
          </w:p>
        </w:tc>
        <w:tc>
          <w:tcPr>
            <w:tcW w:w="0" w:type="auto"/>
          </w:tcPr>
          <w:p>
            <w:pPr>
              <w:spacing w:line="240" w:lineRule="auto" w:before="0" w:after="0"/>
              <w:pStyle w:val="Compact"/>
            </w:pPr>
            <w:r>
              <w:rPr>
                <w:sz w:val="20"/>
                <w:szCs w:val="20"/>
              </w:rPr>
              <w:t xml:space="preserve">FCC/operator/SWF classification</w:t>
            </w:r>
          </w:p>
        </w:tc>
      </w:tr>
      <w:tr>
        <w:tc>
          <w:tcPr>
            <w:tcW w:w="0" w:type="auto"/>
          </w:tcPr>
          <w:p>
            <w:pPr>
              <w:spacing w:line="240" w:lineRule="auto" w:before="0" w:after="0"/>
              <w:pStyle w:val="Compact"/>
            </w:pPr>
            <w:r>
              <w:rPr>
                <w:sz w:val="20"/>
                <w:szCs w:val="20"/>
              </w:rPr>
              <w:t xml:space="preserve">object_age_days</w:t>
            </w:r>
          </w:p>
        </w:tc>
        <w:tc>
          <w:tcPr>
            <w:tcW w:w="0" w:type="auto"/>
          </w:tcPr>
          <w:p>
            <w:pPr>
              <w:spacing w:line="240" w:lineRule="auto" w:before="0" w:after="0"/>
              <w:pStyle w:val="Compact"/>
            </w:pPr>
            <w:r>
              <w:rPr>
                <w:sz w:val="20"/>
                <w:szCs w:val="20"/>
              </w:rPr>
              <w:t xml:space="preserve">Days since launch</w:t>
            </w:r>
          </w:p>
        </w:tc>
        <w:tc>
          <w:tcPr>
            <w:tcW w:w="0" w:type="auto"/>
          </w:tcPr>
          <w:p>
            <w:pPr>
              <w:spacing w:line="240" w:lineRule="auto" w:before="0" w:after="0"/>
              <w:pStyle w:val="Compact"/>
            </w:pPr>
            <w:r>
              <w:rPr>
                <w:sz w:val="20"/>
                <w:szCs w:val="20"/>
              </w:rPr>
              <w:t xml:space="preserve">CelesTrak SATCAT launch date</w:t>
            </w:r>
          </w:p>
        </w:tc>
      </w:tr>
      <w:tr>
        <w:tc>
          <w:tcPr>
            <w:tcW w:w="0" w:type="auto"/>
          </w:tcPr>
          <w:p>
            <w:pPr>
              <w:spacing w:line="240" w:lineRule="auto" w:before="0" w:after="0"/>
              <w:pStyle w:val="Compact"/>
            </w:pPr>
            <w:r>
              <w:rPr>
                <w:sz w:val="20"/>
                <w:szCs w:val="20"/>
              </w:rPr>
              <w:t xml:space="preserve">n_sources</w:t>
            </w:r>
          </w:p>
        </w:tc>
        <w:tc>
          <w:tcPr>
            <w:tcW w:w="0" w:type="auto"/>
          </w:tcPr>
          <w:p>
            <w:pPr>
              <w:spacing w:line="240" w:lineRule="auto" w:before="0" w:after="0"/>
              <w:pStyle w:val="Compact"/>
            </w:pPr>
            <w:r>
              <w:rPr>
                <w:sz w:val="20"/>
                <w:szCs w:val="20"/>
              </w:rPr>
              <w:t xml:space="preserve">Count of independent catalogs reporting state for the object</w:t>
            </w:r>
          </w:p>
        </w:tc>
        <w:tc>
          <w:tcPr>
            <w:tcW w:w="0" w:type="auto"/>
          </w:tcPr>
          <w:p>
            <w:pPr>
              <w:spacing w:line="240" w:lineRule="auto" w:before="0" w:after="0"/>
              <w:pStyle w:val="Compact"/>
            </w:pPr>
            <w:r>
              <w:rPr>
                <w:sz w:val="20"/>
                <w:szCs w:val="20"/>
              </w:rPr>
              <w:t xml:space="preserve">Magnus et al. AMOS 2024 Pathfinder participant set</w:t>
            </w:r>
          </w:p>
        </w:tc>
      </w:tr>
    </w:tbl>
    <w:bookmarkEnd w:id="83"/>
    <w:bookmarkStart w:id="84"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0.9006</w:t>
            </w:r>
          </w:p>
        </w:tc>
        <w:tc>
          <w:tcPr>
            <w:tcW w:w="0" w:type="auto"/>
          </w:tcPr>
          <w:p>
            <w:pPr>
              <w:spacing w:line="240" w:lineRule="auto" w:before="0" w:after="0"/>
              <w:pStyle w:val="Compact"/>
            </w:pPr>
            <w:r>
              <w:rPr>
                <w:sz w:val="20"/>
                <w:szCs w:val="20"/>
              </w:rPr>
              <w:t xml:space="preserve">0.5879</w:t>
            </w:r>
          </w:p>
        </w:tc>
        <w:tc>
          <w:tcPr>
            <w:tcW w:w="0" w:type="auto"/>
          </w:tcPr>
          <w:p>
            <w:pPr>
              <w:spacing w:line="240" w:lineRule="auto" w:before="0" w:after="0"/>
              <w:pStyle w:val="Compact"/>
            </w:pPr>
            <w:r>
              <w:rPr>
                <w:sz w:val="20"/>
                <w:szCs w:val="20"/>
              </w:rPr>
              <w:t xml:space="preserve">1.5319</w:t>
            </w:r>
          </w:p>
        </w:tc>
        <w:tc>
          <w:tcPr>
            <w:tcW w:w="0" w:type="auto"/>
          </w:tcPr>
          <w:p>
            <w:pPr>
              <w:spacing w:line="240" w:lineRule="auto" w:before="0" w:after="0"/>
              <w:pStyle w:val="Compact"/>
            </w:pPr>
            <w:r>
              <w:rPr>
                <w:sz w:val="20"/>
                <w:szCs w:val="20"/>
              </w:rPr>
              <w:t xml:space="preserve">0.1255</w:t>
            </w:r>
          </w:p>
        </w:tc>
        <w:tc>
          <w:tcPr>
            <w:tcW w:w="0" w:type="auto"/>
          </w:tcPr>
          <w:p>
            <w:pPr>
              <w:spacing w:line="240" w:lineRule="auto" w:before="0" w:after="0"/>
              <w:pStyle w:val="Compact"/>
            </w:pPr>
            <w:r>
              <w:rPr>
                <w:sz w:val="20"/>
                <w:szCs w:val="20"/>
              </w:rPr>
              <w:t xml:space="preserve">[-0.2517, 2.0528]</w:t>
            </w:r>
          </w:p>
        </w:tc>
      </w:tr>
      <w:tr>
        <w:tc>
          <w:tcPr>
            <w:tcW w:w="0" w:type="auto"/>
          </w:tcPr>
          <w:p>
            <w:pPr>
              <w:spacing w:line="240" w:lineRule="auto" w:before="0" w:after="0"/>
              <w:pStyle w:val="Compact"/>
            </w:pPr>
            <w:r>
              <w:rPr>
                <w:sz w:val="20"/>
                <w:szCs w:val="20"/>
              </w:rPr>
              <w:t xml:space="preserve">altitude_km</w:t>
            </w:r>
          </w:p>
        </w:tc>
        <w:tc>
          <w:tcPr>
            <w:tcW w:w="0" w:type="auto"/>
          </w:tcPr>
          <w:p>
            <w:pPr>
              <w:spacing w:line="240" w:lineRule="auto" w:before="0" w:after="0"/>
              <w:pStyle w:val="Compact"/>
            </w:pPr>
            <w:r>
              <w:rPr>
                <w:sz w:val="20"/>
                <w:szCs w:val="20"/>
              </w:rPr>
              <w:t xml:space="preserve">2.698e-05</w:t>
            </w:r>
          </w:p>
        </w:tc>
        <w:tc>
          <w:tcPr>
            <w:tcW w:w="0" w:type="auto"/>
          </w:tcPr>
          <w:p>
            <w:pPr>
              <w:spacing w:line="240" w:lineRule="auto" w:before="0" w:after="0"/>
              <w:pStyle w:val="Compact"/>
            </w:pPr>
            <w:r>
              <w:rPr>
                <w:sz w:val="20"/>
                <w:szCs w:val="20"/>
              </w:rPr>
              <w:t xml:space="preserve">8.66e-06</w:t>
            </w:r>
          </w:p>
        </w:tc>
        <w:tc>
          <w:tcPr>
            <w:tcW w:w="0" w:type="auto"/>
          </w:tcPr>
          <w:p>
            <w:pPr>
              <w:spacing w:line="240" w:lineRule="auto" w:before="0" w:after="0"/>
              <w:pStyle w:val="Compact"/>
            </w:pPr>
            <w:r>
              <w:rPr>
                <w:sz w:val="20"/>
                <w:szCs w:val="20"/>
              </w:rPr>
              <w:t xml:space="preserve">3.1151</w:t>
            </w:r>
          </w:p>
        </w:tc>
        <w:tc>
          <w:tcPr>
            <w:tcW w:w="0" w:type="auto"/>
          </w:tcPr>
          <w:p>
            <w:pPr>
              <w:spacing w:line="240" w:lineRule="auto" w:before="0" w:after="0"/>
              <w:pStyle w:val="Compact"/>
            </w:pPr>
            <w:r>
              <w:rPr>
                <w:sz w:val="20"/>
                <w:szCs w:val="20"/>
              </w:rPr>
              <w:t xml:space="preserve">0.0018</w:t>
            </w:r>
          </w:p>
        </w:tc>
        <w:tc>
          <w:tcPr>
            <w:tcW w:w="0" w:type="auto"/>
          </w:tcPr>
          <w:p>
            <w:pPr>
              <w:spacing w:line="240" w:lineRule="auto" w:before="0" w:after="0"/>
              <w:pStyle w:val="Compact"/>
            </w:pPr>
            <w:r>
              <w:rPr>
                <w:sz w:val="20"/>
                <w:szCs w:val="20"/>
              </w:rPr>
              <w:t xml:space="preserve">[1e-05, 4.395e-05]</w:t>
            </w:r>
          </w:p>
        </w:tc>
      </w:tr>
      <w:tr>
        <w:tc>
          <w:tcPr>
            <w:tcW w:w="0" w:type="auto"/>
          </w:tcPr>
          <w:p>
            <w:pPr>
              <w:spacing w:line="240" w:lineRule="auto" w:before="0" w:after="0"/>
              <w:pStyle w:val="Compact"/>
            </w:pPr>
            <w:r>
              <w:rPr>
                <w:sz w:val="20"/>
                <w:szCs w:val="20"/>
              </w:rPr>
              <w:t xml:space="preserve">rcs_m2</w:t>
            </w:r>
          </w:p>
        </w:tc>
        <w:tc>
          <w:tcPr>
            <w:tcW w:w="0" w:type="auto"/>
          </w:tcPr>
          <w:p>
            <w:pPr>
              <w:spacing w:line="240" w:lineRule="auto" w:before="0" w:after="0"/>
              <w:pStyle w:val="Compact"/>
            </w:pPr>
            <w:r>
              <w:rPr>
                <w:sz w:val="20"/>
                <w:szCs w:val="20"/>
              </w:rPr>
              <w:t xml:space="preserve">-0.0015</w:t>
            </w:r>
          </w:p>
        </w:tc>
        <w:tc>
          <w:tcPr>
            <w:tcW w:w="0" w:type="auto"/>
          </w:tcPr>
          <w:p>
            <w:pPr>
              <w:spacing w:line="240" w:lineRule="auto" w:before="0" w:after="0"/>
              <w:pStyle w:val="Compact"/>
            </w:pPr>
            <w:r>
              <w:rPr>
                <w:sz w:val="20"/>
                <w:szCs w:val="20"/>
              </w:rPr>
              <w:t xml:space="preserve">0.0006937</w:t>
            </w:r>
          </w:p>
        </w:tc>
        <w:tc>
          <w:tcPr>
            <w:tcW w:w="0" w:type="auto"/>
          </w:tcPr>
          <w:p>
            <w:pPr>
              <w:spacing w:line="240" w:lineRule="auto" w:before="0" w:after="0"/>
              <w:pStyle w:val="Compact"/>
            </w:pPr>
            <w:r>
              <w:rPr>
                <w:sz w:val="20"/>
                <w:szCs w:val="20"/>
              </w:rPr>
              <w:t xml:space="preserve">-2.1112</w:t>
            </w:r>
          </w:p>
        </w:tc>
        <w:tc>
          <w:tcPr>
            <w:tcW w:w="0" w:type="auto"/>
          </w:tcPr>
          <w:p>
            <w:pPr>
              <w:spacing w:line="240" w:lineRule="auto" w:before="0" w:after="0"/>
              <w:pStyle w:val="Compact"/>
            </w:pPr>
            <w:r>
              <w:rPr>
                <w:sz w:val="20"/>
                <w:szCs w:val="20"/>
              </w:rPr>
              <w:t xml:space="preserve">0.0348</w:t>
            </w:r>
          </w:p>
        </w:tc>
        <w:tc>
          <w:tcPr>
            <w:tcW w:w="0" w:type="auto"/>
          </w:tcPr>
          <w:p>
            <w:pPr>
              <w:spacing w:line="240" w:lineRule="auto" w:before="0" w:after="0"/>
              <w:pStyle w:val="Compact"/>
            </w:pPr>
            <w:r>
              <w:rPr>
                <w:sz w:val="20"/>
                <w:szCs w:val="20"/>
              </w:rPr>
              <w:t xml:space="preserve">[-0.0028, -0.0001049]</w:t>
            </w:r>
          </w:p>
        </w:tc>
      </w:tr>
      <w:tr>
        <w:tc>
          <w:tcPr>
            <w:tcW w:w="0" w:type="auto"/>
          </w:tcPr>
          <w:p>
            <w:pPr>
              <w:spacing w:line="240" w:lineRule="auto" w:before="0" w:after="0"/>
              <w:pStyle w:val="Compact"/>
            </w:pPr>
            <w:r>
              <w:rPr>
                <w:sz w:val="20"/>
                <w:szCs w:val="20"/>
              </w:rPr>
              <w:t xml:space="preserve">maneuverable</w:t>
            </w:r>
          </w:p>
        </w:tc>
        <w:tc>
          <w:tcPr>
            <w:tcW w:w="0" w:type="auto"/>
          </w:tcPr>
          <w:p>
            <w:pPr>
              <w:spacing w:line="240" w:lineRule="auto" w:before="0" w:after="0"/>
              <w:pStyle w:val="Compact"/>
            </w:pPr>
            <w:r>
              <w:rPr>
                <w:sz w:val="20"/>
                <w:szCs w:val="20"/>
              </w:rPr>
              <w:t xml:space="preserve">-0.5764</w:t>
            </w:r>
          </w:p>
        </w:tc>
        <w:tc>
          <w:tcPr>
            <w:tcW w:w="0" w:type="auto"/>
          </w:tcPr>
          <w:p>
            <w:pPr>
              <w:spacing w:line="240" w:lineRule="auto" w:before="0" w:after="0"/>
              <w:pStyle w:val="Compact"/>
            </w:pPr>
            <w:r>
              <w:rPr>
                <w:sz w:val="20"/>
                <w:szCs w:val="20"/>
              </w:rPr>
              <w:t xml:space="preserve">0.1745</w:t>
            </w:r>
          </w:p>
        </w:tc>
        <w:tc>
          <w:tcPr>
            <w:tcW w:w="0" w:type="auto"/>
          </w:tcPr>
          <w:p>
            <w:pPr>
              <w:spacing w:line="240" w:lineRule="auto" w:before="0" w:after="0"/>
              <w:pStyle w:val="Compact"/>
            </w:pPr>
            <w:r>
              <w:rPr>
                <w:sz w:val="20"/>
                <w:szCs w:val="20"/>
              </w:rPr>
              <w:t xml:space="preserve">-3.3032</w:t>
            </w:r>
          </w:p>
        </w:tc>
        <w:tc>
          <w:tcPr>
            <w:tcW w:w="0" w:type="auto"/>
          </w:tcPr>
          <w:p>
            <w:pPr>
              <w:spacing w:line="240" w:lineRule="auto" w:before="0" w:after="0"/>
              <w:pStyle w:val="Compact"/>
            </w:pPr>
            <w:r>
              <w:rPr>
                <w:sz w:val="20"/>
                <w:szCs w:val="20"/>
              </w:rPr>
              <w:t xml:space="preserve">0.0009558</w:t>
            </w:r>
          </w:p>
        </w:tc>
        <w:tc>
          <w:tcPr>
            <w:tcW w:w="0" w:type="auto"/>
          </w:tcPr>
          <w:p>
            <w:pPr>
              <w:spacing w:line="240" w:lineRule="auto" w:before="0" w:after="0"/>
              <w:pStyle w:val="Compact"/>
            </w:pPr>
            <w:r>
              <w:rPr>
                <w:sz w:val="20"/>
                <w:szCs w:val="20"/>
              </w:rPr>
              <w:t xml:space="preserve">[-0.9184, -0.2344]</w:t>
            </w:r>
          </w:p>
        </w:tc>
      </w:tr>
      <w:tr>
        <w:tc>
          <w:tcPr>
            <w:tcW w:w="0" w:type="auto"/>
          </w:tcPr>
          <w:p>
            <w:pPr>
              <w:spacing w:line="240" w:lineRule="auto" w:before="0" w:after="0"/>
              <w:pStyle w:val="Compact"/>
            </w:pPr>
            <w:r>
              <w:rPr>
                <w:sz w:val="20"/>
                <w:szCs w:val="20"/>
              </w:rPr>
              <w:t xml:space="preserve">object_age_days</w:t>
            </w:r>
          </w:p>
        </w:tc>
        <w:tc>
          <w:tcPr>
            <w:tcW w:w="0" w:type="auto"/>
          </w:tcPr>
          <w:p>
            <w:pPr>
              <w:spacing w:line="240" w:lineRule="auto" w:before="0" w:after="0"/>
              <w:pStyle w:val="Compact"/>
            </w:pPr>
            <w:r>
              <w:rPr>
                <w:sz w:val="20"/>
                <w:szCs w:val="20"/>
              </w:rPr>
              <w:t xml:space="preserve">-7.575e-05</w:t>
            </w:r>
          </w:p>
        </w:tc>
        <w:tc>
          <w:tcPr>
            <w:tcW w:w="0" w:type="auto"/>
          </w:tcPr>
          <w:p>
            <w:pPr>
              <w:spacing w:line="240" w:lineRule="auto" w:before="0" w:after="0"/>
              <w:pStyle w:val="Compact"/>
            </w:pPr>
            <w:r>
              <w:rPr>
                <w:sz w:val="20"/>
                <w:szCs w:val="20"/>
              </w:rPr>
              <w:t xml:space="preserve">2.57e-05</w:t>
            </w:r>
          </w:p>
        </w:tc>
        <w:tc>
          <w:tcPr>
            <w:tcW w:w="0" w:type="auto"/>
          </w:tcPr>
          <w:p>
            <w:pPr>
              <w:spacing w:line="240" w:lineRule="auto" w:before="0" w:after="0"/>
              <w:pStyle w:val="Compact"/>
            </w:pPr>
            <w:r>
              <w:rPr>
                <w:sz w:val="20"/>
                <w:szCs w:val="20"/>
              </w:rPr>
              <w:t xml:space="preserve">-2.948</w:t>
            </w:r>
          </w:p>
        </w:tc>
        <w:tc>
          <w:tcPr>
            <w:tcW w:w="0" w:type="auto"/>
          </w:tcPr>
          <w:p>
            <w:pPr>
              <w:spacing w:line="240" w:lineRule="auto" w:before="0" w:after="0"/>
              <w:pStyle w:val="Compact"/>
            </w:pPr>
            <w:r>
              <w:rPr>
                <w:sz w:val="20"/>
                <w:szCs w:val="20"/>
              </w:rPr>
              <w:t xml:space="preserve">0.0032</w:t>
            </w:r>
          </w:p>
        </w:tc>
        <w:tc>
          <w:tcPr>
            <w:tcW w:w="0" w:type="auto"/>
          </w:tcPr>
          <w:p>
            <w:pPr>
              <w:spacing w:line="240" w:lineRule="auto" w:before="0" w:after="0"/>
              <w:pStyle w:val="Compact"/>
            </w:pPr>
            <w:r>
              <w:rPr>
                <w:sz w:val="20"/>
                <w:szCs w:val="20"/>
              </w:rPr>
              <w:t xml:space="preserve">[-0.0001261, -2.539e-05]</w:t>
            </w:r>
          </w:p>
        </w:tc>
      </w:tr>
      <w:tr>
        <w:tc>
          <w:tcPr>
            <w:tcW w:w="0" w:type="auto"/>
          </w:tcPr>
          <w:p>
            <w:pPr>
              <w:spacing w:line="240" w:lineRule="auto" w:before="0" w:after="0"/>
              <w:pStyle w:val="Compact"/>
            </w:pPr>
            <w:r>
              <w:rPr>
                <w:sz w:val="20"/>
                <w:szCs w:val="20"/>
              </w:rPr>
              <w:t xml:space="preserve">n_sources</w:t>
            </w:r>
          </w:p>
        </w:tc>
        <w:tc>
          <w:tcPr>
            <w:tcW w:w="0" w:type="auto"/>
          </w:tcPr>
          <w:p>
            <w:pPr>
              <w:spacing w:line="240" w:lineRule="auto" w:before="0" w:after="0"/>
              <w:pStyle w:val="Compact"/>
            </w:pPr>
            <w:r>
              <w:rPr>
                <w:sz w:val="20"/>
                <w:szCs w:val="20"/>
              </w:rPr>
              <w:t xml:space="preserve">0.178</w:t>
            </w:r>
          </w:p>
        </w:tc>
        <w:tc>
          <w:tcPr>
            <w:tcW w:w="0" w:type="auto"/>
          </w:tcPr>
          <w:p>
            <w:pPr>
              <w:spacing w:line="240" w:lineRule="auto" w:before="0" w:after="0"/>
              <w:pStyle w:val="Compact"/>
            </w:pPr>
            <w:r>
              <w:rPr>
                <w:sz w:val="20"/>
                <w:szCs w:val="20"/>
              </w:rPr>
              <w:t xml:space="preserve">0.1794</w:t>
            </w:r>
          </w:p>
        </w:tc>
        <w:tc>
          <w:tcPr>
            <w:tcW w:w="0" w:type="auto"/>
          </w:tcPr>
          <w:p>
            <w:pPr>
              <w:spacing w:line="240" w:lineRule="auto" w:before="0" w:after="0"/>
              <w:pStyle w:val="Compact"/>
            </w:pPr>
            <w:r>
              <w:rPr>
                <w:sz w:val="20"/>
                <w:szCs w:val="20"/>
              </w:rPr>
              <w:t xml:space="preserve">0.992</w:t>
            </w:r>
          </w:p>
        </w:tc>
        <w:tc>
          <w:tcPr>
            <w:tcW w:w="0" w:type="auto"/>
          </w:tcPr>
          <w:p>
            <w:pPr>
              <w:spacing w:line="240" w:lineRule="auto" w:before="0" w:after="0"/>
              <w:pStyle w:val="Compact"/>
            </w:pPr>
            <w:r>
              <w:rPr>
                <w:sz w:val="20"/>
                <w:szCs w:val="20"/>
              </w:rPr>
              <w:t xml:space="preserve">0.3212</w:t>
            </w:r>
          </w:p>
        </w:tc>
        <w:tc>
          <w:tcPr>
            <w:tcW w:w="0" w:type="auto"/>
          </w:tcPr>
          <w:p>
            <w:pPr>
              <w:spacing w:line="240" w:lineRule="auto" w:before="0" w:after="0"/>
              <w:pStyle w:val="Compact"/>
            </w:pPr>
            <w:r>
              <w:rPr>
                <w:sz w:val="20"/>
                <w:szCs w:val="20"/>
              </w:rPr>
              <w:t xml:space="preserve">[-0.1737, 0.5296]</w:t>
            </w:r>
          </w:p>
        </w:tc>
      </w:tr>
    </w:tbl>
    <w:p>
      <w:pPr>
        <w:pStyle w:val="BodyText"/>
      </w:pPr>
      <w:r>
        <w:t xml:space="preserve">Fit: N = 36 R2 = 0.4608 R2_adj = 0.3709 F = 9.5373 F_p = 1.591e-05</w:t>
      </w:r>
    </w:p>
    <w:bookmarkEnd w:id="84"/>
    <w:bookmarkEnd w:id="85"/>
    <w:bookmarkEnd w:id="86"/>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8" Target="media/rId78.png" /><Relationship Type="http://schemas.openxmlformats.org/officeDocument/2006/relationships/hyperlink" Id="rId68" Target="https://doi.org/10.64861/BAJJ5826" TargetMode="External" /><Relationship Type="http://schemas.openxmlformats.org/officeDocument/2006/relationships/hyperlink" Id="rId70" Target="https://doi.org/10.64861/PAEO6437" TargetMode="External" /></Relationships>
</file>

<file path=word/_rels/footnotes.xml.rels><?xml version="1.0" encoding="UTF-8"?><Relationships xmlns="http://schemas.openxmlformats.org/package/2006/relationships"><Relationship Type="http://schemas.openxmlformats.org/officeDocument/2006/relationships/hyperlink" Id="rId68" Target="https://doi.org/10.64861/BAJJ5826" TargetMode="External" /><Relationship Type="http://schemas.openxmlformats.org/officeDocument/2006/relationships/hyperlink" Id="rId70" Target="https://doi.org/10.64861/PAEO6437"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2026-06-27T00:26:09Z</dcterms:created>
  <dcterms:modified xsi:type="dcterms:W3CDTF">2026-06-27T00:26:09Z</dcterms:modified>
</cp:coreProperties>
</file>

<file path=docProps/custom.xml><?xml version="1.0" encoding="utf-8"?>
<Properties xmlns="http://schemas.openxmlformats.org/officeDocument/2006/custom-properties" xmlns:vt="http://schemas.openxmlformats.org/officeDocument/2006/docPropsVTypes"/>
</file>