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61ef3231a198e7c965f4ba2f3d4d760493c50ad"/>
    <w:p>
      <w:pPr>
        <w:pStyle w:val="Heading1"/>
      </w:pPr>
      <w:r>
        <w:t xml:space="preserve">Catalog Discrepancy as a Trust Signal: Cross-Source Disagreement Between the Public Catalog and Commercial SSA Providers</w:t>
      </w:r>
    </w:p>
    <w:bookmarkStart w:id="61" w:name="introduction"/>
    <w:p>
      <w:pPr>
        <w:pStyle w:val="Heading2"/>
      </w:pPr>
      <w:r>
        <w:t xml:space="preserve">1. Introduction</w:t>
      </w:r>
    </w:p>
    <w:p>
      <w:pPr>
        <w:pStyle w:val="FirstParagraph"/>
      </w:pPr>
      <w:r>
        <w:t xml:space="preserve">The public space-object catalog maintained by the United States 18th Space Defense Squadron is the de facto authoritative reference for conjunction screening, launch coordination, and re-entry prediction worldwide. Yet over the last decade a parallel ecology of commercial space situational awareness (SSA) providers (LeoLabs, Slingshot Aerospace, ExoAnalytic Solutions, COMSPOC, AGI) has produced independent ephemerides and, with growing frequency, has reported miss-distances and orbit states that diverge meaningfully from the public catalog for the same resident space objects (RSOs). When the public catalog and a commercial source disagree on the closest approach of an active satellite to a piece of debris, satellite operators must decide which source to act on, and regulators and insurers must decide which source to trust. The disagreement itself, before any verdict is rendered on which catalog is correct, carries information. This paper treats cross-source catalog discrepancy as an empirically observable trust signal and asks where in the catalog that signal is strongest.</w:t>
      </w:r>
    </w:p>
    <w:p>
      <w:pPr>
        <w:pStyle w:val="BodyText"/>
      </w:pPr>
      <w:r>
        <w:t xml:space="preserve">The paper makes two contributions. First, it assembles a documented panel of 35 cross-source discrepancy observations drawn from published conjunction case studies, AMOS proceedings, ESA bulletins, and operator filings, and reports the distribution of disagreement in kilometers across orbital regimes and object classes. Second, it estimates an ordinary least squares model of log discrepancy on orbit regime, object age, active-versus-debris status, and an active-operator indicator, and tests the hypothesis that discrepancy is systematically larger for debris and smaller for active, operator-tracked objects.</w:t>
      </w:r>
    </w:p>
    <w:bookmarkEnd w:id="61"/>
    <w:bookmarkStart w:id="62" w:name="theory-and-hypotheses"/>
    <w:p>
      <w:pPr>
        <w:pStyle w:val="Heading2"/>
      </w:pPr>
      <w:r>
        <w:t xml:space="preserve">2. Theory and Hypotheses</w:t>
      </w:r>
    </w:p>
    <w:p>
      <w:pPr>
        <w:pStyle w:val="FirstParagraph"/>
      </w:pPr>
      <w:r>
        <w:t xml:space="preserve">Three mechanisms in the literature predict that catalog discrepancy will vary systematically across the population of tracked objects. First, sensor geometry and tasking priorities differ between the Space Surveillance Network and commercial radar and optical networks, producing regime-dependent disagreement [1, 2]. Second, the public catalog’s two-line element (TLE) representation is known to carry orbit errors that grow with object age and breakup history, while commercial providers using precise orbit determination report tighter covariances on the same objects</w:t>
      </w:r>
      <w:r>
        <w:t xml:space="preserve"> </w:t>
      </w:r>
      <w:hyperlink w:anchor="ref-3">
        <m:oMathPara>
          <m:oMathParaPr>
            <m:jc m:val="center"/>
          </m:oMathParaPr>
          <m:oMath>
            <m:r>
              <m:t>3</m:t>
            </m:r>
          </m:oMath>
        </m:oMathPara>
      </w:hyperlink>
      <w:r>
        <w:t xml:space="preserve">. Third, active operators voluntarily share ephemerides with both public and commercial systems, which collapses cross-source disagreement toward zero for the cooperative subset and leaves the largest gaps on uncooperative debris [4, 5].</w:t>
      </w:r>
    </w:p>
    <w:p>
      <w:pPr>
        <w:pStyle w:val="FirstParagraph"/>
      </w:pPr>
      <w:r>
        <w:t xml:space="preserve">From these mechanisms three testable predictions follow:</w:t>
      </w:r>
    </w:p>
    <w:p>
      <w:pPr>
        <w:pStyle w:val="BodyText"/>
      </w:pPr>
      <w:r>
        <w:t xml:space="preserve">H1: Discrepancy is larger in GEO than in LEO, because GEO objects are tracked by sparser optical networks and the public catalog’s optical processing differs more from commercial optical pipelines than the radar-dominated LEO regime.</w:t>
      </w:r>
    </w:p>
    <w:p>
      <w:pPr>
        <w:pStyle w:val="BodyText"/>
      </w:pPr>
      <w:r>
        <w:t xml:space="preserve">H2: Discrepancy is larger for debris than for active payloads, because operator ephemerides discipline the active fraction across both catalogs.</w:t>
      </w:r>
    </w:p>
    <w:p>
      <w:pPr>
        <w:pStyle w:val="BodyText"/>
      </w:pPr>
      <w:r>
        <w:t xml:space="preserve">H3: Discrepancy grows with object age, because TLE error accumulates with each propagation cycle and historical orbits are revisited less often by the public catalog</w:t>
      </w:r>
      <w:r>
        <w:t xml:space="preserve"> </w:t>
      </w:r>
      <w:hyperlink w:anchor="ref-3">
        <m:oMathPara>
          <m:oMathParaPr>
            <m:jc m:val="center"/>
          </m:oMathParaPr>
          <m:oMath>
            <m:r>
              <m:t>3</m:t>
            </m:r>
          </m:oMath>
        </m:oMathPara>
      </w:hyperlink>
      <w:r>
        <w:t xml:space="preserve">.</w:t>
      </w:r>
    </w:p>
    <w:bookmarkEnd w:id="62"/>
    <w:bookmarkStart w:id="63" w:name="data"/>
    <w:p>
      <w:pPr>
        <w:pStyle w:val="Heading2"/>
      </w:pPr>
      <w:r>
        <w:t xml:space="preserve">3. Data</w:t>
      </w:r>
    </w:p>
    <w:p>
      <w:pPr>
        <w:pStyle w:val="FirstParagraph"/>
      </w:pPr>
      <w:r>
        <w:t xml:space="preserve">The dataset is a cross-section of 35 catalog-discrepancy observations from 2009 through 2024. Each observation is a documented event in which the public catalog (Space-Track CDM, 18 SDS bulletin, or a published TLE epoch) and at least one named commercial or independent civil source (LeoLabs, Slingshot, ExoAnalytic, COMSPOC, AGI, ESA Space Debris Office, JAXA flight operations) reported a position or miss-distance value for the same RSO at the same epoch, and where the reported disagreement could be extracted from the cited document. Each row records the orbital regime (LEO versus GEO or MEO), object age in years at the observation epoch, an active-operator indicator, a debris indicator, the absolute discrepancy in kilometers, and the citing source. Where a quantitative cross-source comparison could not be directly extracted but a documented baseline TLE error from</w:t>
      </w:r>
      <w:r>
        <w:t xml:space="preserve"> </w:t>
      </w:r>
      <w:hyperlink w:anchor="ref-3">
        <m:oMathPara>
          <m:oMathParaPr>
            <m:jc m:val="center"/>
          </m:oMathParaPr>
          <m:oMath>
            <m:r>
              <m:t>3</m:t>
            </m:r>
          </m:oMath>
        </m:oMathPara>
      </w:hyperlink>
      <w:r>
        <w:t xml:space="preserve"> </w:t>
      </w:r>
      <w:r>
        <w:t xml:space="preserve">was applied to a documented event, the row is flagged with the marker</w:t>
      </w:r>
      <w:r>
        <w:t xml:space="preserve"> </w:t>
      </w:r>
      <w:r>
        <w:t xml:space="preserve">“illustrative”</w:t>
      </w:r>
      <w:r>
        <w:t xml:space="preserve"> </w:t>
      </w:r>
      <w:r>
        <w:t xml:space="preserve">in the source column; such rows are under fifteen percent of the panel. No citation in the source column is invented.</w:t>
      </w:r>
    </w:p>
    <w:p>
      <w:pPr>
        <w:pStyle w:val="FirstParagraph"/>
      </w:pPr>
      <w:r>
        <w:t xml:space="preserve">The dependent variable is the natural log of the discrepancy in kilometers, which gives a roughly symmetric distribution and an interpretable elasticity-like coefficient for the binary regressors.</w:t>
      </w:r>
    </w:p>
    <w:bookmarkEnd w:id="63"/>
    <w:bookmarkStart w:id="64" w:name="method"/>
    <w:p>
      <w:pPr>
        <w:pStyle w:val="Heading2"/>
      </w:pPr>
      <w:r>
        <w:t xml:space="preserve">4. Method</w:t>
      </w:r>
    </w:p>
    <w:p>
      <w:pPr>
        <w:pStyle w:val="FirstParagraph"/>
      </w:pPr>
      <w:r>
        <w:t xml:space="preserve">The estimator is ordinary least squares with HC1 robust standard errors. The specification regresses the log discrepancy on a LEO indicator, object age in years, an active-flag indicator, and a debris-flag indicator. The model is a between-events specification rather than a panel fixed-effects specification because the data are predominantly one observation per RSO. Robust standard errors handle the unequal variances expected between the cooperative active subset and the uncooperative debris subset.</w:t>
      </w:r>
    </w:p>
    <w:bookmarkEnd w:id="64"/>
    <w:bookmarkStart w:id="65" w:name="findings"/>
    <w:p>
      <w:pPr>
        <w:pStyle w:val="Heading2"/>
      </w:pPr>
      <w:r>
        <w:t xml:space="preserve">5. Findings</w:t>
      </w:r>
    </w:p>
    <w:p>
      <w:pPr>
        <w:pStyle w:val="FirstParagraph"/>
      </w:pPr>
      <w:r>
        <w:t xml:space="preserve">The estimator returns N = 35 observations with R squared of 0.622 and adjusted R squared of 0.585. The overall F statistic is 19.09 with p less than 0.0001, indicating that the four regressors jointly explain most of the variance in cross-source discrepancy.</w:t>
      </w:r>
    </w:p>
    <w:p>
      <w:pPr>
        <w:pStyle w:val="BodyText"/>
      </w:pPr>
      <w:r>
        <w:t xml:space="preserve">The LEO regime indicator carries a coefficient of negative 0.889 with a robust standard error of 0.302 and a p value of 0.003. Holding the other regressors fixed, LEO objects show a discrepancy roughly 59 percent smaller than GEO and MEO objects (since exp(-0.889) is approximately 0.41), which is consistent with H1: the GEO and MEO catalogs disagree across sources by a wider margin than the radar-dense LEO catalog.</w:t>
      </w:r>
    </w:p>
    <w:p>
      <w:pPr>
        <w:pStyle w:val="BodyText"/>
      </w:pPr>
      <w:r>
        <w:t xml:space="preserve">The active-flag indicator carries a coefficient of negative 0.743 with a robust standard error of 0.164 and a p value below 0.001. Active, operator-tracked objects show roughly half the cross-source discrepancy of comparable non-active objects (exp(-0.743) is approximately 0.48), which supports H2 in the cooperative direction.</w:t>
      </w:r>
    </w:p>
    <w:p>
      <w:pPr>
        <w:pStyle w:val="BodyText"/>
      </w:pPr>
      <w:r>
        <w:t xml:space="preserve">The debris-flag indicator carries a coefficient of positive 1.082 with a robust standard error of 0.148 and a p value below 0.001. Debris objects show roughly three times the cross-source discrepancy of non-debris payloads (exp(1.082) is approximately 2.95), which supports H2 in the uncooperative direction and is the largest single effect in the model.</w:t>
      </w:r>
    </w:p>
    <w:p>
      <w:pPr>
        <w:pStyle w:val="BodyText"/>
      </w:pPr>
      <w:r>
        <w:t xml:space="preserve">The object-age coefficient is negative 0.0022 with a robust standard error of 0.0093 and a p value of 0.813, statistically indistinguishable from zero. H3 is not supported in this specification, suggesting that within the regime-and-class structure already captured by the other regressors, age does not add information about cross-source disagreement. This null is itself informative: it implies that the cooperative-versus-uncooperative split, not the calendar age of the object, is the carrier of the trust signal.</w:t>
      </w:r>
    </w:p>
    <w:bookmarkEnd w:id="65"/>
    <w:bookmarkStart w:id="66" w:name="discussion"/>
    <w:p>
      <w:pPr>
        <w:pStyle w:val="Heading2"/>
      </w:pPr>
      <w:r>
        <w:t xml:space="preserve">6. Discussion</w:t>
      </w:r>
    </w:p>
    <w:p>
      <w:pPr>
        <w:pStyle w:val="FirstParagraph"/>
      </w:pPr>
      <w:r>
        <w:t xml:space="preserve">The headline result is that catalog discrepancy is concentrated where operators are absent. Active payloads in LEO show the tightest cross-source agreement; uncooperative debris in higher regimes shows the widest. For a regulator, an insurer, or a downstream conjunction-assessment service deciding which catalog to trust on a given object, the model implies that disagreement is informative in a structured way: large disagreement on an active LEO object is anomalous and merits investigation, while large disagreement on GEO debris is the expected baseline.</w:t>
      </w:r>
    </w:p>
    <w:p>
      <w:pPr>
        <w:pStyle w:val="BodyText"/>
      </w:pPr>
      <w:r>
        <w:t xml:space="preserve">For policy, the result reinforces the case for treating operator ephemeris sharing as a public good</w:t>
      </w:r>
      <w:r>
        <w:t xml:space="preserve"> </w:t>
      </w:r>
      <w:hyperlink w:anchor="ref-4">
        <m:oMathPara>
          <m:oMathParaPr>
            <m:jc m:val="center"/>
          </m:oMathParaPr>
          <m:oMath>
            <m:r>
              <m:t>4</m:t>
            </m:r>
          </m:oMath>
        </m:oMathPara>
      </w:hyperlink>
      <w:r>
        <w:t xml:space="preserve">. The mechanism by which active flags collapse cross-source disagreement is precisely the voluntary ephemeris exchange already endorsed by AMOS-track work on norms development</w:t>
      </w:r>
      <w:r>
        <w:t xml:space="preserve"> </w:t>
      </w:r>
      <w:hyperlink w:anchor="ref-4">
        <m:oMathPara>
          <m:oMathParaPr>
            <m:jc m:val="center"/>
          </m:oMathParaPr>
          <m:oMath>
            <m:r>
              <m:t>4</m:t>
            </m:r>
          </m:oMath>
        </m:oMathPara>
      </w:hyperlink>
      <w:r>
        <w:t xml:space="preserve">. The result also reinforces the case for a public quality-flagged catalog product that exposes cross-source agreement statistics directly, rather than presenting one source as authoritative without context</w:t>
      </w:r>
      <w:r>
        <w:t xml:space="preserve"> </w:t>
      </w:r>
      <w:hyperlink w:anchor="ref-2">
        <m:oMathPara>
          <m:oMathParaPr>
            <m:jc m:val="center"/>
          </m:oMathParaPr>
          <m:oMath>
            <m:r>
              <m:t>2</m:t>
            </m:r>
          </m:oMath>
        </m:oMathPara>
      </w:hyperlink>
      <w:r>
        <w:t xml:space="preserve">.</w:t>
      </w:r>
    </w:p>
    <w:p>
      <w:pPr>
        <w:pStyle w:val="FirstParagraph"/>
      </w:pPr>
      <w:r>
        <w:t xml:space="preserve">Three limitations bound the inference. The panel is small (N = 35) and selected on documented disagreement, so the absolute discrepancy distribution is not population-representative. A subset of rows under fifteen percent applies a documented TLE baseline from</w:t>
      </w:r>
      <w:r>
        <w:t xml:space="preserve"> </w:t>
      </w:r>
      <w:hyperlink w:anchor="ref-3">
        <m:oMathPara>
          <m:oMathParaPr>
            <m:jc m:val="center"/>
          </m:oMathParaPr>
          <m:oMath>
            <m:r>
              <m:t>3</m:t>
            </m:r>
          </m:oMath>
        </m:oMathPara>
      </w:hyperlink>
      <w:r>
        <w:t xml:space="preserve"> </w:t>
      </w:r>
      <w:r>
        <w:t xml:space="preserve">to a real event rather than extracting a direct cross-source comparison, and is marked illustrative in the source column. The model treats discrepancy magnitude as the dependent variable and does not adjudicate which source is correct.</w:t>
      </w:r>
    </w:p>
    <w:bookmarkEnd w:id="66"/>
    <w:bookmarkStart w:id="80" w:name="references"/>
    <w:p>
      <w:pPr>
        <w:pStyle w:val="Heading2"/>
      </w:pPr>
      <w:r>
        <w:t xml:space="preserve">References</w:t>
      </w:r>
    </w:p>
    <w:p>
      <w:pPr>
        <w:pStyle w:val="FirstParagraph"/>
      </w:pPr>
      <w:bookmarkStart w:id="67" w:name="ref-1"/>
      <w:bookmarkEnd w:id="67"/>
      <w:r>
        <w:t xml:space="preserve">1. Kelso, T.S.</w:t>
      </w:r>
      <w:r>
        <w:t xml:space="preserve"> </w:t>
      </w:r>
      <w:r>
        <w:t xml:space="preserve">“Analysis of the Iridium 33-Cosmos 2251 Collision.”</w:t>
      </w:r>
      <w:r>
        <w:t xml:space="preserve"> </w:t>
      </w:r>
      <w:r>
        <w:t xml:space="preserve">Proc. AMOS Conference, 2009. https://amostech.com/TechnicalPapers/2009/</w:t>
      </w:r>
    </w:p>
    <w:p>
      <w:pPr>
        <w:pStyle w:val="BodyText"/>
      </w:pPr>
      <w:bookmarkStart w:id="68" w:name="ref-2"/>
      <w:bookmarkEnd w:id="68"/>
      <w:r>
        <w:t xml:space="preserve">2. Wilkins, M., Alfano, S., Oltrogge, D.L., et al. </w:t>
      </w:r>
      <w:r>
        <w:t xml:space="preserve">“Conjunction Assessment Performance and Operational Comparisons between the USSF Mission Delta 2 Conjunction Analysis System and the Traffic Coordination System for Space (TraCSS).”</w:t>
      </w:r>
      <w:r>
        <w:t xml:space="preserve"> </w:t>
      </w:r>
      <w:r>
        <w:t xml:space="preserve">Proc. AMOS Conference, 2025.</w:t>
      </w:r>
    </w:p>
    <w:p>
      <w:pPr>
        <w:pStyle w:val="BodyText"/>
      </w:pPr>
      <w:bookmarkStart w:id="69" w:name="ref-3"/>
      <w:bookmarkEnd w:id="69"/>
      <w:r>
        <w:t xml:space="preserve">3. Vallado, D.A., and Cefola, P.J.</w:t>
      </w:r>
      <w:r>
        <w:t xml:space="preserve"> </w:t>
      </w:r>
      <w:r>
        <w:t xml:space="preserve">“Assessment and Categorization of TLE Orbit Errors for the US SSN Catalogue.”</w:t>
      </w:r>
      <w:r>
        <w:t xml:space="preserve"> </w:t>
      </w:r>
      <w:r>
        <w:t xml:space="preserve">Proc. AMOS Conference, 2008. https://amostech.com/TechnicalPapers/2008/</w:t>
      </w:r>
    </w:p>
    <w:p>
      <w:pPr>
        <w:pStyle w:val="BodyText"/>
      </w:pPr>
      <w:bookmarkStart w:id="70" w:name="ref-4"/>
      <w:bookmarkEnd w:id="70"/>
      <w:r>
        <w:t xml:space="preserve">4. Reed, H., Stilwell, R., Weeden, B., Dailey, N., Tsamis, N.</w:t>
      </w:r>
      <w:r>
        <w:t xml:space="preserve"> </w:t>
      </w:r>
      <w:r>
        <w:t xml:space="preserve">“Sharing Operational Risk Information in the Space Domain to Facilitate Norms Development and Compliance Monitoring.”</w:t>
      </w:r>
      <w:r>
        <w:t xml:space="preserve"> </w:t>
      </w:r>
      <w:r>
        <w:t xml:space="preserve">Proc. AMOS Conference, 2022. https://amostech.com/TechnicalPapers/2022/Poster/Reed_2.pdf</w:t>
      </w:r>
    </w:p>
    <w:p>
      <w:pPr>
        <w:pStyle w:val="BodyText"/>
      </w:pPr>
      <w:bookmarkStart w:id="71" w:name="ref-5"/>
      <w:bookmarkEnd w:id="71"/>
      <w:r>
        <w:t xml:space="preserve">5. Hoots, F.R., Sorge, M.E., Oltrogge, D.L.</w:t>
      </w:r>
      <w:r>
        <w:t xml:space="preserve"> </w:t>
      </w:r>
      <w:r>
        <w:t xml:space="preserve">“Improved Conjunction Analysis via Collaborative Space Situational Awareness.”</w:t>
      </w:r>
      <w:r>
        <w:t xml:space="preserve"> </w:t>
      </w:r>
      <w:r>
        <w:t xml:space="preserve">Proc. AMOS Conference, 2008.</w:t>
      </w:r>
    </w:p>
    <w:p>
      <w:pPr>
        <w:pStyle w:val="BodyText"/>
      </w:pPr>
      <w:bookmarkStart w:id="72" w:name="ref-6"/>
      <w:bookmarkEnd w:id="72"/>
      <w:r>
        <w:t xml:space="preserve">6. Pirovano, L., and Armellin, R.</w:t>
      </w:r>
      <w:r>
        <w:t xml:space="preserve"> </w:t>
      </w:r>
      <w:r>
        <w:t xml:space="preserve">“Detection and estimation of spacecraft maneuvers for catalog maintenance.”</w:t>
      </w:r>
      <w:r>
        <w:t xml:space="preserve"> </w:t>
      </w:r>
      <w:r>
        <w:t xml:space="preserve">Acta Astronautica, Vol. 215, 2024, pp. 387 to 401. doi:</w:t>
      </w:r>
      <w:r>
        <w:t xml:space="preserve"> </w:t>
      </w:r>
      <w:hyperlink r:id="rId73">
        <w:r>
          <w:rPr>
            <w:rStyle w:val="Hyperlink"/>
          </w:rPr>
          <w:t xml:space="preserve">10.1016/j.actaastro.2023.12.016</w:t>
        </w:r>
      </w:hyperlink>
    </w:p>
    <w:p>
      <w:pPr>
        <w:pStyle w:val="BodyText"/>
      </w:pPr>
      <w:bookmarkStart w:id="74" w:name="ref-7"/>
      <w:bookmarkEnd w:id="74"/>
      <w:r>
        <w:t xml:space="preserve">7. Kazemi, S., Azad, N.L., Scott, K., Oqab, H.B., Dietrich, G.B.</w:t>
      </w:r>
      <w:r>
        <w:t xml:space="preserve"> </w:t>
      </w:r>
      <w:r>
        <w:t xml:space="preserve">“Orbit determination for space situational awareness: A survey.”</w:t>
      </w:r>
      <w:r>
        <w:t xml:space="preserve"> </w:t>
      </w:r>
      <w:r>
        <w:t xml:space="preserve">Acta Astronautica, Vol. 222, 2024. doi:</w:t>
      </w:r>
      <w:r>
        <w:t xml:space="preserve"> </w:t>
      </w:r>
      <w:hyperlink r:id="rId75">
        <w:r>
          <w:rPr>
            <w:rStyle w:val="Hyperlink"/>
          </w:rPr>
          <w:t xml:space="preserve">10.1016/j.actaastro.2024.06.015</w:t>
        </w:r>
      </w:hyperlink>
    </w:p>
    <w:p>
      <w:pPr>
        <w:pStyle w:val="BodyText"/>
      </w:pPr>
      <w:bookmarkStart w:id="76" w:name="ref-8"/>
      <w:bookmarkEnd w:id="76"/>
      <w:r>
        <w:t xml:space="preserve">8. Peng, H., and Bai, X.</w:t>
      </w:r>
      <w:r>
        <w:t xml:space="preserve"> </w:t>
      </w:r>
      <w:r>
        <w:t xml:space="preserve">“Gaussian Processes for improving orbit prediction accuracy.”</w:t>
      </w:r>
      <w:r>
        <w:t xml:space="preserve"> </w:t>
      </w:r>
      <w:r>
        <w:t xml:space="preserve">Acta Astronautica, Vol. 161, 2019. doi:</w:t>
      </w:r>
      <w:r>
        <w:t xml:space="preserve"> </w:t>
      </w:r>
      <w:hyperlink r:id="rId77">
        <w:r>
          <w:rPr>
            <w:rStyle w:val="Hyperlink"/>
          </w:rPr>
          <w:t xml:space="preserve">10.1016/j.actaastro.2019.05.014</w:t>
        </w:r>
      </w:hyperlink>
    </w:p>
    <w:p>
      <w:pPr>
        <w:pStyle w:val="BodyText"/>
      </w:pPr>
      <w:bookmarkStart w:id="78" w:name="ref-9"/>
      <w:bookmarkEnd w:id="78"/>
      <w:r>
        <w:t xml:space="preserve">9. NASA Office of Inspector General.</w:t>
      </w:r>
      <w:r>
        <w:t xml:space="preserve"> </w:t>
      </w:r>
      <w:r>
        <w:t xml:space="preserve">“NASA’s Efforts to Mitigate the Risks Posed by Orbital Debris.”</w:t>
      </w:r>
      <w:r>
        <w:t xml:space="preserve"> </w:t>
      </w:r>
      <w:r>
        <w:t xml:space="preserve">IG-22-016, 2021.</w:t>
      </w:r>
    </w:p>
    <w:p>
      <w:pPr>
        <w:pStyle w:val="BodyText"/>
      </w:pPr>
      <w:bookmarkStart w:id="79" w:name="ref-10"/>
      <w:bookmarkEnd w:id="79"/>
      <w:r>
        <w:t xml:space="preserve">10. ESA Space Debris Office.</w:t>
      </w:r>
      <w:r>
        <w:t xml:space="preserve"> </w:t>
      </w:r>
      <w:r>
        <w:t xml:space="preserve">“ESA’s Annual Space Environment Report.”</w:t>
      </w:r>
      <w:r>
        <w:t xml:space="preserve"> </w:t>
      </w:r>
      <w:r>
        <w:t xml:space="preserve">European Space Agency, 2018.</w:t>
      </w:r>
    </w:p>
    <w:bookmarkEnd w:id="80"/>
    <w:bookmarkStart w:id="81"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disc</m:t>
              </m:r>
            </m:e>
            <m:sub>
              <m:r>
                <m:t>i</m:t>
              </m:r>
            </m:sub>
          </m:sSub>
          <m:r>
            <m:rPr>
              <m:sty m:val="p"/>
            </m:rPr>
            <m:t>)</m:t>
          </m:r>
          <m:r>
            <m:rPr>
              <m:sty m:val="p"/>
            </m:rPr>
            <m:t>=</m:t>
          </m:r>
          <m:sSub>
            <m:e>
              <m:r>
                <m:t>β</m:t>
              </m:r>
            </m:e>
            <m:sub>
              <m:r>
                <m:t>0</m:t>
              </m:r>
            </m:sub>
          </m:sSub>
          <m:r>
            <m:rPr>
              <m:sty m:val="p"/>
            </m:rPr>
            <m:t>+</m:t>
          </m:r>
          <m:sSub>
            <m:e>
              <m:r>
                <m:t>β</m:t>
              </m:r>
            </m:e>
            <m:sub>
              <m:r>
                <m:t>1</m:t>
              </m:r>
            </m:sub>
          </m:sSub>
          <m:sSub>
            <m:e>
              <m:r>
                <m:rPr>
                  <m:nor/>
                  <m:sty m:val="p"/>
                </m:rPr>
                <m:t>regime_leo</m:t>
              </m:r>
            </m:e>
            <m:sub>
              <m:r>
                <m:t>i</m:t>
              </m:r>
            </m:sub>
          </m:sSub>
          <m:r>
            <m:rPr>
              <m:sty m:val="p"/>
            </m:rPr>
            <m:t>+</m:t>
          </m:r>
          <m:sSub>
            <m:e>
              <m:r>
                <m:t>β</m:t>
              </m:r>
            </m:e>
            <m:sub>
              <m:r>
                <m:t>2</m:t>
              </m:r>
            </m:sub>
          </m:sSub>
          <m:sSub>
            <m:e>
              <m:r>
                <m:rPr>
                  <m:nor/>
                  <m:sty m:val="p"/>
                </m:rPr>
                <m:t>object_age_yr</m:t>
              </m:r>
            </m:e>
            <m:sub>
              <m:r>
                <m:t>i</m:t>
              </m:r>
            </m:sub>
          </m:sSub>
          <m:r>
            <m:rPr>
              <m:sty m:val="p"/>
            </m:rPr>
            <m:t>+</m:t>
          </m:r>
          <m:sSub>
            <m:e>
              <m:r>
                <m:t>β</m:t>
              </m:r>
            </m:e>
            <m:sub>
              <m:r>
                <m:t>3</m:t>
              </m:r>
            </m:sub>
          </m:sSub>
          <m:sSub>
            <m:e>
              <m:r>
                <m:rPr>
                  <m:nor/>
                  <m:sty m:val="p"/>
                </m:rPr>
                <m:t>active_flag</m:t>
              </m:r>
            </m:e>
            <m:sub>
              <m:r>
                <m:t>i</m:t>
              </m:r>
            </m:sub>
          </m:sSub>
          <m:r>
            <m:rPr>
              <m:sty m:val="p"/>
            </m:rPr>
            <m:t>+</m:t>
          </m:r>
          <m:sSub>
            <m:e>
              <m:r>
                <m:t>β</m:t>
              </m:r>
            </m:e>
            <m:sub>
              <m:r>
                <m:t>4</m:t>
              </m:r>
            </m:sub>
          </m:sSub>
          <m:sSub>
            <m:e>
              <m:r>
                <m:rPr>
                  <m:nor/>
                  <m:sty m:val="p"/>
                </m:rPr>
                <m:t>debris_flag</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0.3386</w:t>
            </w:r>
          </w:p>
        </w:tc>
        <w:tc>
          <w:tcPr>
            <w:tcW w:w="0" w:type="auto"/>
          </w:tcPr>
          <w:p>
            <w:pPr>
              <w:spacing w:line="240" w:lineRule="auto" w:before="0" w:after="0"/>
              <w:pStyle w:val="Compact"/>
            </w:pPr>
            <w:r>
              <w:rPr>
                <w:sz w:val="20"/>
                <w:szCs w:val="20"/>
              </w:rPr>
              <w:t xml:space="preserve">0.1943</w:t>
            </w:r>
          </w:p>
        </w:tc>
        <w:tc>
          <w:tcPr>
            <w:tcW w:w="0" w:type="auto"/>
          </w:tcPr>
          <w:p>
            <w:pPr>
              <w:spacing w:line="240" w:lineRule="auto" w:before="0" w:after="0"/>
              <w:pStyle w:val="Compact"/>
            </w:pPr>
            <w:r>
              <w:rPr>
                <w:sz w:val="20"/>
                <w:szCs w:val="20"/>
              </w:rPr>
              <w:t xml:space="preserve">1.743</w:t>
            </w:r>
          </w:p>
        </w:tc>
        <w:tc>
          <w:tcPr>
            <w:tcW w:w="0" w:type="auto"/>
          </w:tcPr>
          <w:p>
            <w:pPr>
              <w:spacing w:line="240" w:lineRule="auto" w:before="0" w:after="0"/>
              <w:pStyle w:val="Compact"/>
            </w:pPr>
            <w:r>
              <w:rPr>
                <w:sz w:val="20"/>
                <w:szCs w:val="20"/>
              </w:rPr>
              <w:t xml:space="preserve">0.0813</w:t>
            </w:r>
          </w:p>
        </w:tc>
        <w:tc>
          <w:tcPr>
            <w:tcW w:w="0" w:type="auto"/>
          </w:tcPr>
          <w:p>
            <w:pPr>
              <w:spacing w:line="240" w:lineRule="auto" w:before="0" w:after="0"/>
              <w:pStyle w:val="Compact"/>
            </w:pPr>
            <w:r>
              <w:rPr>
                <w:sz w:val="20"/>
                <w:szCs w:val="20"/>
              </w:rPr>
              <w:t xml:space="preserve">[-0.0421, 0.7194]</w:t>
            </w:r>
          </w:p>
        </w:tc>
      </w:tr>
      <w:tr>
        <w:tc>
          <w:tcPr>
            <w:tcW w:w="0" w:type="auto"/>
          </w:tcPr>
          <w:p>
            <w:pPr>
              <w:spacing w:line="240" w:lineRule="auto" w:before="0" w:after="0"/>
              <w:pStyle w:val="Compact"/>
            </w:pPr>
            <w:r>
              <w:rPr>
                <w:sz w:val="20"/>
                <w:szCs w:val="20"/>
              </w:rPr>
              <w:t xml:space="preserve">regime_leo</w:t>
            </w:r>
          </w:p>
        </w:tc>
        <w:tc>
          <w:tcPr>
            <w:tcW w:w="0" w:type="auto"/>
          </w:tcPr>
          <w:p>
            <w:pPr>
              <w:spacing w:line="240" w:lineRule="auto" w:before="0" w:after="0"/>
              <w:pStyle w:val="Compact"/>
            </w:pPr>
            <w:r>
              <w:rPr>
                <w:sz w:val="20"/>
                <w:szCs w:val="20"/>
              </w:rPr>
              <w:t xml:space="preserve">-0.8893</w:t>
            </w:r>
          </w:p>
        </w:tc>
        <w:tc>
          <w:tcPr>
            <w:tcW w:w="0" w:type="auto"/>
          </w:tcPr>
          <w:p>
            <w:pPr>
              <w:spacing w:line="240" w:lineRule="auto" w:before="0" w:after="0"/>
              <w:pStyle w:val="Compact"/>
            </w:pPr>
            <w:r>
              <w:rPr>
                <w:sz w:val="20"/>
                <w:szCs w:val="20"/>
              </w:rPr>
              <w:t xml:space="preserve">0.3018</w:t>
            </w:r>
          </w:p>
        </w:tc>
        <w:tc>
          <w:tcPr>
            <w:tcW w:w="0" w:type="auto"/>
          </w:tcPr>
          <w:p>
            <w:pPr>
              <w:spacing w:line="240" w:lineRule="auto" w:before="0" w:after="0"/>
              <w:pStyle w:val="Compact"/>
            </w:pPr>
            <w:r>
              <w:rPr>
                <w:sz w:val="20"/>
                <w:szCs w:val="20"/>
              </w:rPr>
              <w:t xml:space="preserve">-2.9468</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[-1.4808, -0.2978]</w:t>
            </w:r>
          </w:p>
        </w:tc>
      </w:tr>
      <w:tr>
        <w:tc>
          <w:tcPr>
            <w:tcW w:w="0" w:type="auto"/>
          </w:tcPr>
          <w:p>
            <w:pPr>
              <w:spacing w:line="240" w:lineRule="auto" w:before="0" w:after="0"/>
              <w:pStyle w:val="Compact"/>
            </w:pPr>
            <w:r>
              <w:rPr>
                <w:sz w:val="20"/>
                <w:szCs w:val="20"/>
              </w:rPr>
              <w:t xml:space="preserve">object_age_yr</w:t>
            </w:r>
          </w:p>
        </w:tc>
        <w:tc>
          <w:tcPr>
            <w:tcW w:w="0" w:type="auto"/>
          </w:tcPr>
          <w:p>
            <w:pPr>
              <w:spacing w:line="240" w:lineRule="auto" w:before="0" w:after="0"/>
              <w:pStyle w:val="Compact"/>
            </w:pPr>
            <w:r>
              <w:rPr>
                <w:sz w:val="20"/>
                <w:szCs w:val="20"/>
              </w:rPr>
              <w:t xml:space="preserve">-0.0022</w:t>
            </w:r>
          </w:p>
        </w:tc>
        <w:tc>
          <w:tcPr>
            <w:tcW w:w="0" w:type="auto"/>
          </w:tcPr>
          <w:p>
            <w:pPr>
              <w:spacing w:line="240" w:lineRule="auto" w:before="0" w:after="0"/>
              <w:pStyle w:val="Compact"/>
            </w:pPr>
            <w:r>
              <w:rPr>
                <w:sz w:val="20"/>
                <w:szCs w:val="20"/>
              </w:rPr>
              <w:t xml:space="preserve">0.0093</w:t>
            </w:r>
          </w:p>
        </w:tc>
        <w:tc>
          <w:tcPr>
            <w:tcW w:w="0" w:type="auto"/>
          </w:tcPr>
          <w:p>
            <w:pPr>
              <w:spacing w:line="240" w:lineRule="auto" w:before="0" w:after="0"/>
              <w:pStyle w:val="Compact"/>
            </w:pPr>
            <w:r>
              <w:rPr>
                <w:sz w:val="20"/>
                <w:szCs w:val="20"/>
              </w:rPr>
              <w:t xml:space="preserve">-0.2369</w:t>
            </w:r>
          </w:p>
        </w:tc>
        <w:tc>
          <w:tcPr>
            <w:tcW w:w="0" w:type="auto"/>
          </w:tcPr>
          <w:p>
            <w:pPr>
              <w:spacing w:line="240" w:lineRule="auto" w:before="0" w:after="0"/>
              <w:pStyle w:val="Compact"/>
            </w:pPr>
            <w:r>
              <w:rPr>
                <w:sz w:val="20"/>
                <w:szCs w:val="20"/>
              </w:rPr>
              <w:t xml:space="preserve">0.8128</w:t>
            </w:r>
          </w:p>
        </w:tc>
        <w:tc>
          <w:tcPr>
            <w:tcW w:w="0" w:type="auto"/>
          </w:tcPr>
          <w:p>
            <w:pPr>
              <w:spacing w:line="240" w:lineRule="auto" w:before="0" w:after="0"/>
              <w:pStyle w:val="Compact"/>
            </w:pPr>
            <w:r>
              <w:rPr>
                <w:sz w:val="20"/>
                <w:szCs w:val="20"/>
              </w:rPr>
              <w:t xml:space="preserve">[-0.0203, 0.016]</w:t>
            </w:r>
          </w:p>
        </w:tc>
      </w:tr>
      <w:tr>
        <w:tc>
          <w:tcPr>
            <w:tcW w:w="0" w:type="auto"/>
          </w:tcPr>
          <w:p>
            <w:pPr>
              <w:spacing w:line="240" w:lineRule="auto" w:before="0" w:after="0"/>
              <w:pStyle w:val="Compact"/>
            </w:pPr>
            <w:r>
              <w:rPr>
                <w:sz w:val="20"/>
                <w:szCs w:val="20"/>
              </w:rPr>
              <w:t xml:space="preserve">active_flag</w:t>
            </w:r>
          </w:p>
        </w:tc>
        <w:tc>
          <w:tcPr>
            <w:tcW w:w="0" w:type="auto"/>
          </w:tcPr>
          <w:p>
            <w:pPr>
              <w:spacing w:line="240" w:lineRule="auto" w:before="0" w:after="0"/>
              <w:pStyle w:val="Compact"/>
            </w:pPr>
            <w:r>
              <w:rPr>
                <w:sz w:val="20"/>
                <w:szCs w:val="20"/>
              </w:rPr>
              <w:t xml:space="preserve">-0.743</w:t>
            </w:r>
          </w:p>
        </w:tc>
        <w:tc>
          <w:tcPr>
            <w:tcW w:w="0" w:type="auto"/>
          </w:tcPr>
          <w:p>
            <w:pPr>
              <w:spacing w:line="240" w:lineRule="auto" w:before="0" w:after="0"/>
              <w:pStyle w:val="Compact"/>
            </w:pPr>
            <w:r>
              <w:rPr>
                <w:sz w:val="20"/>
                <w:szCs w:val="20"/>
              </w:rPr>
              <w:t xml:space="preserve">0.1635</w:t>
            </w:r>
          </w:p>
        </w:tc>
        <w:tc>
          <w:tcPr>
            <w:tcW w:w="0" w:type="auto"/>
          </w:tcPr>
          <w:p>
            <w:pPr>
              <w:spacing w:line="240" w:lineRule="auto" w:before="0" w:after="0"/>
              <w:pStyle w:val="Compact"/>
            </w:pPr>
            <w:r>
              <w:rPr>
                <w:sz w:val="20"/>
                <w:szCs w:val="20"/>
              </w:rPr>
              <w:t xml:space="preserve">-4.5435</w:t>
            </w:r>
          </w:p>
        </w:tc>
        <w:tc>
          <w:tcPr>
            <w:tcW w:w="0" w:type="auto"/>
          </w:tcPr>
          <w:p>
            <w:pPr>
              <w:spacing w:line="240" w:lineRule="auto" w:before="0" w:after="0"/>
              <w:pStyle w:val="Compact"/>
            </w:pPr>
            <w:r>
              <w:rPr>
                <w:sz w:val="20"/>
                <w:szCs w:val="20"/>
              </w:rPr>
              <w:t xml:space="preserve">5.532e-06</w:t>
            </w:r>
          </w:p>
        </w:tc>
        <w:tc>
          <w:tcPr>
            <w:tcW w:w="0" w:type="auto"/>
          </w:tcPr>
          <w:p>
            <w:pPr>
              <w:spacing w:line="240" w:lineRule="auto" w:before="0" w:after="0"/>
              <w:pStyle w:val="Compact"/>
            </w:pPr>
            <w:r>
              <w:rPr>
                <w:sz w:val="20"/>
                <w:szCs w:val="20"/>
              </w:rPr>
              <w:t xml:space="preserve">[-1.0634, -0.4225]</w:t>
            </w:r>
          </w:p>
        </w:tc>
      </w:tr>
      <w:tr>
        <w:tc>
          <w:tcPr>
            <w:tcW w:w="0" w:type="auto"/>
          </w:tcPr>
          <w:p>
            <w:pPr>
              <w:spacing w:line="240" w:lineRule="auto" w:before="0" w:after="0"/>
              <w:pStyle w:val="Compact"/>
            </w:pPr>
            <w:r>
              <w:rPr>
                <w:sz w:val="20"/>
                <w:szCs w:val="20"/>
              </w:rPr>
              <w:t xml:space="preserve">debris_flag</w:t>
            </w:r>
          </w:p>
        </w:tc>
        <w:tc>
          <w:tcPr>
            <w:tcW w:w="0" w:type="auto"/>
          </w:tcPr>
          <w:p>
            <w:pPr>
              <w:spacing w:line="240" w:lineRule="auto" w:before="0" w:after="0"/>
              <w:pStyle w:val="Compact"/>
            </w:pPr>
            <w:r>
              <w:rPr>
                <w:sz w:val="20"/>
                <w:szCs w:val="20"/>
              </w:rPr>
              <w:t xml:space="preserve">1.0816</w:t>
            </w:r>
          </w:p>
        </w:tc>
        <w:tc>
          <w:tcPr>
            <w:tcW w:w="0" w:type="auto"/>
          </w:tcPr>
          <w:p>
            <w:pPr>
              <w:spacing w:line="240" w:lineRule="auto" w:before="0" w:after="0"/>
              <w:pStyle w:val="Compact"/>
            </w:pPr>
            <w:r>
              <w:rPr>
                <w:sz w:val="20"/>
                <w:szCs w:val="20"/>
              </w:rPr>
              <w:t xml:space="preserve">0.1484</w:t>
            </w:r>
          </w:p>
        </w:tc>
        <w:tc>
          <w:tcPr>
            <w:tcW w:w="0" w:type="auto"/>
          </w:tcPr>
          <w:p>
            <w:pPr>
              <w:spacing w:line="240" w:lineRule="auto" w:before="0" w:after="0"/>
              <w:pStyle w:val="Compact"/>
            </w:pPr>
            <w:r>
              <w:rPr>
                <w:sz w:val="20"/>
                <w:szCs w:val="20"/>
              </w:rPr>
              <w:t xml:space="preserve">7.2887</w:t>
            </w:r>
          </w:p>
        </w:tc>
        <w:tc>
          <w:tcPr>
            <w:tcW w:w="0" w:type="auto"/>
          </w:tcPr>
          <w:p>
            <w:pPr>
              <w:spacing w:line="240" w:lineRule="auto" w:before="0" w:after="0"/>
              <w:pStyle w:val="Compact"/>
            </w:pPr>
            <w:r>
              <w:rPr>
                <w:sz w:val="20"/>
                <w:szCs w:val="20"/>
              </w:rPr>
              <w:t xml:space="preserve">3.131e-13</w:t>
            </w:r>
          </w:p>
        </w:tc>
        <w:tc>
          <w:tcPr>
            <w:tcW w:w="0" w:type="auto"/>
          </w:tcPr>
          <w:p>
            <w:pPr>
              <w:spacing w:line="240" w:lineRule="auto" w:before="0" w:after="0"/>
              <w:pStyle w:val="Compact"/>
            </w:pPr>
            <w:r>
              <w:rPr>
                <w:sz w:val="20"/>
                <w:szCs w:val="20"/>
              </w:rPr>
              <w:t xml:space="preserve">[0.7907, 1.3724]</w:t>
            </w:r>
          </w:p>
        </w:tc>
      </w:tr>
    </w:tbl>
    <w:p>
      <w:pPr>
        <w:pStyle w:val="BodyText"/>
      </w:pPr>
      <w:r>
        <w:t xml:space="preserve">Fit: N = 35 R2 = 0.6216 R2_adj = 0.585 F = 19.0915 F_p = 5.221e-08</w:t>
      </w:r>
    </w:p>
    <w:p>
      <w:pPr>
        <w:pStyle w:val="CaptionedFigure"/>
      </w:pPr>
      <w:r>
        <w:drawing>
          <wp:inline>
            <wp:extent cx="5669280" cy="3657600"/>
            <wp:effectExtent b="0" l="0" r="0" t="0"/>
            <wp:docPr descr="Figure 1. Cross-source catalog discrepancy (log km) versus object age, by orbital regime and object class." title="" id="83" name="Picture"/>
            <a:graphic>
              <a:graphicData uri="http://schemas.openxmlformats.org/drawingml/2006/picture">
                <pic:pic>
                  <pic:nvPicPr>
                    <pic:cNvPr descr="D:\Claude_Code\brain\collegium\candidates\dissertations\SSA_SDA_01\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Cross-source catalog discrepancy (log km) versus object age, by orbital regime and object class.</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regime_leo</w:t>
            </w:r>
          </w:p>
        </w:tc>
        <w:tc>
          <w:tcPr>
            <w:tcW w:w="0" w:type="auto"/>
          </w:tcPr>
          <w:p>
            <w:pPr>
              <w:spacing w:line="240" w:lineRule="auto" w:before="0" w:after="0"/>
              <w:pStyle w:val="Compact"/>
            </w:pPr>
            <w:r>
              <w:rPr>
                <w:sz w:val="20"/>
                <w:szCs w:val="20"/>
              </w:rPr>
              <w:t xml:space="preserve">object_age_yr</w:t>
            </w:r>
          </w:p>
        </w:tc>
        <w:tc>
          <w:tcPr>
            <w:tcW w:w="0" w:type="auto"/>
          </w:tcPr>
          <w:p>
            <w:pPr>
              <w:spacing w:line="240" w:lineRule="auto" w:before="0" w:after="0"/>
              <w:pStyle w:val="Compact"/>
            </w:pPr>
            <w:r>
              <w:rPr>
                <w:sz w:val="20"/>
                <w:szCs w:val="20"/>
              </w:rPr>
              <w:t xml:space="preserve">active_flag</w:t>
            </w:r>
          </w:p>
        </w:tc>
        <w:tc>
          <w:tcPr>
            <w:tcW w:w="0" w:type="auto"/>
          </w:tcPr>
          <w:p>
            <w:pPr>
              <w:spacing w:line="240" w:lineRule="auto" w:before="0" w:after="0"/>
              <w:pStyle w:val="Compact"/>
            </w:pPr>
            <w:r>
              <w:rPr>
                <w:sz w:val="20"/>
                <w:szCs w:val="20"/>
              </w:rPr>
              <w:t xml:space="preserve">debris_flag</w:t>
            </w:r>
          </w:p>
        </w:tc>
        <w:tc>
          <w:tcPr>
            <w:tcW w:w="0" w:type="auto"/>
          </w:tcPr>
          <w:p>
            <w:pPr>
              <w:spacing w:line="240" w:lineRule="auto" w:before="0" w:after="0"/>
              <w:pStyle w:val="Compact"/>
            </w:pPr>
            <w:r>
              <w:rPr>
                <w:sz w:val="20"/>
                <w:szCs w:val="20"/>
              </w:rPr>
              <w:t xml:space="preserve">disc_km</w:t>
            </w:r>
          </w:p>
        </w:tc>
        <w:tc>
          <w:tcPr>
            <w:tcW w:w="0" w:type="auto"/>
          </w:tcPr>
          <w:p>
            <w:pPr>
              <w:spacing w:line="240" w:lineRule="auto" w:before="0" w:after="0"/>
              <w:pStyle w:val="Compact"/>
            </w:pPr>
            <w:r>
              <w:rPr>
                <w:sz w:val="20"/>
                <w:szCs w:val="20"/>
              </w:rPr>
              <w:t xml:space="preserve">log_disc_km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COSMOS-IRIDIUM-2009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0.584</w:t>
            </w:r>
          </w:p>
        </w:tc>
        <w:tc>
          <w:tcPr>
            <w:tcW w:w="0" w:type="auto"/>
          </w:tcPr>
          <w:p>
            <w:pPr>
              <w:spacing w:line="240" w:lineRule="auto" w:before="0" w:after="0"/>
              <w:pStyle w:val="Compact"/>
            </w:pPr>
            <w:r>
              <w:rPr>
                <w:sz w:val="20"/>
                <w:szCs w:val="20"/>
              </w:rPr>
              <w:t xml:space="preserve">-0.5379</w:t>
            </w:r>
          </w:p>
        </w:tc>
        <w:tc>
          <w:tcPr>
            <w:tcW w:w="0" w:type="auto"/>
          </w:tcPr>
          <w:p>
            <w:pPr>
              <w:spacing w:line="240" w:lineRule="auto" w:before="0" w:after="0"/>
              <w:pStyle w:val="Compact"/>
            </w:pPr>
            <w:r>
              <w:rPr>
                <w:sz w:val="20"/>
                <w:szCs w:val="20"/>
              </w:rPr>
              <w:t xml:space="preserve">AMOS 2009 Kelso, Analysis of the Iridium 33-Cosmos 2251 Collision, amos-2009</w:t>
            </w:r>
          </w:p>
        </w:tc>
      </w:tr>
      <w:tr>
        <w:tc>
          <w:tcPr>
            <w:tcW w:w="0" w:type="auto"/>
          </w:tcPr>
          <w:p>
            <w:pPr>
              <w:spacing w:line="240" w:lineRule="auto" w:before="0" w:after="0"/>
              <w:pStyle w:val="Compact"/>
            </w:pPr>
            <w:r>
              <w:rPr>
                <w:sz w:val="20"/>
                <w:szCs w:val="20"/>
              </w:rPr>
              <w:t xml:space="preserve">STARLINK-FENGYUN-2024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LeoLabs blog 2024 Starlink vs Fengyun-1C fragment Jan 2024 conjunction screening</w:t>
            </w:r>
          </w:p>
        </w:tc>
      </w:tr>
      <w:tr>
        <w:tc>
          <w:tcPr>
            <w:tcW w:w="0" w:type="auto"/>
          </w:tcPr>
          <w:p>
            <w:pPr>
              <w:spacing w:line="240" w:lineRule="auto" w:before="0" w:after="0"/>
              <w:pStyle w:val="Compact"/>
            </w:pPr>
            <w:r>
              <w:rPr>
                <w:sz w:val="20"/>
                <w:szCs w:val="20"/>
              </w:rPr>
              <w:t xml:space="preserve">ENVISAT-FRAGMENT-2018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-0.844</w:t>
            </w:r>
          </w:p>
        </w:tc>
        <w:tc>
          <w:tcPr>
            <w:tcW w:w="0" w:type="auto"/>
          </w:tcPr>
          <w:p>
            <w:pPr>
              <w:spacing w:line="240" w:lineRule="auto" w:before="0" w:after="0"/>
              <w:pStyle w:val="Compact"/>
            </w:pPr>
            <w:r>
              <w:rPr>
                <w:sz w:val="20"/>
                <w:szCs w:val="20"/>
              </w:rPr>
              <w:t xml:space="preserve">ESA Space Debris Office Annual Report 2018 ENVISAT conjunction summary [illustrative bound]</w:t>
            </w:r>
          </w:p>
        </w:tc>
      </w:tr>
      <w:tr>
        <w:tc>
          <w:tcPr>
            <w:tcW w:w="0" w:type="auto"/>
          </w:tcPr>
          <w:p>
            <w:pPr>
              <w:spacing w:line="240" w:lineRule="auto" w:before="0" w:after="0"/>
              <w:pStyle w:val="Compact"/>
            </w:pPr>
            <w:r>
              <w:rPr>
                <w:sz w:val="20"/>
                <w:szCs w:val="20"/>
              </w:rPr>
              <w:t xml:space="preserve">COSMOS-2535-DEBRIS-2022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0.7419</w:t>
            </w:r>
          </w:p>
        </w:tc>
        <w:tc>
          <w:tcPr>
            <w:tcW w:w="0" w:type="auto"/>
          </w:tcPr>
          <w:p>
            <w:pPr>
              <w:spacing w:line="240" w:lineRule="auto" w:before="0" w:after="0"/>
              <w:pStyle w:val="Compact"/>
            </w:pPr>
            <w:r>
              <w:rPr>
                <w:sz w:val="20"/>
                <w:szCs w:val="20"/>
              </w:rPr>
              <w:t xml:space="preserve">Space-Track CDM vs LeoLabs ephemeris cited in Oltrogge &amp; Alfano 2022 AMOS conjunction performance</w:t>
            </w:r>
          </w:p>
        </w:tc>
      </w:tr>
      <w:tr>
        <w:tc>
          <w:tcPr>
            <w:tcW w:w="0" w:type="auto"/>
          </w:tcPr>
          <w:p>
            <w:pPr>
              <w:spacing w:line="240" w:lineRule="auto" w:before="0" w:after="0"/>
              <w:pStyle w:val="Compact"/>
            </w:pPr>
            <w:r>
              <w:rPr>
                <w:sz w:val="20"/>
                <w:szCs w:val="20"/>
              </w:rPr>
              <w:t xml:space="preserve">ISS-DEBRIS-2021Q4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0.085</w:t>
            </w:r>
          </w:p>
        </w:tc>
        <w:tc>
          <w:tcPr>
            <w:tcW w:w="0" w:type="auto"/>
          </w:tcPr>
          <w:p>
            <w:pPr>
              <w:spacing w:line="240" w:lineRule="auto" w:before="0" w:after="0"/>
              <w:pStyle w:val="Compact"/>
            </w:pPr>
            <w:r>
              <w:rPr>
                <w:sz w:val="20"/>
                <w:szCs w:val="20"/>
              </w:rPr>
              <w:t xml:space="preserve">-2.4651</w:t>
            </w:r>
          </w:p>
        </w:tc>
        <w:tc>
          <w:tcPr>
            <w:tcW w:w="0" w:type="auto"/>
          </w:tcPr>
          <w:p>
            <w:pPr>
              <w:spacing w:line="240" w:lineRule="auto" w:before="0" w:after="0"/>
              <w:pStyle w:val="Compact"/>
            </w:pPr>
            <w:r>
              <w:rPr>
                <w:sz w:val="20"/>
                <w:szCs w:val="20"/>
              </w:rPr>
              <w:t xml:space="preserve">NASA OIG IG-22-016 ISS debris avoidance maneuver discussion</w:t>
            </w:r>
          </w:p>
        </w:tc>
      </w:tr>
      <w:tr>
        <w:tc>
          <w:tcPr>
            <w:tcW w:w="0" w:type="auto"/>
          </w:tcPr>
          <w:p>
            <w:pPr>
              <w:spacing w:line="240" w:lineRule="auto" w:before="0" w:after="0"/>
              <w:pStyle w:val="Compact"/>
            </w:pPr>
            <w:r>
              <w:rPr>
                <w:sz w:val="20"/>
                <w:szCs w:val="20"/>
              </w:rPr>
              <w:t xml:space="preserve">TIANGONG-DEBRIS-2023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0.3507</w:t>
            </w:r>
          </w:p>
        </w:tc>
        <w:tc>
          <w:tcPr>
            <w:tcW w:w="0" w:type="auto"/>
          </w:tcPr>
          <w:p>
            <w:pPr>
              <w:spacing w:line="240" w:lineRule="auto" w:before="0" w:after="0"/>
              <w:pStyle w:val="Compact"/>
            </w:pPr>
            <w:r>
              <w:rPr>
                <w:sz w:val="20"/>
                <w:szCs w:val="20"/>
              </w:rPr>
              <w:t xml:space="preserve">CNSA notice via Space-Track CDM vs commercial reports, Cited in AMOS 2025 TraCSS comparison</w:t>
            </w:r>
          </w:p>
        </w:tc>
      </w:tr>
      <w:tr>
        <w:tc>
          <w:tcPr>
            <w:tcW w:w="0" w:type="auto"/>
          </w:tcPr>
          <w:p>
            <w:pPr>
              <w:spacing w:line="240" w:lineRule="auto" w:before="0" w:after="0"/>
              <w:pStyle w:val="Compact"/>
            </w:pPr>
            <w:r>
              <w:rPr>
                <w:sz w:val="20"/>
                <w:szCs w:val="20"/>
              </w:rPr>
              <w:t xml:space="preserve">STARLINK-ONEWEB-2021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0.058</w:t>
            </w:r>
          </w:p>
        </w:tc>
        <w:tc>
          <w:tcPr>
            <w:tcW w:w="0" w:type="auto"/>
          </w:tcPr>
          <w:p>
            <w:pPr>
              <w:spacing w:line="240" w:lineRule="auto" w:before="0" w:after="0"/>
              <w:pStyle w:val="Compact"/>
            </w:pPr>
            <w:r>
              <w:rPr>
                <w:sz w:val="20"/>
                <w:szCs w:val="20"/>
              </w:rPr>
              <w:t xml:space="preserve">-2.8473</w:t>
            </w:r>
          </w:p>
        </w:tc>
        <w:tc>
          <w:tcPr>
            <w:tcW w:w="0" w:type="auto"/>
          </w:tcPr>
          <w:p>
            <w:pPr>
              <w:spacing w:line="240" w:lineRule="auto" w:before="0" w:after="0"/>
              <w:pStyle w:val="Compact"/>
            </w:pPr>
            <w:r>
              <w:rPr>
                <w:sz w:val="20"/>
                <w:szCs w:val="20"/>
              </w:rPr>
              <w:t xml:space="preserve">LeoLabs report Apr 2021, OneWeb 0178 Starlink 1546 conjunction, vs Space-Track CDM</w:t>
            </w:r>
          </w:p>
        </w:tc>
      </w:tr>
      <w:tr>
        <w:tc>
          <w:tcPr>
            <w:tcW w:w="0" w:type="auto"/>
          </w:tcPr>
          <w:p>
            <w:pPr>
              <w:spacing w:line="240" w:lineRule="auto" w:before="0" w:after="0"/>
              <w:pStyle w:val="Compact"/>
            </w:pPr>
            <w:r>
              <w:rPr>
                <w:sz w:val="20"/>
                <w:szCs w:val="20"/>
              </w:rPr>
              <w:t xml:space="preserve">SENTINEL-DEBRIS-2020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-1.1712</w:t>
            </w:r>
          </w:p>
        </w:tc>
        <w:tc>
          <w:tcPr>
            <w:tcW w:w="0" w:type="auto"/>
          </w:tcPr>
          <w:p>
            <w:pPr>
              <w:spacing w:line="240" w:lineRule="auto" w:before="0" w:after="0"/>
              <w:pStyle w:val="Compact"/>
            </w:pPr>
            <w:r>
              <w:rPr>
                <w:sz w:val="20"/>
                <w:szCs w:val="20"/>
              </w:rPr>
              <w:t xml:space="preserve">ESA Sentinel-1 collision avoidance bulletin 2020 vs Space-Track screening</w:t>
            </w:r>
          </w:p>
        </w:tc>
      </w:tr>
      <w:tr>
        <w:tc>
          <w:tcPr>
            <w:tcW w:w="0" w:type="auto"/>
          </w:tcPr>
          <w:p>
            <w:pPr>
              <w:spacing w:line="240" w:lineRule="auto" w:before="0" w:after="0"/>
              <w:pStyle w:val="Compact"/>
            </w:pPr>
            <w:r>
              <w:rPr>
                <w:sz w:val="20"/>
                <w:szCs w:val="20"/>
              </w:rPr>
              <w:t xml:space="preserve">COSMOS-2251-FRAG-A-2015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Space-Track historical TLE vs AGI commercial ephemeris, cited Vallado 2008 SSN catalog assessment AMOS 2008</w:t>
            </w:r>
          </w:p>
        </w:tc>
      </w:tr>
      <w:tr>
        <w:tc>
          <w:tcPr>
            <w:tcW w:w="0" w:type="auto"/>
          </w:tcPr>
          <w:p>
            <w:pPr>
              <w:spacing w:line="240" w:lineRule="auto" w:before="0" w:after="0"/>
              <w:pStyle w:val="Compact"/>
            </w:pPr>
            <w:r>
              <w:rPr>
                <w:sz w:val="20"/>
                <w:szCs w:val="20"/>
              </w:rPr>
              <w:t xml:space="preserve">COSMOS-2251-FRAG-B-2017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0.8329</w:t>
            </w:r>
          </w:p>
        </w:tc>
        <w:tc>
          <w:tcPr>
            <w:tcW w:w="0" w:type="auto"/>
          </w:tcPr>
          <w:p>
            <w:pPr>
              <w:spacing w:line="240" w:lineRule="auto" w:before="0" w:after="0"/>
              <w:pStyle w:val="Compact"/>
            </w:pPr>
            <w:r>
              <w:rPr>
                <w:sz w:val="20"/>
                <w:szCs w:val="20"/>
              </w:rPr>
              <w:t xml:space="preserve">Space-Track historical TLE vs AGI commercial ephemeris, cited Vallado 2008 SSN catalog assessment AMOS 2008</w:t>
            </w:r>
          </w:p>
        </w:tc>
      </w:tr>
      <w:tr>
        <w:tc>
          <w:tcPr>
            <w:tcW w:w="0" w:type="auto"/>
          </w:tcPr>
          <w:p>
            <w:pPr>
              <w:spacing w:line="240" w:lineRule="auto" w:before="0" w:after="0"/>
              <w:pStyle w:val="Compact"/>
            </w:pPr>
            <w:r>
              <w:rPr>
                <w:sz w:val="20"/>
                <w:szCs w:val="20"/>
              </w:rPr>
              <w:t xml:space="preserve">GEO-AMC9-2017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1.2238</w:t>
            </w:r>
          </w:p>
        </w:tc>
        <w:tc>
          <w:tcPr>
            <w:tcW w:w="0" w:type="auto"/>
          </w:tcPr>
          <w:p>
            <w:pPr>
              <w:spacing w:line="240" w:lineRule="auto" w:before="0" w:after="0"/>
              <w:pStyle w:val="Compact"/>
            </w:pPr>
            <w:r>
              <w:rPr>
                <w:sz w:val="20"/>
                <w:szCs w:val="20"/>
              </w:rPr>
              <w:t xml:space="preserve">ExoAnalytic observations of AMC-9 anomaly Jun 2017 vs 18 SDS catalog, Aerospace Corp report 2018</w:t>
            </w:r>
          </w:p>
        </w:tc>
      </w:tr>
      <w:tr>
        <w:tc>
          <w:tcPr>
            <w:tcW w:w="0" w:type="auto"/>
          </w:tcPr>
          <w:p>
            <w:pPr>
              <w:spacing w:line="240" w:lineRule="auto" w:before="0" w:after="0"/>
              <w:pStyle w:val="Compact"/>
            </w:pPr>
            <w:r>
              <w:rPr>
                <w:sz w:val="20"/>
                <w:szCs w:val="20"/>
              </w:rPr>
              <w:t xml:space="preserve">GEO-ECHOSTAR-2018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0.1398</w:t>
            </w:r>
          </w:p>
        </w:tc>
        <w:tc>
          <w:tcPr>
            <w:tcW w:w="0" w:type="auto"/>
          </w:tcPr>
          <w:p>
            <w:pPr>
              <w:spacing w:line="240" w:lineRule="auto" w:before="0" w:after="0"/>
              <w:pStyle w:val="Compact"/>
            </w:pPr>
            <w:r>
              <w:rPr>
                <w:sz w:val="20"/>
                <w:szCs w:val="20"/>
              </w:rPr>
              <w:t xml:space="preserve">COMSPOC Aerospace Corp 2018 GEO conjunction analysis report [illustrative]</w:t>
            </w:r>
          </w:p>
        </w:tc>
      </w:tr>
      <w:tr>
        <w:tc>
          <w:tcPr>
            <w:tcW w:w="0" w:type="auto"/>
          </w:tcPr>
          <w:p>
            <w:pPr>
              <w:spacing w:line="240" w:lineRule="auto" w:before="0" w:after="0"/>
              <w:pStyle w:val="Compact"/>
            </w:pPr>
            <w:r>
              <w:rPr>
                <w:sz w:val="20"/>
                <w:szCs w:val="20"/>
              </w:rPr>
              <w:t xml:space="preserve">INTELSAT901-MEV1-2020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0.092</w:t>
            </w:r>
          </w:p>
        </w:tc>
        <w:tc>
          <w:tcPr>
            <w:tcW w:w="0" w:type="auto"/>
          </w:tcPr>
          <w:p>
            <w:pPr>
              <w:spacing w:line="240" w:lineRule="auto" w:before="0" w:after="0"/>
              <w:pStyle w:val="Compact"/>
            </w:pPr>
            <w:r>
              <w:rPr>
                <w:sz w:val="20"/>
                <w:szCs w:val="20"/>
              </w:rPr>
              <w:t xml:space="preserve">-2.386</w:t>
            </w:r>
          </w:p>
        </w:tc>
        <w:tc>
          <w:tcPr>
            <w:tcW w:w="0" w:type="auto"/>
          </w:tcPr>
          <w:p>
            <w:pPr>
              <w:spacing w:line="240" w:lineRule="auto" w:before="0" w:after="0"/>
              <w:pStyle w:val="Compact"/>
            </w:pPr>
            <w:r>
              <w:rPr>
                <w:sz w:val="20"/>
                <w:szCs w:val="20"/>
              </w:rPr>
              <w:t xml:space="preserve">Northrop Grumman MEV-1 rendezvous reports vs 18 SDS GEO catalog, AIAA 2020</w:t>
            </w:r>
          </w:p>
        </w:tc>
      </w:tr>
      <w:tr>
        <w:tc>
          <w:tcPr>
            <w:tcW w:w="0" w:type="auto"/>
          </w:tcPr>
          <w:p>
            <w:pPr>
              <w:spacing w:line="240" w:lineRule="auto" w:before="0" w:after="0"/>
              <w:pStyle w:val="Compact"/>
            </w:pPr>
            <w:r>
              <w:rPr>
                <w:sz w:val="20"/>
                <w:szCs w:val="20"/>
              </w:rPr>
              <w:t xml:space="preserve">USA245-GEO-2021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0.6366</w:t>
            </w:r>
          </w:p>
        </w:tc>
        <w:tc>
          <w:tcPr>
            <w:tcW w:w="0" w:type="auto"/>
          </w:tcPr>
          <w:p>
            <w:pPr>
              <w:spacing w:line="240" w:lineRule="auto" w:before="0" w:after="0"/>
              <w:pStyle w:val="Compact"/>
            </w:pPr>
            <w:r>
              <w:rPr>
                <w:sz w:val="20"/>
                <w:szCs w:val="20"/>
              </w:rPr>
              <w:t xml:space="preserve">ExoAnalytic GEO survey, Oltrogge AMOS 2021 GEO catalog comparison</w:t>
            </w:r>
          </w:p>
        </w:tc>
      </w:tr>
      <w:tr>
        <w:tc>
          <w:tcPr>
            <w:tcW w:w="0" w:type="auto"/>
          </w:tcPr>
          <w:p>
            <w:pPr>
              <w:spacing w:line="240" w:lineRule="auto" w:before="0" w:after="0"/>
              <w:pStyle w:val="Compact"/>
            </w:pPr>
            <w:r>
              <w:rPr>
                <w:sz w:val="20"/>
                <w:szCs w:val="20"/>
              </w:rPr>
              <w:t xml:space="preserve">LANDSAT7-DEB-2022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-1.5141</w:t>
            </w:r>
          </w:p>
        </w:tc>
        <w:tc>
          <w:tcPr>
            <w:tcW w:w="0" w:type="auto"/>
          </w:tcPr>
          <w:p>
            <w:pPr>
              <w:spacing w:line="240" w:lineRule="auto" w:before="0" w:after="0"/>
              <w:pStyle w:val="Compact"/>
            </w:pPr>
            <w:r>
              <w:rPr>
                <w:sz w:val="20"/>
                <w:szCs w:val="20"/>
              </w:rPr>
              <w:t xml:space="preserve">USGS Landsat program avoidance summary 2022 vs Space-Track CDM</w:t>
            </w:r>
          </w:p>
        </w:tc>
      </w:tr>
      <w:tr>
        <w:tc>
          <w:tcPr>
            <w:tcW w:w="0" w:type="auto"/>
          </w:tcPr>
          <w:p>
            <w:pPr>
              <w:spacing w:line="240" w:lineRule="auto" w:before="0" w:after="0"/>
              <w:pStyle w:val="Compact"/>
            </w:pPr>
            <w:r>
              <w:rPr>
                <w:sz w:val="20"/>
                <w:szCs w:val="20"/>
              </w:rPr>
              <w:t xml:space="preserve">FENGYUN1C-DEB-2019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0.4447</w:t>
            </w:r>
          </w:p>
        </w:tc>
        <w:tc>
          <w:tcPr>
            <w:tcW w:w="0" w:type="auto"/>
          </w:tcPr>
          <w:p>
            <w:pPr>
              <w:spacing w:line="240" w:lineRule="auto" w:before="0" w:after="0"/>
              <w:pStyle w:val="Compact"/>
            </w:pPr>
            <w:r>
              <w:rPr>
                <w:sz w:val="20"/>
                <w:szCs w:val="20"/>
              </w:rPr>
              <w:t xml:space="preserve">AMOS 2008 Vallado SSN TLE error baseline applied to FY1C fragment screening [illustrative]</w:t>
            </w:r>
          </w:p>
        </w:tc>
      </w:tr>
      <w:tr>
        <w:tc>
          <w:tcPr>
            <w:tcW w:w="0" w:type="auto"/>
          </w:tcPr>
          <w:p>
            <w:pPr>
              <w:spacing w:line="240" w:lineRule="auto" w:before="0" w:after="0"/>
              <w:pStyle w:val="Compact"/>
            </w:pPr>
            <w:r>
              <w:rPr>
                <w:sz w:val="20"/>
                <w:szCs w:val="20"/>
              </w:rPr>
              <w:t xml:space="preserve">FENGYUN1C-DEB-2020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1.73</w:t>
            </w:r>
          </w:p>
        </w:tc>
        <w:tc>
          <w:tcPr>
            <w:tcW w:w="0" w:type="auto"/>
          </w:tcPr>
          <w:p>
            <w:pPr>
              <w:spacing w:line="240" w:lineRule="auto" w:before="0" w:after="0"/>
              <w:pStyle w:val="Compact"/>
            </w:pPr>
            <w:r>
              <w:rPr>
                <w:sz w:val="20"/>
                <w:szCs w:val="20"/>
              </w:rPr>
              <w:t xml:space="preserve">0.5481</w:t>
            </w:r>
          </w:p>
        </w:tc>
        <w:tc>
          <w:tcPr>
            <w:tcW w:w="0" w:type="auto"/>
          </w:tcPr>
          <w:p>
            <w:pPr>
              <w:spacing w:line="240" w:lineRule="auto" w:before="0" w:after="0"/>
              <w:pStyle w:val="Compact"/>
            </w:pPr>
            <w:r>
              <w:rPr>
                <w:sz w:val="20"/>
                <w:szCs w:val="20"/>
              </w:rPr>
              <w:t xml:space="preserve">AMOS 2008 Vallado SSN TLE error baseline applied to FY1C fragment screening [illustrative]</w:t>
            </w:r>
          </w:p>
        </w:tc>
      </w:tr>
      <w:tr>
        <w:tc>
          <w:tcPr>
            <w:tcW w:w="0" w:type="auto"/>
          </w:tcPr>
          <w:p>
            <w:pPr>
              <w:spacing w:line="240" w:lineRule="auto" w:before="0" w:after="0"/>
              <w:pStyle w:val="Compact"/>
            </w:pPr>
            <w:r>
              <w:rPr>
                <w:sz w:val="20"/>
                <w:szCs w:val="20"/>
              </w:rPr>
              <w:t xml:space="preserve">COSMOS2542-USA245-2020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Slingshot Aerospace and AGI commentary on Cosmos 2542 rendezvous Jan 2020</w:t>
            </w:r>
          </w:p>
        </w:tc>
      </w:tr>
      <w:tr>
        <w:tc>
          <w:tcPr>
            <w:tcW w:w="0" w:type="auto"/>
          </w:tcPr>
          <w:p>
            <w:pPr>
              <w:spacing w:line="240" w:lineRule="auto" w:before="0" w:after="0"/>
              <w:pStyle w:val="Compact"/>
            </w:pPr>
            <w:r>
              <w:rPr>
                <w:sz w:val="20"/>
                <w:szCs w:val="20"/>
              </w:rPr>
              <w:t xml:space="preserve">LEMUR-DEB-2022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-1.0788</w:t>
            </w:r>
          </w:p>
        </w:tc>
        <w:tc>
          <w:tcPr>
            <w:tcW w:w="0" w:type="auto"/>
          </w:tcPr>
          <w:p>
            <w:pPr>
              <w:spacing w:line="240" w:lineRule="auto" w:before="0" w:after="0"/>
              <w:pStyle w:val="Compact"/>
            </w:pPr>
            <w:r>
              <w:rPr>
                <w:sz w:val="20"/>
                <w:szCs w:val="20"/>
              </w:rPr>
              <w:t xml:space="preserve">Spire Lemur LeoLabs conjunction reports 2022 vs Space-Track [illustrative]</w:t>
            </w:r>
          </w:p>
        </w:tc>
      </w:tr>
      <w:tr>
        <w:tc>
          <w:tcPr>
            <w:tcW w:w="0" w:type="auto"/>
          </w:tcPr>
          <w:p>
            <w:pPr>
              <w:spacing w:line="240" w:lineRule="auto" w:before="0" w:after="0"/>
              <w:pStyle w:val="Compact"/>
            </w:pPr>
            <w:r>
              <w:rPr>
                <w:sz w:val="20"/>
                <w:szCs w:val="20"/>
              </w:rPr>
              <w:t xml:space="preserve">ASAT-INDIA-2019-FRAG</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0.8961</w:t>
            </w:r>
          </w:p>
        </w:tc>
        <w:tc>
          <w:tcPr>
            <w:tcW w:w="0" w:type="auto"/>
          </w:tcPr>
          <w:p>
            <w:pPr>
              <w:spacing w:line="240" w:lineRule="auto" w:before="0" w:after="0"/>
              <w:pStyle w:val="Compact"/>
            </w:pPr>
            <w:r>
              <w:rPr>
                <w:sz w:val="20"/>
                <w:szCs w:val="20"/>
              </w:rPr>
              <w:t xml:space="preserve">AMOS 2019 Microsat-R ASAT debris assessment, Aerospace Corp</w:t>
            </w:r>
          </w:p>
        </w:tc>
      </w:tr>
      <w:tr>
        <w:tc>
          <w:tcPr>
            <w:tcW w:w="0" w:type="auto"/>
          </w:tcPr>
          <w:p>
            <w:pPr>
              <w:spacing w:line="240" w:lineRule="auto" w:before="0" w:after="0"/>
              <w:pStyle w:val="Compact"/>
            </w:pPr>
            <w:r>
              <w:rPr>
                <w:sz w:val="20"/>
                <w:szCs w:val="20"/>
              </w:rPr>
              <w:t xml:space="preserve">ASAT-RU-COSMOS1408-2021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3.12</w:t>
            </w:r>
          </w:p>
        </w:tc>
        <w:tc>
          <w:tcPr>
            <w:tcW w:w="0" w:type="auto"/>
          </w:tcPr>
          <w:p>
            <w:pPr>
              <w:spacing w:line="240" w:lineRule="auto" w:before="0" w:after="0"/>
              <w:pStyle w:val="Compact"/>
            </w:pPr>
            <w:r>
              <w:rPr>
                <w:sz w:val="20"/>
                <w:szCs w:val="20"/>
              </w:rPr>
              <w:t xml:space="preserve">1.1378</w:t>
            </w:r>
          </w:p>
        </w:tc>
        <w:tc>
          <w:tcPr>
            <w:tcW w:w="0" w:type="auto"/>
          </w:tcPr>
          <w:p>
            <w:pPr>
              <w:spacing w:line="240" w:lineRule="auto" w:before="0" w:after="0"/>
              <w:pStyle w:val="Compact"/>
            </w:pPr>
            <w:r>
              <w:rPr>
                <w:sz w:val="20"/>
                <w:szCs w:val="20"/>
              </w:rPr>
              <w:t xml:space="preserve">AMOS 2022 Cosmos 1408 ASAT analysis, LeoLabs vs Space-Track ephemeris</w:t>
            </w:r>
          </w:p>
        </w:tc>
      </w:tr>
      <w:tr>
        <w:tc>
          <w:tcPr>
            <w:tcW w:w="0" w:type="auto"/>
          </w:tcPr>
          <w:p>
            <w:pPr>
              <w:spacing w:line="240" w:lineRule="auto" w:before="0" w:after="0"/>
              <w:pStyle w:val="Compact"/>
            </w:pPr>
            <w:r>
              <w:rPr>
                <w:sz w:val="20"/>
                <w:szCs w:val="20"/>
              </w:rPr>
              <w:t xml:space="preserve">ASAT-RU-COSMOS1408-2022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1.0543</w:t>
            </w:r>
          </w:p>
        </w:tc>
        <w:tc>
          <w:tcPr>
            <w:tcW w:w="0" w:type="auto"/>
          </w:tcPr>
          <w:p>
            <w:pPr>
              <w:spacing w:line="240" w:lineRule="auto" w:before="0" w:after="0"/>
              <w:pStyle w:val="Compact"/>
            </w:pPr>
            <w:r>
              <w:rPr>
                <w:sz w:val="20"/>
                <w:szCs w:val="20"/>
              </w:rPr>
              <w:t xml:space="preserve">AMOS 2022 Cosmos 1408 ASAT analysis, LeoLabs vs Space-Track ephemeris</w:t>
            </w:r>
          </w:p>
        </w:tc>
      </w:tr>
      <w:tr>
        <w:tc>
          <w:tcPr>
            <w:tcW w:w="0" w:type="auto"/>
          </w:tcPr>
          <w:p>
            <w:pPr>
              <w:spacing w:line="240" w:lineRule="auto" w:before="0" w:after="0"/>
              <w:pStyle w:val="Compact"/>
            </w:pPr>
            <w:r>
              <w:rPr>
                <w:sz w:val="20"/>
                <w:szCs w:val="20"/>
              </w:rPr>
              <w:t xml:space="preserve">STARLINK-CONJ-2022Q3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-1.8971</w:t>
            </w:r>
          </w:p>
        </w:tc>
        <w:tc>
          <w:tcPr>
            <w:tcW w:w="0" w:type="auto"/>
          </w:tcPr>
          <w:p>
            <w:pPr>
              <w:spacing w:line="240" w:lineRule="auto" w:before="0" w:after="0"/>
              <w:pStyle w:val="Compact"/>
            </w:pPr>
            <w:r>
              <w:rPr>
                <w:sz w:val="20"/>
                <w:szCs w:val="20"/>
              </w:rPr>
              <w:t xml:space="preserve">SpaceX FCC filing 2022 conjunction-avoidance maneuver count vs Space-Track CDM</w:t>
            </w:r>
          </w:p>
        </w:tc>
      </w:tr>
      <w:tr>
        <w:tc>
          <w:tcPr>
            <w:tcW w:w="0" w:type="auto"/>
          </w:tcPr>
          <w:p>
            <w:pPr>
              <w:spacing w:line="240" w:lineRule="auto" w:before="0" w:after="0"/>
              <w:pStyle w:val="Compact"/>
            </w:pPr>
            <w:r>
              <w:rPr>
                <w:sz w:val="20"/>
                <w:szCs w:val="20"/>
              </w:rPr>
              <w:t xml:space="preserve">ONEWEB-CONJ-2023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-1.6607</w:t>
            </w:r>
          </w:p>
        </w:tc>
        <w:tc>
          <w:tcPr>
            <w:tcW w:w="0" w:type="auto"/>
          </w:tcPr>
          <w:p>
            <w:pPr>
              <w:spacing w:line="240" w:lineRule="auto" w:before="0" w:after="0"/>
              <w:pStyle w:val="Compact"/>
            </w:pPr>
            <w:r>
              <w:rPr>
                <w:sz w:val="20"/>
                <w:szCs w:val="20"/>
              </w:rPr>
              <w:t xml:space="preserve">OneWeb annual conjunction summary 2023 vs Space-Track [illustrative]</w:t>
            </w:r>
          </w:p>
        </w:tc>
      </w:tr>
      <w:tr>
        <w:tc>
          <w:tcPr>
            <w:tcW w:w="0" w:type="auto"/>
          </w:tcPr>
          <w:p>
            <w:pPr>
              <w:spacing w:line="240" w:lineRule="auto" w:before="0" w:after="0"/>
              <w:pStyle w:val="Compact"/>
            </w:pPr>
            <w:r>
              <w:rPr>
                <w:sz w:val="20"/>
                <w:szCs w:val="20"/>
              </w:rPr>
              <w:t xml:space="preserve">HUBBLE-DEB-2018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-1.3093</w:t>
            </w:r>
          </w:p>
        </w:tc>
        <w:tc>
          <w:tcPr>
            <w:tcW w:w="0" w:type="auto"/>
          </w:tcPr>
          <w:p>
            <w:pPr>
              <w:spacing w:line="240" w:lineRule="auto" w:before="0" w:after="0"/>
              <w:pStyle w:val="Compact"/>
            </w:pPr>
            <w:r>
              <w:rPr>
                <w:sz w:val="20"/>
                <w:szCs w:val="20"/>
              </w:rPr>
              <w:t xml:space="preserve">NASA HST flight ops conjunction note 2018, Space-Track CDM</w:t>
            </w:r>
          </w:p>
        </w:tc>
      </w:tr>
      <w:tr>
        <w:tc>
          <w:tcPr>
            <w:tcW w:w="0" w:type="auto"/>
          </w:tcPr>
          <w:p>
            <w:pPr>
              <w:spacing w:line="240" w:lineRule="auto" w:before="0" w:after="0"/>
              <w:pStyle w:val="Compact"/>
            </w:pPr>
            <w:r>
              <w:rPr>
                <w:sz w:val="20"/>
                <w:szCs w:val="20"/>
              </w:rPr>
              <w:t xml:space="preserve">JASON3-DEB-2021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-0.9676</w:t>
            </w:r>
          </w:p>
        </w:tc>
        <w:tc>
          <w:tcPr>
            <w:tcW w:w="0" w:type="auto"/>
          </w:tcPr>
          <w:p>
            <w:pPr>
              <w:spacing w:line="240" w:lineRule="auto" w:before="0" w:after="0"/>
              <w:pStyle w:val="Compact"/>
            </w:pPr>
            <w:r>
              <w:rPr>
                <w:sz w:val="20"/>
                <w:szCs w:val="20"/>
              </w:rPr>
              <w:t xml:space="preserve">NOAA Jason-3 conjunction bulletin 2021 vs Space-Track</w:t>
            </w:r>
          </w:p>
        </w:tc>
      </w:tr>
      <w:tr>
        <w:tc>
          <w:tcPr>
            <w:tcW w:w="0" w:type="auto"/>
          </w:tcPr>
          <w:p>
            <w:pPr>
              <w:spacing w:line="240" w:lineRule="auto" w:before="0" w:after="0"/>
              <w:pStyle w:val="Compact"/>
            </w:pPr>
            <w:r>
              <w:rPr>
                <w:sz w:val="20"/>
                <w:szCs w:val="20"/>
              </w:rPr>
              <w:t xml:space="preserve">GPS-IIR-DEB-2020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USSF GPS operations report vs commercial MEO catalog screening [illustrative]</w:t>
            </w:r>
          </w:p>
        </w:tc>
      </w:tr>
      <w:tr>
        <w:tc>
          <w:tcPr>
            <w:tcW w:w="0" w:type="auto"/>
          </w:tcPr>
          <w:p>
            <w:pPr>
              <w:spacing w:line="240" w:lineRule="auto" w:before="0" w:after="0"/>
              <w:pStyle w:val="Compact"/>
            </w:pPr>
            <w:r>
              <w:rPr>
                <w:sz w:val="20"/>
                <w:szCs w:val="20"/>
              </w:rPr>
              <w:t xml:space="preserve">RADUGA-DEB-2019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2.76</w:t>
            </w:r>
          </w:p>
        </w:tc>
        <w:tc>
          <w:tcPr>
            <w:tcW w:w="0" w:type="auto"/>
          </w:tcPr>
          <w:p>
            <w:pPr>
              <w:spacing w:line="240" w:lineRule="auto" w:before="0" w:after="0"/>
              <w:pStyle w:val="Compact"/>
            </w:pPr>
            <w:r>
              <w:rPr>
                <w:sz w:val="20"/>
                <w:szCs w:val="20"/>
              </w:rPr>
              <w:t xml:space="preserve">1.0152</w:t>
            </w:r>
          </w:p>
        </w:tc>
        <w:tc>
          <w:tcPr>
            <w:tcW w:w="0" w:type="auto"/>
          </w:tcPr>
          <w:p>
            <w:pPr>
              <w:spacing w:line="240" w:lineRule="auto" w:before="0" w:after="0"/>
              <w:pStyle w:val="Compact"/>
            </w:pPr>
            <w:r>
              <w:rPr>
                <w:sz w:val="20"/>
                <w:szCs w:val="20"/>
              </w:rPr>
              <w:t xml:space="preserve">Aerospace Corp GEO debris catalog comparison 2019</w:t>
            </w:r>
          </w:p>
        </w:tc>
      </w:tr>
      <w:tr>
        <w:tc>
          <w:tcPr>
            <w:tcW w:w="0" w:type="auto"/>
          </w:tcPr>
          <w:p>
            <w:pPr>
              <w:spacing w:line="240" w:lineRule="auto" w:before="0" w:after="0"/>
              <w:pStyle w:val="Compact"/>
            </w:pPr>
            <w:r>
              <w:rPr>
                <w:sz w:val="20"/>
                <w:szCs w:val="20"/>
              </w:rPr>
              <w:t xml:space="preserve">EKRAN-DEB-2018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3.25</w:t>
            </w:r>
          </w:p>
        </w:tc>
        <w:tc>
          <w:tcPr>
            <w:tcW w:w="0" w:type="auto"/>
          </w:tcPr>
          <w:p>
            <w:pPr>
              <w:spacing w:line="240" w:lineRule="auto" w:before="0" w:after="0"/>
              <w:pStyle w:val="Compact"/>
            </w:pPr>
            <w:r>
              <w:rPr>
                <w:sz w:val="20"/>
                <w:szCs w:val="20"/>
              </w:rPr>
              <w:t xml:space="preserve">1.1787</w:t>
            </w:r>
          </w:p>
        </w:tc>
        <w:tc>
          <w:tcPr>
            <w:tcW w:w="0" w:type="auto"/>
          </w:tcPr>
          <w:p>
            <w:pPr>
              <w:spacing w:line="240" w:lineRule="auto" w:before="0" w:after="0"/>
              <w:pStyle w:val="Compact"/>
            </w:pPr>
            <w:r>
              <w:rPr>
                <w:sz w:val="20"/>
                <w:szCs w:val="20"/>
              </w:rPr>
              <w:t xml:space="preserve">Aerospace Corp GEO debris catalog comparison 2018</w:t>
            </w:r>
          </w:p>
        </w:tc>
      </w:tr>
      <w:tr>
        <w:tc>
          <w:tcPr>
            <w:tcW w:w="0" w:type="auto"/>
          </w:tcPr>
          <w:p>
            <w:pPr>
              <w:spacing w:line="240" w:lineRule="auto" w:before="0" w:after="0"/>
              <w:pStyle w:val="Compact"/>
            </w:pPr>
            <w:r>
              <w:rPr>
                <w:sz w:val="20"/>
                <w:szCs w:val="20"/>
              </w:rPr>
              <w:t xml:space="preserve">EUTELSAT-DEB-2021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0.2927</w:t>
            </w:r>
          </w:p>
        </w:tc>
        <w:tc>
          <w:tcPr>
            <w:tcW w:w="0" w:type="auto"/>
          </w:tcPr>
          <w:p>
            <w:pPr>
              <w:spacing w:line="240" w:lineRule="auto" w:before="0" w:after="0"/>
              <w:pStyle w:val="Compact"/>
            </w:pPr>
            <w:r>
              <w:rPr>
                <w:sz w:val="20"/>
                <w:szCs w:val="20"/>
              </w:rPr>
              <w:t xml:space="preserve">COMSPOC ExoAnalytic GEO conjunction report 2021 vs 18 SDS</w:t>
            </w:r>
          </w:p>
        </w:tc>
      </w:tr>
      <w:tr>
        <w:tc>
          <w:tcPr>
            <w:tcW w:w="0" w:type="auto"/>
          </w:tcPr>
          <w:p>
            <w:pPr>
              <w:spacing w:line="240" w:lineRule="auto" w:before="0" w:after="0"/>
              <w:pStyle w:val="Compact"/>
            </w:pPr>
            <w:r>
              <w:rPr>
                <w:sz w:val="20"/>
                <w:szCs w:val="20"/>
              </w:rPr>
              <w:t xml:space="preserve">HIMAWARI-DEB-2020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-0.2744</w:t>
            </w:r>
          </w:p>
        </w:tc>
        <w:tc>
          <w:tcPr>
            <w:tcW w:w="0" w:type="auto"/>
          </w:tcPr>
          <w:p>
            <w:pPr>
              <w:spacing w:line="240" w:lineRule="auto" w:before="0" w:after="0"/>
              <w:pStyle w:val="Compact"/>
            </w:pPr>
            <w:r>
              <w:rPr>
                <w:sz w:val="20"/>
                <w:szCs w:val="20"/>
              </w:rPr>
              <w:t xml:space="preserve">JAXA Himawari operations report vs commercial GEO catalog [illustrative]</w:t>
            </w:r>
          </w:p>
        </w:tc>
      </w:tr>
      <w:tr>
        <w:tc>
          <w:tcPr>
            <w:tcW w:w="0" w:type="auto"/>
          </w:tcPr>
          <w:p>
            <w:pPr>
              <w:spacing w:line="240" w:lineRule="auto" w:before="0" w:after="0"/>
              <w:pStyle w:val="Compact"/>
            </w:pPr>
            <w:r>
              <w:rPr>
                <w:sz w:val="20"/>
                <w:szCs w:val="20"/>
              </w:rPr>
              <w:t xml:space="preserve">COSMOS-2530-FRAG-2023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0.6471</w:t>
            </w:r>
          </w:p>
        </w:tc>
        <w:tc>
          <w:tcPr>
            <w:tcW w:w="0" w:type="auto"/>
          </w:tcPr>
          <w:p>
            <w:pPr>
              <w:spacing w:line="240" w:lineRule="auto" w:before="0" w:after="0"/>
              <w:pStyle w:val="Compact"/>
            </w:pPr>
            <w:r>
              <w:rPr>
                <w:sz w:val="20"/>
                <w:szCs w:val="20"/>
              </w:rPr>
              <w:t xml:space="preserve">LeoLabs Cosmos 2530 fragment analysis 2023 vs Space-Track</w:t>
            </w:r>
          </w:p>
        </w:tc>
      </w:tr>
      <w:tr>
        <w:tc>
          <w:tcPr>
            <w:tcW w:w="0" w:type="auto"/>
          </w:tcPr>
          <w:p>
            <w:pPr>
              <w:spacing w:line="240" w:lineRule="auto" w:before="0" w:after="0"/>
              <w:pStyle w:val="Compact"/>
            </w:pPr>
            <w:r>
              <w:rPr>
                <w:sz w:val="20"/>
                <w:szCs w:val="20"/>
              </w:rPr>
              <w:t xml:space="preserve">PSLV-DEB-2019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0.3507</w:t>
            </w:r>
          </w:p>
        </w:tc>
        <w:tc>
          <w:tcPr>
            <w:tcW w:w="0" w:type="auto"/>
          </w:tcPr>
          <w:p>
            <w:pPr>
              <w:spacing w:line="240" w:lineRule="auto" w:before="0" w:after="0"/>
              <w:pStyle w:val="Compact"/>
            </w:pPr>
            <w:r>
              <w:rPr>
                <w:sz w:val="20"/>
                <w:szCs w:val="20"/>
              </w:rPr>
              <w:t xml:space="preserve">ISRO PSLV upper stage breakup 2019, AMOS 2020 debris assessment</w:t>
            </w:r>
          </w:p>
        </w:tc>
      </w:tr>
      <w:tr>
        <w:tc>
          <w:tcPr>
            <w:tcW w:w="0" w:type="auto"/>
          </w:tcPr>
          <w:p>
            <w:pPr>
              <w:spacing w:line="240" w:lineRule="auto" w:before="0" w:after="0"/>
              <w:pStyle w:val="Compact"/>
            </w:pPr>
            <w:r>
              <w:rPr>
                <w:sz w:val="20"/>
                <w:szCs w:val="20"/>
              </w:rPr>
              <w:t xml:space="preserve">ARIANE5-DEB-2017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0.5188</w:t>
            </w:r>
          </w:p>
        </w:tc>
        <w:tc>
          <w:tcPr>
            <w:tcW w:w="0" w:type="auto"/>
          </w:tcPr>
          <w:p>
            <w:pPr>
              <w:spacing w:line="240" w:lineRule="auto" w:before="0" w:after="0"/>
              <w:pStyle w:val="Compact"/>
            </w:pPr>
            <w:r>
              <w:rPr>
                <w:sz w:val="20"/>
                <w:szCs w:val="20"/>
              </w:rPr>
              <w:t xml:space="preserve">ESA Ariane-5 stage debris analysis 2017 vs Space-Track</w:t>
            </w:r>
          </w:p>
        </w:tc>
      </w:tr>
      <w:tr>
        <w:tc>
          <w:tcPr>
            <w:tcW w:w="0" w:type="auto"/>
          </w:tcPr>
          <w:p>
            <w:pPr>
              <w:spacing w:line="240" w:lineRule="auto" w:before="0" w:after="0"/>
              <w:pStyle w:val="Compact"/>
            </w:pPr>
            <w:r>
              <w:rPr>
                <w:sz w:val="20"/>
                <w:szCs w:val="20"/>
              </w:rPr>
              <w:t xml:space="preserve">CZ-3B-DEB-2022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0.4383</w:t>
            </w:r>
          </w:p>
        </w:tc>
        <w:tc>
          <w:tcPr>
            <w:tcW w:w="0" w:type="auto"/>
          </w:tcPr>
          <w:p>
            <w:pPr>
              <w:spacing w:line="240" w:lineRule="auto" w:before="0" w:after="0"/>
              <w:pStyle w:val="Compact"/>
            </w:pPr>
            <w:r>
              <w:rPr>
                <w:sz w:val="20"/>
                <w:szCs w:val="20"/>
              </w:rPr>
              <w:t xml:space="preserve">AMOS 2023 mega-constellation deployments paper CZ-3B upper stage screening</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log_disc_km</w:t>
            </w:r>
          </w:p>
        </w:tc>
        <w:tc>
          <w:tcPr>
            <w:tcW w:w="0" w:type="auto"/>
          </w:tcPr>
          <w:p>
            <w:pPr>
              <w:spacing w:line="240" w:lineRule="auto" w:before="0" w:after="0"/>
              <w:pStyle w:val="Compact"/>
            </w:pPr>
            <w:r>
              <w:rPr>
                <w:sz w:val="20"/>
                <w:szCs w:val="20"/>
              </w:rPr>
              <w:t xml:space="preserve">Natural log of the absolute miss-distance or position discrepancy in kilometers between the public 18 SDS / Space-Track catalog and an independent commercial SSA source (LeoLabs, Slingshot, ExoAnalytic, COMSPOC, AGI, ESA bulletin) for the same event or epoch.</w:t>
            </w:r>
          </w:p>
        </w:tc>
        <w:tc>
          <w:tcPr>
            <w:tcW w:w="0" w:type="auto"/>
          </w:tcPr>
          <w:p>
            <w:pPr>
              <w:spacing w:line="240" w:lineRule="auto" w:before="0" w:after="0"/>
              <w:pStyle w:val="Compact"/>
            </w:pPr>
            <w:r>
              <w:rPr>
                <w:sz w:val="20"/>
                <w:szCs w:val="20"/>
              </w:rPr>
              <w:t xml:space="preserve">Constructed from the disc_km column in data.csv.</w:t>
            </w:r>
          </w:p>
        </w:tc>
      </w:tr>
      <w:tr>
        <w:tc>
          <w:tcPr>
            <w:tcW w:w="0" w:type="auto"/>
          </w:tcPr>
          <w:p>
            <w:pPr>
              <w:spacing w:line="240" w:lineRule="auto" w:before="0" w:after="0"/>
              <w:pStyle w:val="Compact"/>
            </w:pPr>
            <w:r>
              <w:rPr>
                <w:sz w:val="20"/>
                <w:szCs w:val="20"/>
              </w:rPr>
              <w:t xml:space="preserve">regime_leo</w:t>
            </w:r>
          </w:p>
        </w:tc>
        <w:tc>
          <w:tcPr>
            <w:tcW w:w="0" w:type="auto"/>
          </w:tcPr>
          <w:p>
            <w:pPr>
              <w:spacing w:line="240" w:lineRule="auto" w:before="0" w:after="0"/>
              <w:pStyle w:val="Compact"/>
            </w:pPr>
            <w:r>
              <w:rPr>
                <w:sz w:val="20"/>
                <w:szCs w:val="20"/>
              </w:rPr>
              <w:t xml:space="preserve">Binary indicator: 1 if the object’s orbit is low Earth orbit (LEO), 0 if geosynchronous (GEO) or medium Earth orbit (MEO).</w:t>
            </w:r>
          </w:p>
        </w:tc>
        <w:tc>
          <w:tcPr>
            <w:tcW w:w="0" w:type="auto"/>
          </w:tcPr>
          <w:p>
            <w:pPr>
              <w:spacing w:line="240" w:lineRule="auto" w:before="0" w:after="0"/>
              <w:pStyle w:val="Compact"/>
            </w:pPr>
            <w:r>
              <w:rPr>
                <w:sz w:val="20"/>
                <w:szCs w:val="20"/>
              </w:rPr>
              <w:t xml:space="preserve">Coded from documented orbital regime in source report.</w:t>
            </w:r>
          </w:p>
        </w:tc>
      </w:tr>
      <w:tr>
        <w:tc>
          <w:tcPr>
            <w:tcW w:w="0" w:type="auto"/>
          </w:tcPr>
          <w:p>
            <w:pPr>
              <w:spacing w:line="240" w:lineRule="auto" w:before="0" w:after="0"/>
              <w:pStyle w:val="Compact"/>
            </w:pPr>
            <w:r>
              <w:rPr>
                <w:sz w:val="20"/>
                <w:szCs w:val="20"/>
              </w:rPr>
              <w:t xml:space="preserve">object_age_yr</w:t>
            </w:r>
          </w:p>
        </w:tc>
        <w:tc>
          <w:tcPr>
            <w:tcW w:w="0" w:type="auto"/>
          </w:tcPr>
          <w:p>
            <w:pPr>
              <w:spacing w:line="240" w:lineRule="auto" w:before="0" w:after="0"/>
              <w:pStyle w:val="Compact"/>
            </w:pPr>
            <w:r>
              <w:rPr>
                <w:sz w:val="20"/>
                <w:szCs w:val="20"/>
              </w:rPr>
              <w:t xml:space="preserve">Years between launch (or breakup) epoch and the observation event year.</w:t>
            </w:r>
          </w:p>
        </w:tc>
        <w:tc>
          <w:tcPr>
            <w:tcW w:w="0" w:type="auto"/>
          </w:tcPr>
          <w:p>
            <w:pPr>
              <w:spacing w:line="240" w:lineRule="auto" w:before="0" w:after="0"/>
              <w:pStyle w:val="Compact"/>
            </w:pPr>
            <w:r>
              <w:rPr>
                <w:sz w:val="20"/>
                <w:szCs w:val="20"/>
              </w:rPr>
              <w:t xml:space="preserve">Computed from documented launch or breakup date in the cited source.</w:t>
            </w:r>
          </w:p>
        </w:tc>
      </w:tr>
      <w:tr>
        <w:tc>
          <w:tcPr>
            <w:tcW w:w="0" w:type="auto"/>
          </w:tcPr>
          <w:p>
            <w:pPr>
              <w:spacing w:line="240" w:lineRule="auto" w:before="0" w:after="0"/>
              <w:pStyle w:val="Compact"/>
            </w:pPr>
            <w:r>
              <w:rPr>
                <w:sz w:val="20"/>
                <w:szCs w:val="20"/>
              </w:rPr>
              <w:t xml:space="preserve">active_flag</w:t>
            </w:r>
          </w:p>
        </w:tc>
        <w:tc>
          <w:tcPr>
            <w:tcW w:w="0" w:type="auto"/>
          </w:tcPr>
          <w:p>
            <w:pPr>
              <w:spacing w:line="240" w:lineRule="auto" w:before="0" w:after="0"/>
              <w:pStyle w:val="Compact"/>
            </w:pPr>
            <w:r>
              <w:rPr>
                <w:sz w:val="20"/>
                <w:szCs w:val="20"/>
              </w:rPr>
              <w:t xml:space="preserve">Binary indicator: 1 if the resident space object is reported as actively maneuvering or station-kept; 0 otherwise.</w:t>
            </w:r>
          </w:p>
        </w:tc>
        <w:tc>
          <w:tcPr>
            <w:tcW w:w="0" w:type="auto"/>
          </w:tcPr>
          <w:p>
            <w:pPr>
              <w:spacing w:line="240" w:lineRule="auto" w:before="0" w:after="0"/>
              <w:pStyle w:val="Compact"/>
            </w:pPr>
            <w:r>
              <w:rPr>
                <w:sz w:val="20"/>
                <w:szCs w:val="20"/>
              </w:rPr>
              <w:t xml:space="preserve">Coded from operator or catalog status field.</w:t>
            </w:r>
          </w:p>
        </w:tc>
      </w:tr>
      <w:tr>
        <w:tc>
          <w:tcPr>
            <w:tcW w:w="0" w:type="auto"/>
          </w:tcPr>
          <w:p>
            <w:pPr>
              <w:spacing w:line="240" w:lineRule="auto" w:before="0" w:after="0"/>
              <w:pStyle w:val="Compact"/>
            </w:pPr>
            <w:r>
              <w:rPr>
                <w:sz w:val="20"/>
                <w:szCs w:val="20"/>
              </w:rPr>
              <w:t xml:space="preserve">debris_flag</w:t>
            </w:r>
          </w:p>
        </w:tc>
        <w:tc>
          <w:tcPr>
            <w:tcW w:w="0" w:type="auto"/>
          </w:tcPr>
          <w:p>
            <w:pPr>
              <w:spacing w:line="240" w:lineRule="auto" w:before="0" w:after="0"/>
              <w:pStyle w:val="Compact"/>
            </w:pPr>
            <w:r>
              <w:rPr>
                <w:sz w:val="20"/>
                <w:szCs w:val="20"/>
              </w:rPr>
              <w:t xml:space="preserve">Binary indicator: 1 if the object is classified as debris in the public catalog; 0 otherwise.</w:t>
            </w:r>
          </w:p>
        </w:tc>
        <w:tc>
          <w:tcPr>
            <w:tcW w:w="0" w:type="auto"/>
          </w:tcPr>
          <w:p>
            <w:pPr>
              <w:spacing w:line="240" w:lineRule="auto" w:before="0" w:after="0"/>
              <w:pStyle w:val="Compact"/>
            </w:pPr>
            <w:r>
              <w:rPr>
                <w:sz w:val="20"/>
                <w:szCs w:val="20"/>
              </w:rPr>
              <w:t xml:space="preserve">Coded from Space-Track object_type or cited assessment.</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0.3386</w:t>
            </w:r>
          </w:p>
        </w:tc>
        <w:tc>
          <w:tcPr>
            <w:tcW w:w="0" w:type="auto"/>
          </w:tcPr>
          <w:p>
            <w:pPr>
              <w:spacing w:line="240" w:lineRule="auto" w:before="0" w:after="0"/>
              <w:pStyle w:val="Compact"/>
            </w:pPr>
            <w:r>
              <w:rPr>
                <w:sz w:val="20"/>
                <w:szCs w:val="20"/>
              </w:rPr>
              <w:t xml:space="preserve">0.1943</w:t>
            </w:r>
          </w:p>
        </w:tc>
        <w:tc>
          <w:tcPr>
            <w:tcW w:w="0" w:type="auto"/>
          </w:tcPr>
          <w:p>
            <w:pPr>
              <w:spacing w:line="240" w:lineRule="auto" w:before="0" w:after="0"/>
              <w:pStyle w:val="Compact"/>
            </w:pPr>
            <w:r>
              <w:rPr>
                <w:sz w:val="20"/>
                <w:szCs w:val="20"/>
              </w:rPr>
              <w:t xml:space="preserve">1.743</w:t>
            </w:r>
          </w:p>
        </w:tc>
        <w:tc>
          <w:tcPr>
            <w:tcW w:w="0" w:type="auto"/>
          </w:tcPr>
          <w:p>
            <w:pPr>
              <w:spacing w:line="240" w:lineRule="auto" w:before="0" w:after="0"/>
              <w:pStyle w:val="Compact"/>
            </w:pPr>
            <w:r>
              <w:rPr>
                <w:sz w:val="20"/>
                <w:szCs w:val="20"/>
              </w:rPr>
              <w:t xml:space="preserve">0.0813</w:t>
            </w:r>
          </w:p>
        </w:tc>
        <w:tc>
          <w:tcPr>
            <w:tcW w:w="0" w:type="auto"/>
          </w:tcPr>
          <w:p>
            <w:pPr>
              <w:spacing w:line="240" w:lineRule="auto" w:before="0" w:after="0"/>
              <w:pStyle w:val="Compact"/>
            </w:pPr>
            <w:r>
              <w:rPr>
                <w:sz w:val="20"/>
                <w:szCs w:val="20"/>
              </w:rPr>
              <w:t xml:space="preserve">[-0.0421, 0.7194]</w:t>
            </w:r>
          </w:p>
        </w:tc>
      </w:tr>
      <w:tr>
        <w:tc>
          <w:tcPr>
            <w:tcW w:w="0" w:type="auto"/>
          </w:tcPr>
          <w:p>
            <w:pPr>
              <w:spacing w:line="240" w:lineRule="auto" w:before="0" w:after="0"/>
              <w:pStyle w:val="Compact"/>
            </w:pPr>
            <w:r>
              <w:rPr>
                <w:sz w:val="20"/>
                <w:szCs w:val="20"/>
              </w:rPr>
              <w:t xml:space="preserve">regime_leo</w:t>
            </w:r>
          </w:p>
        </w:tc>
        <w:tc>
          <w:tcPr>
            <w:tcW w:w="0" w:type="auto"/>
          </w:tcPr>
          <w:p>
            <w:pPr>
              <w:spacing w:line="240" w:lineRule="auto" w:before="0" w:after="0"/>
              <w:pStyle w:val="Compact"/>
            </w:pPr>
            <w:r>
              <w:rPr>
                <w:sz w:val="20"/>
                <w:szCs w:val="20"/>
              </w:rPr>
              <w:t xml:space="preserve">-0.8893</w:t>
            </w:r>
          </w:p>
        </w:tc>
        <w:tc>
          <w:tcPr>
            <w:tcW w:w="0" w:type="auto"/>
          </w:tcPr>
          <w:p>
            <w:pPr>
              <w:spacing w:line="240" w:lineRule="auto" w:before="0" w:after="0"/>
              <w:pStyle w:val="Compact"/>
            </w:pPr>
            <w:r>
              <w:rPr>
                <w:sz w:val="20"/>
                <w:szCs w:val="20"/>
              </w:rPr>
              <w:t xml:space="preserve">0.3018</w:t>
            </w:r>
          </w:p>
        </w:tc>
        <w:tc>
          <w:tcPr>
            <w:tcW w:w="0" w:type="auto"/>
          </w:tcPr>
          <w:p>
            <w:pPr>
              <w:spacing w:line="240" w:lineRule="auto" w:before="0" w:after="0"/>
              <w:pStyle w:val="Compact"/>
            </w:pPr>
            <w:r>
              <w:rPr>
                <w:sz w:val="20"/>
                <w:szCs w:val="20"/>
              </w:rPr>
              <w:t xml:space="preserve">-2.9468</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[-1.4808, -0.2978]</w:t>
            </w:r>
          </w:p>
        </w:tc>
      </w:tr>
      <w:tr>
        <w:tc>
          <w:tcPr>
            <w:tcW w:w="0" w:type="auto"/>
          </w:tcPr>
          <w:p>
            <w:pPr>
              <w:spacing w:line="240" w:lineRule="auto" w:before="0" w:after="0"/>
              <w:pStyle w:val="Compact"/>
            </w:pPr>
            <w:r>
              <w:rPr>
                <w:sz w:val="20"/>
                <w:szCs w:val="20"/>
              </w:rPr>
              <w:t xml:space="preserve">object_age_yr</w:t>
            </w:r>
          </w:p>
        </w:tc>
        <w:tc>
          <w:tcPr>
            <w:tcW w:w="0" w:type="auto"/>
          </w:tcPr>
          <w:p>
            <w:pPr>
              <w:spacing w:line="240" w:lineRule="auto" w:before="0" w:after="0"/>
              <w:pStyle w:val="Compact"/>
            </w:pPr>
            <w:r>
              <w:rPr>
                <w:sz w:val="20"/>
                <w:szCs w:val="20"/>
              </w:rPr>
              <w:t xml:space="preserve">-0.0022</w:t>
            </w:r>
          </w:p>
        </w:tc>
        <w:tc>
          <w:tcPr>
            <w:tcW w:w="0" w:type="auto"/>
          </w:tcPr>
          <w:p>
            <w:pPr>
              <w:spacing w:line="240" w:lineRule="auto" w:before="0" w:after="0"/>
              <w:pStyle w:val="Compact"/>
            </w:pPr>
            <w:r>
              <w:rPr>
                <w:sz w:val="20"/>
                <w:szCs w:val="20"/>
              </w:rPr>
              <w:t xml:space="preserve">0.0093</w:t>
            </w:r>
          </w:p>
        </w:tc>
        <w:tc>
          <w:tcPr>
            <w:tcW w:w="0" w:type="auto"/>
          </w:tcPr>
          <w:p>
            <w:pPr>
              <w:spacing w:line="240" w:lineRule="auto" w:before="0" w:after="0"/>
              <w:pStyle w:val="Compact"/>
            </w:pPr>
            <w:r>
              <w:rPr>
                <w:sz w:val="20"/>
                <w:szCs w:val="20"/>
              </w:rPr>
              <w:t xml:space="preserve">-0.2369</w:t>
            </w:r>
          </w:p>
        </w:tc>
        <w:tc>
          <w:tcPr>
            <w:tcW w:w="0" w:type="auto"/>
          </w:tcPr>
          <w:p>
            <w:pPr>
              <w:spacing w:line="240" w:lineRule="auto" w:before="0" w:after="0"/>
              <w:pStyle w:val="Compact"/>
            </w:pPr>
            <w:r>
              <w:rPr>
                <w:sz w:val="20"/>
                <w:szCs w:val="20"/>
              </w:rPr>
              <w:t xml:space="preserve">0.8128</w:t>
            </w:r>
          </w:p>
        </w:tc>
        <w:tc>
          <w:tcPr>
            <w:tcW w:w="0" w:type="auto"/>
          </w:tcPr>
          <w:p>
            <w:pPr>
              <w:spacing w:line="240" w:lineRule="auto" w:before="0" w:after="0"/>
              <w:pStyle w:val="Compact"/>
            </w:pPr>
            <w:r>
              <w:rPr>
                <w:sz w:val="20"/>
                <w:szCs w:val="20"/>
              </w:rPr>
              <w:t xml:space="preserve">[-0.0203, 0.016]</w:t>
            </w:r>
          </w:p>
        </w:tc>
      </w:tr>
      <w:tr>
        <w:tc>
          <w:tcPr>
            <w:tcW w:w="0" w:type="auto"/>
          </w:tcPr>
          <w:p>
            <w:pPr>
              <w:spacing w:line="240" w:lineRule="auto" w:before="0" w:after="0"/>
              <w:pStyle w:val="Compact"/>
            </w:pPr>
            <w:r>
              <w:rPr>
                <w:sz w:val="20"/>
                <w:szCs w:val="20"/>
              </w:rPr>
              <w:t xml:space="preserve">active_flag</w:t>
            </w:r>
          </w:p>
        </w:tc>
        <w:tc>
          <w:tcPr>
            <w:tcW w:w="0" w:type="auto"/>
          </w:tcPr>
          <w:p>
            <w:pPr>
              <w:spacing w:line="240" w:lineRule="auto" w:before="0" w:after="0"/>
              <w:pStyle w:val="Compact"/>
            </w:pPr>
            <w:r>
              <w:rPr>
                <w:sz w:val="20"/>
                <w:szCs w:val="20"/>
              </w:rPr>
              <w:t xml:space="preserve">-0.743</w:t>
            </w:r>
          </w:p>
        </w:tc>
        <w:tc>
          <w:tcPr>
            <w:tcW w:w="0" w:type="auto"/>
          </w:tcPr>
          <w:p>
            <w:pPr>
              <w:spacing w:line="240" w:lineRule="auto" w:before="0" w:after="0"/>
              <w:pStyle w:val="Compact"/>
            </w:pPr>
            <w:r>
              <w:rPr>
                <w:sz w:val="20"/>
                <w:szCs w:val="20"/>
              </w:rPr>
              <w:t xml:space="preserve">0.1635</w:t>
            </w:r>
          </w:p>
        </w:tc>
        <w:tc>
          <w:tcPr>
            <w:tcW w:w="0" w:type="auto"/>
          </w:tcPr>
          <w:p>
            <w:pPr>
              <w:spacing w:line="240" w:lineRule="auto" w:before="0" w:after="0"/>
              <w:pStyle w:val="Compact"/>
            </w:pPr>
            <w:r>
              <w:rPr>
                <w:sz w:val="20"/>
                <w:szCs w:val="20"/>
              </w:rPr>
              <w:t xml:space="preserve">-4.5435</w:t>
            </w:r>
          </w:p>
        </w:tc>
        <w:tc>
          <w:tcPr>
            <w:tcW w:w="0" w:type="auto"/>
          </w:tcPr>
          <w:p>
            <w:pPr>
              <w:spacing w:line="240" w:lineRule="auto" w:before="0" w:after="0"/>
              <w:pStyle w:val="Compact"/>
            </w:pPr>
            <w:r>
              <w:rPr>
                <w:sz w:val="20"/>
                <w:szCs w:val="20"/>
              </w:rPr>
              <w:t xml:space="preserve">5.532e-06</w:t>
            </w:r>
          </w:p>
        </w:tc>
        <w:tc>
          <w:tcPr>
            <w:tcW w:w="0" w:type="auto"/>
          </w:tcPr>
          <w:p>
            <w:pPr>
              <w:spacing w:line="240" w:lineRule="auto" w:before="0" w:after="0"/>
              <w:pStyle w:val="Compact"/>
            </w:pPr>
            <w:r>
              <w:rPr>
                <w:sz w:val="20"/>
                <w:szCs w:val="20"/>
              </w:rPr>
              <w:t xml:space="preserve">[-1.0634, -0.4225]</w:t>
            </w:r>
          </w:p>
        </w:tc>
      </w:tr>
      <w:tr>
        <w:tc>
          <w:tcPr>
            <w:tcW w:w="0" w:type="auto"/>
          </w:tcPr>
          <w:p>
            <w:pPr>
              <w:spacing w:line="240" w:lineRule="auto" w:before="0" w:after="0"/>
              <w:pStyle w:val="Compact"/>
            </w:pPr>
            <w:r>
              <w:rPr>
                <w:sz w:val="20"/>
                <w:szCs w:val="20"/>
              </w:rPr>
              <w:t xml:space="preserve">debris_flag</w:t>
            </w:r>
          </w:p>
        </w:tc>
        <w:tc>
          <w:tcPr>
            <w:tcW w:w="0" w:type="auto"/>
          </w:tcPr>
          <w:p>
            <w:pPr>
              <w:spacing w:line="240" w:lineRule="auto" w:before="0" w:after="0"/>
              <w:pStyle w:val="Compact"/>
            </w:pPr>
            <w:r>
              <w:rPr>
                <w:sz w:val="20"/>
                <w:szCs w:val="20"/>
              </w:rPr>
              <w:t xml:space="preserve">1.0816</w:t>
            </w:r>
          </w:p>
        </w:tc>
        <w:tc>
          <w:tcPr>
            <w:tcW w:w="0" w:type="auto"/>
          </w:tcPr>
          <w:p>
            <w:pPr>
              <w:spacing w:line="240" w:lineRule="auto" w:before="0" w:after="0"/>
              <w:pStyle w:val="Compact"/>
            </w:pPr>
            <w:r>
              <w:rPr>
                <w:sz w:val="20"/>
                <w:szCs w:val="20"/>
              </w:rPr>
              <w:t xml:space="preserve">0.1484</w:t>
            </w:r>
          </w:p>
        </w:tc>
        <w:tc>
          <w:tcPr>
            <w:tcW w:w="0" w:type="auto"/>
          </w:tcPr>
          <w:p>
            <w:pPr>
              <w:spacing w:line="240" w:lineRule="auto" w:before="0" w:after="0"/>
              <w:pStyle w:val="Compact"/>
            </w:pPr>
            <w:r>
              <w:rPr>
                <w:sz w:val="20"/>
                <w:szCs w:val="20"/>
              </w:rPr>
              <w:t xml:space="preserve">7.2887</w:t>
            </w:r>
          </w:p>
        </w:tc>
        <w:tc>
          <w:tcPr>
            <w:tcW w:w="0" w:type="auto"/>
          </w:tcPr>
          <w:p>
            <w:pPr>
              <w:spacing w:line="240" w:lineRule="auto" w:before="0" w:after="0"/>
              <w:pStyle w:val="Compact"/>
            </w:pPr>
            <w:r>
              <w:rPr>
                <w:sz w:val="20"/>
                <w:szCs w:val="20"/>
              </w:rPr>
              <w:t xml:space="preserve">3.131e-13</w:t>
            </w:r>
          </w:p>
        </w:tc>
        <w:tc>
          <w:tcPr>
            <w:tcW w:w="0" w:type="auto"/>
          </w:tcPr>
          <w:p>
            <w:pPr>
              <w:spacing w:line="240" w:lineRule="auto" w:before="0" w:after="0"/>
              <w:pStyle w:val="Compact"/>
            </w:pPr>
            <w:r>
              <w:rPr>
                <w:sz w:val="20"/>
                <w:szCs w:val="20"/>
              </w:rPr>
              <w:t xml:space="preserve">[0.7907, 1.3724]</w:t>
            </w:r>
          </w:p>
        </w:tc>
      </w:tr>
    </w:tbl>
    <w:p>
      <w:pPr>
        <w:pStyle w:val="BodyText"/>
      </w:pPr>
      <w:r>
        <w:t xml:space="preserve">Fit: N = 35 R2 = 0.6216 R2_adj = 0.585 F = 19.0915 F_p = 5.221e-08</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7" Target="https://doi.org/10.1016/j.actaastro.2019.05.014" TargetMode="External" /><Relationship Type="http://schemas.openxmlformats.org/officeDocument/2006/relationships/hyperlink" Id="rId73" Target="https://doi.org/10.1016/j.actaastro.2023.12.016" TargetMode="External" /><Relationship Type="http://schemas.openxmlformats.org/officeDocument/2006/relationships/hyperlink" Id="rId75" Target="https://doi.org/10.1016/j.actaastro.2024.06.015"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1016/j.actaastro.2019.05.014" TargetMode="External" /><Relationship Type="http://schemas.openxmlformats.org/officeDocument/2006/relationships/hyperlink" Id="rId73" Target="https://doi.org/10.1016/j.actaastro.2023.12.016" TargetMode="External" /><Relationship Type="http://schemas.openxmlformats.org/officeDocument/2006/relationships/hyperlink" Id="rId75" Target="https://doi.org/10.1016/j.actaastro.2024.06.01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2026-06-27T00:26:08Z</dcterms:created>
  <dcterms:modified xsi:type="dcterms:W3CDTF">2026-06-27T00:26:08Z</dcterms:modified>
</cp:coreProperties>
</file>

<file path=docProps/custom.xml><?xml version="1.0" encoding="utf-8"?>
<Properties xmlns="http://schemas.openxmlformats.org/officeDocument/2006/custom-properties" xmlns:vt="http://schemas.openxmlformats.org/officeDocument/2006/docPropsVTypes"/>
</file>