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CATALOG DISCREPANCY AS A TRUST SIGNAL: CROSS-SOURCE DISAGREEMENT BETWEEN THE PUBLIC CATALOG AND COMMERCIAL PROVIDERS</w:t>
      </w:r>
    </w:p>
    <w:p>
      <w:pPr>
        <w:jc w:val="center"/>
      </w:pPr>
    </w:p>
    <w:p>
      <w:pPr>
        <w:jc w:val="center"/>
      </w:pPr>
      <w:r>
        <w:rPr>
          <w:rFonts w:ascii="Times New Roman" w:hAnsi="Times New Roman"/>
          <w:sz w:val="24"/>
        </w:rPr>
        <w:t>by</w:t>
      </w:r>
    </w:p>
    <w:p>
      <w:pPr>
        <w:jc w:val="center"/>
      </w:pPr>
      <w:r>
        <w:rPr>
          <w:rFonts w:ascii="Times New Roman" w:hAnsi="Times New Roman"/>
          <w:b/>
          <w:sz w:val="28"/>
        </w:rPr>
        <w:t>Priya Wren</w:t>
      </w:r>
    </w:p>
    <w:p>
      <w:pPr>
        <w:jc w:val="center"/>
      </w:pPr>
      <w:r>
        <w:rPr>
          <w:rFonts w:ascii="Times New Roman" w:hAnsi="Times New Roman"/>
          <w:sz w:val="24"/>
        </w:rPr>
        <w:t>1B-SDA-090</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The civil space traffic coordination architecture of 2026 is not built on a single catalog. It is built on a federation of catalogs that disagree. The public catalog maintained by the 18th and 19th Space Defense Squadrons (18/19 SDS) remains the default reference for conjunction screening, reentry analysis, launch coordination, and academic study of the resident space object (RSO) population. Alongside it, the Office of Space Commerce has stood up the Traffic Coordination System for Space (TraCSS) and now ingests commercial state vectors from LeoLabs, COMSPOC, Slingshot Aerospace, SpaceNav, and Kayhan Space</w:t>
      </w:r>
      <w:r>
        <w:t xml:space="preserve"> </w:t>
      </w:r>
      <w:hyperlink w:anchor="ref-2">
        <w:r>
          <w:rPr>
            <w:rStyle w:val="Hyperlink"/>
          </w:rPr>
          <w:t xml:space="preserve">[2]</w:t>
        </w:r>
      </w:hyperlink>
      <w:r>
        <w:t xml:space="preserve">. A 2025 operational comparison between the United States Space Force Mission Delta 2 conjunction system and TraCSS documented that two architecturally legitimate systems screening the same encounter return measurably different conjunction outputs, and that the differences are not random across the object population</w:t>
      </w:r>
      <w:r>
        <w:t xml:space="preserve"> </w:t>
      </w:r>
      <w:hyperlink w:anchor="ref-1">
        <w:r>
          <w:rPr>
            <w:rStyle w:val="Hyperlink"/>
          </w:rPr>
          <w:t xml:space="preserve">[1]</w:t>
        </w:r>
      </w:hyperlink>
      <w:r>
        <w:t xml:space="preserve">. Commercial providers publish their own state estimates and their own covariances, and have done so in peer-reviewed and conference work since 2017 [3, 6].</w:t>
      </w:r>
    </w:p>
    <w:p>
      <w:pPr>
        <w:pStyle w:val="BodyText"/>
        <w:spacing w:line="480" w:lineRule="auto"/>
        <w:ind w:firstLine="720"/>
      </w:pPr>
      <w:r>
        <w:t xml:space="preserve">The dominant treatment of this disagreement, in both the operational and the academic literature, is reconciliation. Disagreement is framed as noise to be averaged away by a downstream fusion engine, or as a system-comparison artifact to be flagged and then suppressed. The orbit determination literature has spent more than a decade reducing intrinsic two-line element (TLE) error within a single catalog through bias correction, pseudo-observation methods, and machine learning [5, 7, 8]. The radar measurement literature has built increasingly faithful sensor-level error budgets and propagated them into covariance estimates that downstream consumers can ingest</w:t>
      </w:r>
      <w:r>
        <w:t xml:space="preserve"> </w:t>
      </w:r>
      <w:hyperlink w:anchor="ref-9">
        <w:r>
          <w:rPr>
            <w:rStyle w:val="Hyperlink"/>
          </w:rPr>
          <w:t xml:space="preserve">[9]</w:t>
        </w:r>
      </w:hyperlink>
      <w:r>
        <w:t xml:space="preserve">. The commercial SSA literature has documented the standing up of independent tracking networks and built data quality frameworks that compare a single commercial feed to a reference [3, 6]. Each of these strands is internally rigorous. None of them treats the disagreement across catalog families as a first-class quantity with its own predictive content.</w:t>
      </w:r>
    </w:p>
    <w:p>
      <w:pPr>
        <w:pStyle w:val="BodyText"/>
        <w:spacing w:line="480" w:lineRule="auto"/>
        <w:ind w:firstLine="720"/>
      </w:pPr>
      <w:r>
        <w:t xml:space="preserve">This dissertation begins from a different premise. The premise is that cross-source disagreement, measured at the level of an individual RSO at a particular epoch, is not only noise. It is also signal. It is a measurable, calibratable indicator of where any given catalog is wrong, where an object is poorly characterized, and where a maneuver, fragmentation, or mistagging is about to be discovered. If that premise is correct, then the architectural shift from one catalog to many is not merely a redundancy story. It is an opportunity to extract trust information that no single catalog can produce on its own, and to publish that information as a per-object, per-epoch quantity that downstream consumers can act on. The two prior papers that anchor this dissertation provide the empirical foundation for that claim. The first found that cross-source discrepancy is concentrated where operators are absent, with debris objects exhibiting roughly three times the disagreement of comparable active payloads (p less than 0.001) and active operator-tracked objects showing roughly half the disagreement of comparable non-active objects (p less than 0.001). The second confirmed and extended the result on a different sample, finding that altitude raises disagreement, radar cross section reduces it, and the maneuverable indicator reduces disagreement by an estimated 0.576 kilometers (p of 0.001). Both results survive robust standard errors. Both point to the same conclusion. Disagreement is structured, predictable, and informative.</w:t>
      </w:r>
    </w:p>
    <w:bookmarkEnd w:id="61"/>
    <w:bookmarkStart w:id="62" w:name="why-this-matters-for-nasa-and-jpl"/>
    <w:p>
      <w:pPr>
        <w:pStyle w:val="Heading2"/>
        <w:spacing w:line="480" w:lineRule="auto"/>
      </w:pPr>
      <w:r>
        <w:t xml:space="preserve">1.2 Why This Matters for NASA and JPL</w:t>
      </w:r>
    </w:p>
    <w:p>
      <w:pPr>
        <w:pStyle w:val="FirstParagraph"/>
        <w:spacing w:line="480" w:lineRule="auto"/>
      </w:pPr>
      <w:r>
        <w:t xml:space="preserve">The stakes of this question are operational, not merely methodological. NASA flies the most consequential cooperative satellites in low Earth orbit, including the International Space Station and a portfolio of Earth observing platforms, and the agency is the single largest civil consumer of conjunction data messages issued from the 18 SDS catalog and now from TraCSS. NASA’s Office of Inspector General has already documented that the agency’s debris mitigation posture depends on the quality of upstream catalog data and that gaps in that data translate directly into operational risk and mission cost</w:t>
      </w:r>
      <w:r>
        <w:t xml:space="preserve"> </w:t>
      </w:r>
      <w:hyperlink w:anchor="ref-18">
        <w:r>
          <w:rPr>
            <w:rStyle w:val="Hyperlink"/>
          </w:rPr>
          <w:t xml:space="preserve">[18]</w:t>
        </w:r>
      </w:hyperlink>
      <w:r>
        <w:t xml:space="preserve">. The Government Accountability Office has issued the parallel finding that the Department of Defense should systematically evaluate how to use commercial data, an evaluation that requires a defensible per-object measure of when commercial sources add information and when they do not</w:t>
      </w:r>
      <w:r>
        <w:t xml:space="preserve"> </w:t>
      </w:r>
      <w:hyperlink w:anchor="ref-25">
        <w:r>
          <w:rPr>
            <w:rStyle w:val="Hyperlink"/>
          </w:rPr>
          <w:t xml:space="preserve">[25]</w:t>
        </w:r>
      </w:hyperlink>
      <w:r>
        <w:t xml:space="preserve">. NASA cannot answer the GAO question without a metric of catalog trust, and at present no such metric is published.</w:t>
      </w:r>
    </w:p>
    <w:p>
      <w:pPr>
        <w:pStyle w:val="BodyText"/>
        <w:spacing w:line="480" w:lineRule="auto"/>
        <w:ind w:firstLine="720"/>
      </w:pPr>
      <w:r>
        <w:t xml:space="preserve">The Jet Propulsion Laboratory carries a different but adjacent exposure. JPL operates a portfolio of deep space and cislunar assets whose injection trajectories pass through congested LEO and through GEO transfer regimes, and JPL’s flight dynamics teams routinely consume 18 SDS element sets for launch-window screening and for debris avoidance during the early orbit phase. When JPL’s screening output disagrees with a commercial provider’s screening output for the same encounter, the laboratory’s mission assurance posture obliges it either to procure additional data, to insert a margin, or to accept residual risk. Each option carries a cost. A defensible, per-object measure of when the two sources disagree because of catalog error and when they disagree because of genuine ambiguity in the underlying state would reduce that cost in a quantifiable way, and would do so using data already inside the TraCSS pathfinder ingest pipeline</w:t>
      </w:r>
      <w:r>
        <w:t xml:space="preserve"> </w:t>
      </w:r>
      <w:hyperlink w:anchor="ref-2">
        <w:r>
          <w:rPr>
            <w:rStyle w:val="Hyperlink"/>
          </w:rPr>
          <w:t xml:space="preserve">[2]</w:t>
        </w:r>
      </w:hyperlink>
      <w:r>
        <w:t xml:space="preserve">.</w:t>
      </w:r>
    </w:p>
    <w:p>
      <w:pPr>
        <w:pStyle w:val="BodyText"/>
        <w:spacing w:line="480" w:lineRule="auto"/>
        <w:ind w:firstLine="720"/>
      </w:pPr>
      <w:r>
        <w:t xml:space="preserve">The Cosmos-Iridium collision of 2009 remains the canonical demonstration that single-catalog conjunction assessment can fail in operationally significant ways even when the catalog itself is internally consistent</w:t>
      </w:r>
      <w:r>
        <w:t xml:space="preserve"> </w:t>
      </w:r>
      <w:hyperlink w:anchor="ref-4">
        <w:r>
          <w:rPr>
            <w:rStyle w:val="Hyperlink"/>
          </w:rPr>
          <w:t xml:space="preserve">[4]</w:t>
        </w:r>
      </w:hyperlink>
      <w:r>
        <w:t xml:space="preserve">. The seventeen years since that event have produced more catalogs, not a single converged catalog. The Fengyun-1C debris cloud documented by the NASA Orbital Debris Program Office continues to dominate the LEO debris environment and continues to be one of the populations where commercial and public catalogs disagree most visibly [22, 23]. The European Space Agency’s annual space environment reports show that the operational risk picture is worsening on most measured dimensions, even as the catalog architecture fragments</w:t>
      </w:r>
      <w:r>
        <w:t xml:space="preserve"> </w:t>
      </w:r>
      <w:hyperlink w:anchor="ref-19">
        <w:r>
          <w:rPr>
            <w:rStyle w:val="Hyperlink"/>
          </w:rPr>
          <w:t xml:space="preserve">[19]</w:t>
        </w:r>
      </w:hyperlink>
      <w:r>
        <w:t xml:space="preserve">. The trust signal proposed here is not a substitute for any existing catalog. It is an additional layer that uses the federation as it stands and turns the disagreement among catalogs into a measurable quantity that operators, regulators, and insurers can consume.</w:t>
      </w:r>
    </w:p>
    <w:bookmarkEnd w:id="62"/>
    <w:bookmarkStart w:id="63" w:name="Xf30008fd28f360eb8a859a1c12858bf7c60a4b4"/>
    <w:p>
      <w:pPr>
        <w:pStyle w:val="Heading2"/>
        <w:spacing w:line="480" w:lineRule="auto"/>
      </w:pPr>
      <w:r>
        <w:t xml:space="preserve">1.3 The Gap Between the Domain Literature and the Econometric Method Literature</w:t>
      </w:r>
    </w:p>
    <w:p>
      <w:pPr>
        <w:pStyle w:val="FirstParagraph"/>
        <w:spacing w:line="480" w:lineRule="auto"/>
      </w:pPr>
      <w:r>
        <w:t xml:space="preserve">The contribution of this dissertation sits in a gap that is unusual in space situational awareness research. The gap is not a gap in the domain literature alone, and it is not a gap in the method literature alone. It is the absence of a bridge between them.</w:t>
      </w:r>
    </w:p>
    <w:p>
      <w:pPr>
        <w:pStyle w:val="BodyText"/>
        <w:spacing w:line="480" w:lineRule="auto"/>
        <w:ind w:firstLine="720"/>
      </w:pPr>
      <w:r>
        <w:t xml:space="preserve">The domain literature, by which this dissertation means the AMOS-track and Acta-track corpus on orbit determination, conjunction assessment, catalog maintenance, and SSA architecture, has converged on a set of well-formed questions about how to reduce error within a catalog and how to fuse multiple catalogs into a single best estimate. Flohrer, Krag, and Klinkrad gave the field its first systematic characterization of TLE error by regime and by object class</w:t>
      </w:r>
      <w:r>
        <w:t xml:space="preserve"> </w:t>
      </w:r>
      <w:hyperlink w:anchor="ref-5">
        <w:r>
          <w:rPr>
            <w:rStyle w:val="Hyperlink"/>
          </w:rPr>
          <w:t xml:space="preserve">[5]</w:t>
        </w:r>
      </w:hyperlink>
      <w:r>
        <w:t xml:space="preserve">. Jiang and colleagues introduced neural network methods for short-term TLE uncertainty estimation</w:t>
      </w:r>
      <w:r>
        <w:t xml:space="preserve"> </w:t>
      </w:r>
      <w:hyperlink w:anchor="ref-7">
        <w:r>
          <w:rPr>
            <w:rStyle w:val="Hyperlink"/>
          </w:rPr>
          <w:t xml:space="preserve">[7]</w:t>
        </w:r>
      </w:hyperlink>
      <w:r>
        <w:t xml:space="preserve">. Holincheck and Cathell extended SGP4-XP through pseudo-observations to sharpen orbital predictions</w:t>
      </w:r>
      <w:r>
        <w:t xml:space="preserve"> </w:t>
      </w:r>
      <w:hyperlink w:anchor="ref-8">
        <w:r>
          <w:rPr>
            <w:rStyle w:val="Hyperlink"/>
          </w:rPr>
          <w:t xml:space="preserve">[8]</w:t>
        </w:r>
      </w:hyperlink>
      <w:r>
        <w:t xml:space="preserve">. Dowd modeled radar measurement uncertainty for look angle optimization</w:t>
      </w:r>
      <w:r>
        <w:t xml:space="preserve"> </w:t>
      </w:r>
      <w:hyperlink w:anchor="ref-9">
        <w:r>
          <w:rPr>
            <w:rStyle w:val="Hyperlink"/>
          </w:rPr>
          <w:t xml:space="preserve">[9]</w:t>
        </w:r>
      </w:hyperlink>
      <w:r>
        <w:t xml:space="preserve">. Pirovano and Armellin gave the field a mature treatment of maneuver detection and estimation for catalog maintenance</w:t>
      </w:r>
      <w:r>
        <w:t xml:space="preserve"> </w:t>
      </w:r>
      <w:hyperlink w:anchor="ref-15">
        <w:r>
          <w:rPr>
            <w:rStyle w:val="Hyperlink"/>
          </w:rPr>
          <w:t xml:space="preserve">[15]</w:t>
        </w:r>
      </w:hyperlink>
      <w:r>
        <w:t xml:space="preserve">. Kazemi and colleagues surveyed the orbit determination state of the art across the SSA enterprise</w:t>
      </w:r>
      <w:r>
        <w:t xml:space="preserve"> </w:t>
      </w:r>
      <w:hyperlink w:anchor="ref-16">
        <w:r>
          <w:rPr>
            <w:rStyle w:val="Hyperlink"/>
          </w:rPr>
          <w:t xml:space="preserve">[16]</w:t>
        </w:r>
      </w:hyperlink>
      <w:r>
        <w:t xml:space="preserve">. Peng and Bai brought Gaussian process methods to orbit prediction</w:t>
      </w:r>
      <w:r>
        <w:t xml:space="preserve"> </w:t>
      </w:r>
      <w:hyperlink w:anchor="ref-17">
        <w:r>
          <w:rPr>
            <w:rStyle w:val="Hyperlink"/>
          </w:rPr>
          <w:t xml:space="preserve">[17]</w:t>
        </w:r>
      </w:hyperlink>
      <w:r>
        <w:t xml:space="preserve">. Each of these contributions reduces uncertainty within a single source. None of them treats the residual between sources as a regressable outcome.</w:t>
      </w:r>
    </w:p>
    <w:p>
      <w:pPr>
        <w:pStyle w:val="BodyText"/>
        <w:spacing w:line="480" w:lineRule="auto"/>
        <w:ind w:firstLine="720"/>
      </w:pPr>
      <w:r>
        <w:t xml:space="preserve">The architectural literature is similarly well-formed and similarly bounded. The TraCSS Consolidated Pathfinder paper documents the ingest of three commercial providers but does not publish per-object disagreement statistics</w:t>
      </w:r>
      <w:r>
        <w:t xml:space="preserve"> </w:t>
      </w:r>
      <w:hyperlink w:anchor="ref-2">
        <w:r>
          <w:rPr>
            <w:rStyle w:val="Hyperlink"/>
          </w:rPr>
          <w:t xml:space="preserve">[2]</w:t>
        </w:r>
      </w:hyperlink>
      <w:r>
        <w:t xml:space="preserve">. The Mission Delta 2 versus TraCSS comparison documents differences in conjunction outputs but treats those differences as a system-comparison artifact rather than as a per-object trust signal</w:t>
      </w:r>
      <w:r>
        <w:t xml:space="preserve"> </w:t>
      </w:r>
      <w:hyperlink w:anchor="ref-1">
        <w:r>
          <w:rPr>
            <w:rStyle w:val="Hyperlink"/>
          </w:rPr>
          <w:t xml:space="preserve">[1]</w:t>
        </w:r>
      </w:hyperlink>
      <w:r>
        <w:t xml:space="preserve">. The Aerospace Corporation independent data quality framework for the Unified Data Library characterizes residuals against a reference but stops short of asking whether the residual itself predicts future catalog revisions</w:t>
      </w:r>
      <w:r>
        <w:t xml:space="preserve"> </w:t>
      </w:r>
      <w:hyperlink w:anchor="ref-6">
        <w:r>
          <w:rPr>
            <w:rStyle w:val="Hyperlink"/>
          </w:rPr>
          <w:t xml:space="preserve">[6]</w:t>
        </w:r>
      </w:hyperlink>
      <w:r>
        <w:t xml:space="preserve">. Ravago and colleagues have shown that screening volumes used in conjunction assessment dominate the false alarm rate when covariances are poorly characterized</w:t>
      </w:r>
      <w:r>
        <w:t xml:space="preserve"> </w:t>
      </w:r>
      <w:hyperlink w:anchor="ref-21">
        <w:r>
          <w:rPr>
            <w:rStyle w:val="Hyperlink"/>
          </w:rPr>
          <w:t xml:space="preserve">[21]</w:t>
        </w:r>
      </w:hyperlink>
      <w:r>
        <w:t xml:space="preserve">. Wilkins and collaborators have proposed a multi-agent trust framework for fusing subjective opinions with imperfect understanding, which is the closest published precedent for treating trust itself as a modeled quantity in SDA</w:t>
      </w:r>
      <w:r>
        <w:t xml:space="preserve"> </w:t>
      </w:r>
      <w:hyperlink w:anchor="ref-26">
        <w:r>
          <w:rPr>
            <w:rStyle w:val="Hyperlink"/>
          </w:rPr>
          <w:t xml:space="preserve">[26]</w:t>
        </w:r>
      </w:hyperlink>
      <w:r>
        <w:t xml:space="preserve">. The Reed, Dailey, Stilwell, and Weeden line of work has argued from the policy direction that operator ephemeris sharing and decentralized information sharing are the architectural enablers of trust and of compliance monitoring [13, 27, 28]. Constant, Bhattarai, and Ziebart have shown that current practices in uncooperative space surveillance carry limitations that a mega-constellation time series can expose</w:t>
      </w:r>
      <w:r>
        <w:t xml:space="preserve"> </w:t>
      </w:r>
      <w:hyperlink w:anchor="ref-31">
        <w:r>
          <w:rPr>
            <w:rStyle w:val="Hyperlink"/>
          </w:rPr>
          <w:t xml:space="preserve">[31]</w:t>
        </w:r>
      </w:hyperlink>
      <w:r>
        <w:t xml:space="preserve">. Each of these contributions describes the federation. None of them tests whether the disagreement among federated catalogs predicts the catalog revisions that follow.</w:t>
      </w:r>
    </w:p>
    <w:p>
      <w:pPr>
        <w:pStyle w:val="BodyText"/>
        <w:spacing w:line="480" w:lineRule="auto"/>
        <w:ind w:firstLine="720"/>
      </w:pPr>
      <w:r>
        <w:t xml:space="preserve">The method literature is no less mature, and it sits in a different building. The econometric and biostatistical literatures on discrete-time hazard modeling, fixed-effects panel estimation, robust inference under heteroskedasticity, and pre-registered out-of-sample validation are settled. The procedures that this dissertation will deploy in Chapter 4, including discrete-time hazard estimation with object and day fixed effects, regime and size-class stratification, HC1 robust standard errors, and a pre-committed held-out forward window, are not novel. They are the standard machinery of applied microeconometrics and of applied epidemiology. What is missing is the application of that machinery to the SSA catalog federation. The domain literature has not adopted the econometric framing because it has not been given a reason to. The method literature has not adopted the SSA application because the data have not been organized for it. The gap is the absence of a bridge.</w:t>
      </w:r>
    </w:p>
    <w:p>
      <w:pPr>
        <w:pStyle w:val="BodyText"/>
        <w:spacing w:line="480" w:lineRule="auto"/>
        <w:ind w:firstLine="720"/>
      </w:pPr>
      <w:r>
        <w:t xml:space="preserve">This dissertation builds that bridge. It takes the well-formed question that the domain literature has asked, namely whether cross-source disagreement carries operationally meaningful information beyond what a single catalog can produce, and it answers that question with the well-formed machinery that the method literature has built. The intermediate results in the two anchor papers, which used ordinary least squares on the magnitude of disagreement, are the first pass at that bridge. The dissertation extends them to a per-object, per-epoch hazard specification that predicts catalog revision rather than describing disagreement magnitude. That is the central methodological move and it is what allows the contribution to be falsified rather than merely illustrated.</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contribution of this dissertation is a single, falsifiable, per-object hypothesis, stated here in the form in which the empirical chapters will test it.</w:t>
      </w:r>
    </w:p>
    <w:p>
      <w:pPr>
        <w:pStyle w:val="BodyText"/>
        <w:spacing w:line="480" w:lineRule="auto"/>
        <w:ind w:firstLine="720"/>
      </w:pPr>
      <w:r>
        <w:t xml:space="preserve">The null hypothesis (H0) is that cross-source disagreement among the 18 SDS public catalog, TraCSS-published screening outputs, and at least one commercial provider, measured at time t for a given RSO, is statistically independent of the probability that the 18 SDS state vector for that RSO is revised by more than a threshold delta-r in position or delta-v in velocity within a fixed forward window tau.</w:t>
      </w:r>
    </w:p>
    <w:p>
      <w:pPr>
        <w:pStyle w:val="BodyText"/>
        <w:spacing w:line="480" w:lineRule="auto"/>
        <w:ind w:firstLine="720"/>
      </w:pPr>
      <w:r>
        <w:t xml:space="preserve">The alternative hypothesis (H1) is that cross-source disagreement at time t is a positive and monotone predictor of the probability of an 18 SDS state-vector revision exceeding the threshold pair within the forward window, conditional on orbit regime, object size class, observation cadence, and the additional controls specified in Chapter 4.</w:t>
      </w:r>
    </w:p>
    <w:p>
      <w:pPr>
        <w:pStyle w:val="BodyText"/>
        <w:spacing w:line="480" w:lineRule="auto"/>
        <w:ind w:firstLine="720"/>
      </w:pPr>
      <w:r>
        <w:t xml:space="preserve">H1 is falsifiable in a closed and pre-registered way. If a discrete-time hazard model fitted on the assembly window yields a coefficient on the discrepancy metric that is statistically indistinguishable from zero, or that is negative, after the controls specified in Chapter 4 are applied, the hypothesis is rejected. The dissertation commits in advance to publishing that rejection if the data produce it. The pre-registered threshold pair, the pre-registered forward window, the pre-registered regime stratification, and the pre-registered held-out forward window are documented in Chapter 4 before any inferential estimation is performed.</w:t>
      </w:r>
    </w:p>
    <w:p>
      <w:pPr>
        <w:pStyle w:val="BodyText"/>
        <w:spacing w:line="480" w:lineRule="auto"/>
        <w:ind w:firstLine="720"/>
      </w:pPr>
      <w:r>
        <w:t xml:space="preserve">The contribution is not the discovery that catalogs disagree. That has been documented [1, 2, 3, 6]. The contribution is not the construction of a fusion engine. Fusion engines are an active engineering literature in their own right and the dissertation does not compete with them. The contribution is the test of a specific predictive claim, namely that the disagreement among catalogs at one moment carries information about catalog revision at a later moment, and that this predictive content survives the controls that the domain literature would demand. If the claim survives, the operational corollary is that the disagreement metric can be published as a per-object trust score with calibrated forward predictive content. If the claim does not survive, the operational corollary is that fusion-engine reconciliation is the correct framing and that no additional trust layer can be extracted from the disagreement itself. Either outcome is a contribution.</w:t>
      </w:r>
    </w:p>
    <w:bookmarkEnd w:id="64"/>
    <w:bookmarkStart w:id="65" w:name="why-this-test-is-possible-now"/>
    <w:p>
      <w:pPr>
        <w:pStyle w:val="Heading2"/>
        <w:spacing w:line="480" w:lineRule="auto"/>
      </w:pPr>
      <w:r>
        <w:t xml:space="preserve">1.5 Why This Test Is Possible Now</w:t>
      </w:r>
    </w:p>
    <w:p>
      <w:pPr>
        <w:pStyle w:val="FirstParagraph"/>
        <w:spacing w:line="480" w:lineRule="auto"/>
      </w:pPr>
      <w:r>
        <w:t xml:space="preserve">The test is possible now and was not possible five years ago for three reasons. The first is the TraCSS Consolidated Pathfinder ingest, which for the first time gives an external researcher visibility into the simultaneous behavior of multiple commercial providers screening the same encounters as the public catalog</w:t>
      </w:r>
      <w:r>
        <w:t xml:space="preserve"> </w:t>
      </w:r>
      <w:hyperlink w:anchor="ref-2">
        <w:r>
          <w:rPr>
            <w:rStyle w:val="Hyperlink"/>
          </w:rPr>
          <w:t xml:space="preserve">[2]</w:t>
        </w:r>
      </w:hyperlink>
      <w:r>
        <w:t xml:space="preserve">. The second is the maturation of the LeoLabs public conjunction data message and state vector feed, which has been documented in peer-reviewed and conference work since 2017 and which now covers a sufficient fraction of the LEO catalog for a hazard model to be estimated with adequate statistical power [3, 6]. The third is the 2025 Mission Delta 2 versus TraCSS operational comparison, which gives the field its first peer-discussed evidence that two architecturally legitimate systems screening the same encounter return measurably different conjunction outputs and that the differences are not random</w:t>
      </w:r>
      <w:r>
        <w:t xml:space="preserve"> </w:t>
      </w:r>
      <w:hyperlink w:anchor="ref-1">
        <w:r>
          <w:rPr>
            <w:rStyle w:val="Hyperlink"/>
          </w:rPr>
          <w:t xml:space="preserve">[1]</w:t>
        </w:r>
      </w:hyperlink>
      <w:r>
        <w:t xml:space="preserve">. These three developments, together with the open archival policy on the Space-Track historical TLE record, make the data assembly that Chapter 3 documents possible.</w:t>
      </w:r>
    </w:p>
    <w:bookmarkEnd w:id="65"/>
    <w:bookmarkStart w:id="66" w:name="roadmap"/>
    <w:p>
      <w:pPr>
        <w:pStyle w:val="Heading2"/>
        <w:spacing w:line="480" w:lineRule="auto"/>
      </w:pPr>
      <w:r>
        <w:t xml:space="preserve">1.6 Roadmap</w:t>
      </w:r>
    </w:p>
    <w:p>
      <w:pPr>
        <w:pStyle w:val="FirstParagraph"/>
        <w:spacing w:line="480" w:lineRule="auto"/>
      </w:pPr>
      <w:r>
        <w:t xml:space="preserve">The remainder of the dissertation proceeds in seven chapters. Chapter 2 reviews the literature in detail, organized along the three strands sketched above. The chapter treats the domain literature on intrinsic TLE error and orbit determination [5, 7, 8, 16, 17], the architectural literature on the catalog federation [1, 2, 3, 6, 21, 26], and the methodological literature on discrete-time hazard estimation and pre-registered out-of-sample validation as separate strands, and identifies the bridge that the dissertation builds between them. Chapter 2 also positions the contribution against the trust and information sharing literature [13, 27, 28] and against the architectural critique of uncooperative-object surveillance</w:t>
      </w:r>
      <w:r>
        <w:t xml:space="preserve"> </w:t>
      </w:r>
      <w:hyperlink w:anchor="ref-31">
        <w:r>
          <w:rPr>
            <w:rStyle w:val="Hyperlink"/>
          </w:rPr>
          <w:t xml:space="preserve">[31]</w:t>
        </w:r>
      </w:hyperlink>
      <w:r>
        <w:t xml:space="preserve">.</w:t>
      </w:r>
    </w:p>
    <w:p>
      <w:pPr>
        <w:pStyle w:val="BodyText"/>
        <w:spacing w:line="480" w:lineRule="auto"/>
        <w:ind w:firstLine="720"/>
      </w:pPr>
      <w:r>
        <w:t xml:space="preserve">Chapter 3 documents the data. It describes the Space-Track historical TLE archive, the TraCSS-published screening outputs, and the LeoLabs public state vector feed, together with the propagation step that brings each state vector to a common epoch and the residual that the propagation step generates. The chapter records the assembly window, the dates on which each feed is simultaneously available, and the regime stratification of the resulting panel. The chapter also documents the maneuver-screening filter that removes RSO-days on which a known maneuver explains the revision, so that the hypothesis is tested against the residual population</w:t>
      </w:r>
      <w:r>
        <w:t xml:space="preserve"> </w:t>
      </w:r>
      <w:hyperlink w:anchor="ref-15">
        <w:r>
          <w:rPr>
            <w:rStyle w:val="Hyperlink"/>
          </w:rPr>
          <w:t xml:space="preserve">[15]</w:t>
        </w:r>
      </w:hyperlink>
      <w:r>
        <w:t xml:space="preserve">.</w:t>
      </w:r>
    </w:p>
    <w:p>
      <w:pPr>
        <w:pStyle w:val="BodyText"/>
        <w:spacing w:line="480" w:lineRule="auto"/>
        <w:ind w:firstLine="720"/>
      </w:pPr>
      <w:r>
        <w:t xml:space="preserve">Chapter 4 specifies the identification strategy and the primary econometric specification. The unit of observation is the RSO-day. The treatment is the cross-source discrepancy metric. The outcome is the binary indicator of an 18 SDS state-vector revision exceeding the pre-registered threshold pair within the pre-registered forward window. The primary specification is a discrete-time hazard model with object and day fixed effects, regime indicators, size-class controls derived from public radar cross-section bins, and observation-cadence controls. The chapter specifies the secondary quintile specification, the held-out forward window robustness exercise, and the provider-rotation robustness exercise in which the discrepancy metric is constructed against LeoLabs alone, COMSPOC alone, and Slingshot alone in turn.</w:t>
      </w:r>
    </w:p>
    <w:p>
      <w:pPr>
        <w:pStyle w:val="BodyText"/>
        <w:spacing w:line="480" w:lineRule="auto"/>
        <w:ind w:firstLine="720"/>
      </w:pPr>
      <w:r>
        <w:t xml:space="preserve">Chapter 5 reports the primary results. The chapter reports the coefficient on the discrepancy metric, its robust standard error, its p-value, and its calibrated marginal effect on the predicted hazard. The chapter reports the regime-stratified results and the size-class-stratified results, with explicit attention to the LEO power advantage and the GEO power limitation that the data sustain.</w:t>
      </w:r>
    </w:p>
    <w:p>
      <w:pPr>
        <w:pStyle w:val="BodyText"/>
        <w:spacing w:line="480" w:lineRule="auto"/>
        <w:ind w:firstLine="720"/>
      </w:pPr>
      <w:r>
        <w:t xml:space="preserve">Chapter 6 reports the robustness exercises. It reports the held-out forward window calibration, the provider-rotation results, and the sensitivity grid on the threshold pair and the forward window. The chapter also reports the cueing-channel sensitivity, in which the model is re-estimated with and without objects on which commercial-to-public cueing is documented in the TraCSS pathfinder material</w:t>
      </w:r>
      <w:r>
        <w:t xml:space="preserve"> </w:t>
      </w:r>
      <w:hyperlink w:anchor="ref-2">
        <w:r>
          <w:rPr>
            <w:rStyle w:val="Hyperlink"/>
          </w:rPr>
          <w:t xml:space="preserve">[2]</w:t>
        </w:r>
      </w:hyperlink>
      <w:r>
        <w:t xml:space="preserve">.</w:t>
      </w:r>
    </w:p>
    <w:p>
      <w:pPr>
        <w:pStyle w:val="BodyText"/>
        <w:spacing w:line="480" w:lineRule="auto"/>
        <w:ind w:firstLine="720"/>
      </w:pPr>
      <w:r>
        <w:t xml:space="preserve">Chapter 7 discusses the operational implications. It addresses what the result, if it survives, implies for NASA’s debris mitigation posture and for the GAO question on commercial data evaluation [18, 25]. It addresses what the result implies for JPL’s launch-window screening and early-orbit debris avoidance posture. It addresses what the result implies for the publication of a per-object trust score inside the TraCSS architecture, and for the policy literature on operator ephemeris sharing and decentralized information sharing [13, 27, 28].</w:t>
      </w:r>
    </w:p>
    <w:p>
      <w:pPr>
        <w:pStyle w:val="BodyText"/>
        <w:spacing w:line="480" w:lineRule="auto"/>
        <w:ind w:firstLine="720"/>
      </w:pPr>
      <w:r>
        <w:t xml:space="preserve">Chapter 8 concludes. It restates the contribution, records the limitations that the data sustain, and identifies the panel and multi-epoch extensions that the dissertation leaves to subsequent work. The conclusion is written to be readable by a NASA program manager and by a JPL flight dynamicist, and it does not assume econometric training. The methodological detail required for replication is carried in Chapter 4 and in the appendices.</w:t>
      </w:r>
    </w:p>
    <w:p>
      <w:pPr>
        <w:pStyle w:val="BodyText"/>
        <w:spacing w:line="480" w:lineRule="auto"/>
        <w:ind w:firstLine="720"/>
      </w:pPr>
      <w:r>
        <w:t xml:space="preserve">The dissertation makes one promise that binds the whole. The promise is that the result will be reported as the data produce it. The hypothesis is pre-registered. The threshold pair is pre-registered. The forward window is pre-registered. The held-out forward window is pre-registered. If the discrepancy metric fails to predict catalog revision after the specified controls, the dissertation will report that null and will not re-specify until significance is found. The contribution of the work is the test, not the affirmation.</w:t>
      </w:r>
    </w:p>
    <w:bookmarkEnd w:id="66"/>
    <w:bookmarkEnd w:id="67"/>
    <w:bookmarkStart w:id="74" w:name="chapter-2.-literature-review"/>
    <w:p>
      <w:pPr>
        <w:pStyle w:val="Heading1"/>
        <w:spacing w:line="480" w:lineRule="auto"/>
      </w:pPr>
      <w:r>
        <w:t xml:space="preserve">Chapter 2. Literature Review</w:t>
      </w:r>
    </w:p>
    <w:bookmarkStart w:id="68" w:name="Xf2f088cd504ec772bce9e87ea41befa885d614e"/>
    <w:p>
      <w:pPr>
        <w:pStyle w:val="Heading2"/>
        <w:spacing w:line="480" w:lineRule="auto"/>
      </w:pPr>
      <w:r>
        <w:t xml:space="preserve">2.1 Orientation: Two Literatures That Have Not Met</w:t>
      </w:r>
    </w:p>
    <w:p>
      <w:pPr>
        <w:pStyle w:val="FirstParagraph"/>
        <w:spacing w:line="480" w:lineRule="auto"/>
      </w:pPr>
      <w:r>
        <w:t xml:space="preserve">The intellectual problem that motivates this dissertation sits at the intersection of two mature but historically unjoined bodies of work. The first is the technical literature on space surveillance, orbit determination, conjunction assessment, and the architecture of catalog-based space situational awareness (SSA). This literature is dominated by astrodynamicists, sensor engineers, and operational analysts publishing principally in the proceedings of the Advanced Maui Optical and Space Surveillance Technologies (AMOS) Conference, in Acta Astronautica, and in agency technical memoranda. The second is the cliometric and econometric methodology literature on discrete-time hazard modeling, fixed-effects panel estimation, and the treatment of cross-source measurement disagreement as a signal rather than as noise. This second literature, as it pertains to the space domain, is thin in the proceedings record itself; its weight lies in the methodological standards imported into the empirical work and in a small number of papers in the SSA literature that have begun to gesture toward econometric framing without fully adopting it. This chapter reviews both literatures, identifies where each stops, and argues that the unjoined seam between them is the location of the contribution this dissertation proposes to make.</w:t>
      </w:r>
    </w:p>
    <w:p>
      <w:pPr>
        <w:pStyle w:val="BodyText"/>
        <w:spacing w:line="480" w:lineRule="auto"/>
        <w:ind w:firstLine="720"/>
      </w:pPr>
      <w:r>
        <w:t xml:space="preserve">The chapter proceeds in five sections after this orientation. Section 2.2 reviews the technical literature on the legacy two-line element (TLE) catalog, its known error structure, and the bias-correction and uncertainty-estimation methods that have been developed within the single-catalog frame. Section 2.3 reviews the literature on conjunction assessment, screening volumes, and the operational comparison between the public catalog and the emerging Traffic Coordination System for Space (TraCSS). Section 2.4 reviews the literature on commercial SSA, independent data-quality frameworks, and the standing up of multi-source ingest. Section 2.5 reviews the cliometric and econometric methodology that the dissertation imports, together with the small body of recent SSA papers that have begun to treat trust and information sharing as analytical objects. Section 2.6 synthesizes the gap and states the contribution.</w:t>
      </w:r>
    </w:p>
    <w:bookmarkEnd w:id="68"/>
    <w:bookmarkStart w:id="69" w:name="X6885d5acdfb654b97d47422045272937b489182"/>
    <w:p>
      <w:pPr>
        <w:pStyle w:val="Heading2"/>
        <w:spacing w:line="480" w:lineRule="auto"/>
      </w:pPr>
      <w:r>
        <w:t xml:space="preserve">2.2 The Public Catalog and Its Intrinsic Error Structure</w:t>
      </w:r>
    </w:p>
    <w:p>
      <w:pPr>
        <w:pStyle w:val="FirstParagraph"/>
        <w:spacing w:line="480" w:lineRule="auto"/>
      </w:pPr>
      <w:r>
        <w:t xml:space="preserve">The foundational document on TLE error remains the AMOS 2008 study of Flohrer, Krag, and Klinkrad, which categorized orbit errors in the United States Space Surveillance Network catalog by orbit regime and by object class and established that the error distributions are not stationary across the catalog [5, 12]. The Vallado and Cefola assessment in the same proceedings produced a parallel categorization with a different sensor weighting and reached substantively compatible conclusions</w:t>
      </w:r>
      <w:r>
        <w:t xml:space="preserve"> </w:t>
      </w:r>
      <w:hyperlink w:anchor="ref-12">
        <w:r>
          <w:rPr>
            <w:rStyle w:val="Hyperlink"/>
          </w:rPr>
          <w:t xml:space="preserve">[12]</w:t>
        </w:r>
      </w:hyperlink>
      <w:r>
        <w:t xml:space="preserve">. Both papers framed TLE error as an intrinsic property of the catalog, to be characterized and, where possible, mitigated within the single-source frame. Neither paper treated disagreement between the public catalog and any independent reference as a quantity in its own right, because at the time of writing no independent reference of comparable scale existed.</w:t>
      </w:r>
    </w:p>
    <w:p>
      <w:pPr>
        <w:pStyle w:val="BodyText"/>
        <w:spacing w:line="480" w:lineRule="auto"/>
        <w:ind w:firstLine="720"/>
      </w:pPr>
      <w:r>
        <w:t xml:space="preserve">The decade that followed produced a steady refinement of intrinsic-error methods. Jiang and colleagues introduced a short-term TLE uncertainty estimator built on an artificial neural network and demonstrated that data-driven approaches could compress the error envelope on horizons of operational interest</w:t>
      </w:r>
      <w:r>
        <w:t xml:space="preserve"> </w:t>
      </w:r>
      <w:hyperlink w:anchor="ref-7">
        <w:r>
          <w:rPr>
            <w:rStyle w:val="Hyperlink"/>
          </w:rPr>
          <w:t xml:space="preserve">[7]</w:t>
        </w:r>
      </w:hyperlink>
      <w:r>
        <w:t xml:space="preserve">. Holincheck and Cathell extended the pseudo-observation methodology to maximize the utility of the SGP4-XP propagator and showed that pseudo-observations derived from independent tracks could improve predicted positions without altering the underlying catalog representation</w:t>
      </w:r>
      <w:r>
        <w:t xml:space="preserve"> </w:t>
      </w:r>
      <w:hyperlink w:anchor="ref-8">
        <w:r>
          <w:rPr>
            <w:rStyle w:val="Hyperlink"/>
          </w:rPr>
          <w:t xml:space="preserve">[8]</w:t>
        </w:r>
      </w:hyperlink>
      <w:r>
        <w:t xml:space="preserve">. Peng and Bai applied Gaussian processes to orbit prediction and reported accuracy gains across multiple regimes, again within a single-catalog frame</w:t>
      </w:r>
      <w:r>
        <w:t xml:space="preserve"> </w:t>
      </w:r>
      <w:hyperlink w:anchor="ref-17">
        <w:r>
          <w:rPr>
            <w:rStyle w:val="Hyperlink"/>
          </w:rPr>
          <w:t xml:space="preserve">[17]</w:t>
        </w:r>
      </w:hyperlink>
      <w:r>
        <w:t xml:space="preserve">. The survey by Kazemi and colleagues consolidated the orbit-determination literature for SSA and confirmed the dominant pattern: the field has invested heavily in reducing intrinsic error and has invested very little in characterizing cross-source disagreement</w:t>
      </w:r>
      <w:r>
        <w:t xml:space="preserve"> </w:t>
      </w:r>
      <w:hyperlink w:anchor="ref-16">
        <w:r>
          <w:rPr>
            <w:rStyle w:val="Hyperlink"/>
          </w:rPr>
          <w:t xml:space="preserve">[16]</w:t>
        </w:r>
      </w:hyperlink>
      <w:r>
        <w:t xml:space="preserve">.</w:t>
      </w:r>
    </w:p>
    <w:p>
      <w:pPr>
        <w:pStyle w:val="BodyText"/>
        <w:spacing w:line="480" w:lineRule="auto"/>
        <w:ind w:firstLine="720"/>
      </w:pPr>
      <w:r>
        <w:t xml:space="preserve">Two recent contributions complicate this pattern in instructive ways. Pirovano and Armellin in Acta Astronautica developed a maneuver-detection and estimation framework for catalog maintenance that explicitly acknowledges that catalog updates carry information about object behavior, not only about sensor error</w:t>
      </w:r>
      <w:r>
        <w:t xml:space="preserve"> </w:t>
      </w:r>
      <w:hyperlink w:anchor="ref-15">
        <w:r>
          <w:rPr>
            <w:rStyle w:val="Hyperlink"/>
          </w:rPr>
          <w:t xml:space="preserve">[15]</w:t>
        </w:r>
      </w:hyperlink>
      <w:r>
        <w:t xml:space="preserve">. The framework operates within a single-catalog frame but its conceptual move, treating the catalog revision itself as an observable carrying signal, is structurally adjacent to the move this dissertation proposes. Constant, Bhattarai, and Ziebart documented limitations of current uncooperative surveillance practice using mega-constellation data and showed that time-series of catalog updates for large constellations exhibit systematic structure that simple intrinsic-error models do not capture</w:t>
      </w:r>
      <w:r>
        <w:t xml:space="preserve"> </w:t>
      </w:r>
      <w:hyperlink w:anchor="ref-31">
        <w:r>
          <w:rPr>
            <w:rStyle w:val="Hyperlink"/>
          </w:rPr>
          <w:t xml:space="preserve">[31]</w:t>
        </w:r>
      </w:hyperlink>
      <w:r>
        <w:t xml:space="preserve">. Their finding that the public catalog’s behavior with respect to dense constellations is regime-dependent and structurally biased is consistent with the framing this dissertation will adopt, although the authors stop short of constructing a cross-source disagreement measure.</w:t>
      </w:r>
    </w:p>
    <w:p>
      <w:pPr>
        <w:pStyle w:val="BodyText"/>
        <w:spacing w:line="480" w:lineRule="auto"/>
        <w:ind w:firstLine="720"/>
      </w:pPr>
      <w:r>
        <w:t xml:space="preserve">The radar measurement literature provides the sensor-level foundation. Dowd modeled radar measurement uncertainty for look-angle optimization and showed that sensor-level error budgets propagate into covariance estimates in ways that are themselves regime-dependent</w:t>
      </w:r>
      <w:r>
        <w:t xml:space="preserve"> </w:t>
      </w:r>
      <w:hyperlink w:anchor="ref-9">
        <w:r>
          <w:rPr>
            <w:rStyle w:val="Hyperlink"/>
          </w:rPr>
          <w:t xml:space="preserve">[9]</w:t>
        </w:r>
      </w:hyperlink>
      <w:r>
        <w:t xml:space="preserve">. Hoots, Sorge, and Oltrogge argued in 2008 for improved conjunction analysis via collaborative space situational awareness, anticipating by more than a decade the architectural shift that TraCSS would later operationalize</w:t>
      </w:r>
      <w:r>
        <w:t xml:space="preserve"> </w:t>
      </w:r>
      <w:hyperlink w:anchor="ref-14">
        <w:r>
          <w:rPr>
            <w:rStyle w:val="Hyperlink"/>
          </w:rPr>
          <w:t xml:space="preserve">[14]</w:t>
        </w:r>
      </w:hyperlink>
      <w:r>
        <w:t xml:space="preserve">. The Mulrooney and Matney derivation of a global albedo for the optical brightness to physical size transformation belongs to the same era and serves as the canonical example of a systematic-error correction that became necessary only when multiple catalogs and multiple sensor modalities began to be cross-compared</w:t>
      </w:r>
      <w:r>
        <w:t xml:space="preserve"> </w:t>
      </w:r>
      <w:hyperlink w:anchor="ref-29">
        <w:r>
          <w:rPr>
            <w:rStyle w:val="Hyperlink"/>
          </w:rPr>
          <w:t xml:space="preserve">[29]</w:t>
        </w:r>
      </w:hyperlink>
      <w:r>
        <w:t xml:space="preserve">.</w:t>
      </w:r>
    </w:p>
    <w:p>
      <w:pPr>
        <w:pStyle w:val="BodyText"/>
        <w:spacing w:line="480" w:lineRule="auto"/>
        <w:ind w:firstLine="720"/>
      </w:pPr>
      <w:r>
        <w:t xml:space="preserve">The cumulative picture from this literature is consistent. The public catalog is characterized in detail, its intrinsic error is partitioned by regime and by class, and a substantial methodological toolkit exists for reducing that error within the single-catalog frame. What is absent is any treatment of the catalog’s behavior under comparison to an independent catalog of comparable operational standing. The literature does not refuse the comparison; it simply did not have a counterparty until recently.</w:t>
      </w:r>
    </w:p>
    <w:bookmarkEnd w:id="69"/>
    <w:bookmarkStart w:id="70" w:name="X0d0a96f3d3e9af59218bd26f93cf587dfb89ea6"/>
    <w:p>
      <w:pPr>
        <w:pStyle w:val="Heading2"/>
        <w:spacing w:line="480" w:lineRule="auto"/>
      </w:pPr>
      <w:r>
        <w:t xml:space="preserve">2.3 Conjunction Assessment, Screening Volumes, and the TraCSS Comparison</w:t>
      </w:r>
    </w:p>
    <w:p>
      <w:pPr>
        <w:pStyle w:val="FirstParagraph"/>
        <w:spacing w:line="480" w:lineRule="auto"/>
      </w:pPr>
      <w:r>
        <w:t xml:space="preserve">The conjunction-assessment literature carries the operational weight of the field. The Olivier and colleagues high-performance computer modeling of the Cosmos-Iridium collision in 2009 established the canonical case that single-catalog conjunction assessment can fail in operationally significant ways even when the catalog itself is internally consistent</w:t>
      </w:r>
      <w:r>
        <w:t xml:space="preserve"> </w:t>
      </w:r>
      <w:hyperlink w:anchor="ref-4">
        <w:r>
          <w:rPr>
            <w:rStyle w:val="Hyperlink"/>
          </w:rPr>
          <w:t xml:space="preserve">[4]</w:t>
        </w:r>
      </w:hyperlink>
      <w:r>
        <w:t xml:space="preserve">. The Kelso analysis of the same event reached structurally compatible conclusions and is the most widely cited operational post-mortem in the AMOS record</w:t>
      </w:r>
      <w:r>
        <w:t xml:space="preserve"> </w:t>
      </w:r>
      <w:hyperlink w:anchor="ref-10">
        <w:r>
          <w:rPr>
            <w:rStyle w:val="Hyperlink"/>
          </w:rPr>
          <w:t xml:space="preserve">[10]</w:t>
        </w:r>
      </w:hyperlink>
      <w:r>
        <w:t xml:space="preserve">. The pattern that both papers established, that a failure to incorporate independent information into the screening pipeline can be decisive, has been the implicit motivation for much of the architectural work that followed.</w:t>
      </w:r>
    </w:p>
    <w:p>
      <w:pPr>
        <w:pStyle w:val="BodyText"/>
        <w:spacing w:line="480" w:lineRule="auto"/>
        <w:ind w:firstLine="720"/>
      </w:pPr>
      <w:r>
        <w:t xml:space="preserve">The screening-volume literature operationalizes this concern in a different register. Ravago, Toumey, Baars, and Hejduk evaluated screening volumes used in conjunction assessment and showed that the choice of screening volume dominates the false-alarm rate for any single-catalog pipeline</w:t>
      </w:r>
      <w:r>
        <w:t xml:space="preserve"> </w:t>
      </w:r>
      <w:hyperlink w:anchor="ref-21">
        <w:r>
          <w:rPr>
            <w:rStyle w:val="Hyperlink"/>
          </w:rPr>
          <w:t xml:space="preserve">[21]</w:t>
        </w:r>
      </w:hyperlink>
      <w:r>
        <w:t xml:space="preserve">. Their analysis is the strongest available demonstration that the cost of a catalog assumption is borne primarily by the operator who must triage the resulting alerts, not by the catalog provider. Grau and colleagues described mission operations for precise in-orbit collision prediction and reinforced the point that screening precision is bounded above by the worst input in the pipeline</w:t>
      </w:r>
      <w:r>
        <w:t xml:space="preserve"> </w:t>
      </w:r>
      <w:hyperlink w:anchor="ref-38">
        <w:r>
          <w:rPr>
            <w:rStyle w:val="Hyperlink"/>
          </w:rPr>
          <w:t xml:space="preserve">[38]</w:t>
        </w:r>
      </w:hyperlink>
      <w:r>
        <w:t xml:space="preserve">.</w:t>
      </w:r>
    </w:p>
    <w:p>
      <w:pPr>
        <w:pStyle w:val="BodyText"/>
        <w:spacing w:line="480" w:lineRule="auto"/>
        <w:ind w:firstLine="720"/>
      </w:pPr>
      <w:r>
        <w:t xml:space="preserve">The TraCSS literature is the most direct precursor to the comparison this dissertation proposes. Magnus and colleagues documented the TraCSS Consolidated Pathfinder and its ingest of commercial capability in low Earth orbit, naming LeoLabs, COMSPOC, SpaceNav, Kayhan, and Slingshot as ingested sources [2, 20]. The pathfinder paper is the architectural foundation for any subsequent analysis of cross-source disagreement because it documents the channel through which independent state estimates now enter the operational pipeline. Wolff, Ramos, Cornelius, and Collins, with the parallel Wilkins, Alfano, and Oltrogge comparison, then documented the operational differences between the USSF Mission Delta 2 conjunction analysis system and TraCSS [1, 11]. Their finding, that even nominally identical assets produce non-trivial state differences across catalogs, and that those differences are not random across the object population, is the empirical premise on which this dissertation builds.</w:t>
      </w:r>
    </w:p>
    <w:p>
      <w:pPr>
        <w:pStyle w:val="BodyText"/>
        <w:spacing w:line="480" w:lineRule="auto"/>
        <w:ind w:firstLine="720"/>
      </w:pPr>
      <w:r>
        <w:t xml:space="preserve">The two papers treat the documented differences as a system-comparison artifact. They report that differences exist, characterize the channels through which they arise, and recommend operational reconciliations. They do not, however, ask whether the per-object differences predict subsequent catalog revisions, nor whether the magnitude of disagreement at time t carries information about the probability of a state-vector correction at time t plus delta. The omission is not a defect of those papers, which had a different operational purpose. It is, rather, the gap that the present dissertation enters.</w:t>
      </w:r>
    </w:p>
    <w:p>
      <w:pPr>
        <w:pStyle w:val="BodyText"/>
        <w:spacing w:line="480" w:lineRule="auto"/>
        <w:ind w:firstLine="720"/>
      </w:pPr>
      <w:r>
        <w:t xml:space="preserve">A small additional literature reinforces the institutional context. The U.S. Government Accountability Office report on space situational awareness recommended that the Department of Defense evaluate how it can use commercial data, treating the multi-source future as a foregone conclusion in the policy posture</w:t>
      </w:r>
      <w:r>
        <w:t xml:space="preserve"> </w:t>
      </w:r>
      <w:hyperlink w:anchor="ref-25">
        <w:r>
          <w:rPr>
            <w:rStyle w:val="Hyperlink"/>
          </w:rPr>
          <w:t xml:space="preserve">[25]</w:t>
        </w:r>
      </w:hyperlink>
      <w:r>
        <w:t xml:space="preserve">. The Secure World Foundation open-source assessment of global counterspace capabilities documented the broader context within which catalog discrepancy must be interpreted, including the strategic stakes of mis-attribution and mis-tagging</w:t>
      </w:r>
      <w:r>
        <w:t xml:space="preserve"> </w:t>
      </w:r>
      <w:hyperlink w:anchor="ref-24">
        <w:r>
          <w:rPr>
            <w:rStyle w:val="Hyperlink"/>
          </w:rPr>
          <w:t xml:space="preserve">[24]</w:t>
        </w:r>
      </w:hyperlink>
      <w:r>
        <w:t xml:space="preserve">. The NASA Office of Inspector General review of orbital debris risk mitigation and the European Space Agency annual environment report frame the population dynamics within which any catalog operates [18, 19]. None of these documents treats cross-source disagreement as an analytical object, but all of them establish that the operational and policy environment now assumes multi-source ingest as a baseline condition.</w:t>
      </w:r>
    </w:p>
    <w:bookmarkEnd w:id="70"/>
    <w:bookmarkStart w:id="71" w:name="Xe93070e95acb96cec0895603b0d154d9189171b"/>
    <w:p>
      <w:pPr>
        <w:pStyle w:val="Heading2"/>
        <w:spacing w:line="480" w:lineRule="auto"/>
      </w:pPr>
      <w:r>
        <w:t xml:space="preserve">2.4 Commercial SSA and the Independent Data-Quality Frame</w:t>
      </w:r>
    </w:p>
    <w:p>
      <w:pPr>
        <w:pStyle w:val="FirstParagraph"/>
        <w:spacing w:line="480" w:lineRule="auto"/>
      </w:pPr>
      <w:r>
        <w:t xml:space="preserve">The commercial SSA literature provides the second foundation. Nicolls and colleagues at LeoLabs and Planet published the first peer-reviewed and conference treatment of conjunction assessment for commercial satellite constellations using commercial radar data, establishing both the technical capability and the methodological vocabulary for an independent catalog enterprise</w:t>
      </w:r>
      <w:r>
        <w:t xml:space="preserve"> </w:t>
      </w:r>
      <w:hyperlink w:anchor="ref-3">
        <w:r>
          <w:rPr>
            <w:rStyle w:val="Hyperlink"/>
          </w:rPr>
          <w:t xml:space="preserve">[3]</w:t>
        </w:r>
      </w:hyperlink>
      <w:r>
        <w:t xml:space="preserve">. The paper is significant because it demonstrated that a non-governmental radar network could produce conjunction data messages and state vectors with covariances of operational interest, which is the necessary condition for any subsequent cross-source comparison.</w:t>
      </w:r>
    </w:p>
    <w:p>
      <w:pPr>
        <w:pStyle w:val="BodyText"/>
        <w:spacing w:line="480" w:lineRule="auto"/>
        <w:ind w:firstLine="720"/>
      </w:pPr>
      <w:r>
        <w:t xml:space="preserve">Gonring and colleagues at the Aerospace Corporation established an independent data-quality analysis framework for datasets published in the Unified Data Library</w:t>
      </w:r>
      <w:r>
        <w:t xml:space="preserve"> </w:t>
      </w:r>
      <w:hyperlink w:anchor="ref-6">
        <w:r>
          <w:rPr>
            <w:rStyle w:val="Hyperlink"/>
          </w:rPr>
          <w:t xml:space="preserve">[6]</w:t>
        </w:r>
      </w:hyperlink>
      <w:r>
        <w:t xml:space="preserve">. Their framework compared LeoLabs-published data to a reference and characterized residuals across multiple dimensions. The paper is the closest precursor in the proceedings record to the analytical move this dissertation proposes, because it explicitly treats cross-source residuals as a quantity to be characterized rather than averaged away. The crucial limitation of the Gonring framework, from the standpoint of the dissertation’s hypothesis, is that it stops at residual characterization. It does not ask whether the residual itself predicts future catalog revisions, nor does it construct a hazard model on the panel of cross-source observations. The framework is a measurement instrument; the dissertation will treat it as the empirical foundation for an inferential model.</w:t>
      </w:r>
    </w:p>
    <w:p>
      <w:pPr>
        <w:pStyle w:val="BodyText"/>
        <w:spacing w:line="480" w:lineRule="auto"/>
        <w:ind w:firstLine="720"/>
      </w:pPr>
      <w:r>
        <w:t xml:space="preserve">The broader commercial-SSA literature has expanded the catalog of independent observation channels. Anttonen, Kiviranta, and Höyhtyä documented the use of intersatellite communication signals for space debris detection, suggesting that the inventory of independent channels will continue to grow beyond the radar and optical paradigm</w:t>
      </w:r>
      <w:r>
        <w:t xml:space="preserve"> </w:t>
      </w:r>
      <w:hyperlink w:anchor="ref-40">
        <w:r>
          <w:rPr>
            <w:rStyle w:val="Hyperlink"/>
          </w:rPr>
          <w:t xml:space="preserve">[40]</w:t>
        </w:r>
      </w:hyperlink>
      <w:r>
        <w:t xml:space="preserve">. Bolden and Spencer’s serendipitous-acquisition framework demonstrated that astronomical and survey sensors can contribute to SSA outside of dedicated SSA tasking, adding a further layer of cross-source heterogeneity</w:t>
      </w:r>
      <w:r>
        <w:t xml:space="preserve"> </w:t>
      </w:r>
      <w:hyperlink w:anchor="ref-33">
        <w:r>
          <w:rPr>
            <w:rStyle w:val="Hyperlink"/>
          </w:rPr>
          <w:t xml:space="preserve">[33]</w:t>
        </w:r>
      </w:hyperlink>
      <w:r>
        <w:t xml:space="preserve">. Macario Rojas and colleagues described mission concepts for operational space weather detection that would further complicate the cross-catalog environment in higher regimes</w:t>
      </w:r>
      <w:r>
        <w:t xml:space="preserve"> </w:t>
      </w:r>
      <w:hyperlink w:anchor="ref-41">
        <w:r>
          <w:rPr>
            <w:rStyle w:val="Hyperlink"/>
          </w:rPr>
          <w:t xml:space="preserve">[41]</w:t>
        </w:r>
      </w:hyperlink>
      <w:r>
        <w:t xml:space="preserve">. The cumulative implication of these papers is that the multi-source future is not a transitional state on the way to a single fused catalog. It is the steady state of the architecture, and any analytical framework that does not treat cross-source disagreement as a first-class object will be increasingly out of step with the operational reality.</w:t>
      </w:r>
    </w:p>
    <w:p>
      <w:pPr>
        <w:pStyle w:val="BodyText"/>
        <w:spacing w:line="480" w:lineRule="auto"/>
        <w:ind w:firstLine="720"/>
      </w:pPr>
      <w:r>
        <w:t xml:space="preserve">The Global Network on Sustainability in Space described by Blake and colleagues frames the institutional context for civil-side coordination among independent observers, and reinforces the point that the multi-source architecture is being built explicitly and with policy intent rather than as an artifact of uncoordinated commercial entry</w:t>
      </w:r>
      <w:r>
        <w:t xml:space="preserve"> </w:t>
      </w:r>
      <w:hyperlink w:anchor="ref-30">
        <w:r>
          <w:rPr>
            <w:rStyle w:val="Hyperlink"/>
          </w:rPr>
          <w:t xml:space="preserve">[30]</w:t>
        </w:r>
      </w:hyperlink>
      <w:r>
        <w:t xml:space="preserve">. Kline’s treatment of cybersecurity for responsible artificial intelligence and machine learning usage in SDA applications addresses an adjacent concern, namely the trust environment within which multi-source ingest must operate, and frames trust as a measurable property of the data pipeline rather than as an unobservable assumption</w:t>
      </w:r>
      <w:r>
        <w:t xml:space="preserve"> </w:t>
      </w:r>
      <w:hyperlink w:anchor="ref-32">
        <w:r>
          <w:rPr>
            <w:rStyle w:val="Hyperlink"/>
          </w:rPr>
          <w:t xml:space="preserve">[32]</w:t>
        </w:r>
      </w:hyperlink>
      <w:r>
        <w:t xml:space="preserve">.</w:t>
      </w:r>
    </w:p>
    <w:p>
      <w:pPr>
        <w:pStyle w:val="BodyText"/>
        <w:spacing w:line="480" w:lineRule="auto"/>
        <w:ind w:firstLine="720"/>
      </w:pPr>
      <w:r>
        <w:t xml:space="preserve">Two recent papers in the trust and information-sharing tradition deserve particular attention. Wilkins, Cvijic, and Faber proposed a multi-agent trust framework for fusing subjective opinions with imperfect understanding in space domain awareness using the Scruff artificial intelligence framework</w:t>
      </w:r>
      <w:r>
        <w:t xml:space="preserve"> </w:t>
      </w:r>
      <w:hyperlink w:anchor="ref-26">
        <w:r>
          <w:rPr>
            <w:rStyle w:val="Hyperlink"/>
          </w:rPr>
          <w:t xml:space="preserve">[26]</w:t>
        </w:r>
      </w:hyperlink>
      <w:r>
        <w:t xml:space="preserve">. Their framework operationalizes trust as a probabilistic quantity that can be updated under disagreement and demonstrates that subjective-opinion fusion is technically tractable on operational timescales. Their contribution is methodological and architectural; they do not test the predictive content of disagreement against subsequent catalog revisions in an econometric frame. Reed, Stilwell, Weeden, Dailey, and Tsamis argued for sharing operational risk information in the space domain to facilitate norms development and compliance monitoring</w:t>
      </w:r>
      <w:r>
        <w:t xml:space="preserve"> </w:t>
      </w:r>
      <w:hyperlink w:anchor="ref-13">
        <w:r>
          <w:rPr>
            <w:rStyle w:val="Hyperlink"/>
          </w:rPr>
          <w:t xml:space="preserve">[13]</w:t>
        </w:r>
      </w:hyperlink>
      <w:r>
        <w:t xml:space="preserve">. The earlier Reed, Dailey, Stilwell, and Weeden paper made the case for decentralized space information sharing as a key enabler of trust and the preservation of space</w:t>
      </w:r>
      <w:r>
        <w:t xml:space="preserve"> </w:t>
      </w:r>
      <w:hyperlink w:anchor="ref-27">
        <w:r>
          <w:rPr>
            <w:rStyle w:val="Hyperlink"/>
          </w:rPr>
          <w:t xml:space="preserve">[27]</w:t>
        </w:r>
      </w:hyperlink>
      <w:r>
        <w:t xml:space="preserve">. Reed, Tsamis, and Dailey then extended the argument to the requirement for trusted space stakeholder coordination in space sustainability and traffic management</w:t>
      </w:r>
      <w:r>
        <w:t xml:space="preserve"> </w:t>
      </w:r>
      <w:hyperlink w:anchor="ref-28">
        <w:r>
          <w:rPr>
            <w:rStyle w:val="Hyperlink"/>
          </w:rPr>
          <w:t xml:space="preserve">[28]</w:t>
        </w:r>
      </w:hyperlink>
      <w:r>
        <w:t xml:space="preserve">. The three papers together establish the policy and architectural case for treating trust as an observable, measurable quantity in the information-sharing pipeline. They do not, however, construct an econometric model that estimates the predictive content of cross-source disagreement.</w:t>
      </w:r>
    </w:p>
    <w:bookmarkEnd w:id="71"/>
    <w:bookmarkStart w:id="72" w:name="X72bc3638c4ed33a6a3e309fc6851f1e3445c08c"/>
    <w:p>
      <w:pPr>
        <w:pStyle w:val="Heading2"/>
        <w:spacing w:line="480" w:lineRule="auto"/>
      </w:pPr>
      <w:r>
        <w:t xml:space="preserve">2.5 Cliometric and Econometric Methodology in the SSA Context</w:t>
      </w:r>
    </w:p>
    <w:p>
      <w:pPr>
        <w:pStyle w:val="FirstParagraph"/>
        <w:spacing w:line="480" w:lineRule="auto"/>
      </w:pPr>
      <w:r>
        <w:t xml:space="preserve">The methodological literature this dissertation imports is the cliometric and econometric tradition of treating cross-source measurement disagreement as a panel observation that admits hazard, fixed-effects, and instrumental-variable analysis. Within the SSA proceedings record, explicit econometric framing is rare. The dominant statistical practice is sensor-model error budgets, covariance propagation, and Monte Carlo characterization. These are valuable practices for the questions they address. They are, however, ill suited to the question of whether a measured quantity at time t predicts a discrete event at time t plus delta when the underlying process is heterogeneous across regimes and across object classes. That question is the canonical territory of discrete-time hazard modeling with fixed effects, and the methodological standards for that work sit outside the SSA proceedings.</w:t>
      </w:r>
    </w:p>
    <w:p>
      <w:pPr>
        <w:pStyle w:val="BodyText"/>
        <w:spacing w:line="480" w:lineRule="auto"/>
        <w:ind w:firstLine="720"/>
      </w:pPr>
      <w:r>
        <w:t xml:space="preserve">The discrete-time hazard framework treats each unit-period as a Bernoulli trial whose probability is modeled as a function of time-varying covariates, time-invariant unit characteristics, and unit and period fixed effects. The framework is well suited to the cross-source disagreement problem because the unit of observation is naturally the resident space object day, the outcome is naturally a binary indicator of catalog revision exceeding a threshold, and the covariates are naturally a mix of continuous disagreement metrics and categorical regime, class, and cadence controls. The methodological challenge is not the choice of estimator but the construction of the panel and the defensible identification of the threshold pair that defines the outcome.</w:t>
      </w:r>
    </w:p>
    <w:p>
      <w:pPr>
        <w:pStyle w:val="BodyText"/>
        <w:spacing w:line="480" w:lineRule="auto"/>
        <w:ind w:firstLine="720"/>
      </w:pPr>
      <w:r>
        <w:t xml:space="preserve">The two preceding papers in this dissertation’s research portfolio established the structural pattern that the panel exhibits. Paper one estimated an ordinary least squares model of log discrepancy on regime, age, active-flag, and debris-flag covariates on a panel of thirty-five documented disagreement observations and reported an R squared of 0.622 with statistically significant coefficients on the LEO indicator at minus 0.889, the active-flag indicator at minus 0.743, and the debris-flag indicator at positive 1.082, with a null result on object age at minus 0.0022. Paper two estimated a parallel specification with altitude, radar cross section, maneuverability, age, and source-count covariates on a panel of thirty-six objects and reported an adjusted R squared of 0.371 with statistically significant coefficients on altitude, radar cross section, maneuverability, and age. The two papers together establish that the cross-source disagreement metric is structured rather than random, that the structure is consistent with operational priors about the cooperative and uncooperative subpopulations, and that the panel admits the standard estimators with reasonable diagnostics. They do not, however, test the predictive content of the disagreement metric against subsequent catalog revisions. They establish the cross-sectional structure; the dissertation will establish the temporal structure.</w:t>
      </w:r>
    </w:p>
    <w:p>
      <w:pPr>
        <w:pStyle w:val="BodyText"/>
        <w:spacing w:line="480" w:lineRule="auto"/>
        <w:ind w:firstLine="720"/>
      </w:pPr>
      <w:r>
        <w:t xml:space="preserve">The methodological import from the cliometric tradition is principled. Discrete-time hazard models with object fixed effects address the principal threat to identification, which is that some objects are intrinsically more revision-prone than others for reasons unrelated to the disagreement metric. Day fixed effects address the parallel threat that some periods are intrinsically more revision-prone for reasons related to the broader observation environment, such as solar activity or sensor outages. Regime indicators and object-size-class controls address the heterogeneity documented in the intrinsic-error literature [5, 7, 8, 12, 16, 17]. Observation-cadence controls address the concern, well established in the screening literature, that revision frequency is mechanically related to track frequency and not only to underlying truth</w:t>
      </w:r>
      <w:r>
        <w:t xml:space="preserve"> </w:t>
      </w:r>
      <w:hyperlink w:anchor="ref-21">
        <w:r>
          <w:rPr>
            <w:rStyle w:val="Hyperlink"/>
          </w:rPr>
          <w:t xml:space="preserve">[21]</w:t>
        </w:r>
      </w:hyperlink>
      <w:r>
        <w:t xml:space="preserve">.</w:t>
      </w:r>
    </w:p>
    <w:p>
      <w:pPr>
        <w:pStyle w:val="BodyText"/>
        <w:spacing w:line="480" w:lineRule="auto"/>
        <w:ind w:firstLine="720"/>
      </w:pPr>
      <w:r>
        <w:t xml:space="preserve">The instrumental-variable concern is the most subtle methodological issue. Commercial providers may cue the public catalog, in which case the disagreement at time t is mechanically correlated with the revision at time t plus delta through an institutional channel rather than through the information content of the disagreement itself. The TraCSS pathfinder documentation provides the necessary information to characterize the cueing pathway and to construct a subsample on which cueing is documented to be absent or present [2, 20]. The cliometric literature has well-established protocols for reporting results both with and without the contaminating channel, and the dissertation adopts those protocols.</w:t>
      </w:r>
    </w:p>
    <w:p>
      <w:pPr>
        <w:pStyle w:val="BodyText"/>
        <w:spacing w:line="480" w:lineRule="auto"/>
        <w:ind w:firstLine="720"/>
      </w:pPr>
      <w:r>
        <w:t xml:space="preserve">The maneuver-detection literature provides a parallel methodological resource. Pirovano and Armellin’s framework for maneuver detection and estimation provides the basis for a maneuver-screening filter that removes resident-space-object days on which a known maneuver explains the revision, so that the hypothesis is tested against the residual population</w:t>
      </w:r>
      <w:r>
        <w:t xml:space="preserve"> </w:t>
      </w:r>
      <w:hyperlink w:anchor="ref-15">
        <w:r>
          <w:rPr>
            <w:rStyle w:val="Hyperlink"/>
          </w:rPr>
          <w:t xml:space="preserve">[15]</w:t>
        </w:r>
      </w:hyperlink>
      <w:r>
        <w:t xml:space="preserve">. Without such a filter, a positive coefficient on the disagreement metric could reflect maneuver detection rather than the trust-signal content the hypothesis posits. The filter is conservative in the direction of falsifying the hypothesis, which is the appropriate direction for a pre-registered test.</w:t>
      </w:r>
    </w:p>
    <w:bookmarkEnd w:id="72"/>
    <w:bookmarkStart w:id="73" w:name="synthesis-and-the-identified-gap"/>
    <w:p>
      <w:pPr>
        <w:pStyle w:val="Heading2"/>
        <w:spacing w:line="480" w:lineRule="auto"/>
      </w:pPr>
      <w:r>
        <w:t xml:space="preserve">2.6 Synthesis and the Identified Gap</w:t>
      </w:r>
    </w:p>
    <w:p>
      <w:pPr>
        <w:pStyle w:val="FirstParagraph"/>
        <w:spacing w:line="480" w:lineRule="auto"/>
      </w:pPr>
      <w:r>
        <w:t xml:space="preserve">The technical literature and the methodological literature have both matured substantially, but they have not been joined in the form this dissertation proposes. The technical literature has characterized intrinsic catalog error in detail, has documented the architectural shift to multi-source ingest, has constructed independent data-quality frameworks for commercial feeds, and has begun to gesture toward trust as a measurable property of the pipeline. The methodological literature has, in adjacent fields, established the discrete-time hazard framework as the appropriate estimator for the question of whether a measured quantity predicts a discrete event over a forward window. The two literatures have not been joined because, until the TraCSS pathfinder ingest reached operational maturity, the panel of cross-source observations did not exist at sufficient scale to admit the estimator.</w:t>
      </w:r>
    </w:p>
    <w:p>
      <w:pPr>
        <w:pStyle w:val="BodyText"/>
        <w:spacing w:line="480" w:lineRule="auto"/>
        <w:ind w:firstLine="720"/>
      </w:pPr>
      <w:r>
        <w:t xml:space="preserve">The gap can now be stated precisely. No published work, to the candidate’s knowledge, has constructed a per-object panel of cross-source disagreement observations spanning the public 18 SDS catalog, the TraCSS screening-input state vectors, and at least one commercial provider, fitted a discrete-time hazard model on that panel with object and day fixed effects together with regime, class, and cadence controls, and tested whether the disagreement metric at time t is a positive and monotone predictor of the probability of a 18 SDS state-vector revision exceeding a pre-registered threshold within a fixed forward window. The Gonring framework characterizes residuals but does not test their predictive content</w:t>
      </w:r>
      <w:r>
        <w:t xml:space="preserve"> </w:t>
      </w:r>
      <w:hyperlink w:anchor="ref-6">
        <w:r>
          <w:rPr>
            <w:rStyle w:val="Hyperlink"/>
          </w:rPr>
          <w:t xml:space="preserve">[6]</w:t>
        </w:r>
      </w:hyperlink>
      <w:r>
        <w:t xml:space="preserve">. The Wolff and Wilkins comparisons document differences but treat them as system-comparison artifacts rather than as per-object trust signals [1, 11]. The Magnus pathfinder paper documents the ingest channel but does not publish per-object disagreement statistics in a form that admits the estimator [2, 20]. The Wilkins, Cvijic, and Faber trust framework operationalizes trust as a probabilistic quantity but does not test it against catalog revisions in an econometric frame</w:t>
      </w:r>
      <w:r>
        <w:t xml:space="preserve"> </w:t>
      </w:r>
      <w:hyperlink w:anchor="ref-26">
        <w:r>
          <w:rPr>
            <w:rStyle w:val="Hyperlink"/>
          </w:rPr>
          <w:t xml:space="preserve">[26]</w:t>
        </w:r>
      </w:hyperlink>
      <w:r>
        <w:t xml:space="preserve">. The Reed, Stilwell, Weeden, Dailey, and Tsamis papers establish the policy and architectural case but do not estimate the empirical model [13, 27, 28]. The Pirovano and Armellin maneuver framework provides a methodological adjacency but operates in a single-catalog frame</w:t>
      </w:r>
      <w:r>
        <w:t xml:space="preserve"> </w:t>
      </w:r>
      <w:hyperlink w:anchor="ref-15">
        <w:r>
          <w:rPr>
            <w:rStyle w:val="Hyperlink"/>
          </w:rPr>
          <w:t xml:space="preserve">[15]</w:t>
        </w:r>
      </w:hyperlink>
      <w:r>
        <w:t xml:space="preserve">. The intrinsic-error literature characterizes single-catalog behavior but does not enter the multi-source comparison [5, 7, 8, 9, 12, 14, 16, 17, 29].</w:t>
      </w:r>
    </w:p>
    <w:p>
      <w:pPr>
        <w:pStyle w:val="BodyText"/>
        <w:spacing w:line="480" w:lineRule="auto"/>
        <w:ind w:firstLine="720"/>
      </w:pPr>
      <w:r>
        <w:t xml:space="preserve">The two preceding papers in this dissertation portfolio establish the cross-sectional structure of cross-source disagreement and confirm that the panel admits the standard estimators with reasonable diagnostics. They do not establish the temporal structure. The dissertation contributes the temporal structure: a discrete-time hazard model on a per-object panel, with the cross-source disagreement metric as the regressor of interest, the binary catalog-revision indicator as the outcome, and the full set of fixed-effects and threats-to-validity controls demanded by the methodological standards of the cliometric tradition. The contribution is single and falsifiable, in keeping with the prospectus, and it joins two literatures that have so far developed in parallel without intersecting. The remainder of the dissertation develops the data, the estimator, the results, and the operational and policy implications of treating cross-source disagreement as a measurable trust signal rather than as noise to be reconciled by a fusion engine.</w:t>
      </w:r>
    </w:p>
    <w:bookmarkEnd w:id="73"/>
    <w:bookmarkEnd w:id="74"/>
    <w:bookmarkStart w:id="84" w:name="Xcfcc00a3ded59aed0c781c16bfc121f2a509603"/>
    <w:p>
      <w:pPr>
        <w:pStyle w:val="Heading1"/>
        <w:spacing w:line="480" w:lineRule="auto"/>
      </w:pPr>
      <w:r>
        <w:t xml:space="preserve">Chapter 3. Theoretical Framework and Hypotheses</w:t>
      </w:r>
    </w:p>
    <w:bookmarkStart w:id="75" w:name="purpose-of-the-chapter"/>
    <w:p>
      <w:pPr>
        <w:pStyle w:val="Heading2"/>
        <w:spacing w:line="480" w:lineRule="auto"/>
      </w:pPr>
      <w:r>
        <w:t xml:space="preserve">3.1 Purpose of the Chapter</w:t>
      </w:r>
    </w:p>
    <w:p>
      <w:pPr>
        <w:pStyle w:val="FirstParagraph"/>
        <w:spacing w:line="480" w:lineRule="auto"/>
      </w:pPr>
      <w:r>
        <w:t xml:space="preserve">This chapter establishes the theoretical foundation on which the empirical work of the dissertation rests. It articulates the mechanism by which cross-source disagreement among the public catalog maintained by the 18th Space Defense Squadron (18 SDS), the Traffic Coordination System for Space (TraCSS), and at least one commercial space situational awareness provider is hypothesized to carry information about the latent quality of a given state estimate. It then translates that mechanism into a formal null hypothesis (H0) and alternative hypothesis (H1) suitable for falsification by the hazard-model specification introduced in Chapter 4. The chapter is deliberately tight in scope. It does not adjudicate which catalog is correct on any given object, nor does it model the institutional incentives that drive any particular provider’s tasking choices. Its sole purpose is to render the trust-signal hypothesis precise enough that the data can refuse it.</w:t>
      </w:r>
    </w:p>
    <w:p>
      <w:pPr>
        <w:pStyle w:val="BodyText"/>
        <w:spacing w:line="480" w:lineRule="auto"/>
        <w:ind w:firstLine="720"/>
      </w:pPr>
      <w:r>
        <w:t xml:space="preserve">The theoretical posture is conservative. Discrepancy is treated as an observable that may or may not predict the latent quantity of interest, where the latent quantity is the probability of a near-term, materially significant revision in the authoritative 18 SDS state vector. The chapter takes seriously the possibility that the alternative hypothesis is wrong, and structures the hypotheses so that a null result is publishable and informative. This stance is consistent with the candidate’s prior cross-sectional work, which found that disagreement is concentrated where operator engagement is sparse</w:t>
      </w:r>
      <w:r>
        <w:t xml:space="preserve"> </w:t>
      </w:r>
      <w:hyperlink w:anchor="ref-27">
        <w:r>
          <w:rPr>
            <w:rStyle w:val="Hyperlink"/>
          </w:rPr>
          <w:t xml:space="preserve">[27]</w:t>
        </w:r>
      </w:hyperlink>
      <w:r>
        <w:t xml:space="preserve"> </w:t>
      </w:r>
      <w:r>
        <w:t xml:space="preserve">and which identified the per-object trust score as the natural unit of analysis</w:t>
      </w:r>
      <w:r>
        <w:t xml:space="preserve"> </w:t>
      </w:r>
      <w:hyperlink w:anchor="ref-28">
        <w:r>
          <w:rPr>
            <w:rStyle w:val="Hyperlink"/>
          </w:rPr>
          <w:t xml:space="preserve">[28]</w:t>
        </w:r>
      </w:hyperlink>
      <w:r>
        <w:t xml:space="preserve">.</w:t>
      </w:r>
    </w:p>
    <w:bookmarkEnd w:id="75"/>
    <w:bookmarkStart w:id="76" w:name="Xff2121169c15701934f6fb475e5f57df2f8f24c"/>
    <w:p>
      <w:pPr>
        <w:pStyle w:val="Heading2"/>
        <w:spacing w:line="480" w:lineRule="auto"/>
      </w:pPr>
      <w:r>
        <w:t xml:space="preserve">3.2 Background: The Three-Catalog Architecture</w:t>
      </w:r>
    </w:p>
    <w:p>
      <w:pPr>
        <w:pStyle w:val="FirstParagraph"/>
        <w:spacing w:line="480" w:lineRule="auto"/>
      </w:pPr>
      <w:r>
        <w:t xml:space="preserve">The civil space-traffic coordination architecture relevant to this dissertation comprises three observation channels that are partially independent and partially coupled. The 18 SDS public catalog is the legacy reference. It is the source of the two-line element (TLE) feed on which a generation of conjunction-screening practice has been built [5, 10, 12]. The TraCSS Consolidated Pathfinder, operated by the Office of Space Commerce, ingests commercial tracking from LeoLabs, COMSPOC, SpaceNav, Kayhan Space, and Slingshot Aerospace, and produces screening outputs that are documented to differ from the legacy USSF Mission Delta 2 conjunction-assessment system even when the two systems screen the same encounter [1, 2, 11, 20]. Commercial providers maintain their own state estimates with their own covariance products [3, 6].</w:t>
      </w:r>
    </w:p>
    <w:p>
      <w:pPr>
        <w:pStyle w:val="BodyText"/>
        <w:spacing w:line="480" w:lineRule="auto"/>
        <w:ind w:firstLine="720"/>
      </w:pPr>
      <w:r>
        <w:t xml:space="preserve">The three channels are not independent in the strict statistical sense. They share observation campaigns through the cueing relationships documented in the TraCSS pathfinder paper [2, 20], they share astrodynamic models through common implementations of SGP4 and SGP4-XP</w:t>
      </w:r>
      <w:r>
        <w:t xml:space="preserve"> </w:t>
      </w:r>
      <w:hyperlink w:anchor="ref-8">
        <w:r>
          <w:rPr>
            <w:rStyle w:val="Hyperlink"/>
          </w:rPr>
          <w:t xml:space="preserve">[8]</w:t>
        </w:r>
      </w:hyperlink>
      <w:r>
        <w:t xml:space="preserve">, and they share much of the underlying sensor physics through common radar and optical observables</w:t>
      </w:r>
      <w:r>
        <w:t xml:space="preserve"> </w:t>
      </w:r>
      <w:hyperlink w:anchor="ref-9">
        <w:r>
          <w:rPr>
            <w:rStyle w:val="Hyperlink"/>
          </w:rPr>
          <w:t xml:space="preserve">[9]</w:t>
        </w:r>
      </w:hyperlink>
      <w:r>
        <w:t xml:space="preserve">. The dependence structure is partial rather than total. Each channel applies a distinct orbit-determination pipeline, each weights its observations differently, and each is exposed to a distinct mix of sensor geometries [3, 6, 31, 33]. The partial-independence assumption is the substrate on which the trust-signal mechanism is built. If the channels were perfectly redundant, disagreement would be measurement noise alone; if they were perfectly independent, disagreement would be a clean draw from the joint error distribution. They are neither. They are partially overlapping, and the residual disagreement is the object of theoretical interest.</w:t>
      </w:r>
    </w:p>
    <w:bookmarkEnd w:id="76"/>
    <w:bookmarkStart w:id="77" w:name="the-theoretical-mechanism"/>
    <w:p>
      <w:pPr>
        <w:pStyle w:val="Heading2"/>
        <w:spacing w:line="480" w:lineRule="auto"/>
      </w:pPr>
      <w:r>
        <w:t xml:space="preserve">3.3 The Theoretical Mechanism</w:t>
      </w:r>
    </w:p>
    <w:p>
      <w:pPr>
        <w:pStyle w:val="FirstParagraph"/>
        <w:spacing w:line="480" w:lineRule="auto"/>
      </w:pPr>
      <w:r>
        <w:t xml:space="preserve">The mechanism proposed in this dissertation can be stated in five connected propositions. None is novel in isolation; the contribution is their integration into a falsifiable per-object claim.</w:t>
      </w:r>
    </w:p>
    <w:p>
      <w:pPr>
        <w:pStyle w:val="BodyText"/>
        <w:spacing w:line="480" w:lineRule="auto"/>
        <w:ind w:firstLine="720"/>
      </w:pPr>
      <w:r>
        <w:rPr>
          <w:b/>
          <w:bCs/>
        </w:rPr>
        <w:t xml:space="preserve">Proposition 1 (heterogeneous estimator quality).</w:t>
      </w:r>
      <w:r>
        <w:t xml:space="preserve"> </w:t>
      </w:r>
      <w:r>
        <w:t xml:space="preserve">Each catalog channel produces a state estimate that is the output of an orbit-determination pipeline operating on a finite arc of noisy observations. The mean and covariance of the estimator are functions of arc length, sensor geometry, model fidelity, and weighting choices [5, 8, 16]. Because these inputs differ across channels, the estimators are heterogeneous in expectation and in covariance. The point is not controversial; it is the standard premise of the orbit-determination survey literature</w:t>
      </w:r>
      <w:r>
        <w:t xml:space="preserve"> </w:t>
      </w:r>
      <w:hyperlink w:anchor="ref-16">
        <w:r>
          <w:rPr>
            <w:rStyle w:val="Hyperlink"/>
          </w:rPr>
          <w:t xml:space="preserve">[16]</w:t>
        </w:r>
      </w:hyperlink>
      <w:r>
        <w:t xml:space="preserve">.</w:t>
      </w:r>
    </w:p>
    <w:p>
      <w:pPr>
        <w:pStyle w:val="BodyText"/>
        <w:spacing w:line="480" w:lineRule="auto"/>
        <w:ind w:firstLine="720"/>
      </w:pPr>
      <w:r>
        <w:rPr>
          <w:b/>
          <w:bCs/>
        </w:rPr>
        <w:t xml:space="preserve">Proposition 2 (latent truth and observable disagreement).</w:t>
      </w:r>
      <w:r>
        <w:t xml:space="preserve"> </w:t>
      </w:r>
      <w:r>
        <w:t xml:space="preserve">For each resident space object (RSO) at each epoch there exists a latent true state. No channel observes it. Each channel produces an estimate that is a noisy, possibly biased function of that latent truth. The pairwise disagreement between any two channels is therefore the difference of two error processes around a common latent target. When the two error processes are small in expectation and tightly bounded in covariance, disagreement is small. When either error process is large or its covariance is mis-specified, disagreement grows.</w:t>
      </w:r>
    </w:p>
    <w:p>
      <w:pPr>
        <w:pStyle w:val="BodyText"/>
        <w:spacing w:line="480" w:lineRule="auto"/>
        <w:ind w:firstLine="720"/>
      </w:pPr>
      <w:r>
        <w:rPr>
          <w:b/>
          <w:bCs/>
        </w:rPr>
        <w:t xml:space="preserve">Proposition 3 (revision as a partial truth signal).</w:t>
      </w:r>
      <w:r>
        <w:t xml:space="preserve"> </w:t>
      </w:r>
      <w:r>
        <w:t xml:space="preserve">The 18 SDS catalog publishes element-set revisions whenever its internal orbit-determination pipeline concludes that the previously published state is insufficiently consistent with new observations. A revision exceeding a threshold pair (delta-r, delta-v) is therefore a partial, lagged, internally validated signal that the prior state estimate was wrong. The signal is partial because the catalog’s own pipeline is itself fallible. It is lagged because the new observations must accumulate before the pipeline triggers a publishable revision. It is internally validated because the revision passes the catalog’s own quality gates. The literature has long acknowledged that catalog revisions are imperfect proxies for the underlying state error [5, 7, 12, 14].</w:t>
      </w:r>
    </w:p>
    <w:p>
      <w:pPr>
        <w:pStyle w:val="BodyText"/>
        <w:spacing w:line="480" w:lineRule="auto"/>
        <w:ind w:firstLine="720"/>
      </w:pPr>
      <w:r>
        <w:rPr>
          <w:b/>
          <w:bCs/>
        </w:rPr>
        <w:t xml:space="preserve">Proposition 4 (disagreement as a leading indicator).</w:t>
      </w:r>
      <w:r>
        <w:t xml:space="preserve"> </w:t>
      </w:r>
      <w:r>
        <w:t xml:space="preserve">If Propositions 1 through 3 hold, then at time t the cross-source disagreement metric D(i, t) for object i contains information about the magnitude of the underlying state error that is not yet reflected in the 18 SDS internal pipeline. The information arises because the independent channels of TraCSS and the commercial provider are exposed to observations and processing choices that the 18 SDS pipeline has not yet incorporated, or has incorporated with different weights. The information is not deterministic; it is probabilistic. It raises the conditional probability that the 18 SDS pipeline will, within some forward window tau, conclude that its current state is inconsistent with the accumulating evidence and will publish a revision exceeding the threshold pair (delta-r, delta-v).</w:t>
      </w:r>
    </w:p>
    <w:p>
      <w:pPr>
        <w:pStyle w:val="BodyText"/>
        <w:spacing w:line="480" w:lineRule="auto"/>
        <w:ind w:firstLine="720"/>
      </w:pPr>
      <w:r>
        <w:rPr>
          <w:b/>
          <w:bCs/>
        </w:rPr>
        <w:t xml:space="preserve">Proposition 5 (the trust signal).</w:t>
      </w:r>
      <w:r>
        <w:t xml:space="preserve"> </w:t>
      </w:r>
      <w:r>
        <w:t xml:space="preserve">The conditional probability in Proposition 4 is the trust signal. It is a per-object, per-epoch quantity. It is not a statement about which channel is correct. It is a statement about the credibility, at time t, of the 18 SDS state for object i, expressed as the conditional probability that the catalog itself will revise that state within tau by an operationally meaningful margin. This is the quantity the dissertation proposes to estimate and to test.</w:t>
      </w:r>
    </w:p>
    <w:p>
      <w:pPr>
        <w:pStyle w:val="BodyText"/>
        <w:spacing w:line="480" w:lineRule="auto"/>
        <w:ind w:firstLine="720"/>
      </w:pPr>
      <w:r>
        <w:t xml:space="preserve">The mechanism is coherent with the candidate’s first research paper, which demonstrated cross-sectionally that disagreement is largest for uncooperative debris, smaller for cooperative active payloads, and structured by orbit regime</w:t>
      </w:r>
      <w:r>
        <w:t xml:space="preserve"> </w:t>
      </w:r>
      <w:hyperlink w:anchor="ref-27">
        <w:r>
          <w:rPr>
            <w:rStyle w:val="Hyperlink"/>
          </w:rPr>
          <w:t xml:space="preserve">[27]</w:t>
        </w:r>
      </w:hyperlink>
      <w:r>
        <w:t xml:space="preserve">. It is coherent with the candidate’s second research paper, which extended the cross-sectional analysis to thirty-six objects and confirmed that altitude, radar cross section, and maneuverability are statistically significant predictors of disagreement</w:t>
      </w:r>
      <w:r>
        <w:t xml:space="preserve"> </w:t>
      </w:r>
      <w:hyperlink w:anchor="ref-28">
        <w:r>
          <w:rPr>
            <w:rStyle w:val="Hyperlink"/>
          </w:rPr>
          <w:t xml:space="preserve">[28]</w:t>
        </w:r>
      </w:hyperlink>
      <w:r>
        <w:t xml:space="preserve">. Both papers documented that disagreement is non-random in the cross section. Neither tested whether disagreement is a leading indicator of subsequent catalog revisions in time. The longitudinal extension is the contribution of the dissertation, and the theoretical mechanism above is what licenses that extension.</w:t>
      </w:r>
    </w:p>
    <w:bookmarkEnd w:id="77"/>
    <w:bookmarkStart w:id="78" w:name="the-causal-logic"/>
    <w:p>
      <w:pPr>
        <w:pStyle w:val="Heading2"/>
        <w:spacing w:line="480" w:lineRule="auto"/>
      </w:pPr>
      <w:r>
        <w:t xml:space="preserve">3.4 The Causal Logic</w:t>
      </w:r>
    </w:p>
    <w:p>
      <w:pPr>
        <w:pStyle w:val="FirstParagraph"/>
        <w:spacing w:line="480" w:lineRule="auto"/>
      </w:pPr>
      <w:r>
        <w:t xml:space="preserve">The empirical strategy is predictive rather than strictly causal in the counterfactual sense. The dissertation does not claim that cross-source disagreement causes 18 SDS to revise a state vector. The candidate is explicit that the relationship may be mediated by an institutional cueing pathway, in which a commercial provider or a TraCSS ingest cues 18 SDS to re-task its sensors, after which 18 SDS publishes a revision [2, 20, 25]. The candidate is also explicit that the relationship may be mediated by the underlying physical reality of an unmodeled maneuver or a fragmentation event that all three channels eventually detect, with the order of detection determined by sensor geometry rather than by any informational property of disagreement itself [15, 22, 23].</w:t>
      </w:r>
    </w:p>
    <w:p>
      <w:pPr>
        <w:pStyle w:val="BodyText"/>
        <w:spacing w:line="480" w:lineRule="auto"/>
        <w:ind w:firstLine="720"/>
      </w:pPr>
      <w:r>
        <w:t xml:space="preserve">For the trust-signal claim, the distinction between these two mediation pathways is not load-bearing. Either pathway is consistent with the operational use of disagreement as a trust signal: in both pathways, an operator who observes large disagreement at time t has actionable information that the 18 SDS state is more likely to be revised by time t plus tau than the unconditional base rate would suggest. The dissertation therefore frames the causal logic as conditional predictive validity, not as a structural causal claim.</w:t>
      </w:r>
    </w:p>
    <w:p>
      <w:pPr>
        <w:pStyle w:val="BodyText"/>
        <w:spacing w:line="480" w:lineRule="auto"/>
        <w:ind w:firstLine="720"/>
      </w:pPr>
      <w:r>
        <w:t xml:space="preserve">The design still takes the cueing pathway seriously as a threat to the interpretation of H1. The prospectus pre-commits to characterizing the cueing pathway using TraCSS pathfinder documentation</w:t>
      </w:r>
      <w:r>
        <w:t xml:space="preserve"> </w:t>
      </w:r>
      <w:hyperlink w:anchor="ref-2">
        <w:r>
          <w:rPr>
            <w:rStyle w:val="Hyperlink"/>
          </w:rPr>
          <w:t xml:space="preserve">[2]</w:t>
        </w:r>
      </w:hyperlink>
      <w:r>
        <w:t xml:space="preserve"> </w:t>
      </w:r>
      <w:r>
        <w:t xml:space="preserve">and to reporting results both with and without objects on which cueing is documented. If the predictive content of disagreement vanishes once cueing-eligible objects are removed, the trust-signal claim is reduced to a statement about an institutional pipeline rather than about information content. That reduction is itself a substantive empirical finding, and the dissertation would report it in those terms.</w:t>
      </w:r>
    </w:p>
    <w:p>
      <w:pPr>
        <w:pStyle w:val="BodyText"/>
        <w:spacing w:line="480" w:lineRule="auto"/>
        <w:ind w:firstLine="720"/>
      </w:pPr>
      <w:r>
        <w:t xml:space="preserve">The maneuver-mediation pathway is addressed through a maneuver-screening filter built on standard delta-v thresholds in the astrodynamics literature</w:t>
      </w:r>
      <w:r>
        <w:t xml:space="preserve"> </w:t>
      </w:r>
      <w:hyperlink w:anchor="ref-15">
        <w:r>
          <w:rPr>
            <w:rStyle w:val="Hyperlink"/>
          </w:rPr>
          <w:t xml:space="preserve">[15]</w:t>
        </w:r>
      </w:hyperlink>
      <w:r>
        <w:t xml:space="preserve">. The filter removes RSO-days on which a known maneuver explains the subsequent revision, so that the hypothesis is tested against the residual population of non-maneuver revisions. The rationale is that maneuvers are themselves a known driver of catalog revisions [15, 16] and that the trust-signal claim is most compelling if it survives in the population for which maneuvers do not provide an obvious explanation.</w:t>
      </w:r>
    </w:p>
    <w:p>
      <w:pPr>
        <w:pStyle w:val="BodyText"/>
        <w:spacing w:line="480" w:lineRule="auto"/>
        <w:ind w:firstLine="720"/>
      </w:pPr>
      <w:r>
        <w:t xml:space="preserve">The fragmentation pathway is treated similarly. Documented breakup events from sources such as Fengyun-1C</w:t>
      </w:r>
      <w:r>
        <w:t xml:space="preserve"> </w:t>
      </w:r>
      <w:hyperlink w:anchor="ref-22">
        <w:r>
          <w:rPr>
            <w:rStyle w:val="Hyperlink"/>
          </w:rPr>
          <w:t xml:space="preserve">[22]</w:t>
        </w:r>
      </w:hyperlink>
      <w:r>
        <w:t xml:space="preserve"> </w:t>
      </w:r>
      <w:r>
        <w:t xml:space="preserve">and Cosmos 1408 [23, 24] are flagged in the analysis, and the dissertation reports results both with and without the post-event windows in which catalog revisions are mechanically driven by debris-cloud cataloging rather than by ongoing trust-signal dynamics. The rationale is symmetric to the maneuver case: the trust-signal claim is most compelling if it survives outside of episodes in which the revision rate is dominated by exogenous physical events.</w:t>
      </w:r>
    </w:p>
    <w:p>
      <w:pPr>
        <w:pStyle w:val="BodyText"/>
        <w:spacing w:line="480" w:lineRule="auto"/>
        <w:ind w:firstLine="720"/>
      </w:pPr>
      <w:r>
        <w:t xml:space="preserve">The causal logic, in summary, is that disagreement is hypothesized to be a leading indicator of revision through a mixture of information and institutional pathways, that the dissertation does not require the mixture to be identified, and that the predictive validity claim is the testable content of the theoretical framework. Where the cueing, maneuver, and fragmentation pathways can be partially purged from the data, they are purged, and the residual relationship is what the hazard model is asked to recover.</w:t>
      </w:r>
    </w:p>
    <w:bookmarkEnd w:id="78"/>
    <w:bookmarkStart w:id="79" w:name="X54e9ac047aeb794e506255eff893b57bb83f58d"/>
    <w:p>
      <w:pPr>
        <w:pStyle w:val="Heading2"/>
        <w:spacing w:line="480" w:lineRule="auto"/>
      </w:pPr>
      <w:r>
        <w:t xml:space="preserve">3.5 Why the Three-Catalog Architecture Makes This Test Newly Possible</w:t>
      </w:r>
    </w:p>
    <w:p>
      <w:pPr>
        <w:pStyle w:val="FirstParagraph"/>
        <w:spacing w:line="480" w:lineRule="auto"/>
      </w:pPr>
      <w:r>
        <w:t xml:space="preserve">A test of this kind was not available before the TraCSS pathfinder ingest stood up. Prior to TraCSS, the operational architecture was dominated by the 18 SDS catalog, with commercial providers operating as adjuncts whose data were used by individual operators but were not systematically reconciled with the public catalog in a published, traceable record [3, 6, 25]. Cross-source disagreement could be measured in principle but could not be related to a published reference state in a manner consistent across the population of tracked objects. The TraCSS pathfinder paper changes this by establishing a documented ingest with documented commercial inputs and documented screening outputs [2, 20].</w:t>
      </w:r>
    </w:p>
    <w:p>
      <w:pPr>
        <w:pStyle w:val="BodyText"/>
        <w:spacing w:line="480" w:lineRule="auto"/>
        <w:ind w:firstLine="720"/>
      </w:pPr>
      <w:r>
        <w:t xml:space="preserve">The newly available test is therefore not simply technical. It is institutional. The trust-signal hypothesis can be examined now because the relevant disagreement is documented in a manner that survives independent replication, and because the legacy 18 SDS catalog continues to publish revisions on the same population. The dissertation’s contribution depends on this institutional change, and the theoretical framework is calibrated to it. If the TraCSS ingest were to cease, the test would still be possible against the LeoLabs public feed alone [3, 6], at the cost of reduced statistical power.</w:t>
      </w:r>
    </w:p>
    <w:p>
      <w:pPr>
        <w:pStyle w:val="BodyText"/>
        <w:spacing w:line="480" w:lineRule="auto"/>
        <w:ind w:firstLine="720"/>
      </w:pPr>
      <w:r>
        <w:t xml:space="preserve">The candidate’s prior work and the broader policy literature on operator information sharing both support the position that the three-catalog architecture is a durable feature of the civil space-traffic coordination landscape rather than a transient artifact of the TraCSS pathfinder [13, 25, 27, 28]. The theoretical framework therefore treats the three-catalog architecture as the relevant baseline for at least the period of the dissertation and for the foreseeable future of civil SSA practice.</w:t>
      </w:r>
    </w:p>
    <w:bookmarkEnd w:id="79"/>
    <w:bookmarkStart w:id="80" w:name="formal-statement-of-the-hypotheses"/>
    <w:p>
      <w:pPr>
        <w:pStyle w:val="Heading2"/>
        <w:spacing w:line="480" w:lineRule="auto"/>
      </w:pPr>
      <w:r>
        <w:t xml:space="preserve">3.6 Formal Statement of the Hypotheses</w:t>
      </w:r>
    </w:p>
    <w:p>
      <w:pPr>
        <w:pStyle w:val="FirstParagraph"/>
        <w:spacing w:line="480" w:lineRule="auto"/>
      </w:pPr>
      <w:r>
        <w:t xml:space="preserve">The mechanism, the causal logic, and the institutional baseline together support a single, falsifiable, per-object hypothesis pair. The pair is stated formally below in the manner committed to in the prospectus.</w:t>
      </w:r>
    </w:p>
    <w:p>
      <w:pPr>
        <w:pStyle w:val="BodyText"/>
        <w:spacing w:line="480" w:lineRule="auto"/>
        <w:ind w:firstLine="720"/>
      </w:pPr>
      <w:r>
        <w:rPr>
          <w:b/>
          <w:bCs/>
        </w:rPr>
        <w:t xml:space="preserve">Definitions.</w:t>
      </w:r>
      <w:r>
        <w:t xml:space="preserve"> </w:t>
      </w:r>
      <w:r>
        <w:t xml:space="preserve">Let i index the resident space object. Let t index the day. Let D(i, t) denote the cross-source discrepancy metric for object i at day t, defined as a normed distance in the position and velocity components between the 18 SDS state vector, the TraCSS screening-input state vector, and the commercial-provider state vector, all propagated to a common epoch and expressed in a common inertial frame. Let R(i, t, tau) denote a binary indicator equal to one if 18 SDS publishes a revised element set for object i within the forward window tau that exceeds the threshold pair (delta-r, delta-v) relative to the pre-existing element set, and zero otherwise. Let X(i, t) denote the control vector comprising orbit-regime indicators (LEO, MEO, GEO, HEO), object-size-class indicators derived from public radar cross-section bins, observation-cadence controls derived from the number of tracks per object per day, object fixed effects, and day fixed effects.</w:t>
      </w:r>
    </w:p>
    <w:p>
      <w:pPr>
        <w:pStyle w:val="BodyText"/>
        <w:spacing w:line="480" w:lineRule="auto"/>
        <w:ind w:firstLine="720"/>
      </w:pPr>
      <w:r>
        <w:rPr>
          <w:b/>
          <w:bCs/>
        </w:rPr>
        <w:t xml:space="preserve">H0 (null).</w:t>
      </w:r>
      <w:r>
        <w:t xml:space="preserve"> </w:t>
      </w:r>
      <w:r>
        <w:t xml:space="preserve">Conditional on the control vector X(i, t), the discrepancy metric D(i, t) is statistically independent of R(i, t, tau). Formally, in the discrete-time hazard model specified in Chapter 4, the coefficient on D(i, t) is equal to zero.</w:t>
      </w:r>
    </w:p>
    <w:p>
      <w:pPr>
        <w:pStyle w:val="BodyText"/>
        <w:spacing w:line="480" w:lineRule="auto"/>
        <w:ind w:firstLine="720"/>
      </w:pPr>
      <w:r>
        <w:rPr>
          <w:b/>
          <w:bCs/>
        </w:rPr>
        <w:t xml:space="preserve">H1 (alternative).</w:t>
      </w:r>
      <w:r>
        <w:t xml:space="preserve"> </w:t>
      </w:r>
      <w:r>
        <w:t xml:space="preserve">Conditional on the control vector X(i, t), the discrepancy metric D(i, t) is a positive and monotone predictor of R(i, t, tau). Formally, in the discrete-time hazard model specified in Chapter 4, the coefficient on D(i, t) is strictly greater than zero, and the predicted hazard is weakly increasing in D(i, t) across the support of the metric.</w:t>
      </w:r>
    </w:p>
    <w:p>
      <w:pPr>
        <w:pStyle w:val="BodyText"/>
        <w:spacing w:line="480" w:lineRule="auto"/>
        <w:ind w:firstLine="720"/>
      </w:pPr>
      <w:r>
        <w:rPr>
          <w:b/>
          <w:bCs/>
        </w:rPr>
        <w:t xml:space="preserve">Pre-registered thresholds.</w:t>
      </w:r>
      <w:r>
        <w:t xml:space="preserve"> </w:t>
      </w:r>
      <w:r>
        <w:t xml:space="preserve">The primary specification fixes the forward window tau at seven days, the position threshold delta-r at one kilometer, and the velocity threshold delta-v at one meter per second. These thresholds are selected to be operationally meaningful in the LEO regime that dominates the LeoLabs feed [3, 6] and to be detectable above documented intrinsic TLE error in that regime [5, 12]. The dissertation reports a sensitivity grid over tau in {3, 7, 14, 30} days, over delta-r in {0.5, 1, 2, 5} kilometers, and over delta-v in {0.5, 1, 2} meters per second. The primary specification is held constant; the grid is reported as robustness.</w:t>
      </w:r>
    </w:p>
    <w:p>
      <w:pPr>
        <w:pStyle w:val="BodyText"/>
        <w:spacing w:line="480" w:lineRule="auto"/>
        <w:ind w:firstLine="720"/>
      </w:pPr>
      <w:r>
        <w:rPr>
          <w:b/>
          <w:bCs/>
        </w:rPr>
        <w:t xml:space="preserve">Falsification criterion.</w:t>
      </w:r>
      <w:r>
        <w:t xml:space="preserve"> </w:t>
      </w:r>
      <w:r>
        <w:t xml:space="preserve">H1 is rejected if, in the primary specification with the pre-registered thresholds, the estimated coefficient on D(i, t) is statistically indistinguishable from zero at the 0.05 level, or is negative at the 0.05 level, after the controls in X(i, t) are applied and after the cueing, maneuver, and fragmentation purges described in Section 3.4 are executed. The dissertation commits in advance to publishing the rejection result if that is the outcome. The candidate is explicit that a rejection of H1 is itself a substantive finding: it would imply that the operational instinct to treat disagreement as information is, at the per-object level and at the pre-registered thresholds, not supported by the available data.</w:t>
      </w:r>
    </w:p>
    <w:p>
      <w:pPr>
        <w:pStyle w:val="BodyText"/>
        <w:spacing w:line="480" w:lineRule="auto"/>
        <w:ind w:firstLine="720"/>
      </w:pPr>
      <w:r>
        <w:rPr>
          <w:b/>
          <w:bCs/>
        </w:rPr>
        <w:t xml:space="preserve">Auxiliary monotonicity check.</w:t>
      </w:r>
      <w:r>
        <w:t xml:space="preserve"> </w:t>
      </w:r>
      <w:r>
        <w:t xml:space="preserve">Beyond the linear-in-D specification, the dissertation tests the monotonicity component of H1 by re-estimating with D(i, t) entered as quintile indicators. H1 in its monotone form is supported if the estimated hazard is weakly increasing across the quintiles of D. A non-monotone pattern, even with a positive linear coefficient, would qualify the substantive interpretation of H1, and the dissertation would report that qualification directly.</w:t>
      </w:r>
    </w:p>
    <w:bookmarkEnd w:id="80"/>
    <w:bookmarkStart w:id="81" w:name="scope-conditions-and-boundary"/>
    <w:p>
      <w:pPr>
        <w:pStyle w:val="Heading2"/>
        <w:spacing w:line="480" w:lineRule="auto"/>
      </w:pPr>
      <w:r>
        <w:t xml:space="preserve">3.7 Scope Conditions and Boundary</w:t>
      </w:r>
    </w:p>
    <w:p>
      <w:pPr>
        <w:pStyle w:val="FirstParagraph"/>
        <w:spacing w:line="480" w:lineRule="auto"/>
      </w:pPr>
      <w:r>
        <w:t xml:space="preserve">The theoretical framework applies under three scope conditions. First, the three-catalog architecture must be in continuous operation across the assembly window, with documented ingest from at least one commercial provider into TraCSS [2, 20] and with the 18 SDS public feed available [5, 10]. Second, the LeoLabs commercial feed must cover the regime in which the test is run; the prospectus has already acknowledged that the LEO regime is best powered and that the GEO regime is weakest [3, 6]. Third, the population of RSOs under test must be one for which the underlying physical truth is, on the relevant timescales, approximately stationary or smoothly varying; the dissertation does not extend the framework to episodic transients such as the immediate aftermath of a breakup, except through the fragmentation purge described in Section 3.4.</w:t>
      </w:r>
    </w:p>
    <w:p>
      <w:pPr>
        <w:pStyle w:val="BodyText"/>
        <w:spacing w:line="480" w:lineRule="auto"/>
        <w:ind w:firstLine="720"/>
      </w:pPr>
      <w:r>
        <w:t xml:space="preserve">The framework does not extend to several related questions that, while substantively important, are out of scope. It does not adjudicate which channel is most accurate on any given object. It does not propose a fusion rule for combining the channels into a single best state. It does not estimate the operational dollar value of acting on the trust signal. It does not address adversarial manipulation of the trust signal by a provider with incentives to inflate disagreement, although the cybersecurity literature on responsible artificial intelligence and machine learning in SDA applications</w:t>
      </w:r>
      <w:r>
        <w:t xml:space="preserve"> </w:t>
      </w:r>
      <w:hyperlink w:anchor="ref-32">
        <w:r>
          <w:rPr>
            <w:rStyle w:val="Hyperlink"/>
          </w:rPr>
          <w:t xml:space="preserve">[32]</w:t>
        </w:r>
      </w:hyperlink>
      <w:r>
        <w:t xml:space="preserve"> </w:t>
      </w:r>
      <w:r>
        <w:t xml:space="preserve">is acknowledged as a relevant adjacent concern for any future operationalization. Each of these is a defensible extension, and the candidate intends several as follow-on work, but none is required for the falsification of H0 and H1.</w:t>
      </w:r>
    </w:p>
    <w:bookmarkEnd w:id="81"/>
    <w:bookmarkStart w:id="82" w:name="Xf3a99986d499124125ff2611b2b3336ee001ba4"/>
    <w:p>
      <w:pPr>
        <w:pStyle w:val="Heading2"/>
        <w:spacing w:line="480" w:lineRule="auto"/>
      </w:pPr>
      <w:r>
        <w:t xml:space="preserve">3.8 Relationship to the Two Prior Research Papers</w:t>
      </w:r>
    </w:p>
    <w:p>
      <w:pPr>
        <w:pStyle w:val="FirstParagraph"/>
        <w:spacing w:line="480" w:lineRule="auto"/>
      </w:pPr>
      <w:r>
        <w:t xml:space="preserve">The theoretical framework articulated above is the longitudinal generalization of the cross-sectional findings reported in the candidate’s first and second research papers. Paper one assembled a documented panel of thirty-five cross-source discrepancy observations and estimated a model of log discrepancy on orbit regime, object age, active status, and debris status</w:t>
      </w:r>
      <w:r>
        <w:t xml:space="preserve"> </w:t>
      </w:r>
      <w:hyperlink w:anchor="ref-27">
        <w:r>
          <w:rPr>
            <w:rStyle w:val="Hyperlink"/>
          </w:rPr>
          <w:t xml:space="preserve">[27]</w:t>
        </w:r>
      </w:hyperlink>
      <w:r>
        <w:t xml:space="preserve">. It found that discrepancy is concentrated on uncooperative debris and on the GEO and MEO regimes, that the active-flag indicator collapses disagreement by roughly half, and that the debris-flag indicator approximately triples disagreement</w:t>
      </w:r>
      <w:r>
        <w:t xml:space="preserve"> </w:t>
      </w:r>
      <w:hyperlink w:anchor="ref-27">
        <w:r>
          <w:rPr>
            <w:rStyle w:val="Hyperlink"/>
          </w:rPr>
          <w:t xml:space="preserve">[27]</w:t>
        </w:r>
      </w:hyperlink>
      <w:r>
        <w:t xml:space="preserve">. Paper two extended the cross-section to thirty-six resident space objects and added altitude, radar cross section, maneuverability, age, and source count as predictors, with statistically significant coefficients on altitude, radar cross section, maneuverability, and age, and an unresolved coefficient on source count</w:t>
      </w:r>
      <w:r>
        <w:t xml:space="preserve"> </w:t>
      </w:r>
      <w:hyperlink w:anchor="ref-28">
        <w:r>
          <w:rPr>
            <w:rStyle w:val="Hyperlink"/>
          </w:rPr>
          <w:t xml:space="preserve">[28]</w:t>
        </w:r>
      </w:hyperlink>
      <w:r>
        <w:t xml:space="preserve">.</w:t>
      </w:r>
    </w:p>
    <w:p>
      <w:pPr>
        <w:pStyle w:val="BodyText"/>
        <w:spacing w:line="480" w:lineRule="auto"/>
        <w:ind w:firstLine="720"/>
      </w:pPr>
      <w:r>
        <w:t xml:space="preserve">Both papers established that disagreement is a structured cross-sectional quantity. Neither tested its time-series predictive content. The theoretical mechanism in Section 3.3 specifies how the cross-sectional structure translates into a per-object, per-epoch leading indicator. The hypotheses in Section 3.6 specify how the predictive content can be tested in a discrete-time hazard model. The dissertation thereby moves the contribution from</w:t>
      </w:r>
      <w:r>
        <w:t xml:space="preserve"> </w:t>
      </w:r>
      <w:r>
        <w:t xml:space="preserve">“disagreement is structured”</w:t>
      </w:r>
      <w:r>
        <w:t xml:space="preserve"> </w:t>
      </w:r>
      <w:r>
        <w:t xml:space="preserve">to</w:t>
      </w:r>
      <w:r>
        <w:t xml:space="preserve"> </w:t>
      </w:r>
      <w:r>
        <w:t xml:space="preserve">“disagreement predicts catalog revision,”</w:t>
      </w:r>
      <w:r>
        <w:t xml:space="preserve"> </w:t>
      </w:r>
      <w:r>
        <w:t xml:space="preserve">which is the load-bearing claim the trust-signal framing requires.</w:t>
      </w:r>
    </w:p>
    <w:p>
      <w:pPr>
        <w:pStyle w:val="BodyText"/>
        <w:spacing w:line="480" w:lineRule="auto"/>
        <w:ind w:firstLine="720"/>
      </w:pPr>
      <w:r>
        <w:t xml:space="preserve">The pre-registered design also responds to the limitations the two prior papers acknowledged. The first paper noted the small sample size and the partial reliance on illustrative magnitudes drawn from documented baselines</w:t>
      </w:r>
      <w:r>
        <w:t xml:space="preserve"> </w:t>
      </w:r>
      <w:hyperlink w:anchor="ref-27">
        <w:r>
          <w:rPr>
            <w:rStyle w:val="Hyperlink"/>
          </w:rPr>
          <w:t xml:space="preserve">[27]</w:t>
        </w:r>
      </w:hyperlink>
      <w:r>
        <w:t xml:space="preserve">; the dissertation moves to a population-scale longitudinal panel drawn from continuous public feeds. The second paper noted that a panel extension would let disagreement be modeled as a function of solar activity, recent maneuvers, and breakup events</w:t>
      </w:r>
      <w:r>
        <w:t xml:space="preserve"> </w:t>
      </w:r>
      <w:hyperlink w:anchor="ref-28">
        <w:r>
          <w:rPr>
            <w:rStyle w:val="Hyperlink"/>
          </w:rPr>
          <w:t xml:space="preserve">[28]</w:t>
        </w:r>
      </w:hyperlink>
      <w:r>
        <w:t xml:space="preserve">; the dissertation incorporates day fixed effects, the maneuver-screening filter, and the fragmentation purge to address those concerns. The theoretical framework, in short, is calibrated to what the prior work could and could not show, and to what the data now permit.</w:t>
      </w:r>
    </w:p>
    <w:bookmarkEnd w:id="82"/>
    <w:bookmarkStart w:id="83" w:name="chapter-summary"/>
    <w:p>
      <w:pPr>
        <w:pStyle w:val="Heading2"/>
        <w:spacing w:line="480" w:lineRule="auto"/>
      </w:pPr>
      <w:r>
        <w:t xml:space="preserve">3.9 Chapter Summary</w:t>
      </w:r>
    </w:p>
    <w:p>
      <w:pPr>
        <w:pStyle w:val="FirstParagraph"/>
        <w:spacing w:line="480" w:lineRule="auto"/>
      </w:pPr>
      <w:r>
        <w:t xml:space="preserve">This chapter has specified the theoretical mechanism, the causal logic, and the formal hypotheses on which the dissertation rests. The mechanism treats cross-source disagreement as a partial, probabilistic indicator of latent state error, where the latent error is partially observed through the imperfect proxy of subsequent 18 SDS catalog revisions. The causal logic is conditional predictive validity, with cueing, maneuver, and fragmentation pathways acknowledged and addressed through the pre-registered purges. The hypothesis pair is a discrete-time hazard specification with H0 stating statistical independence of disagreement from revision conditional on controls, and H1 stating a positive and monotone predictive relationship. The thresholds and sensitivity grid are pre-registered. The falsification criterion is explicit and the rejection of H1 is, in advance, committed to publication. Chapter 4 specifies the data, the construction of D(i, t) and R(i, t, tau), and the estimator that operationalizes the test.</w:t>
      </w:r>
    </w:p>
    <w:bookmarkEnd w:id="83"/>
    <w:bookmarkEnd w:id="84"/>
    <w:bookmarkStart w:id="92" w:name="chapter-4.-data-and-measurement"/>
    <w:p>
      <w:pPr>
        <w:pStyle w:val="Heading1"/>
        <w:spacing w:line="480" w:lineRule="auto"/>
      </w:pPr>
      <w:r>
        <w:t xml:space="preserve">Chapter 4. Data and Measurement</w:t>
      </w:r>
    </w:p>
    <w:bookmarkStart w:id="85" w:name="overview-and-purpose"/>
    <w:p>
      <w:pPr>
        <w:pStyle w:val="Heading2"/>
        <w:spacing w:line="480" w:lineRule="auto"/>
      </w:pPr>
      <w:r>
        <w:t xml:space="preserve">4.1 Overview and Purpose</w:t>
      </w:r>
    </w:p>
    <w:p>
      <w:pPr>
        <w:pStyle w:val="FirstParagraph"/>
        <w:spacing w:line="480" w:lineRule="auto"/>
      </w:pPr>
      <w:r>
        <w:t xml:space="preserve">This chapter specifies the empirical foundation on which the two analyses reported in the companion papers rest, and on which the dissertation’s central hypothesis will ultimately be tested. The two papers share a single conceptual object, the cross-source positional discrepancy among catalog families, but operationalize that object through two distinct cross-sectional datasets assembled from overlapping but non-identical primary sources. The first paper assembles a 35-observation panel of documented disagreement events drawn from published conjunction case studies, AMOS proceedings, ESA bulletins, and operator filings between 2009 and 2024. The second paper assembles a 36-object cross section that pairs orbital and physical characteristics from authoritative public catalogs with disagreement magnitudes derived from the TraCSS Consolidated Pathfinder documentation [2, 20] and from the operational comparison between the USSF Mission Delta 2 system and TraCSS [1, 11]. Because both datasets are deliberately bounded by what is publicly documented and by what has been disclosed in the AMOS literature and government oversight reports, neither claims to be a population sample of the resident space object catalog. Each is, instead, a structured probe of the regions of the catalog where cross-source disagreement is documented and quantifiable.</w:t>
      </w:r>
    </w:p>
    <w:p>
      <w:pPr>
        <w:pStyle w:val="BodyText"/>
        <w:spacing w:line="480" w:lineRule="auto"/>
        <w:ind w:firstLine="720"/>
      </w:pPr>
      <w:r>
        <w:t xml:space="preserve">The purpose of this chapter is therefore threefold. It documents the authoritative sources from which each variable is drawn, in sufficient detail that an independent researcher with access to the same public feeds and the same AMOS proceedings could reconstruct the assembly process. It specifies the unit of analysis in each paper and explains why the unit differs between the two designs. It defines each variable, names the primary record from which it is constructed, and identifies the inferential and reproducibility limits that the construction imposes. The chapter does not report findings; those are presented in chapters that follow. It also does not anticipate the discrete-time hazard specification proposed in the prospectus, which requires a longitudinal extension of the present cross-sectional data and is treated in chapter seven.</w:t>
      </w:r>
    </w:p>
    <w:bookmarkEnd w:id="85"/>
    <w:bookmarkStart w:id="86" w:name="sources-of-record"/>
    <w:p>
      <w:pPr>
        <w:pStyle w:val="Heading2"/>
        <w:spacing w:line="480" w:lineRule="auto"/>
      </w:pPr>
      <w:r>
        <w:t xml:space="preserve">4.2 Sources of Record</w:t>
      </w:r>
    </w:p>
    <w:p>
      <w:pPr>
        <w:pStyle w:val="FirstParagraph"/>
        <w:spacing w:line="480" w:lineRule="auto"/>
      </w:pPr>
      <w:r>
        <w:t xml:space="preserve">Five families of primary record underwrite both datasets. The first is the public catalog maintained by the 18th Space Defense Squadron and distributed through Space-Track.org. This catalog publishes two-line element sets for the unclassified resident space object population and is the de facto authoritative reference for conjunction screening, launch coordination, and reentry prediction. Its intrinsic error characteristics have been documented for nearly two decades, beginning with the Flohrer, Krag, and Klinkrad characterization of TLE orbit errors by regime and object class</w:t>
      </w:r>
      <w:r>
        <w:t xml:space="preserve"> </w:t>
      </w:r>
      <w:hyperlink w:anchor="ref-5">
        <w:r>
          <w:rPr>
            <w:rStyle w:val="Hyperlink"/>
          </w:rPr>
          <w:t xml:space="preserve">[5]</w:t>
        </w:r>
      </w:hyperlink>
      <w:r>
        <w:t xml:space="preserve">, and have been reproduced and extended in subsequent assessments</w:t>
      </w:r>
      <w:r>
        <w:t xml:space="preserve"> </w:t>
      </w:r>
      <w:hyperlink w:anchor="ref-12">
        <w:r>
          <w:rPr>
            <w:rStyle w:val="Hyperlink"/>
          </w:rPr>
          <w:t xml:space="preserve">[12]</w:t>
        </w:r>
      </w:hyperlink>
      <w:r>
        <w:t xml:space="preserve">. The 18 SDS catalog enters both datasets as the reference state vector against which disagreements are measured.</w:t>
      </w:r>
    </w:p>
    <w:p>
      <w:pPr>
        <w:pStyle w:val="BodyText"/>
        <w:spacing w:line="480" w:lineRule="auto"/>
        <w:ind w:firstLine="720"/>
      </w:pPr>
      <w:r>
        <w:t xml:space="preserve">The second family is the documented output of the Traffic Coordination System for Space operated by the Office of Space Commerce. The TraCSS Consolidated Pathfinder ingests commercial tracking from LeoLabs, COMSPOC, SpaceNav, Kayhan Space, and Slingshot Aerospace, and the 2024 AMOS pathfinder paper [2, 20] describes the ingestion architecture, the per-provider screening pipeline, and the conjunction-assessment outputs that the Pathfinder publishes to operators. The 2025 operational comparison between the USSF Mission Delta 2 conjunction analysis system and TraCSS [1, 11] characterizes the measured difference in conjunction outputs between the two systems on the same encounters and is the most authoritative public record of cross-system disagreement at the screening layer. Both papers in this dissertation draw on the Pathfinder documentation [2, 20] and the operational comparison paper [1, 11] for the structural description of how commercial state vectors enter the screening pipeline, for the per-provider attribution of contributions to fused states, and for the published characterization of where the two systems diverge.</w:t>
      </w:r>
    </w:p>
    <w:p>
      <w:pPr>
        <w:pStyle w:val="BodyText"/>
        <w:spacing w:line="480" w:lineRule="auto"/>
        <w:ind w:firstLine="720"/>
      </w:pPr>
      <w:r>
        <w:t xml:space="preserve">The third family is the commercial provider literature, in particular the 2017 LeoLabs and Planet conjunction-assessment paper, which is the earliest peer-reviewed documentation of a commercial radar feed used for active operational conjunction screening</w:t>
      </w:r>
      <w:r>
        <w:t xml:space="preserve"> </w:t>
      </w:r>
      <w:hyperlink w:anchor="ref-3">
        <w:r>
          <w:rPr>
            <w:rStyle w:val="Hyperlink"/>
          </w:rPr>
          <w:t xml:space="preserve">[3]</w:t>
        </w:r>
      </w:hyperlink>
      <w:r>
        <w:t xml:space="preserve">, and the 2020 Aerospace Corporation independent data-quality framework for the Unified Data Library, which characterizes published commercial residuals against a reference</w:t>
      </w:r>
      <w:r>
        <w:t xml:space="preserve"> </w:t>
      </w:r>
      <w:hyperlink w:anchor="ref-6">
        <w:r>
          <w:rPr>
            <w:rStyle w:val="Hyperlink"/>
          </w:rPr>
          <w:t xml:space="preserve">[6]</w:t>
        </w:r>
      </w:hyperlink>
      <w:r>
        <w:t xml:space="preserve">. These two records bound the public knowledge of how commercial state vectors differ from the public catalog at the per-object level and inform the residual definitions used in section 4.5 below.</w:t>
      </w:r>
    </w:p>
    <w:p>
      <w:pPr>
        <w:pStyle w:val="BodyText"/>
        <w:spacing w:line="480" w:lineRule="auto"/>
        <w:ind w:firstLine="720"/>
      </w:pPr>
      <w:r>
        <w:t xml:space="preserve">The fourth family is the public characterization of the debris population and breakup events. The NASA Orbital Debris Program Office Quarterly News issues for 2022 and 2023</w:t>
      </w:r>
      <w:r>
        <w:t xml:space="preserve"> </w:t>
      </w:r>
      <w:hyperlink w:anchor="ref-23">
        <w:r>
          <w:rPr>
            <w:rStyle w:val="Hyperlink"/>
          </w:rPr>
          <w:t xml:space="preserve">[23]</w:t>
        </w:r>
      </w:hyperlink>
      <w:r>
        <w:t xml:space="preserve"> </w:t>
      </w:r>
      <w:r>
        <w:t xml:space="preserve">and the Anz-Meador technical memorandum on the Fengyun-1C debris cloud</w:t>
      </w:r>
      <w:r>
        <w:t xml:space="preserve"> </w:t>
      </w:r>
      <w:hyperlink w:anchor="ref-22">
        <w:r>
          <w:rPr>
            <w:rStyle w:val="Hyperlink"/>
          </w:rPr>
          <w:t xml:space="preserve">[22]</w:t>
        </w:r>
      </w:hyperlink>
      <w:r>
        <w:t xml:space="preserve"> </w:t>
      </w:r>
      <w:r>
        <w:t xml:space="preserve">supply the breakup attribution, fragmentation epochs, and operational debris-class assignments that enter the second paper’s object characteristics. The European Space Agency Annual Space Environment Report</w:t>
      </w:r>
      <w:r>
        <w:t xml:space="preserve"> </w:t>
      </w:r>
      <w:hyperlink w:anchor="ref-19">
        <w:r>
          <w:rPr>
            <w:rStyle w:val="Hyperlink"/>
          </w:rPr>
          <w:t xml:space="preserve">[19]</w:t>
        </w:r>
      </w:hyperlink>
      <w:r>
        <w:t xml:space="preserve"> </w:t>
      </w:r>
      <w:r>
        <w:t xml:space="preserve">supplies the regime-stratified population context against which the sampled debris are interpreted. The Secure World Foundation Global Counterspace Capabilities open-source assessment</w:t>
      </w:r>
      <w:r>
        <w:t xml:space="preserve"> </w:t>
      </w:r>
      <w:hyperlink w:anchor="ref-24">
        <w:r>
          <w:rPr>
            <w:rStyle w:val="Hyperlink"/>
          </w:rPr>
          <w:t xml:space="preserve">[24]</w:t>
        </w:r>
      </w:hyperlink>
      <w:r>
        <w:t xml:space="preserve"> </w:t>
      </w:r>
      <w:r>
        <w:t xml:space="preserve">supplies the attribution context for the Cosmos 1408 anti-satellite test debris and other state-actor events.</w:t>
      </w:r>
    </w:p>
    <w:p>
      <w:pPr>
        <w:pStyle w:val="BodyText"/>
        <w:spacing w:line="480" w:lineRule="auto"/>
        <w:ind w:firstLine="720"/>
      </w:pPr>
      <w:r>
        <w:t xml:space="preserve">The fifth family is the government oversight and regulatory record. The NASA Office of Inspector General report on orbital debris risk mitigation</w:t>
      </w:r>
      <w:r>
        <w:t xml:space="preserve"> </w:t>
      </w:r>
      <w:hyperlink w:anchor="ref-18">
        <w:r>
          <w:rPr>
            <w:rStyle w:val="Hyperlink"/>
          </w:rPr>
          <w:t xml:space="preserve">[18]</w:t>
        </w:r>
      </w:hyperlink>
      <w:r>
        <w:t xml:space="preserve"> </w:t>
      </w:r>
      <w:r>
        <w:t xml:space="preserve">and the Government Accountability Office assessment of commercial SSA data</w:t>
      </w:r>
      <w:r>
        <w:t xml:space="preserve"> </w:t>
      </w:r>
      <w:hyperlink w:anchor="ref-25">
        <w:r>
          <w:rPr>
            <w:rStyle w:val="Hyperlink"/>
          </w:rPr>
          <w:t xml:space="preserve">[25]</w:t>
        </w:r>
      </w:hyperlink>
      <w:r>
        <w:t xml:space="preserve"> </w:t>
      </w:r>
      <w:r>
        <w:t xml:space="preserve">together establish the documented federal posture toward cross-source disagreement and the regulatory framing under which the data-sharing arrangements that produce the disagreements are sustained. The CelesTrak Satellite Catalog supplies object age, international designator, and operator-class fields used in both datasets. Federal Communications Commission operator filings, where cited per row, supply maneuver capability and active-operator flags for individual U.S.-licensed objects.</w:t>
      </w:r>
    </w:p>
    <w:p>
      <w:pPr>
        <w:pStyle w:val="BodyText"/>
        <w:spacing w:line="480" w:lineRule="auto"/>
        <w:ind w:firstLine="720"/>
      </w:pPr>
      <w:r>
        <w:t xml:space="preserve">A small number of secondary references inform the residual interpretation but do not contribute variable values. The Wilkins, Cvijic, and Faber Scruff-based multi-agent trust framework</w:t>
      </w:r>
      <w:r>
        <w:t xml:space="preserve"> </w:t>
      </w:r>
      <w:hyperlink w:anchor="ref-26">
        <w:r>
          <w:rPr>
            <w:rStyle w:val="Hyperlink"/>
          </w:rPr>
          <w:t xml:space="preserve">[26]</w:t>
        </w:r>
      </w:hyperlink>
      <w:r>
        <w:t xml:space="preserve"> </w:t>
      </w:r>
      <w:r>
        <w:t xml:space="preserve">and the broader Reed, Dailey, Stilwell, Weeden, and Tsamis decentralized information-sharing literature [13, 27, 28] supply the theoretical scaffolding under which cross-source disagreement is interpreted as a trust signal, but they are not data sources in the strict sense that no variable in either CSV is constructed from a number reported in those works.</w:t>
      </w:r>
    </w:p>
    <w:bookmarkEnd w:id="86"/>
    <w:bookmarkStart w:id="87" w:name="unit-of-analysis"/>
    <w:p>
      <w:pPr>
        <w:pStyle w:val="Heading2"/>
        <w:spacing w:line="480" w:lineRule="auto"/>
      </w:pPr>
      <w:r>
        <w:t xml:space="preserve">4.3 Unit of Analysis</w:t>
      </w:r>
    </w:p>
    <w:p>
      <w:pPr>
        <w:pStyle w:val="FirstParagraph"/>
        <w:spacing w:line="480" w:lineRule="auto"/>
      </w:pPr>
      <w:r>
        <w:t xml:space="preserve">The unit of analysis differs between the two papers, and the difference is deliberate. In the first paper the unit is the discrepancy event: a documented instance in which the 18 SDS public catalog and at least one named commercial or independent civil source published a position or miss-distance value for the same resident space object at the same epoch, and in which the magnitude of the disagreement could be extracted from the cited document. The unit is therefore an event indexed by the triple of the resident space object, the epoch at which the disagreement is reported, and the named cross-source pair. This definition implies that an object may appear more than once in the panel if disagreements were documented for that object at distinct epochs against distinct commercial counterparts; in practice the assembled panel is dominated by single-event observations per object, which is the empirical reason the first paper does not adopt a panel fixed-effects specification.</w:t>
      </w:r>
    </w:p>
    <w:p>
      <w:pPr>
        <w:pStyle w:val="BodyText"/>
        <w:spacing w:line="480" w:lineRule="auto"/>
        <w:ind w:firstLine="720"/>
      </w:pPr>
      <w:r>
        <w:t xml:space="preserve">In the second paper the unit is the resident space object itself. Each row aggregates over the available reporting epochs and pairwise comparisons to produce a single mean pairwise disagreement value per object, expressed in kilometers and computed across the catalogs that report on that object during the sampling window. The aggregation is necessary because the second paper’s question is about the cross-section of objects rather than the time series of events, and because the published Pathfinder and operational-comparison documents [1, 2, 11, 20] characterize disagreement at the object-population level rather than at the encounter level. The object-level unit makes the second paper’s coefficients interpretable as elasticities or marginal effects with respect to fixed object characteristics such as altitude, radar cross section, and maneuver capability.</w:t>
      </w:r>
    </w:p>
    <w:p>
      <w:pPr>
        <w:pStyle w:val="BodyText"/>
        <w:spacing w:line="480" w:lineRule="auto"/>
        <w:ind w:firstLine="720"/>
      </w:pPr>
      <w:r>
        <w:t xml:space="preserve">Both designs treat the resident space object as the entity whose identity is determined by the international designator and the 18 SDS catalog number. Objects that have been retired from the public catalog, that have been re-tagged after a breakup event, or whose international designator is ambiguous in the public record are excluded from both samples. Where a breakup parent object has been replaced by a population of fragment objects in the catalog, the parent and the fragments are treated as distinct units. This convention follows the public Orbital Debris Program Office treatment of the Fengyun-1C and Cosmos 1408 fragment populations [22, 23] and ensures that breakup events do not produce duplicated state-vector observations across parent and fragment identifiers.</w:t>
      </w:r>
    </w:p>
    <w:bookmarkEnd w:id="87"/>
    <w:bookmarkStart w:id="88" w:name="variables-in-the-first-paper"/>
    <w:p>
      <w:pPr>
        <w:pStyle w:val="Heading2"/>
        <w:spacing w:line="480" w:lineRule="auto"/>
      </w:pPr>
      <w:r>
        <w:t xml:space="preserve">4.4 Variables in the First Paper</w:t>
      </w:r>
    </w:p>
    <w:p>
      <w:pPr>
        <w:pStyle w:val="FirstParagraph"/>
        <w:spacing w:line="480" w:lineRule="auto"/>
      </w:pPr>
      <w:r>
        <w:t xml:space="preserve">The first paper’s dependent variable is the natural logarithm of the absolute discrepancy in kilometers between the 18 SDS state and the comparison source at the reported epoch. The raw discrepancy is constructed in one of two ways. Where the cited document reports a directly comparable quantity, such as a published miss distance from a TraCSS or commercial conjunction data message paired with the corresponding 18 SDS conjunction data message for the same encounter, the discrepancy is the absolute difference of the two reported quantities in their published units, converted to kilometers. Where the cited document reports two state vectors at a common or near-common epoch, the discrepancy is the Euclidean norm of the position-vector difference after propagation to the common epoch using the SGP4 model documented in</w:t>
      </w:r>
      <w:r>
        <w:t xml:space="preserve"> </w:t>
      </w:r>
      <w:hyperlink w:anchor="ref-8">
        <w:r>
          <w:rPr>
            <w:rStyle w:val="Hyperlink"/>
          </w:rPr>
          <w:t xml:space="preserve">[8]</w:t>
        </w:r>
      </w:hyperlink>
      <w:r>
        <w:t xml:space="preserve">. The propagation residual is recorded for diagnostic purposes and is small in all cases sampled because the epoch alignment in the cited records is itself short.</w:t>
      </w:r>
    </w:p>
    <w:p>
      <w:pPr>
        <w:pStyle w:val="BodyText"/>
        <w:spacing w:line="480" w:lineRule="auto"/>
        <w:ind w:firstLine="720"/>
      </w:pPr>
      <w:r>
        <w:t xml:space="preserve">The natural log transformation is chosen for two reasons documented in the first paper’s text. It produces a roughly symmetric distribution given the heavy-tailed character of the raw discrepancy, which spans approximately two orders of magnitude across the panel. It also yields binary-regressor coefficients that admit an elasticity-like interpretation, in which the exponentiated coefficient is the multiplicative change in expected discrepancy associated with the indicator transition.</w:t>
      </w:r>
    </w:p>
    <w:p>
      <w:pPr>
        <w:pStyle w:val="BodyText"/>
        <w:spacing w:line="480" w:lineRule="auto"/>
        <w:ind w:firstLine="720"/>
      </w:pPr>
      <w:r>
        <w:t xml:space="preserve">The independent variables are four. The LEO regime indicator equals one for objects whose mean altitude falls below the 2,000 kilometer threshold conventionally used in the orbital debris literature [19, 23] and zero for objects in MEO, GEO, or HEO. The classification draws on the 18 SDS catalog elements as accessed through Space-Track and is cross-checked against the CelesTrak SATCAT. The object age in years is computed from the international designator launch date to the discrepancy epoch and is rounded to the nearest tenth of a year. The active-operator indicator equals one for objects for which a named operator was publishing ephemerides or maneuver notices at the discrepancy epoch, and zero otherwise; the field is constructed from FCC operator filings for U.S.-licensed objects, from European Space Agency operator records for European objects, and from JAXA operations bulletins for Japanese objects. The debris indicator equals one for objects classified as fragmentation debris or non-functional payload by the NASA Orbital Debris Program Office</w:t>
      </w:r>
      <w:r>
        <w:t xml:space="preserve"> </w:t>
      </w:r>
      <w:hyperlink w:anchor="ref-23">
        <w:r>
          <w:rPr>
            <w:rStyle w:val="Hyperlink"/>
          </w:rPr>
          <w:t xml:space="preserve">[23]</w:t>
        </w:r>
      </w:hyperlink>
      <w:r>
        <w:t xml:space="preserve"> </w:t>
      </w:r>
      <w:r>
        <w:t xml:space="preserve">or by the Anz-Meador technical memorandum</w:t>
      </w:r>
      <w:r>
        <w:t xml:space="preserve"> </w:t>
      </w:r>
      <w:hyperlink w:anchor="ref-22">
        <w:r>
          <w:rPr>
            <w:rStyle w:val="Hyperlink"/>
          </w:rPr>
          <w:t xml:space="preserve">[22]</w:t>
        </w:r>
      </w:hyperlink>
      <w:r>
        <w:t xml:space="preserve">, and zero otherwise. The two indicators are not mutually exclusive in principle, since an active operator with a non-functional payload could in theory be flagged on both fields; in practice the panel contains no such row.</w:t>
      </w:r>
    </w:p>
    <w:p>
      <w:pPr>
        <w:pStyle w:val="BodyText"/>
        <w:spacing w:line="480" w:lineRule="auto"/>
        <w:ind w:firstLine="720"/>
      </w:pPr>
      <w:r>
        <w:t xml:space="preserve">A subset of rows under fifteen percent of the panel is flagged</w:t>
      </w:r>
      <w:r>
        <w:t xml:space="preserve"> </w:t>
      </w:r>
      <w:r>
        <w:t xml:space="preserve">“illustrative”</w:t>
      </w:r>
      <w:r>
        <w:t xml:space="preserve"> </w:t>
      </w:r>
      <w:r>
        <w:t xml:space="preserve">in the source column. These rows apply the documented baseline TLE error from</w:t>
      </w:r>
      <w:r>
        <w:t xml:space="preserve"> </w:t>
      </w:r>
      <w:hyperlink w:anchor="ref-5">
        <w:r>
          <w:rPr>
            <w:rStyle w:val="Hyperlink"/>
          </w:rPr>
          <w:t xml:space="preserve">[5]</w:t>
        </w:r>
      </w:hyperlink>
      <w:r>
        <w:t xml:space="preserve"> </w:t>
      </w:r>
      <w:r>
        <w:t xml:space="preserve">and</w:t>
      </w:r>
      <w:r>
        <w:t xml:space="preserve"> </w:t>
      </w:r>
      <w:hyperlink w:anchor="ref-12">
        <w:r>
          <w:rPr>
            <w:rStyle w:val="Hyperlink"/>
          </w:rPr>
          <w:t xml:space="preserve">[12]</w:t>
        </w:r>
      </w:hyperlink>
      <w:r>
        <w:t xml:space="preserve"> </w:t>
      </w:r>
      <w:r>
        <w:t xml:space="preserve">to a real event for which a direct cross-source quantity could not be extracted from a single cited document. The flag is preserved in every analytic table and is the basis for a sensitivity check reported in the first paper’s robustness discussion. No row’s discrepancy is fabricated, and no citation in the source column is invented.</w:t>
      </w:r>
    </w:p>
    <w:bookmarkEnd w:id="88"/>
    <w:bookmarkStart w:id="89" w:name="variables-in-the-second-paper"/>
    <w:p>
      <w:pPr>
        <w:pStyle w:val="Heading2"/>
        <w:spacing w:line="480" w:lineRule="auto"/>
      </w:pPr>
      <w:r>
        <w:t xml:space="preserve">4.5 Variables in the Second Paper</w:t>
      </w:r>
    </w:p>
    <w:p>
      <w:pPr>
        <w:pStyle w:val="FirstParagraph"/>
        <w:spacing w:line="480" w:lineRule="auto"/>
      </w:pPr>
      <w:r>
        <w:t xml:space="preserve">The second paper’s dependent variable is the mean pairwise positional disagreement in kilometers, computed at the object level by averaging the absolute positional differences across all available catalog pairs reporting on that object during the sampling window. The averaging operation is unweighted across pairs because the TraCSS Pathfinder documentation [2, 20] does not publish per-provider weights at the resolution required for a weighted aggregation. Where the published material from the operational comparison paper [1, 11] reports a system-level rather than object-level disagreement, the second paper draws on the object-level breakdowns disclosed in that paper’s appendices and supplementary tables and constructs row-level disagreement values only for objects that appear in those disclosed breakdowns. Rows for which the underlying object-level pairwise comparison has not been publicly disclosed by the participating commercial providers carry an</w:t>
      </w:r>
      <w:r>
        <w:t xml:space="preserve"> </w:t>
      </w:r>
      <w:r>
        <w:t xml:space="preserve">“illustrative”</w:t>
      </w:r>
      <w:r>
        <w:t xml:space="preserve"> </w:t>
      </w:r>
      <w:r>
        <w:t xml:space="preserve">marker in the source column and apply the same baseline TLE error from</w:t>
      </w:r>
      <w:r>
        <w:t xml:space="preserve"> </w:t>
      </w:r>
      <w:hyperlink w:anchor="ref-5">
        <w:r>
          <w:rPr>
            <w:rStyle w:val="Hyperlink"/>
          </w:rPr>
          <w:t xml:space="preserve">[5]</w:t>
        </w:r>
      </w:hyperlink>
      <w:r>
        <w:t xml:space="preserve"> </w:t>
      </w:r>
      <w:r>
        <w:t xml:space="preserve">and</w:t>
      </w:r>
      <w:r>
        <w:t xml:space="preserve"> </w:t>
      </w:r>
      <w:hyperlink w:anchor="ref-12">
        <w:r>
          <w:rPr>
            <w:rStyle w:val="Hyperlink"/>
          </w:rPr>
          <w:t xml:space="preserve">[12]</w:t>
        </w:r>
      </w:hyperlink>
      <w:r>
        <w:t xml:space="preserve"> </w:t>
      </w:r>
      <w:r>
        <w:t xml:space="preserve">used in the first paper’s illustrative subset. The share of illustrative-magnitude rows is held below the threshold required for reproducibility.</w:t>
      </w:r>
    </w:p>
    <w:p>
      <w:pPr>
        <w:pStyle w:val="BodyText"/>
        <w:spacing w:line="480" w:lineRule="auto"/>
        <w:ind w:firstLine="720"/>
      </w:pPr>
      <w:r>
        <w:t xml:space="preserve">The independent variables are five. Mean altitude in kilometers is computed from the 18 SDS state vector at the most recent epoch in the sampling window using the SGP4 propagation documented in</w:t>
      </w:r>
      <w:r>
        <w:t xml:space="preserve"> </w:t>
      </w:r>
      <w:hyperlink w:anchor="ref-8">
        <w:r>
          <w:rPr>
            <w:rStyle w:val="Hyperlink"/>
          </w:rPr>
          <w:t xml:space="preserve">[8]</w:t>
        </w:r>
      </w:hyperlink>
      <w:r>
        <w:t xml:space="preserve">; the altitude is the mean of perigee and apogee altitudes for the corresponding Keplerian orbit. Radar cross section in square meters is taken from the 18 SDS public catalog RCS field where available and is cross-checked against the optical-brightness to physical-size transformation documented in the Mulrooney and Matney albedo derivation</w:t>
      </w:r>
      <w:r>
        <w:t xml:space="preserve"> </w:t>
      </w:r>
      <w:hyperlink w:anchor="ref-29">
        <w:r>
          <w:rPr>
            <w:rStyle w:val="Hyperlink"/>
          </w:rPr>
          <w:t xml:space="preserve">[29]</w:t>
        </w:r>
      </w:hyperlink>
      <w:r>
        <w:t xml:space="preserve"> </w:t>
      </w:r>
      <w:r>
        <w:t xml:space="preserve">for objects in the optical-tracked subset. The maneuverable indicator equals one for objects classified as operationally maneuverable by FCC filings, ESA records, or JAXA bulletins at any point during the sampling window, and zero otherwise. The object age in days is computed from the international designator launch date to the most recent epoch in the sampling window. The number of independent catalogs reporting on the object is the count of distinct named sources, drawn from the set of 18 SDS, TraCSS, LeoLabs, COMSPOC, Slingshot Aerospace, SpaceNav, and Kayhan Space, that publish or have published a state vector for the object during the sampling window.</w:t>
      </w:r>
    </w:p>
    <w:p>
      <w:pPr>
        <w:pStyle w:val="BodyText"/>
        <w:spacing w:line="480" w:lineRule="auto"/>
        <w:ind w:firstLine="720"/>
      </w:pPr>
      <w:r>
        <w:t xml:space="preserve">The orbital regime is not entered as a separate indicator in the second paper because altitude is continuous and the regime structure is absorbed by the altitude coefficient. The inclination is recorded for descriptive tables but is not entered in the primary specification because the cross-source disagreement literature [1, 2, 3, 6, 11, 20] does not predict an independent inclination effect at the sample size available, and the regression in chapter five does not gain explanatory power from its inclusion.</w:t>
      </w:r>
    </w:p>
    <w:bookmarkEnd w:id="89"/>
    <w:bookmarkStart w:id="90" w:name="frames-epochs-and-propagation"/>
    <w:p>
      <w:pPr>
        <w:pStyle w:val="Heading2"/>
        <w:spacing w:line="480" w:lineRule="auto"/>
      </w:pPr>
      <w:r>
        <w:t xml:space="preserve">4.6 Frames, Epochs, and Propagation</w:t>
      </w:r>
    </w:p>
    <w:p>
      <w:pPr>
        <w:pStyle w:val="FirstParagraph"/>
        <w:spacing w:line="480" w:lineRule="auto"/>
      </w:pPr>
      <w:r>
        <w:t xml:space="preserve">A central methodological commitment of both datasets is that every state vector is recorded in its source frame and at its source epoch before any transformation is applied. Where a propagation step is required to bring two state vectors to a common epoch, the propagation model is SGP4 in its standard implementation</w:t>
      </w:r>
      <w:r>
        <w:t xml:space="preserve"> </w:t>
      </w:r>
      <w:hyperlink w:anchor="ref-8">
        <w:r>
          <w:rPr>
            <w:rStyle w:val="Hyperlink"/>
          </w:rPr>
          <w:t xml:space="preserve">[8]</w:t>
        </w:r>
      </w:hyperlink>
      <w:r>
        <w:t xml:space="preserve">, and the propagation residual is recorded as a diagnostic field. The decision to use SGP4 rather than a higher-fidelity numerical propagator follows the convention of the public catalog and ensures that the discrepancy values reported in this dissertation are commensurable with the discrepancy values that operational consumers of the public catalog actually observe. A small subset of rows for which the published commercial state is provided in an inertial frame that differs from the 18 SDS-published frame is transformed using the standard rotation between the True Equator Mean Equinox of date frame and the inertial frame in which the commercial state is reported, and the transformation residual is recorded.</w:t>
      </w:r>
    </w:p>
    <w:p>
      <w:pPr>
        <w:pStyle w:val="BodyText"/>
        <w:spacing w:line="480" w:lineRule="auto"/>
        <w:ind w:firstLine="720"/>
      </w:pPr>
      <w:r>
        <w:t xml:space="preserve">This treatment is conservative. It accepts the propagation error of SGP4 as part of the measured disagreement rather than attempting to remove it through more accurate propagation, on the rationale that the operationally relevant discrepancy is the discrepancy as observed by a downstream conjunction-screening consumer, not the discrepancy as observed by an idealized propagator. The cost of this conservatism is that a fraction of the measured disagreement is attributable to propagation error rather than to underlying source disagreement; the benefit is that the measured quantity is faithful to what operators actually consume. The orbit-determination survey literature</w:t>
      </w:r>
      <w:r>
        <w:t xml:space="preserve"> </w:t>
      </w:r>
      <w:hyperlink w:anchor="ref-16">
        <w:r>
          <w:rPr>
            <w:rStyle w:val="Hyperlink"/>
          </w:rPr>
          <w:t xml:space="preserve">[16]</w:t>
        </w:r>
      </w:hyperlink>
      <w:r>
        <w:t xml:space="preserve"> </w:t>
      </w:r>
      <w:r>
        <w:t xml:space="preserve">and the maneuver-detection literature</w:t>
      </w:r>
      <w:r>
        <w:t xml:space="preserve"> </w:t>
      </w:r>
      <w:hyperlink w:anchor="ref-15">
        <w:r>
          <w:rPr>
            <w:rStyle w:val="Hyperlink"/>
          </w:rPr>
          <w:t xml:space="preserve">[15]</w:t>
        </w:r>
      </w:hyperlink>
      <w:r>
        <w:t xml:space="preserve"> </w:t>
      </w:r>
      <w:r>
        <w:t xml:space="preserve">both support this choice as the convention most consistent with operational practice.</w:t>
      </w:r>
    </w:p>
    <w:bookmarkEnd w:id="90"/>
    <w:bookmarkStart w:id="91" w:name="reproducibility-provenance-and-limits"/>
    <w:p>
      <w:pPr>
        <w:pStyle w:val="Heading2"/>
        <w:spacing w:line="480" w:lineRule="auto"/>
      </w:pPr>
      <w:r>
        <w:t xml:space="preserve">4.7 Reproducibility, Provenance, and Limits</w:t>
      </w:r>
    </w:p>
    <w:p>
      <w:pPr>
        <w:pStyle w:val="FirstParagraph"/>
        <w:spacing w:line="480" w:lineRule="auto"/>
      </w:pPr>
      <w:r>
        <w:t xml:space="preserve">The two datasets are accompanied by a per-row source column in which every observation carries an explicit citation to the document from which its values are extracted. The convention is that every numeric value in a row, except those marked illustrative under the convention described in sections 4.4 and 4.5, is traceable to a public document. The illustrative marker is preserved through every analytic step, and analyses are reported both with and without the illustrative subset where the inclusion materially changes any coefficient.</w:t>
      </w:r>
    </w:p>
    <w:p>
      <w:pPr>
        <w:pStyle w:val="BodyText"/>
        <w:spacing w:line="480" w:lineRule="auto"/>
        <w:ind w:firstLine="720"/>
      </w:pPr>
      <w:r>
        <w:t xml:space="preserve">Three limits on reproducibility must be acknowledged in advance. First, the TraCSS Pathfinder and the operational comparison paper [1, 2, 11, 20] do not publish per-object pairwise disagreement at the resolution that would permit independent reconstruction of the full second-paper disagreement vector from primary sources alone. The dissertation works within the published level of resolution and treats the illustrative-row mechanism as the explicit accommodation of that limit. Second, commercial provider feeds are not uniformly available across the sampling window. LeoLabs has been publishing radar-derived catalogs since 2017</w:t>
      </w:r>
      <w:r>
        <w:t xml:space="preserve"> </w:t>
      </w:r>
      <w:hyperlink w:anchor="ref-3">
        <w:r>
          <w:rPr>
            <w:rStyle w:val="Hyperlink"/>
          </w:rPr>
          <w:t xml:space="preserve">[3]</w:t>
        </w:r>
      </w:hyperlink>
      <w:r>
        <w:t xml:space="preserve">, but COMSPOC, Slingshot, SpaceNav, and Kayhan have entered the public record at different points, and the assembled panels reflect the dates on which each provider’s documentation appears in the public AMOS and oversight literature. Third, the Aerospace Corporation Unified Data Library framework</w:t>
      </w:r>
      <w:r>
        <w:t xml:space="preserve"> </w:t>
      </w:r>
      <w:hyperlink w:anchor="ref-6">
        <w:r>
          <w:rPr>
            <w:rStyle w:val="Hyperlink"/>
          </w:rPr>
          <w:t xml:space="preserve">[6]</w:t>
        </w:r>
      </w:hyperlink>
      <w:r>
        <w:t xml:space="preserve"> </w:t>
      </w:r>
      <w:r>
        <w:t xml:space="preserve">characterizes residuals against a reference rather than publishing the underlying residual series, so the second paper draws on the framework’s characterization but does not reconstruct its residual series.</w:t>
      </w:r>
    </w:p>
    <w:p>
      <w:pPr>
        <w:pStyle w:val="BodyText"/>
        <w:spacing w:line="480" w:lineRule="auto"/>
        <w:ind w:firstLine="720"/>
      </w:pPr>
      <w:r>
        <w:t xml:space="preserve">These limits bound the inferential reach of the present chapter and of the analyses that build on it. The dissertation does not claim that the assembled panels are population-representative, and it does not claim that the public record is sufficient to reconstruct the disagreement series at full operational resolution. It claims, instead, that the assembled panels are the best evidence currently available from public sources for the structure of cross-source disagreement, that the construction of every variable is documented to the standard required for replication by a researcher with access to the same documents, and that the design choices are conservative in the direction of the measured operational discrepancy rather than the idealized propagation residual. The limits motivate the longitudinal extension proposed in the prospectus and addressed in chapter seven, which would use the TraCSS Consolidated Pathfinder ingest [2, 20] as the platform for an event-time panel, would draw on the operational comparison paper’s methodology [1, 11] for the per-encounter disagreement field, and would carry forward the residual definitions established in this chapter.</w:t>
      </w:r>
    </w:p>
    <w:p>
      <w:pPr>
        <w:pStyle w:val="BodyText"/>
        <w:spacing w:line="480" w:lineRule="auto"/>
        <w:ind w:firstLine="720"/>
      </w:pPr>
      <w:r>
        <w:t xml:space="preserve">The chapter concludes by registering one final convention that governs every numeric statement in the dissertation. Where a value is taken from a published document, the citation is provided in the source column of the CSV and in the text of the chapter. Where a value is computed from a primary record using the procedures defined in sections 4.4 through 4.6, the computation is documented at the row level. Where a value is illustrative, the marker is preserved and the sensitivity is reported. No value in either dataset is undocumented, fabricated, or unaccompanied by a primary source, and the dissertation will be reproducible to the extent that the public record permits.</w:t>
      </w:r>
    </w:p>
    <w:bookmarkEnd w:id="91"/>
    <w:bookmarkEnd w:id="92"/>
    <w:bookmarkStart w:id="106" w:name="chapter-5.-methods-and-identification"/>
    <w:p>
      <w:pPr>
        <w:pStyle w:val="Heading1"/>
        <w:spacing w:line="480" w:lineRule="auto"/>
      </w:pPr>
      <w:r>
        <w:t xml:space="preserve">Chapter 5. Methods and Identification</w:t>
      </w:r>
    </w:p>
    <w:bookmarkStart w:id="93" w:name="X28e3ea397ab69dedd886ce87e510010501cd690"/>
    <w:p>
      <w:pPr>
        <w:pStyle w:val="Heading2"/>
        <w:spacing w:line="480" w:lineRule="auto"/>
      </w:pPr>
      <w:r>
        <w:t xml:space="preserve">5.1 Overview and Logic of the Empirical Strategy</w:t>
      </w:r>
    </w:p>
    <w:p>
      <w:pPr>
        <w:pStyle w:val="FirstParagraph"/>
        <w:spacing w:line="480" w:lineRule="auto"/>
      </w:pPr>
      <w:r>
        <w:t xml:space="preserve">The empirical claim of this dissertation is narrow and falsifiable: that the magnitude of cross-source disagreement among the 18 SDS public catalog, the TraCSS screening-input catalog, and at least one commercial provider feed carries information about the probability that the 18 SDS state vector for a given resident space object (RSO) will be revised by more than a pre-specified threshold within a fixed forward window. The empirical strategy is built to test that claim cleanly. The unit of observation is the RSO-day. The treatment-like variable is a continuous discrepancy metric constructed from contemporaneously available state vectors. The outcome is a binary revision indicator measured over a forward window that does not overlap the construction of the discrepancy metric. The estimator is a discrete-time hazard model with object and day fixed effects, augmented by regime, size-class, and observation-cadence controls. The identification strategy rests on three claims: that the timing of state-vector revisions is conditionally independent of the discrepancy metric absent its informational content, that the observation cadence channel can be controlled with feed-level cadence variables documented in the TraCSS pathfinder architecture [2, 20], and that the institutional cueing channel between commercial providers and 18 SDS can be characterized and partially neutralized using the pathfinder documentation</w:t>
      </w:r>
      <w:r>
        <w:t xml:space="preserve"> </w:t>
      </w:r>
      <w:hyperlink w:anchor="ref-2">
        <w:r>
          <w:rPr>
            <w:rStyle w:val="Hyperlink"/>
          </w:rPr>
          <w:t xml:space="preserve">[2]</w:t>
        </w:r>
      </w:hyperlink>
      <w:r>
        <w:t xml:space="preserve"> </w:t>
      </w:r>
      <w:r>
        <w:t xml:space="preserve">and the operational comparison documented for Mission Delta 2 and TraCSS [1, 11].</w:t>
      </w:r>
    </w:p>
    <w:p>
      <w:pPr>
        <w:pStyle w:val="BodyText"/>
        <w:spacing w:line="480" w:lineRule="auto"/>
        <w:ind w:firstLine="720"/>
      </w:pPr>
      <w:r>
        <w:t xml:space="preserve">This chapter proceeds in five sections. Section 5.2 defines the discrepancy metric and the revision outcome. Section 5.3 specifies the primary and secondary estimators. Section 5.4 lays out the identification strategy and the assumptions on which causal-like interpretation rests. Section 5.5 enumerates threats to validity and the bound that the design places on each. Section 5.6 documents the pre-registered robustness exercises and the falsification grid. The chapter takes no position on results, which are reserved for Chapters 6 and 7.</w:t>
      </w:r>
    </w:p>
    <w:bookmarkEnd w:id="93"/>
    <w:bookmarkStart w:id="97" w:name="X884e7aebc274fb5c053e93f0d427ad786fcc4f4"/>
    <w:p>
      <w:pPr>
        <w:pStyle w:val="Heading2"/>
        <w:spacing w:line="480" w:lineRule="auto"/>
      </w:pPr>
      <w:r>
        <w:t xml:space="preserve">5.2 Variables: The Discrepancy Metric and the Revision Outcome</w:t>
      </w:r>
    </w:p>
    <w:bookmarkStart w:id="94" w:name="the-discrepancy-metric-di-t"/>
    <w:p>
      <w:pPr>
        <w:pStyle w:val="Heading3"/>
        <w:spacing w:line="480" w:lineRule="auto"/>
      </w:pPr>
      <w:r>
        <w:t xml:space="preserve">5.2.1 The Discrepancy Metric D(i, t)</w:t>
      </w:r>
    </w:p>
    <w:p>
      <w:pPr>
        <w:pStyle w:val="FirstParagraph"/>
        <w:spacing w:line="480" w:lineRule="auto"/>
      </w:pPr>
      <w:r>
        <w:t xml:space="preserve">For each RSO i and each calendar day t in the assembly window, three state vectors are assembled where available: the 18 SDS public state vector x_S(i, t), the TraCSS screening-input state vector x_T(i, t), and the commercial-provider state vector x_C(i, t). Each vector is six-dimensional in position and velocity. Each is propagated to a common epoch t* using SGP4 or SGP4-XP, following the propagation conventions documented for catalog maintenance and the pseudo-observation augmentation literature</w:t>
      </w:r>
      <w:r>
        <w:t xml:space="preserve"> </w:t>
      </w:r>
      <w:hyperlink w:anchor="ref-8">
        <w:r>
          <w:rPr>
            <w:rStyle w:val="Hyperlink"/>
          </w:rPr>
          <w:t xml:space="preserve">[8]</w:t>
        </w:r>
      </w:hyperlink>
      <w:r>
        <w:t xml:space="preserve">. The propagation step is logged with its residual, and any RSO-day on which the propagation residual exceeds a pre-set physical threshold is flagged and excluded from the primary specification but retained in a sensitivity appendix.</w:t>
      </w:r>
    </w:p>
    <w:p>
      <w:pPr>
        <w:pStyle w:val="BodyText"/>
        <w:spacing w:line="480" w:lineRule="auto"/>
        <w:ind w:firstLine="720"/>
      </w:pPr>
      <w:r>
        <w:t xml:space="preserve">The discrepancy metric is then defined pairwise and aggregated. Let d_ST(i, t) be the Euclidean norm of the position-velocity difference between x_S and x_T at t*, scaled component-wise by regime-specific normalization factors derived from the empirical TLE error distributions reported by Flohrer, Krag, and Klinkrad</w:t>
      </w:r>
      <w:r>
        <w:t xml:space="preserve"> </w:t>
      </w:r>
      <w:hyperlink w:anchor="ref-5">
        <w:r>
          <w:rPr>
            <w:rStyle w:val="Hyperlink"/>
          </w:rPr>
          <w:t xml:space="preserve">[5]</w:t>
        </w:r>
      </w:hyperlink>
      <w:r>
        <w:t xml:space="preserve"> </w:t>
      </w:r>
      <w:r>
        <w:t xml:space="preserve">and refined by the survey of orbit-determination practice in Kazemi et al. </w:t>
      </w:r>
      <w:hyperlink w:anchor="ref-16">
        <w:r>
          <w:rPr>
            <w:rStyle w:val="Hyperlink"/>
          </w:rPr>
          <w:t xml:space="preserve">[16]</w:t>
        </w:r>
      </w:hyperlink>
      <w:r>
        <w:t xml:space="preserve">. Define d_SC(i, t) and d_TC(i, t) analogously. The composite metric D(i, t) is the L2 norm of the vector (d_ST, d_SC, d_TC). A secondary metric D_max(i, t) takes the maximum of the three pairwise distances and is used in robustness checks to test whether disagreement at any one boundary, rather than aggregate disagreement, drives the result.</w:t>
      </w:r>
    </w:p>
    <w:p>
      <w:pPr>
        <w:pStyle w:val="BodyText"/>
        <w:spacing w:line="480" w:lineRule="auto"/>
        <w:ind w:firstLine="720"/>
      </w:pPr>
      <w:r>
        <w:t xml:space="preserve">Two design choices matter for interpretation. First, the normalization is regime-specific. LEO, MEO, GEO, and HEO regimes have very different intrinsic TLE error distributions [5, 12], and an unnormalized metric would mechanically conflate regime with discrepancy. Second, the composite metric is constructed from contemporaneous propagations to a common epoch rather than from raw element sets. This eliminates differences that arise solely from differing reference epochs, which are not informational.</w:t>
      </w:r>
    </w:p>
    <w:bookmarkEnd w:id="94"/>
    <w:bookmarkStart w:id="95" w:name="the-revision-outcome-ri-t-tau"/>
    <w:p>
      <w:pPr>
        <w:pStyle w:val="Heading3"/>
        <w:spacing w:line="480" w:lineRule="auto"/>
      </w:pPr>
      <w:r>
        <w:t xml:space="preserve">5.2.2 The Revision Outcome R(i, t, tau)</w:t>
      </w:r>
    </w:p>
    <w:p>
      <w:pPr>
        <w:pStyle w:val="FirstParagraph"/>
        <w:spacing w:line="480" w:lineRule="auto"/>
      </w:pPr>
      <w:r>
        <w:t xml:space="preserve">The outcome is binary. R(i, t, tau) equals one if 18 SDS publishes a revised element set for object i within the forward window of length tau days that exceeds the threshold pair (delta-r, delta-v) relative to the pre-existing 18 SDS element set, propagated forward to the same comparison epoch. The pre-registered primary threshold is delta-r equal to one kilometer in position and delta-v equal to one meter per second in velocity, chosen to be larger than typical intrinsic TLE noise reported by Flohrer, Krag, and Klinkrad</w:t>
      </w:r>
      <w:r>
        <w:t xml:space="preserve"> </w:t>
      </w:r>
      <w:hyperlink w:anchor="ref-5">
        <w:r>
          <w:rPr>
            <w:rStyle w:val="Hyperlink"/>
          </w:rPr>
          <w:t xml:space="preserve">[5]</w:t>
        </w:r>
      </w:hyperlink>
      <w:r>
        <w:t xml:space="preserve"> </w:t>
      </w:r>
      <w:r>
        <w:t xml:space="preserve">and consistent with the maneuver-screening thresholds used in the spacecraft-maneuver detection literature</w:t>
      </w:r>
      <w:r>
        <w:t xml:space="preserve"> </w:t>
      </w:r>
      <w:hyperlink w:anchor="ref-15">
        <w:r>
          <w:rPr>
            <w:rStyle w:val="Hyperlink"/>
          </w:rPr>
          <w:t xml:space="preserve">[15]</w:t>
        </w:r>
      </w:hyperlink>
      <w:r>
        <w:t xml:space="preserve">. The pre-registered primary window tau is seven days, with sensitivity grid runs at three, fourteen, and twenty-eight days.</w:t>
      </w:r>
    </w:p>
    <w:p>
      <w:pPr>
        <w:pStyle w:val="BodyText"/>
        <w:spacing w:line="480" w:lineRule="auto"/>
        <w:ind w:firstLine="720"/>
      </w:pPr>
      <w:r>
        <w:t xml:space="preserve">A revision that exceeds threshold can arise from at least four physical sources: an actual orbital maneuver, a fragmentation or break-up event, a re-tagging or re-identification of the object in the catalog, and a substantive orbit-determination update driven by accumulated tracking residuals. The first source is partially screened out by the maneuver filter described in Section 5.3.2, drawing on standard delta-v thresholds in the maneuver-detection literature</w:t>
      </w:r>
      <w:r>
        <w:t xml:space="preserve"> </w:t>
      </w:r>
      <w:hyperlink w:anchor="ref-15">
        <w:r>
          <w:rPr>
            <w:rStyle w:val="Hyperlink"/>
          </w:rPr>
          <w:t xml:space="preserve">[15]</w:t>
        </w:r>
      </w:hyperlink>
      <w:r>
        <w:t xml:space="preserve">. The second is partially screened out by removing RSO-days within a window of any documented break-up event [22, 23]. The third and fourth are retained as in-scope outcomes, because they correspond directly to the informational content the hypothesis predicts the discrepancy metric should anticipate.</w:t>
      </w:r>
    </w:p>
    <w:bookmarkEnd w:id="95"/>
    <w:bookmarkStart w:id="96" w:name="controls"/>
    <w:p>
      <w:pPr>
        <w:pStyle w:val="Heading3"/>
        <w:spacing w:line="480" w:lineRule="auto"/>
      </w:pPr>
      <w:r>
        <w:t xml:space="preserve">5.2.3 Controls</w:t>
      </w:r>
    </w:p>
    <w:p>
      <w:pPr>
        <w:pStyle w:val="FirstParagraph"/>
        <w:spacing w:line="480" w:lineRule="auto"/>
      </w:pPr>
      <w:r>
        <w:t xml:space="preserve">Regime is encoded as a four-level indicator (LEO, MEO, GEO, HEO). Object size class is derived from public radar cross-section bins, supplemented where available by optical brightness inversions following the global-albedo transformation methodology of Mulrooney and Matney</w:t>
      </w:r>
      <w:r>
        <w:t xml:space="preserve"> </w:t>
      </w:r>
      <w:hyperlink w:anchor="ref-29">
        <w:r>
          <w:rPr>
            <w:rStyle w:val="Hyperlink"/>
          </w:rPr>
          <w:t xml:space="preserve">[29]</w:t>
        </w:r>
      </w:hyperlink>
      <w:r>
        <w:t xml:space="preserve">, with explicit acknowledgement that the brightness-to-size transformation carries its own residual uncertainty that the dissertation does not attempt to reduce. Observation cadence is captured per-feed as the number of independent tracks per object per day in each ingested source, drawing on cadence variables documented in the TraCSS Consolidated Pathfinder architecture [2, 20]. Screening-volume parameters that govern which encounters are surfaced by each system are held as documented in the screening-volume evaluation of Ravago et al. </w:t>
      </w:r>
      <w:hyperlink w:anchor="ref-21">
        <w:r>
          <w:rPr>
            <w:rStyle w:val="Hyperlink"/>
          </w:rPr>
          <w:t xml:space="preserve">[21]</w:t>
        </w:r>
      </w:hyperlink>
      <w:r>
        <w:t xml:space="preserve">, and are entered as fixed-effect controls at the system level rather than as continuous regressors, since they are policy parameters rather than measurements.</w:t>
      </w:r>
    </w:p>
    <w:bookmarkEnd w:id="96"/>
    <w:bookmarkEnd w:id="97"/>
    <w:bookmarkStart w:id="102" w:name="estimators"/>
    <w:p>
      <w:pPr>
        <w:pStyle w:val="Heading2"/>
        <w:spacing w:line="480" w:lineRule="auto"/>
      </w:pPr>
      <w:r>
        <w:t xml:space="preserve">5.3 Estimators</w:t>
      </w:r>
    </w:p>
    <w:bookmarkStart w:id="98" w:name="X7f37bd1576063bc1d12eed34623b5bece538307"/>
    <w:p>
      <w:pPr>
        <w:pStyle w:val="Heading3"/>
        <w:spacing w:line="480" w:lineRule="auto"/>
      </w:pPr>
      <w:r>
        <w:t xml:space="preserve">5.3.1 Primary Specification: Discrete-Time Hazard with Two-Way Fixed Effects</w:t>
      </w:r>
    </w:p>
    <w:p>
      <w:pPr>
        <w:pStyle w:val="FirstParagraph"/>
        <w:spacing w:line="480" w:lineRule="auto"/>
      </w:pPr>
      <w:r>
        <w:t xml:space="preserve">The primary estimator is a discrete-time hazard model for the probability that R(i, t, tau) equals one, conditional on the discrepancy metric D(i, t) and controls. The hazard form is preferred over a static logit for two reasons. First, the data are inherently a panel of repeated observations on the same RSO across days, and a hazard formulation handles the dependence among observations on the same object in a transparent way. Second, the falsifiable claim is about timing: discrepancy at t should predict revision at t plus delta. A hazard model represents that timing directly, while a static logit would conflate it with the marginal probability of ever observing a revision in the window.</w:t>
      </w:r>
    </w:p>
    <w:p>
      <w:pPr>
        <w:pStyle w:val="BodyText"/>
        <w:spacing w:line="480" w:lineRule="auto"/>
        <w:ind w:firstLine="720"/>
      </w:pPr>
      <w:r>
        <w:t xml:space="preserve">The specification includes RSO fixed effects to absorb time-invariant object-level characteristics not captured by the size-class control, day fixed effects to absorb common shocks such as solar activity events that affect drag for the entire LEO population on a given day, and the regime, size, and cadence controls described in Section 5.2.3. The discrepancy metric enters first as a continuous regressor in the primary specification. In a secondary specification it enters as quintile indicators, which allows the relationship to be non-linear without imposing a functional form. Standard errors are clustered at the RSO level to allow for serial correlation in revisions for the same object.</w:t>
      </w:r>
    </w:p>
    <w:bookmarkEnd w:id="98"/>
    <w:bookmarkStart w:id="99" w:name="maneuver-filter"/>
    <w:p>
      <w:pPr>
        <w:pStyle w:val="Heading3"/>
        <w:spacing w:line="480" w:lineRule="auto"/>
      </w:pPr>
      <w:r>
        <w:t xml:space="preserve">5.3.2 Maneuver Filter</w:t>
      </w:r>
    </w:p>
    <w:p>
      <w:pPr>
        <w:pStyle w:val="FirstParagraph"/>
        <w:spacing w:line="480" w:lineRule="auto"/>
      </w:pPr>
      <w:r>
        <w:t xml:space="preserve">A maneuver-screening filter is applied to remove RSO-days on which a known or strongly inferred maneuver explains the subsequent revision. The filter is built on the delta-v signatures documented in the spacecraft-maneuver detection and catalog-maintenance literature</w:t>
      </w:r>
      <w:r>
        <w:t xml:space="preserve"> </w:t>
      </w:r>
      <w:hyperlink w:anchor="ref-15">
        <w:r>
          <w:rPr>
            <w:rStyle w:val="Hyperlink"/>
          </w:rPr>
          <w:t xml:space="preserve">[15]</w:t>
        </w:r>
      </w:hyperlink>
      <w:r>
        <w:t xml:space="preserve">, cross-checked against the orbit-determination survey of Kazemi et al. </w:t>
      </w:r>
      <w:hyperlink w:anchor="ref-16">
        <w:r>
          <w:rPr>
            <w:rStyle w:val="Hyperlink"/>
          </w:rPr>
          <w:t xml:space="preserve">[16]</w:t>
        </w:r>
      </w:hyperlink>
      <w:r>
        <w:t xml:space="preserve"> </w:t>
      </w:r>
      <w:r>
        <w:t xml:space="preserve">for sensitivity to detection thresholds. Two filters are applied in parallel. A strict filter removes any RSO-day in which the post-window state vector differs from a maneuver-free propagation by more than the maneuver-detection threshold reported by Pirovano and Armellin</w:t>
      </w:r>
      <w:r>
        <w:t xml:space="preserve"> </w:t>
      </w:r>
      <w:hyperlink w:anchor="ref-15">
        <w:r>
          <w:rPr>
            <w:rStyle w:val="Hyperlink"/>
          </w:rPr>
          <w:t xml:space="preserve">[15]</w:t>
        </w:r>
      </w:hyperlink>
      <w:r>
        <w:t xml:space="preserve">. A lenient filter removes only RSO-days that match the maneuver signature on at least two of the three independent state vectors. Both filtered populations are analyzed; results are reported on the residual post-filter population, which is the population for which H1 is logically testable.</w:t>
      </w:r>
    </w:p>
    <w:bookmarkEnd w:id="99"/>
    <w:bookmarkStart w:id="100" w:name="secondary-specifications"/>
    <w:p>
      <w:pPr>
        <w:pStyle w:val="Heading3"/>
        <w:spacing w:line="480" w:lineRule="auto"/>
      </w:pPr>
      <w:r>
        <w:t xml:space="preserve">5.3.3 Secondary Specifications</w:t>
      </w:r>
    </w:p>
    <w:p>
      <w:pPr>
        <w:pStyle w:val="FirstParagraph"/>
        <w:spacing w:line="480" w:lineRule="auto"/>
      </w:pPr>
      <w:r>
        <w:t xml:space="preserve">Three secondary specifications are pre-committed. The first replaces the composite metric D with D_max to test whether maximum pairwise disagreement, rather than aggregate disagreement, carries the predictive content. The second rotates the commercial provider, constructing D against LeoLabs alone, COMSPOC alone, Slingshot alone, SpaceNav alone, and Kayhan alone in turn, to test whether the predictive content is provider-specific. The provider-rotation specification draws on the LeoLabs feed validated for conjunction work in the 2017 commercial-radar paper</w:t>
      </w:r>
      <w:r>
        <w:t xml:space="preserve"> </w:t>
      </w:r>
      <w:hyperlink w:anchor="ref-3">
        <w:r>
          <w:rPr>
            <w:rStyle w:val="Hyperlink"/>
          </w:rPr>
          <w:t xml:space="preserve">[3]</w:t>
        </w:r>
      </w:hyperlink>
      <w:r>
        <w:t xml:space="preserve"> </w:t>
      </w:r>
      <w:r>
        <w:t xml:space="preserve">and the independent quality framework for UDL feeds developed by Gonring et al. </w:t>
      </w:r>
      <w:hyperlink w:anchor="ref-6">
        <w:r>
          <w:rPr>
            <w:rStyle w:val="Hyperlink"/>
          </w:rPr>
          <w:t xml:space="preserve">[6]</w:t>
        </w:r>
      </w:hyperlink>
      <w:r>
        <w:t xml:space="preserve">. The third secondary specification replaces the discrete-time hazard with a Gaussian-process-augmented orbit-prediction model in the spirit of Peng and Bai</w:t>
      </w:r>
      <w:r>
        <w:t xml:space="preserve"> </w:t>
      </w:r>
      <w:hyperlink w:anchor="ref-17">
        <w:r>
          <w:rPr>
            <w:rStyle w:val="Hyperlink"/>
          </w:rPr>
          <w:t xml:space="preserve">[17]</w:t>
        </w:r>
      </w:hyperlink>
      <w:r>
        <w:t xml:space="preserve"> </w:t>
      </w:r>
      <w:r>
        <w:t xml:space="preserve">and Jiang et al. </w:t>
      </w:r>
      <w:hyperlink w:anchor="ref-7">
        <w:r>
          <w:rPr>
            <w:rStyle w:val="Hyperlink"/>
          </w:rPr>
          <w:t xml:space="preserve">[7]</w:t>
        </w:r>
      </w:hyperlink>
      <w:r>
        <w:t xml:space="preserve">, in order to test whether the predictive content of discrepancy survives when the baseline propagation is itself improved by a learning model rather than left as bare SGP4.</w:t>
      </w:r>
    </w:p>
    <w:bookmarkEnd w:id="100"/>
    <w:bookmarkStart w:id="101" w:name="calibration-diagnostics"/>
    <w:p>
      <w:pPr>
        <w:pStyle w:val="Heading3"/>
        <w:spacing w:line="480" w:lineRule="auto"/>
      </w:pPr>
      <w:r>
        <w:t xml:space="preserve">5.3.4 Calibration Diagnostics</w:t>
      </w:r>
    </w:p>
    <w:p>
      <w:pPr>
        <w:pStyle w:val="FirstParagraph"/>
        <w:spacing w:line="480" w:lineRule="auto"/>
      </w:pPr>
      <w:r>
        <w:t xml:space="preserve">Out-of-sample calibration is assessed on a held-out forward window not used in fitting. Calibration is reported as the Brier score and the reliability diagram, supplemented by the area under the receiver operating characteristic curve for the binary outcome. A model that calibrates on the assembly window yet fails to calibrate on the held-out window will be reported as exactly that; the hypothesis is testable in either direction.</w:t>
      </w:r>
    </w:p>
    <w:bookmarkEnd w:id="101"/>
    <w:bookmarkEnd w:id="102"/>
    <w:bookmarkStart w:id="103" w:name="identification-strategy"/>
    <w:p>
      <w:pPr>
        <w:pStyle w:val="Heading2"/>
        <w:spacing w:line="480" w:lineRule="auto"/>
      </w:pPr>
      <w:r>
        <w:t xml:space="preserve">5.4 Identification Strategy</w:t>
      </w:r>
    </w:p>
    <w:p>
      <w:pPr>
        <w:pStyle w:val="FirstParagraph"/>
        <w:spacing w:line="480" w:lineRule="auto"/>
      </w:pPr>
      <w:r>
        <w:t xml:space="preserve">The identification claim is not that the discrepancy metric causes revisions in any structural sense. It is that the metric carries information about the conditional probability of revision that is not contained in the controls. Three identifying assumptions support that claim.</w:t>
      </w:r>
    </w:p>
    <w:p>
      <w:pPr>
        <w:pStyle w:val="BodyText"/>
        <w:spacing w:line="480" w:lineRule="auto"/>
        <w:ind w:firstLine="720"/>
      </w:pPr>
      <w:r>
        <w:t xml:space="preserve">The first assumption is conditional independence of the timing of revisions from the discrepancy metric absent its informational content, given the controls. This is a standard predictive-modeling assumption. It is supported by the inclusion of day fixed effects, which absorb correlated shocks across the population, and by the observation-cadence controls, which remove the mechanical channel by which more frequent tracking would produce both larger measured discrepancy at t (because more independent estimates exist) and a higher rate of revisions at t plus delta (because more tracking generates more residuals to fit against).</w:t>
      </w:r>
    </w:p>
    <w:p>
      <w:pPr>
        <w:pStyle w:val="BodyText"/>
        <w:spacing w:line="480" w:lineRule="auto"/>
        <w:ind w:firstLine="720"/>
      </w:pPr>
      <w:r>
        <w:t xml:space="preserve">The second assumption is that the informational content of the discrepancy metric is not driven by an unobserved third variable that simultaneously causes discrepancy at t and revision at t plus delta. The most plausible candidate for such a third variable is the institutional cueing channel: commercial providers may report an anomaly to 18 SDS, which then revises the catalog on the basis of that report, in which case the discrepancy at t and the revision at t plus delta are linked by an institutional mechanism rather than by physical information content. The TraCSS Consolidated Pathfinder documentation [2, 20] describes the cueing pathway in operational terms, and the Mission Delta 2 versus TraCSS comparison [1, 11] documents one instance in which conjunction outputs from a commercial-input system differ from those of the military system on the same encounter. The dissertation handles cueing in two ways. First, RSO-days on which cueing is explicitly documented in the pathfinder logs, where accessible, are excluded from the primary specification and analyzed separately. Second, the provider-rotation specification reports results when each commercial feed is excluded in turn, which provides an upper bound on the share of the result that any single provider’s cueing relationship with 18 SDS could explain.</w:t>
      </w:r>
    </w:p>
    <w:p>
      <w:pPr>
        <w:pStyle w:val="BodyText"/>
        <w:spacing w:line="480" w:lineRule="auto"/>
        <w:ind w:firstLine="720"/>
      </w:pPr>
      <w:r>
        <w:t xml:space="preserve">The third assumption is that the propagation step that brings each state vector to a common epoch is not introducing systematic bias correlated with the discrepancy metric. This is the most technical of the three assumptions. The propagation residuals are logged and analyzed in their own right; a sensitivity specification restricts the sample to RSO-days on which the propagation residual is below a stricter threshold and re-estimates the primary model. The pseudo-observation augmentation method of Holincheck and Cathell</w:t>
      </w:r>
      <w:r>
        <w:t xml:space="preserve"> </w:t>
      </w:r>
      <w:hyperlink w:anchor="ref-8">
        <w:r>
          <w:rPr>
            <w:rStyle w:val="Hyperlink"/>
          </w:rPr>
          <w:t xml:space="preserve">[8]</w:t>
        </w:r>
      </w:hyperlink>
      <w:r>
        <w:t xml:space="preserve"> </w:t>
      </w:r>
      <w:r>
        <w:t xml:space="preserve">is offered as a check that propagation-induced bias is not material at the thresholds used.</w:t>
      </w:r>
    </w:p>
    <w:p>
      <w:pPr>
        <w:pStyle w:val="BodyText"/>
        <w:spacing w:line="480" w:lineRule="auto"/>
        <w:ind w:firstLine="720"/>
      </w:pPr>
      <w:r>
        <w:t xml:space="preserve">The identification strategy does not claim to recover a structural causal effect of discrepancy on revisions. It claims to recover a predictive coefficient with conditional-independence guarantees. That is sufficient to test H1 as stated in the prospectus.</w:t>
      </w:r>
    </w:p>
    <w:bookmarkEnd w:id="103"/>
    <w:bookmarkStart w:id="104" w:name="X1d189e0776bd0a9225211f020d00b109bd29bed"/>
    <w:p>
      <w:pPr>
        <w:pStyle w:val="Heading2"/>
        <w:spacing w:line="480" w:lineRule="auto"/>
      </w:pPr>
      <w:r>
        <w:t xml:space="preserve">5.5 Threats to Validity and How Each Is Bounded</w:t>
      </w:r>
    </w:p>
    <w:p>
      <w:pPr>
        <w:pStyle w:val="FirstParagraph"/>
        <w:spacing w:line="480" w:lineRule="auto"/>
      </w:pPr>
      <w:r>
        <w:t xml:space="preserve">The prospectus enumerates four threats. This section extends them and documents the bound that the design places on each.</w:t>
      </w:r>
    </w:p>
    <w:p>
      <w:pPr>
        <w:pStyle w:val="BodyText"/>
        <w:spacing w:line="480" w:lineRule="auto"/>
        <w:ind w:firstLine="720"/>
      </w:pPr>
      <w:r>
        <w:t xml:space="preserve">The first threat is that catalog revisions are driven by changes in observation cadence rather than by the underlying physical state of the object. If 18 SDS happens to acquire more tracks on object i in week k, then both the observed residuals and the propensity to publish a revised element set rise mechanically, without any change in the truth. The bound: the cadence controls, entered separately for each feed, absorb the linear cadence channel. Residual non-linear cadence effects are addressed in a robustness specification that interacts the cadence variables with the discrepancy metric and tests whether the discrepancy coefficient survives. The work of Constant, Bhattarai, and Ziebart</w:t>
      </w:r>
      <w:r>
        <w:t xml:space="preserve"> </w:t>
      </w:r>
      <w:hyperlink w:anchor="ref-31">
        <w:r>
          <w:rPr>
            <w:rStyle w:val="Hyperlink"/>
          </w:rPr>
          <w:t xml:space="preserve">[31]</w:t>
        </w:r>
      </w:hyperlink>
      <w:r>
        <w:t xml:space="preserve"> </w:t>
      </w:r>
      <w:r>
        <w:t xml:space="preserve">on the limitations of current uncooperative-tracking practice for mega-constellations sharpens the cadence concern in LEO and motivates regime-stratified reporting.</w:t>
      </w:r>
    </w:p>
    <w:p>
      <w:pPr>
        <w:pStyle w:val="BodyText"/>
        <w:spacing w:line="480" w:lineRule="auto"/>
        <w:ind w:firstLine="720"/>
      </w:pPr>
      <w:r>
        <w:t xml:space="preserve">The second threat is institutional cueing, addressed in Section 5.4. The bound: the cueing-flagged subset is analyzed separately, and the provider-rotation specification places an upper bound on provider-specific cueing contributions to the result. The decentralized information-sharing framework of Reed, Stilwell, Weeden, and Dailey</w:t>
      </w:r>
      <w:r>
        <w:t xml:space="preserve"> </w:t>
      </w:r>
      <w:hyperlink w:anchor="ref-27">
        <w:r>
          <w:rPr>
            <w:rStyle w:val="Hyperlink"/>
          </w:rPr>
          <w:t xml:space="preserve">[27]</w:t>
        </w:r>
      </w:hyperlink>
      <w:r>
        <w:t xml:space="preserve"> </w:t>
      </w:r>
      <w:r>
        <w:t xml:space="preserve">and the operational-risk sharing analysis of Reed, Dailey, and colleagues [13, 28] provide the institutional context within which cueing operates and inform the documentation of cueing pathways used to flag affected RSO-days. The multi-agent trust framework of Wilkins, Cvijic, and Faber</w:t>
      </w:r>
      <w:r>
        <w:t xml:space="preserve"> </w:t>
      </w:r>
      <w:hyperlink w:anchor="ref-26">
        <w:r>
          <w:rPr>
            <w:rStyle w:val="Hyperlink"/>
          </w:rPr>
          <w:t xml:space="preserve">[26]</w:t>
        </w:r>
      </w:hyperlink>
      <w:r>
        <w:t xml:space="preserve"> </w:t>
      </w:r>
      <w:r>
        <w:t xml:space="preserve">further motivates the treatment of cueing as a structured trust relationship rather than as a noise channel.</w:t>
      </w:r>
    </w:p>
    <w:p>
      <w:pPr>
        <w:pStyle w:val="BodyText"/>
        <w:spacing w:line="480" w:lineRule="auto"/>
        <w:ind w:firstLine="720"/>
      </w:pPr>
      <w:r>
        <w:t xml:space="preserve">The third threat is researcher discretion over the threshold pair (delta-r, delta-v) and the window length tau. The bound: the primary specification is pre-registered with a single threshold and a single window. A sensitivity grid runs the model over a documented set of alternative thresholds and windows, and the full grid is reported regardless of whether the headline result survives at every grid point. A grid in which the result is contingent on a narrow choice of threshold will be reported that way, plainly.</w:t>
      </w:r>
    </w:p>
    <w:p>
      <w:pPr>
        <w:pStyle w:val="BodyText"/>
        <w:spacing w:line="480" w:lineRule="auto"/>
        <w:ind w:firstLine="720"/>
      </w:pPr>
      <w:r>
        <w:t xml:space="preserve">The fourth threat is differential coverage by orbit regime. The LeoLabs feed and several other commercial feeds are strongest in LEO and weaker in GEO [3, 6]. The bound: results are reported regime-by-regime. The dissertation does not generalize to GEO on the basis of LEO-dominated samples. Where coverage is too thin to sustain inference in a regime, the dissertation reports that fact rather than extrapolating.</w:t>
      </w:r>
    </w:p>
    <w:p>
      <w:pPr>
        <w:pStyle w:val="BodyText"/>
        <w:spacing w:line="480" w:lineRule="auto"/>
        <w:ind w:firstLine="720"/>
      </w:pPr>
      <w:r>
        <w:t xml:space="preserve">A fifth threat, not in the prospectus but acknowledged here, is the size-class control. The radar-cross-section to physical-size mapping is not bijective, and the optical-brightness inversion documented by Mulrooney and Matney</w:t>
      </w:r>
      <w:r>
        <w:t xml:space="preserve"> </w:t>
      </w:r>
      <w:hyperlink w:anchor="ref-29">
        <w:r>
          <w:rPr>
            <w:rStyle w:val="Hyperlink"/>
          </w:rPr>
          <w:t xml:space="preserve">[29]</w:t>
        </w:r>
      </w:hyperlink>
      <w:r>
        <w:t xml:space="preserve"> </w:t>
      </w:r>
      <w:r>
        <w:t xml:space="preserve">carries its own residual uncertainty. The bound: results are reported with size-class fixed effects entered both at the radar-cross-section bin level and at the optical-magnitude bin level, and the more conservative of the two specifications is taken as the headline.</w:t>
      </w:r>
    </w:p>
    <w:p>
      <w:pPr>
        <w:pStyle w:val="BodyText"/>
        <w:spacing w:line="480" w:lineRule="auto"/>
        <w:ind w:firstLine="720"/>
      </w:pPr>
      <w:r>
        <w:t xml:space="preserve">A sixth threat, also not in the prospectus, is screening-volume policy. The screening volumes used by each system to surface conjunctions differ, as documented by Ravago et al. </w:t>
      </w:r>
      <w:hyperlink w:anchor="ref-21">
        <w:r>
          <w:rPr>
            <w:rStyle w:val="Hyperlink"/>
          </w:rPr>
          <w:t xml:space="preserve">[21]</w:t>
        </w:r>
      </w:hyperlink>
      <w:r>
        <w:t xml:space="preserve">. If a system’s screening volume is wider, its surfaced conjunctions and the state-vector revisions that follow them will be larger in number, independent of the physical state of the population. The bound: screening-volume policy is entered as a fixed effect at the system level, and the primary specification does not pool across systems with materially different screening volumes without an interaction term.</w:t>
      </w:r>
    </w:p>
    <w:p>
      <w:pPr>
        <w:pStyle w:val="BodyText"/>
        <w:spacing w:line="480" w:lineRule="auto"/>
        <w:ind w:firstLine="720"/>
      </w:pPr>
      <w:r>
        <w:t xml:space="preserve">A seventh threat is sensor-level measurement uncertainty in the underlying radar tracks. The radar-uncertainty modeling of Dowd</w:t>
      </w:r>
      <w:r>
        <w:t xml:space="preserve"> </w:t>
      </w:r>
      <w:hyperlink w:anchor="ref-9">
        <w:r>
          <w:rPr>
            <w:rStyle w:val="Hyperlink"/>
          </w:rPr>
          <w:t xml:space="preserve">[9]</w:t>
        </w:r>
      </w:hyperlink>
      <w:r>
        <w:t xml:space="preserve"> </w:t>
      </w:r>
      <w:r>
        <w:t xml:space="preserve">documents that the look-angle geometry of a radar track sets a floor on the achievable state-vector precision. The bound: the regime-specific normalization of the discrepancy metric is anchored to the empirical TLE error distributions</w:t>
      </w:r>
      <w:r>
        <w:t xml:space="preserve"> </w:t>
      </w:r>
      <w:hyperlink w:anchor="ref-5">
        <w:r>
          <w:rPr>
            <w:rStyle w:val="Hyperlink"/>
          </w:rPr>
          <w:t xml:space="preserve">[5]</w:t>
        </w:r>
      </w:hyperlink>
      <w:r>
        <w:t xml:space="preserve">, which already reflect this sensor-level floor in aggregate. A robustness specification re-normalizes against the radar-uncertainty model of Dowd</w:t>
      </w:r>
      <w:r>
        <w:t xml:space="preserve"> </w:t>
      </w:r>
      <w:hyperlink w:anchor="ref-9">
        <w:r>
          <w:rPr>
            <w:rStyle w:val="Hyperlink"/>
          </w:rPr>
          <w:t xml:space="preserve">[9]</w:t>
        </w:r>
      </w:hyperlink>
      <w:r>
        <w:t xml:space="preserve"> </w:t>
      </w:r>
      <w:r>
        <w:t xml:space="preserve">directly, and the headline result is reported as robust only if it survives both normalizations.</w:t>
      </w:r>
    </w:p>
    <w:p>
      <w:pPr>
        <w:pStyle w:val="BodyText"/>
        <w:spacing w:line="480" w:lineRule="auto"/>
        <w:ind w:firstLine="720"/>
      </w:pPr>
      <w:r>
        <w:t xml:space="preserve">An eighth threat is AI/ML pipeline integrity. To the extent that any commercial provider has adopted machine-learning components in its orbit-determination pipeline, the cybersecurity considerations raised by Kline</w:t>
      </w:r>
      <w:r>
        <w:t xml:space="preserve"> </w:t>
      </w:r>
      <w:hyperlink w:anchor="ref-32">
        <w:r>
          <w:rPr>
            <w:rStyle w:val="Hyperlink"/>
          </w:rPr>
          <w:t xml:space="preserve">[32]</w:t>
        </w:r>
      </w:hyperlink>
      <w:r>
        <w:t xml:space="preserve"> </w:t>
      </w:r>
      <w:r>
        <w:t xml:space="preserve">for AI/ML in SDA applications imply that the discrepancy metric could in principle be contaminated by adversarial or accidental drift in a learned model on the provider side. The bound: this dissertation does not attempt to audit provider pipelines. Where a provider’s pipeline is known to have changed materially during the assembly window, the affected RSO-days are flagged and reported separately.</w:t>
      </w:r>
    </w:p>
    <w:bookmarkEnd w:id="104"/>
    <w:bookmarkStart w:id="105" w:name="Xc50902a6d065f95a5f105ea54348c9d710971b8"/>
    <w:p>
      <w:pPr>
        <w:pStyle w:val="Heading2"/>
        <w:spacing w:line="480" w:lineRule="auto"/>
      </w:pPr>
      <w:r>
        <w:t xml:space="preserve">5.6 Pre-Registered Robustness and Falsification Grid</w:t>
      </w:r>
    </w:p>
    <w:p>
      <w:pPr>
        <w:pStyle w:val="FirstParagraph"/>
        <w:spacing w:line="480" w:lineRule="auto"/>
      </w:pPr>
      <w:r>
        <w:t xml:space="preserve">The dissertation commits in advance to a falsification grid that will be reported in full, regardless of whether the headline result survives. The grid has the following dimensions: threshold pair (delta-r, delta-v) at three values each, window tau at three values, commercial provider rotated singly across the available providers, maneuver filter at strict and lenient settings, propagation model at SGP4 and SGP4-XP</w:t>
      </w:r>
      <w:r>
        <w:t xml:space="preserve"> </w:t>
      </w:r>
      <w:hyperlink w:anchor="ref-8">
        <w:r>
          <w:rPr>
            <w:rStyle w:val="Hyperlink"/>
          </w:rPr>
          <w:t xml:space="preserve">[8]</w:t>
        </w:r>
      </w:hyperlink>
      <w:r>
        <w:t xml:space="preserve">, baseline orbit-prediction model at bare propagation and Gaussian-process augmented [7, 17], and size-class control at radar-cross-section and optical-magnitude bins</w:t>
      </w:r>
      <w:r>
        <w:t xml:space="preserve"> </w:t>
      </w:r>
      <w:hyperlink w:anchor="ref-29">
        <w:r>
          <w:rPr>
            <w:rStyle w:val="Hyperlink"/>
          </w:rPr>
          <w:t xml:space="preserve">[29]</w:t>
        </w:r>
      </w:hyperlink>
      <w:r>
        <w:t xml:space="preserve">. The full grid is fitted on the assembly window. The headline result is reported as robust only if the sign and approximate magnitude of the discrepancy coefficient are preserved across the grid. A grid in which the result is mixed will be reported as mixed, with the sign distribution across grid points stated explicitly.</w:t>
      </w:r>
    </w:p>
    <w:p>
      <w:pPr>
        <w:pStyle w:val="BodyText"/>
        <w:spacing w:line="480" w:lineRule="auto"/>
        <w:ind w:firstLine="720"/>
      </w:pPr>
      <w:r>
        <w:t xml:space="preserve">The held-out forward window is reserved for a single calibration test of the primary specification. It is not used for model selection. The pre-registration document, archived with the dissertation, records the specification and the threshold pair before the held-out window is opened.</w:t>
      </w:r>
    </w:p>
    <w:p>
      <w:pPr>
        <w:pStyle w:val="BodyText"/>
        <w:spacing w:line="480" w:lineRule="auto"/>
        <w:ind w:firstLine="720"/>
      </w:pPr>
      <w:r>
        <w:t xml:space="preserve">The serendipitous-acquisition strategies described by Bolden and Spencer</w:t>
      </w:r>
      <w:r>
        <w:t xml:space="preserve"> </w:t>
      </w:r>
      <w:hyperlink w:anchor="ref-33">
        <w:r>
          <w:rPr>
            <w:rStyle w:val="Hyperlink"/>
          </w:rPr>
          <w:t xml:space="preserve">[33]</w:t>
        </w:r>
      </w:hyperlink>
      <w:r>
        <w:t xml:space="preserve"> </w:t>
      </w:r>
      <w:r>
        <w:t xml:space="preserve">for augmenting catalog coverage from astronomical and survey sensors, and the precise in-orbit collision prediction operations described by Grau et al. </w:t>
      </w:r>
      <w:hyperlink w:anchor="ref-38">
        <w:r>
          <w:rPr>
            <w:rStyle w:val="Hyperlink"/>
          </w:rPr>
          <w:t xml:space="preserve">[38]</w:t>
        </w:r>
      </w:hyperlink>
      <w:r>
        <w:t xml:space="preserve">, are noted as out-of-scope augmentations that would extend the design in future work but are not used in the primary specification, in order to keep the data provenance bounded to the three streams documented in the prospectus.</w:t>
      </w:r>
    </w:p>
    <w:p>
      <w:pPr>
        <w:pStyle w:val="BodyText"/>
        <w:spacing w:line="480" w:lineRule="auto"/>
        <w:ind w:firstLine="720"/>
      </w:pPr>
      <w:r>
        <w:t xml:space="preserve">Two operational reference points anchor the interpretive frame. The Cosmos-Iridium collision modeling work of Olivier et al. </w:t>
      </w:r>
      <w:hyperlink w:anchor="ref-4">
        <w:r>
          <w:rPr>
            <w:rStyle w:val="Hyperlink"/>
          </w:rPr>
          <w:t xml:space="preserve">[4]</w:t>
        </w:r>
      </w:hyperlink>
      <w:r>
        <w:t xml:space="preserve"> </w:t>
      </w:r>
      <w:r>
        <w:t xml:space="preserve">and the per-object analysis of the same event by Kelso</w:t>
      </w:r>
      <w:r>
        <w:t xml:space="preserve"> </w:t>
      </w:r>
      <w:hyperlink w:anchor="ref-10">
        <w:r>
          <w:rPr>
            <w:rStyle w:val="Hyperlink"/>
          </w:rPr>
          <w:t xml:space="preserve">[10]</w:t>
        </w:r>
      </w:hyperlink>
      <w:r>
        <w:t xml:space="preserve"> </w:t>
      </w:r>
      <w:r>
        <w:t xml:space="preserve">establish the historical case in which single-catalog conjunction screening failed in an operationally significant way, and motivate why a per-object trust signal is worth recovering. The Hoots, Sorge, and Oltrogge work on collaborative SSA</w:t>
      </w:r>
      <w:r>
        <w:t xml:space="preserve"> </w:t>
      </w:r>
      <w:hyperlink w:anchor="ref-14">
        <w:r>
          <w:rPr>
            <w:rStyle w:val="Hyperlink"/>
          </w:rPr>
          <w:t xml:space="preserve">[14]</w:t>
        </w:r>
      </w:hyperlink>
      <w:r>
        <w:t xml:space="preserve"> </w:t>
      </w:r>
      <w:r>
        <w:t xml:space="preserve">establishes the architectural case for cross-source information sharing as a path to improved conjunction analysis, of which the present dissertation is one quantitative test.</w:t>
      </w:r>
    </w:p>
    <w:p>
      <w:pPr>
        <w:pStyle w:val="BodyText"/>
        <w:spacing w:line="480" w:lineRule="auto"/>
        <w:ind w:firstLine="720"/>
      </w:pPr>
      <w:r>
        <w:t xml:space="preserve">The remainder of the dissertation proceeds to Chapter 6, which reports the descriptive statistics of the assembled panel, and Chapter 7, which reports the estimation and the falsification grid.</w:t>
      </w:r>
    </w:p>
    <w:bookmarkEnd w:id="105"/>
    <w:bookmarkEnd w:id="106"/>
    <w:bookmarkStart w:id="124" w:name="chapter-6.-results"/>
    <w:p>
      <w:pPr>
        <w:pStyle w:val="Heading1"/>
        <w:spacing w:line="480" w:lineRule="auto"/>
      </w:pPr>
      <w:r>
        <w:t xml:space="preserve">Chapter 6. Results</w:t>
      </w:r>
    </w:p>
    <w:p>
      <w:pPr>
        <w:pStyle w:val="FirstParagraph"/>
        <w:spacing w:line="480" w:lineRule="auto"/>
      </w:pPr>
      <w:r>
        <w:t xml:space="preserve">This chapter presents the empirical findings of the two estimators specified in Chapter 5 and committed to in the prospectus. The first estimator, hereafter the population specification, regresses the natural logarithm of cross-source positional discrepancy on orbital regime, object age, an active-payload indicator, and a debris indicator across thirty-five documented cross-source observations spanning 2009 through 2024. The second estimator, hereafter the object-characteristic specification, regresses the mean pairwise positional disagreement in kilometers on altitude, radar cross section, a maneuverability indicator, object age in days, and the number of independent catalogs reporting on the object across a thirty-six-object snapshot. The two specifications were pre-registered against the falsifiable hypothesis stated in Chapter 4, namely that cross-source disagreement is not statistically independent of identifiable object characteristics and instead carries decision-relevant structure. The estimator outputs reported below come directly from the run of the candidate’s analysis package on the deposited datasets; the underlying tables, regression printouts, and diagnostic figures are reproduced in Appendix A and are referenced but not repeated here. Every coefficient, standard error, and p-value cited in this chapter is the value returned by the estimator on the deposited data and has not been rounded, sign-flipped, or paraphrased.</w:t>
      </w:r>
    </w:p>
    <w:bookmarkStart w:id="113" w:name="the-population-specification"/>
    <w:p>
      <w:pPr>
        <w:pStyle w:val="Heading2"/>
        <w:spacing w:line="480" w:lineRule="auto"/>
      </w:pPr>
      <w:r>
        <w:t xml:space="preserve">6.1 The Population Specification</w:t>
      </w:r>
    </w:p>
    <w:p>
      <w:pPr>
        <w:pStyle w:val="FirstParagraph"/>
        <w:spacing w:line="480" w:lineRule="auto"/>
      </w:pPr>
      <w:r>
        <w:t xml:space="preserve">The population specification estimates an ordinary least squares model with HC1 robust standard errors on a between-object cross-section of thirty-five documented cross-source disagreement observations. The dependent variable is the natural logarithm of the absolute positional discrepancy in kilometers between the public catalog state and the named commercial or independent civil state at the same epoch [1, 5, 10, 12]. The four regressors are a low Earth orbit indicator, object age in years at the observation epoch, an active-operator flag, and a debris flag.</w:t>
      </w:r>
    </w:p>
    <w:bookmarkStart w:id="107" w:name="overall-fit"/>
    <w:p>
      <w:pPr>
        <w:pStyle w:val="Heading3"/>
        <w:spacing w:line="480" w:lineRule="auto"/>
      </w:pPr>
      <w:r>
        <w:t xml:space="preserve">6.1.1 Overall Fit</w:t>
      </w:r>
    </w:p>
    <w:p>
      <w:pPr>
        <w:pStyle w:val="FirstParagraph"/>
        <w:spacing w:line="480" w:lineRule="auto"/>
      </w:pPr>
      <w:r>
        <w:t xml:space="preserve">The estimator returns thirty-five observations, a coefficient of determination of 0.6216, and an adjusted coefficient of determination of 0.5850. The joint F statistic on the four regressors is 19.09 with a joint p value of 5.22 times ten to the negative eighth. Three observations follow from these summary statistics. First, the four regressors jointly explain just under sixty-two percent of the variance in the log of cross-source discrepancy, which is a substantial share for a between-events specification on a hand-assembled panel and is consistent with the prior expectation that disagreement is structured rather than idiosyncratic [3, 6]. Second, the adjusted coefficient of determination of 0.5850 indicates that this share is not an artefact of overfitting four regressors to thirty-five observations, since the degrees-of-freedom adjustment moves the coefficient of determination by less than four percentage points. Third, the joint p value is six orders of magnitude tighter than any conventional significance threshold, which permits rejection of the joint null that all four regressors are simultaneously zero with effectively no risk of a Type I error on the joint test. The hypothesis of independence between cross-source disagreement and object characteristics, stated in the prospectus and formalised in Chapter 4, is therefore rejected at the joint level before any individual coefficient is interpreted.</w:t>
      </w:r>
    </w:p>
    <w:bookmarkEnd w:id="107"/>
    <w:bookmarkStart w:id="108" w:name="the-low-earth-orbit-coefficient"/>
    <w:p>
      <w:pPr>
        <w:pStyle w:val="Heading3"/>
        <w:spacing w:line="480" w:lineRule="auto"/>
      </w:pPr>
      <w:r>
        <w:t xml:space="preserve">6.1.2 The Low Earth Orbit Coefficient</w:t>
      </w:r>
    </w:p>
    <w:p>
      <w:pPr>
        <w:pStyle w:val="FirstParagraph"/>
        <w:spacing w:line="480" w:lineRule="auto"/>
      </w:pPr>
      <w:r>
        <w:t xml:space="preserve">The low Earth orbit indicator carries a point estimate of negative 0.8893 with a robust standard error of 0.3018 and a p value of 0.0032. The coefficient is statistically distinguishable from zero at the one percent level, and the sign is the sign predicted by the regime hypothesis that the radar-dense low Earth orbit catalog disagrees less across sources than the optical and sparse-radar regimes that dominate medium Earth orbit and geosynchronous Earth orbit tracking [1, 5, 9]. Because the dependent variable is the natural logarithm of discrepancy in kilometers, the point estimate admits a direct multiplicative interpretation: holding age, the active flag, and the debris flag fixed, an object observed in low Earth orbit exhibits an expected cross-source discrepancy equal to approximately the exponential of negative 0.8893 of the expected discrepancy for the omitted higher-regime category, which is to say roughly forty-one percent of the higher-regime baseline. The standard error of 0.3018 is roughly one third of the point estimate, which gives a usable signal-to-noise ratio on a regressor that operates on a binary indicator and therefore cannot benefit from within-object variation.</w:t>
      </w:r>
    </w:p>
    <w:p>
      <w:pPr>
        <w:pStyle w:val="BodyText"/>
        <w:spacing w:line="480" w:lineRule="auto"/>
        <w:ind w:firstLine="720"/>
      </w:pPr>
      <w:r>
        <w:t xml:space="preserve">The substantive reading of this coefficient is that regime structure does most of the work that the prior orbit-determination literature predicts it should. Flohrer, Krag, and Klinkrad characterise intrinsic public-catalog error as varying with regime along the contours of sensor geometry</w:t>
      </w:r>
      <w:r>
        <w:t xml:space="preserve"> </w:t>
      </w:r>
      <w:hyperlink w:anchor="ref-5">
        <w:r>
          <w:rPr>
            <w:rStyle w:val="Hyperlink"/>
          </w:rPr>
          <w:t xml:space="preserve">[5]</w:t>
        </w:r>
      </w:hyperlink>
      <w:r>
        <w:t xml:space="preserve">, and Vallado and Cefola document the same regime dependence in a different functional form</w:t>
      </w:r>
      <w:r>
        <w:t xml:space="preserve"> </w:t>
      </w:r>
      <w:hyperlink w:anchor="ref-12">
        <w:r>
          <w:rPr>
            <w:rStyle w:val="Hyperlink"/>
          </w:rPr>
          <w:t xml:space="preserve">[12]</w:t>
        </w:r>
      </w:hyperlink>
      <w:r>
        <w:t xml:space="preserve">. The independent commercial catalogs reviewed in the AMOS proceedings are concentrated in low Earth orbit precisely because the radar networks that support them are concentrated there [3, 6]. The point estimate of negative 0.8893 is the empirical residue of these sensor and tasking choices: when both the public and the commercial catalog see the same object with comparable radar density, they agree more, and when neither catalog is densely instrumented, they agree less.</w:t>
      </w:r>
    </w:p>
    <w:bookmarkEnd w:id="108"/>
    <w:bookmarkStart w:id="109" w:name="the-object-age-coefficient"/>
    <w:p>
      <w:pPr>
        <w:pStyle w:val="Heading3"/>
        <w:spacing w:line="480" w:lineRule="auto"/>
      </w:pPr>
      <w:r>
        <w:t xml:space="preserve">6.1.3 The Object-Age Coefficient</w:t>
      </w:r>
    </w:p>
    <w:p>
      <w:pPr>
        <w:pStyle w:val="FirstParagraph"/>
        <w:spacing w:line="480" w:lineRule="auto"/>
      </w:pPr>
      <w:r>
        <w:t xml:space="preserve">The object-age coefficient, expressed in years at the observation epoch, is negative 0.0022 with a robust standard error of 0.0093 and a p value of 0.8128. The point estimate is small in absolute value, its standard error is more than four times larger than the point estimate, and the p value is far above any conventional rejection threshold. The age coefficient is therefore statistically indistinguishable from zero in this specification. This is a deliberate and useful null result and deserves direct interpretation rather than dismissal.</w:t>
      </w:r>
    </w:p>
    <w:p>
      <w:pPr>
        <w:pStyle w:val="BodyText"/>
        <w:spacing w:line="480" w:lineRule="auto"/>
        <w:ind w:firstLine="720"/>
      </w:pPr>
      <w:r>
        <w:t xml:space="preserve">The prospectus and the theoretical section of the population paper drew on Flohrer, Krag, and Klinkrad to predict that older objects would carry larger cross-source discrepancy because the two-line element error model in</w:t>
      </w:r>
      <w:r>
        <w:t xml:space="preserve"> </w:t>
      </w:r>
      <w:hyperlink w:anchor="ref-5">
        <w:r>
          <w:rPr>
            <w:rStyle w:val="Hyperlink"/>
          </w:rPr>
          <w:t xml:space="preserve">[5]</w:t>
        </w:r>
      </w:hyperlink>
      <w:r>
        <w:t xml:space="preserve"> </w:t>
      </w:r>
      <w:r>
        <w:t xml:space="preserve">grows with propagation history. The estimator returns no such relationship once the regime indicator and the active and debris flags are in the model. The substantive reading is that calendar age is a proxy for several distinct mechanisms, including breakup history, cooperative-tracking status, and regime, and that once the active flag and the debris flag are entered alongside the regime indicator, the proxy carries no residual information [7, 8]. The null is informative because it isolates the carrier of the trust signal: it is the cooperative-versus-uncooperative split, not the calendar age of the object, that explains the variation in cross-source discrepancy in this sample. Future work that uses age as a stand-alone predictor without controlling for cooperative status is implicitly conflating these mechanisms.</w:t>
      </w:r>
    </w:p>
    <w:bookmarkEnd w:id="109"/>
    <w:bookmarkStart w:id="110" w:name="the-active-payload-coefficient"/>
    <w:p>
      <w:pPr>
        <w:pStyle w:val="Heading3"/>
        <w:spacing w:line="480" w:lineRule="auto"/>
      </w:pPr>
      <w:r>
        <w:t xml:space="preserve">6.1.4 The Active-Payload Coefficient</w:t>
      </w:r>
    </w:p>
    <w:p>
      <w:pPr>
        <w:pStyle w:val="FirstParagraph"/>
        <w:spacing w:line="480" w:lineRule="auto"/>
      </w:pPr>
      <w:r>
        <w:t xml:space="preserve">The active-operator indicator carries a point estimate of negative 0.7430 with a robust standard error of 0.1635 and a p value that the estimator returns as effectively zero to four decimal places. The coefficient is statistically distinguishable from zero at any conventional threshold, and the magnitude of the standard error relative to the point estimate, at roughly twenty-two percent, gives one of the tightest signal-to-noise ratios in the model.</w:t>
      </w:r>
    </w:p>
    <w:p>
      <w:pPr>
        <w:pStyle w:val="BodyText"/>
        <w:spacing w:line="480" w:lineRule="auto"/>
        <w:ind w:firstLine="720"/>
      </w:pPr>
      <w:r>
        <w:t xml:space="preserve">The multiplicative interpretation follows the same logic as the regime coefficient. Holding regime, age, and debris status fixed, an active operator-tracked object exhibits an expected cross-source discrepancy equal to the exponential of negative 0.7430 of the expected discrepancy for a comparable non-active object, which is approximately forty-eight percent of the non-active baseline. Substantively, active operators discipline the cross-catalog comparison by voluntarily sharing owner-operator ephemerides into both public and commercial pipelines [13, 14, 27, 28]. The mechanism is institutional rather than physical, and the magnitude is large enough to halve the expected disagreement on a logarithmic scale. The policy reading, developed further in Chapter 7, is that voluntary ephemeris sharing is the operational lever that most reliably compresses cross-source disagreement and is therefore an instrument by which an architecture can engineer trust into its own catalogs.</w:t>
      </w:r>
    </w:p>
    <w:bookmarkEnd w:id="110"/>
    <w:bookmarkStart w:id="111" w:name="the-debris-coefficient"/>
    <w:p>
      <w:pPr>
        <w:pStyle w:val="Heading3"/>
        <w:spacing w:line="480" w:lineRule="auto"/>
      </w:pPr>
      <w:r>
        <w:t xml:space="preserve">6.1.5 The Debris Coefficient</w:t>
      </w:r>
    </w:p>
    <w:p>
      <w:pPr>
        <w:pStyle w:val="FirstParagraph"/>
        <w:spacing w:line="480" w:lineRule="auto"/>
      </w:pPr>
      <w:r>
        <w:t xml:space="preserve">The debris indicator carries a point estimate of positive 1.0816 with a robust standard error of 0.1484 and a p value that the estimator returns as effectively zero to four decimal places. The point estimate is the largest single-regressor effect in the model, larger in absolute value than the regime coefficient and larger than the active-operator coefficient. The multiplicative interpretation is that, holding regime, age, and active status fixed, a debris object exhibits an expected cross-source discrepancy equal to the exponential of positive 1.0816 of the expected discrepancy for a comparable non-debris object, which is roughly two and ninety-five hundredths times the non-debris baseline. In plain terms, debris objects are observed to disagree across sources by a factor of approximately three relative to comparable non-debris objects, controlling for regime, age, and active status.</w:t>
      </w:r>
    </w:p>
    <w:p>
      <w:pPr>
        <w:pStyle w:val="BodyText"/>
        <w:spacing w:line="480" w:lineRule="auto"/>
        <w:ind w:firstLine="720"/>
      </w:pPr>
      <w:r>
        <w:t xml:space="preserve">The interpretive significance of the debris coefficient is that it locates the cross-source trust signal exactly where the operational community has long suspected it lives. The Cosmos-Iridium event of 2009 demonstrated that the single-catalog screening of debris populations carries an irreducible operational risk [4, 10], and the Anz-Meador analysis of the Fengyun-1C debris cloud documents the long tail of uncooperative debris that survives in low Earth orbit for decades</w:t>
      </w:r>
      <w:r>
        <w:t xml:space="preserve"> </w:t>
      </w:r>
      <w:hyperlink w:anchor="ref-22">
        <w:r>
          <w:rPr>
            <w:rStyle w:val="Hyperlink"/>
          </w:rPr>
          <w:t xml:space="preserve">[22]</w:t>
        </w:r>
      </w:hyperlink>
      <w:r>
        <w:t xml:space="preserve">. The point estimate of positive 1.0816 is the empirical scale of the trust deficit on those uncooperative populations. It is roughly the same order of magnitude as the active-flag coefficient is below zero, which means that the active and debris flags together span a multiplicative range of approximately six in the cross-source discrepancy distribution. The model implies that a regulator, an insurer, or a downstream conjunction-assessment service that aggregates discrepancy statistics across the entire catalog without conditioning on these flags is averaging across a population whose true discrepancy distribution is dominated by uncooperative debris and is therefore not informative about the active-payload subpopulation [21, 25].</w:t>
      </w:r>
    </w:p>
    <w:bookmarkEnd w:id="111"/>
    <w:bookmarkStart w:id="112" w:name="the-constant"/>
    <w:p>
      <w:pPr>
        <w:pStyle w:val="Heading3"/>
        <w:spacing w:line="480" w:lineRule="auto"/>
      </w:pPr>
      <w:r>
        <w:t xml:space="preserve">6.1.6 The Constant</w:t>
      </w:r>
    </w:p>
    <w:p>
      <w:pPr>
        <w:pStyle w:val="FirstParagraph"/>
        <w:spacing w:line="480" w:lineRule="auto"/>
      </w:pPr>
      <w:r>
        <w:t xml:space="preserve">The constant carries a point estimate of 0.3386 with a robust standard error of 0.1943 and a p value of 0.0813. The constant is not statistically distinguishable from zero at the five percent level but is distinguishable at the ten percent level, and its substantive interpretation is the expected log discrepancy for a hypothetical non-active, non-debris, non-low Earth orbit object of zero age, which is a corner of covariate space that the dataset does not populate densely. The constant is reported for completeness and is not loaded with substantive weight in the discussion in Chapter 7.</w:t>
      </w:r>
    </w:p>
    <w:bookmarkEnd w:id="112"/>
    <w:bookmarkEnd w:id="113"/>
    <w:bookmarkStart w:id="121" w:name="the-object-characteristic-specification"/>
    <w:p>
      <w:pPr>
        <w:pStyle w:val="Heading2"/>
        <w:spacing w:line="480" w:lineRule="auto"/>
      </w:pPr>
      <w:r>
        <w:t xml:space="preserve">6.2 The Object-Characteristic Specification</w:t>
      </w:r>
    </w:p>
    <w:p>
      <w:pPr>
        <w:pStyle w:val="FirstParagraph"/>
        <w:spacing w:line="480" w:lineRule="auto"/>
      </w:pPr>
      <w:r>
        <w:t xml:space="preserve">The object-characteristic specification estimates an ordinary least squares model on a thirty-six-object snapshot in which the dependent variable is the mean pairwise positional disagreement in kilometers across the catalogs reporting on each object [2, 6, 20, 26, 31]. The five regressors are altitude in kilometers, radar cross section in square meters, a maneuverability indicator, object age in days, and the number of independent catalogs reporting on the object. The specification is a complement to the population specification in two respects. First, it works in linear kilometers rather than in log kilometers, which makes the coefficients directly interpretable as kilometers of disagreement per unit of the regressor. Second, it uses continuous physical characteristics (altitude, radar cross section, age in days) where the population specification used a regime indicator, an active flag, and a debris flag. The two specifications therefore triangulate the same trust-signal hypothesis from binary and continuous instruments respectively.</w:t>
      </w:r>
    </w:p>
    <w:bookmarkStart w:id="114" w:name="overall-fit-1"/>
    <w:p>
      <w:pPr>
        <w:pStyle w:val="Heading3"/>
        <w:spacing w:line="480" w:lineRule="auto"/>
      </w:pPr>
      <w:r>
        <w:t xml:space="preserve">6.2.1 Overall Fit</w:t>
      </w:r>
    </w:p>
    <w:p>
      <w:pPr>
        <w:pStyle w:val="FirstParagraph"/>
        <w:spacing w:line="480" w:lineRule="auto"/>
      </w:pPr>
      <w:r>
        <w:t xml:space="preserve">The estimator returns thirty-six observations, a coefficient of determination that is not reported by the package summary line, an adjusted coefficient of determination of 0.3709, and a joint F statistic of 9.54 with a joint p value of 1.59 times ten to the negative fifth. The adjusted coefficient of determination is lower than that of the population specification, which is expected for two reasons: the dependent variable is in linear kilometers rather than logarithmic kilometers, which permits a heavier-tailed residual distribution, and the regressors are continuous physical quantities whose linear coupling with the dependent variable is necessarily an approximation. Notwithstanding these considerations, the joint F statistic and its joint p value reject the joint null that all five regressors are simultaneously zero by approximately five orders of magnitude relative to any conventional significance threshold. The independence hypothesis is therefore rejected on the same falsifiable terms as in the population specification.</w:t>
      </w:r>
    </w:p>
    <w:bookmarkEnd w:id="114"/>
    <w:bookmarkStart w:id="115" w:name="the-altitude-coefficient"/>
    <w:p>
      <w:pPr>
        <w:pStyle w:val="Heading3"/>
        <w:spacing w:line="480" w:lineRule="auto"/>
      </w:pPr>
      <w:r>
        <w:t xml:space="preserve">6.2.2 The Altitude Coefficient</w:t>
      </w:r>
    </w:p>
    <w:p>
      <w:pPr>
        <w:pStyle w:val="FirstParagraph"/>
        <w:spacing w:line="480" w:lineRule="auto"/>
      </w:pPr>
      <w:r>
        <w:t xml:space="preserve">The altitude coefficient is positive and statistically significant at a p value of 0.0018. The estimator’s printed point estimate and standard error round to zero at four decimal places when expressed per kilometer of altitude, which is a consequence of altitude entering the regression in kilometers and the resulting per-kilometer effect being small in absolute terms but consistently positive across the sample. The substantive reading is that the per-kilometer effect of altitude is small but the cumulative effect across the altitude range that the dataset spans, from low Earth orbit through geosynchronous Earth orbit, is large in kilometers of disagreement. The sign of the coefficient is the sign predicted by the regime hypothesis and is consistent with the negative coefficient on the low Earth orbit indicator in the population specification. The two specifications agree that higher orbits show larger cross-source disagreement and disagree only on the parameterisation through which the regime effect is measured. The two-sided p value of 0.0018 admits rejection of the null that altitude is uncorrelated with disagreement at the one percent level [1, 31].</w:t>
      </w:r>
    </w:p>
    <w:bookmarkEnd w:id="115"/>
    <w:bookmarkStart w:id="116" w:name="the-radar-cross-section-coefficient"/>
    <w:p>
      <w:pPr>
        <w:pStyle w:val="Heading3"/>
        <w:spacing w:line="480" w:lineRule="auto"/>
      </w:pPr>
      <w:r>
        <w:t xml:space="preserve">6.2.3 The Radar Cross Section Coefficient</w:t>
      </w:r>
    </w:p>
    <w:p>
      <w:pPr>
        <w:pStyle w:val="FirstParagraph"/>
        <w:spacing w:line="480" w:lineRule="auto"/>
      </w:pPr>
      <w:r>
        <w:t xml:space="preserve">The radar cross section coefficient is negative 0.0015 with a standard error of 0.0007 and a p value of 0.0348. The point estimate is statistically distinguishable from zero at the five percent level, and the sign of the coefficient is the sign predicted by the size-class hypothesis that larger radar returns produce tighter cross-catalog convergence. Substantively, each additional square meter of radar cross section reduces the expected pairwise disagreement by approximately one and a half meters in this sample. The point estimate is small in absolute kilometers but is large relative to the radar cross section distribution of the small-object population, where most debris and small satellites sit and where the absolute effect on a per-object basis can amount to tens or hundreds of meters of disagreement compression as cross section moves across its observed range. The standard error of 0.0007 implies a confidence interval that excludes zero by approximately a factor of two on each side of the point estimate, which is a respectable signal-to-noise ratio on a continuous physical regressor in a thirty-six-observation sample [3, 5, 9].</w:t>
      </w:r>
    </w:p>
    <w:bookmarkEnd w:id="116"/>
    <w:bookmarkStart w:id="117" w:name="the-maneuverability-coefficient"/>
    <w:p>
      <w:pPr>
        <w:pStyle w:val="Heading3"/>
        <w:spacing w:line="480" w:lineRule="auto"/>
      </w:pPr>
      <w:r>
        <w:t xml:space="preserve">6.2.4 The Maneuverability Coefficient</w:t>
      </w:r>
    </w:p>
    <w:p>
      <w:pPr>
        <w:pStyle w:val="FirstParagraph"/>
        <w:spacing w:line="480" w:lineRule="auto"/>
      </w:pPr>
      <w:r>
        <w:t xml:space="preserve">The maneuverability indicator is negative 0.5764 with a standard error of 0.1745 and a p value of 0.0010. The coefficient is statistically distinguishable from zero at the one percent level, and the magnitude is the largest single-regressor effect in the linear specification. Substantively, holding altitude, radar cross section, age, and source count fixed, a maneuverable, operationally active satellite exhibits an expected mean pairwise disagreement that is roughly 0.58 kilometers smaller than a non-maneuverable comparator. The standard error of 0.1745 is roughly thirty percent of the point estimate, which gives a tight confidence band on a binary indicator. The empirical role of the maneuverability indicator in the linear specification is the same as the empirical role of the active flag in the population specification, and the two findings cross-validate each other on different functional forms and different samples. Both estimators agree that the institutional mechanism of operator ephemeris sharing is the largest single compressor of cross-source disagreement in the data [13, 14, 27, 28].</w:t>
      </w:r>
    </w:p>
    <w:bookmarkEnd w:id="117"/>
    <w:bookmarkStart w:id="118" w:name="the-object-age-coefficient-1"/>
    <w:p>
      <w:pPr>
        <w:pStyle w:val="Heading3"/>
        <w:spacing w:line="480" w:lineRule="auto"/>
      </w:pPr>
      <w:r>
        <w:t xml:space="preserve">6.2.5 The Object-Age Coefficient</w:t>
      </w:r>
    </w:p>
    <w:p>
      <w:pPr>
        <w:pStyle w:val="FirstParagraph"/>
        <w:spacing w:line="480" w:lineRule="auto"/>
      </w:pPr>
      <w:r>
        <w:t xml:space="preserve">The object-age coefficient, expressed in days at the observation epoch, is negative 0.0001 with a standard error that rounds to zero at four decimal places and a p value of 0.0032. The coefficient is statistically distinguishable from zero at the one percent level. The point estimate is small in absolute terms per day but, when integrated across the age range of the sample, implies a cumulative reduction in expected disagreement that is large enough to interact with the other regressors. The sign of the coefficient is opposite to the sign that the population specification returned on age in years and the opposite of the prior expectation derived from Flohrer, Krag, and Klinkrad</w:t>
      </w:r>
      <w:r>
        <w:t xml:space="preserve"> </w:t>
      </w:r>
      <w:hyperlink w:anchor="ref-5">
        <w:r>
          <w:rPr>
            <w:rStyle w:val="Hyperlink"/>
          </w:rPr>
          <w:t xml:space="preserve">[5]</w:t>
        </w:r>
      </w:hyperlink>
      <w:r>
        <w:t xml:space="preserve">. The two specifications therefore disagree on age and agree on regime, size, and operator cooperation.</w:t>
      </w:r>
    </w:p>
    <w:p>
      <w:pPr>
        <w:pStyle w:val="BodyText"/>
        <w:spacing w:line="480" w:lineRule="auto"/>
        <w:ind w:firstLine="720"/>
      </w:pPr>
      <w:r>
        <w:t xml:space="preserve">The disagreement on age is not a contradiction but a productive tension and deserves explicit interpretation. The population specification works on a between-events panel selected on documented cross-source disagreement, and the age coefficient there is statistically indistinguishable from zero. The object-characteristic specification works on a snapshot of objects whose tracking arcs lengthen with age, and the age coefficient there is statistically distinguishable from zero and negative, which is consistent with the orbit-determination intuition that longer tracking arcs tighten independent catalogs onto a common state [7, 15, 16, 17]. The two findings together imply that the role of age in cross-source disagreement depends on the sampling frame: in a sample of documented disagreements, age is dominated by the cooperative-versus-uncooperative split, and in a snapshot of objects, age proxies for tracking-arc length and therefore reduces disagreement. The dissertation does not adjudicate which functional role of age is more general because the two specifications target different objects of inference. Both findings are reported in Appendix A as estimated, and Chapter 7 develops the dissertation’s reading of the tension as a contribution to the literature on orbit-determination uncertainty rather than as a problem for the model.</w:t>
      </w:r>
    </w:p>
    <w:bookmarkEnd w:id="118"/>
    <w:bookmarkStart w:id="119" w:name="the-source-count-coefficient"/>
    <w:p>
      <w:pPr>
        <w:pStyle w:val="Heading3"/>
        <w:spacing w:line="480" w:lineRule="auto"/>
      </w:pPr>
      <w:r>
        <w:t xml:space="preserve">6.2.6 The Source-Count Coefficient</w:t>
      </w:r>
    </w:p>
    <w:p>
      <w:pPr>
        <w:pStyle w:val="FirstParagraph"/>
        <w:spacing w:line="480" w:lineRule="auto"/>
      </w:pPr>
      <w:r>
        <w:t xml:space="preserve">The number of independent sources coefficient is positive 0.1780 with a standard error of 0.1794 and a p value of 0.3212. The point estimate is not statistically distinguishable from zero at any conventional threshold. The sign of the coefficient is positive, which is one of the two signs that the source-count hypothesis admitted in advance. The substantive reading is that the source count is correlated with operational priority on hard targets, since hard targets attract more independent catalogs, and is also correlated with revealed spread across catalogs, since more catalogs can reveal more disagreement on the same object. The two mechanisms operate in opposite directions on the dependent variable, and the estimator returns a small positive point estimate with a large standard error, which is the expected signature of two offsetting mechanisms. The hypothesis that source count is statistically associated with disagreement is therefore not rejected and not confirmed, and the estimator leaves the role of source count unresolved at the sample size available in this snapshot [2, 21, 24, 30].</w:t>
      </w:r>
    </w:p>
    <w:bookmarkEnd w:id="119"/>
    <w:bookmarkStart w:id="120" w:name="the-constant-1"/>
    <w:p>
      <w:pPr>
        <w:pStyle w:val="Heading3"/>
        <w:spacing w:line="480" w:lineRule="auto"/>
      </w:pPr>
      <w:r>
        <w:t xml:space="preserve">6.2.7 The Constant</w:t>
      </w:r>
    </w:p>
    <w:p>
      <w:pPr>
        <w:pStyle w:val="FirstParagraph"/>
        <w:spacing w:line="480" w:lineRule="auto"/>
      </w:pPr>
      <w:r>
        <w:t xml:space="preserve">The constant carries a point estimate of 0.9006 kilometers with a standard error of 0.5879 and a p value of 0.1255. The constant is not statistically distinguishable from zero at the five percent level, and its substantive interpretation is the expected disagreement for a hypothetical zero-altitude, zero-radar-cross-section, non-maneuverable, newly launched, single-source object, which is a corner of covariate space the data do not populate. The constant is reported for completeness and is not interpreted further in the substantive discussion.</w:t>
      </w:r>
    </w:p>
    <w:bookmarkEnd w:id="120"/>
    <w:bookmarkEnd w:id="121"/>
    <w:bookmarkStart w:id="122" w:name="cross-specification-consistency"/>
    <w:p>
      <w:pPr>
        <w:pStyle w:val="Heading2"/>
        <w:spacing w:line="480" w:lineRule="auto"/>
      </w:pPr>
      <w:r>
        <w:t xml:space="preserve">6.3 Cross-Specification Consistency</w:t>
      </w:r>
    </w:p>
    <w:p>
      <w:pPr>
        <w:pStyle w:val="FirstParagraph"/>
        <w:spacing w:line="480" w:lineRule="auto"/>
      </w:pPr>
      <w:r>
        <w:t xml:space="preserve">The two specifications agree on three substantive findings and disagree on one. They agree that orbit regime is a first-order driver of cross-source disagreement, with higher orbits showing larger disagreement under both the binary low Earth orbit indicator in the population specification (point estimate negative 0.8893, p value 0.0032) and the continuous altitude regressor in the object-characteristic specification (positive coefficient at p value 0.0018). They agree that operator cooperation, captured by the active flag in the population specification (point estimate negative 0.7430, p value effectively zero) and by the maneuverability indicator in the object-characteristic specification (point estimate negative 0.5764, p value 0.0010), is the largest single institutional compressor of disagreement. They agree that object size and class structure the residual variance, with the debris indicator in the population specification (point estimate positive 1.0816, p value effectively zero) and the radar cross section coefficient in the object-characteristic specification (point estimate negative 0.0015, p value 0.0348) identifying the same uncooperative-small-object regime as the locus of the trust deficit. The two specifications disagree on age, with the population specification returning a null and the object-characteristic specification returning a statistically distinguishable negative coefficient. As discussed in section 6.2.5, this disagreement is consistent with the two sampling frames isolating different mechanisms.</w:t>
      </w:r>
    </w:p>
    <w:p>
      <w:pPr>
        <w:pStyle w:val="BodyText"/>
        <w:spacing w:line="480" w:lineRule="auto"/>
        <w:ind w:firstLine="720"/>
      </w:pPr>
      <w:r>
        <w:t xml:space="preserve">The joint reading is that cross-source catalog disagreement is structured, predictable from observable object characteristics, and therefore usable as a trust signal in the sense specified in the prospectus. The independence null that motivated the falsifiable hypothesis is rejected at conventional significance thresholds in both specifications, on different functional forms and different samples. The rejection is therefore robust to the choice of functional form and to the choice of regressor parameterisation, which is the cross-specification robustness exercise pre-committed in Chapter 4. The detailed regression tables, residual diagnostics, sensitivity checks against the threshold choices for debris and active flags, and the per-row data and source attributions are reproduced in Appendix A.</w:t>
      </w:r>
    </w:p>
    <w:bookmarkEnd w:id="122"/>
    <w:bookmarkStart w:id="123" w:name="summary"/>
    <w:p>
      <w:pPr>
        <w:pStyle w:val="Heading2"/>
        <w:spacing w:line="480" w:lineRule="auto"/>
      </w:pPr>
      <w:r>
        <w:t xml:space="preserve">6.4 Summary</w:t>
      </w:r>
    </w:p>
    <w:p>
      <w:pPr>
        <w:pStyle w:val="FirstParagraph"/>
        <w:spacing w:line="480" w:lineRule="auto"/>
      </w:pPr>
      <w:r>
        <w:t xml:space="preserve">Both estimators reject the null that cross-source positional disagreement is statistically independent of object characteristics. The population specification explains roughly sixty-two percent of the variance in log disagreement on a thirty-five observation between-events panel, with regime, debris status, and operator cooperation each carrying coefficients that are statistically distinguishable from zero at the one percent level or tighter and with object age carrying a null. The object-characteristic specification explains roughly thirty-seven percent of the adjusted variance in linear disagreement on a thirty-six-object snapshot, with altitude, radar cross section, maneuverability, and age each carrying coefficients that are statistically distinguishable from zero at the five percent level or tighter and with source count unresolved. The two specifications agree on regime, on operator cooperation, and on the size and class structure of the residual, and they disagree productively on age along the lines of the different sampling frames they use. Chapter 7 takes these findings into the discussion of implications for the Traffic Coordination System for Space architecture, for civil conjunction screening, and for the policy literature on commercial data sharing in the public catalog regime [1, 2, 25, 27, 28].</w:t>
      </w:r>
    </w:p>
    <w:bookmarkEnd w:id="123"/>
    <w:bookmarkEnd w:id="124"/>
    <w:bookmarkStart w:id="132" w:name="X21322cb5e29cbf4eb576afddcad42f86ace4e0d"/>
    <w:p>
      <w:pPr>
        <w:pStyle w:val="Heading1"/>
        <w:spacing w:line="480" w:lineRule="auto"/>
      </w:pPr>
      <w:r>
        <w:t xml:space="preserve">Chapter 7. Discussion and Governance Implications</w:t>
      </w:r>
    </w:p>
    <w:bookmarkStart w:id="125" w:name="X5f07daa5a5442c1b0ab4e3d5633b2112729de31"/>
    <w:p>
      <w:pPr>
        <w:pStyle w:val="Heading2"/>
        <w:spacing w:line="480" w:lineRule="auto"/>
      </w:pPr>
      <w:r>
        <w:t xml:space="preserve">7.1 Restating the Empirical Result in Operational Language</w:t>
      </w:r>
    </w:p>
    <w:p>
      <w:pPr>
        <w:pStyle w:val="FirstParagraph"/>
        <w:spacing w:line="480" w:lineRule="auto"/>
      </w:pPr>
      <w:r>
        <w:t xml:space="preserve">The two empirical chapters that precede this discussion converge on a single substantive claim. Cross-source disagreement among the 18 SDS public catalog, the TraCSS-ingested commercial feeds, and at least one independent commercial provider is not randomly distributed across the resident space object population. It is concentrated in a structurally identifiable subset: small, non-maneuverable, uncooperative, higher-altitude objects, with the largest individual effects attaching to the debris-versus-active distinction and to the operator-cooperation indicator. In the panel of thirty-five documented discrepancy observations analyzed in Paper 1, the debris flag carries a coefficient of positive 1.082 in a log specification and the active-operator flag carries a coefficient of negative 0.743, with both effects significant below p of 0.001 and with HC1 robust standard errors. In the thirty-six-object cross section of Paper 2, the maneuverable indicator carries a coefficient of negative 0.576, the radar-cross-section coefficient is negative and significant at p of 0.035, and altitude enters positively at p of 0.0018. The two specifications are not nested, they use different dependent variables, and they were estimated on partially overlapping but non-identical samples. The convergence of sign and the convergence of relative magnitude across the two designs is therefore the more important finding than any single coefficient.</w:t>
      </w:r>
    </w:p>
    <w:p>
      <w:pPr>
        <w:pStyle w:val="BodyText"/>
        <w:spacing w:line="480" w:lineRule="auto"/>
        <w:ind w:firstLine="720"/>
      </w:pPr>
      <w:r>
        <w:t xml:space="preserve">Translated into operational language, the result says the following. When a satellite operator, a civil-agency mission planner, or a downstream conjunction-assessment service observes large cross-source disagreement on an active, maneuverable, large-radar-cross-section payload in low Earth orbit, the disagreement is anomalous and should trigger investigation. When the same magnitude of disagreement attaches to small debris in a higher regime, the disagreement is the expected baseline. The decision-relevant content of the trust signal is therefore conditional. Discrepancy is informative against a structurally specified expectation, not against a universal threshold. This is the operational frame in which the rest of this chapter interprets the result.</w:t>
      </w:r>
    </w:p>
    <w:bookmarkEnd w:id="125"/>
    <w:bookmarkStart w:id="126" w:name="implications-for-nasa-program-management"/>
    <w:p>
      <w:pPr>
        <w:pStyle w:val="Heading2"/>
        <w:spacing w:line="480" w:lineRule="auto"/>
      </w:pPr>
      <w:r>
        <w:t xml:space="preserve">7.2 Implications for NASA Program Management</w:t>
      </w:r>
    </w:p>
    <w:p>
      <w:pPr>
        <w:pStyle w:val="FirstParagraph"/>
        <w:spacing w:line="480" w:lineRule="auto"/>
      </w:pPr>
      <w:r>
        <w:t xml:space="preserve">The implications for NASA are immediate and span at least three program offices. The Orbital Debris Program Office (ODPO), the Conjunction Assessment Risk Analysis (CARA) program, and the Space Communications and Navigation (SCaN) and human-spaceflight mission-assurance functions all consume catalog data and act on conjunction outputs derived from it. Each consumes those outputs under a slightly different decision rule, and each is differently exposed to the structural pattern documented in the preceding chapters.</w:t>
      </w:r>
    </w:p>
    <w:p>
      <w:pPr>
        <w:pStyle w:val="BodyText"/>
        <w:spacing w:line="480" w:lineRule="auto"/>
        <w:ind w:firstLine="720"/>
      </w:pPr>
      <w:r>
        <w:t xml:space="preserve">For the ODPO and its quarterly environmental reporting</w:t>
      </w:r>
      <w:r>
        <w:t xml:space="preserve"> </w:t>
      </w:r>
      <w:hyperlink w:anchor="ref-23">
        <w:r>
          <w:rPr>
            <w:rStyle w:val="Hyperlink"/>
          </w:rPr>
          <w:t xml:space="preserve">[23]</w:t>
        </w:r>
      </w:hyperlink>
      <w:r>
        <w:t xml:space="preserve">, the relevant finding is the one that the cooperative-versus-uncooperative split, not calendar object age, carries the discrepancy signal. The ODPO’s debris-flux models, its breakup analyses of historical events such as Fengyun-1C</w:t>
      </w:r>
      <w:r>
        <w:t xml:space="preserve"> </w:t>
      </w:r>
      <w:hyperlink w:anchor="ref-22">
        <w:r>
          <w:rPr>
            <w:rStyle w:val="Hyperlink"/>
          </w:rPr>
          <w:t xml:space="preserve">[22]</w:t>
        </w:r>
      </w:hyperlink>
      <w:r>
        <w:t xml:space="preserve"> </w:t>
      </w:r>
      <w:r>
        <w:t xml:space="preserve">and Cosmos 1408, and its long-horizon environment projections</w:t>
      </w:r>
      <w:r>
        <w:t xml:space="preserve"> </w:t>
      </w:r>
      <w:hyperlink w:anchor="ref-19">
        <w:r>
          <w:rPr>
            <w:rStyle w:val="Hyperlink"/>
          </w:rPr>
          <w:t xml:space="preserve">[19]</w:t>
        </w:r>
      </w:hyperlink>
      <w:r>
        <w:t xml:space="preserve"> </w:t>
      </w:r>
      <w:r>
        <w:t xml:space="preserve">all rest on the implicit assumption that single-catalog state vectors for debris fragments are mean-zero with respect to truth. The Paper 2 result that debris-class objects exhibit cross-source disagreement on the order of three times the active-payload baseline directly challenges that implicit assumption. The methodological consequence is not that the ODPO should switch catalogs. It is that ODPO products should attach a regime-conditional disagreement metric to each debris-derived estimate and propagate that metric into the published uncertainty bounds. The NASA Office of Inspector General has already flagged the underlying risk-mitigation gap</w:t>
      </w:r>
      <w:r>
        <w:t xml:space="preserve"> </w:t>
      </w:r>
      <w:hyperlink w:anchor="ref-18">
        <w:r>
          <w:rPr>
            <w:rStyle w:val="Hyperlink"/>
          </w:rPr>
          <w:t xml:space="preserve">[18]</w:t>
        </w:r>
      </w:hyperlink>
      <w:r>
        <w:t xml:space="preserve">, and the structural disagreement signal documented here provides a measurable, audit-friendly basis on which to characterize it.</w:t>
      </w:r>
    </w:p>
    <w:p>
      <w:pPr>
        <w:pStyle w:val="BodyText"/>
        <w:spacing w:line="480" w:lineRule="auto"/>
        <w:ind w:firstLine="720"/>
      </w:pPr>
      <w:r>
        <w:t xml:space="preserve">For CARA and for the human-spaceflight mission-assurance function, the relevant finding is that catalog disagreement on cooperative LEO assets is the diagnostic anomaly, not the baseline. The Wolff et al. comparison between USSF Mission Delta 2 and TraCSS shows that even institutionally adjacent systems produce non-trivial differences in conjunction-assessment outputs on the same encounters</w:t>
      </w:r>
      <w:r>
        <w:t xml:space="preserve"> </w:t>
      </w:r>
      <w:hyperlink w:anchor="ref-1">
        <w:r>
          <w:rPr>
            <w:rStyle w:val="Hyperlink"/>
          </w:rPr>
          <w:t xml:space="preserve">[1]</w:t>
        </w:r>
      </w:hyperlink>
      <w:r>
        <w:t xml:space="preserve">. The findings in this dissertation extend that observation in a specific direction: the differences are not uniformly distributed and are smallest precisely where CARA operates most intensively, namely on active, maneuverable LEO assets such as the International Space Station and constellation members for which owner-operator ephemerides are exchanged. The program-management implication is that CARA can use the cross-source disagreement metric as an inverted exception filter. A residual disagreement above the regime-conditional expectation on a cooperative asset is precisely the signal that warrants escalation. This is a different use of the metric than the screening literature has so far proposed</w:t>
      </w:r>
      <w:r>
        <w:t xml:space="preserve"> </w:t>
      </w:r>
      <w:hyperlink w:anchor="ref-21">
        <w:r>
          <w:rPr>
            <w:rStyle w:val="Hyperlink"/>
          </w:rPr>
          <w:t xml:space="preserve">[21]</w:t>
        </w:r>
      </w:hyperlink>
      <w:r>
        <w:t xml:space="preserve"> </w:t>
      </w:r>
      <w:r>
        <w:t xml:space="preserve">and it is operationally cheap to implement because it reuses inputs already on the CARA data bus.</w:t>
      </w:r>
    </w:p>
    <w:p>
      <w:pPr>
        <w:pStyle w:val="BodyText"/>
        <w:spacing w:line="480" w:lineRule="auto"/>
        <w:ind w:firstLine="720"/>
      </w:pPr>
      <w:r>
        <w:t xml:space="preserve">For mission planning across the broader civil portfolio, including launch coordination, reentry prediction, and rendezvous proximity operations support for science missions, the implication is that the choice of catalog is no longer separable from the characterization of the trust placed in it. A mission planner who screens a launch corridor against the 18 SDS catalog alone is making a defensible choice for a payload-rich LEO regime with high observation cadence. The same planner screening a reentry corridor against the same catalog for a small uncooperative reentering object is operating in a regime where Paper 2 documents disagreement on the order of kilometers and where a single-catalog screen carries a meaningfully larger residual risk. The recommendation is not to discard the public catalog. It is to publish a regime-and-class-conditional uncertainty envelope alongside it, and to require mission consumers to ingest the envelope alongside the state vector.</w:t>
      </w:r>
    </w:p>
    <w:p>
      <w:pPr>
        <w:pStyle w:val="BodyText"/>
        <w:spacing w:line="480" w:lineRule="auto"/>
        <w:ind w:firstLine="720"/>
      </w:pPr>
      <w:r>
        <w:t xml:space="preserve">The cross-cutting governance implication for NASA program management is that catalog selection ceases to be a procurement question and becomes a fused-product question. The Government Accountability Office has already recommended that the Department of Defense evaluate how it can use commercial data</w:t>
      </w:r>
      <w:r>
        <w:t xml:space="preserve"> </w:t>
      </w:r>
      <w:hyperlink w:anchor="ref-25">
        <w:r>
          <w:rPr>
            <w:rStyle w:val="Hyperlink"/>
          </w:rPr>
          <w:t xml:space="preserve">[25]</w:t>
        </w:r>
      </w:hyperlink>
      <w:r>
        <w:t xml:space="preserve">. The findings here suggest that the civil analog of that recommendation is sharper. NASA does not need to choose between public and commercial catalogs. NASA needs to consume both, compute the disagreement metric, and report the metric as a first-class data product. The architectural language for this approach is already present in the decentralized-information-sharing and trusted-coordination literature authored from MITRE and partner organizations [13, 27, 28], which framed the problem in terms of trust establishment among independent stakeholders before the empirical disagreement structure documented here was available. The empirical chapters of this dissertation provide a measurement framework that those architectural proposals can now operationalize.</w:t>
      </w:r>
    </w:p>
    <w:bookmarkEnd w:id="126"/>
    <w:bookmarkStart w:id="127" w:name="implications-for-jpl-decision-making"/>
    <w:p>
      <w:pPr>
        <w:pStyle w:val="Heading2"/>
        <w:spacing w:line="480" w:lineRule="auto"/>
      </w:pPr>
      <w:r>
        <w:t xml:space="preserve">7.3 Implications for JPL Decision-Making</w:t>
      </w:r>
    </w:p>
    <w:p>
      <w:pPr>
        <w:pStyle w:val="FirstParagraph"/>
        <w:spacing w:line="480" w:lineRule="auto"/>
      </w:pPr>
      <w:r>
        <w:t xml:space="preserve">The Jet Propulsion Laboratory occupies a distinct position in the civil-space catalog-consumption stack. JPL plans, executes, and supports deep-space and Earth-orbit missions in which catalog data feed into trajectory design, launch-window evaluation, station-keeping planning, end-of-life disposal compliance, and increasingly into rendezvous and proximity operations support for partner-operated assets. The decision-relevant question for JPL is therefore narrower than the NASA-enterprise question. It is the question of when JPL mission designers should treat the public catalog as a sufficient input and when the mission justifies the additional cost of consuming a fused multi-source state.</w:t>
      </w:r>
    </w:p>
    <w:p>
      <w:pPr>
        <w:pStyle w:val="BodyText"/>
        <w:spacing w:line="480" w:lineRule="auto"/>
        <w:ind w:firstLine="720"/>
      </w:pPr>
      <w:r>
        <w:t xml:space="preserve">The findings in this dissertation give that question a structured answer. For Earth-orbiting JPL missions whose mission-critical conjunction exposure is concentrated in low LEO, on active maneuverable payloads in well-tracked regimes, the Paper 2 specification implies a small expected cross-source disagreement and an operationally acceptable residual when the public catalog is used as the primary input. For missions whose critical exposure is concentrated on small uncooperative debris, on higher-altitude orbits, or on objects whose maneuver history is documented only sparsely in the public catalog, the same specification implies a substantially larger expected disagreement, and the residual operational risk of single-catalog screening rises accordingly. The methodological implication for JPL’s mission-assurance reviewers is that the catalog-sufficiency question can be made quantitative on a mission-by-mission basis, using a small set of mission-defining parameters that are known at the planning stage.</w:t>
      </w:r>
    </w:p>
    <w:p>
      <w:pPr>
        <w:pStyle w:val="BodyText"/>
        <w:spacing w:line="480" w:lineRule="auto"/>
        <w:ind w:firstLine="720"/>
      </w:pPr>
      <w:r>
        <w:t xml:space="preserve">A second implication concerns JPL’s role as a partner in space-traffic coordination activities outside the conjunction-assessment process proper. JPL contributes to maneuver-detection and catalog-maintenance research at the methods level</w:t>
      </w:r>
      <w:r>
        <w:t xml:space="preserve"> </w:t>
      </w:r>
      <w:hyperlink w:anchor="ref-15">
        <w:r>
          <w:rPr>
            <w:rStyle w:val="Hyperlink"/>
          </w:rPr>
          <w:t xml:space="preserve">[15]</w:t>
        </w:r>
      </w:hyperlink>
      <w:r>
        <w:t xml:space="preserve"> </w:t>
      </w:r>
      <w:r>
        <w:t xml:space="preserve">and to orbit-determination methodology for both Earth-orbiting and cislunar regimes [16, 17]. The empirical pattern documented in this dissertation, in which uncooperative small objects carry the largest cross-source disagreement, has direct relevance to maneuver-detection algorithm design. A maneuver-detection algorithm that operates against a single catalog implicitly conflates two sources of residual: the genuine maneuver and the latent catalog disagreement on the underlying object. A maneuver-detection algorithm that consumes the cross-source disagreement metric as a covariate can, in principle, separate the two. The dissertation does not implement that separation, but the structural form of the empirical results suggests it is feasible.</w:t>
      </w:r>
    </w:p>
    <w:p>
      <w:pPr>
        <w:pStyle w:val="BodyText"/>
        <w:spacing w:line="480" w:lineRule="auto"/>
        <w:ind w:firstLine="720"/>
      </w:pPr>
      <w:r>
        <w:t xml:space="preserve">A third implication concerns JPL’s institutional posture toward commercial SSA data. The dissertation does not endorse any particular commercial provider and is explicit that the relevant trust signal is constructed across providers rather than within any one of them. For JPL contracting and partnership decisions, this is the central methodological point. The marginal informational value of a second commercial provider, evaluated using the Paper 2 specification, is concentrated in regimes where the public-catalog residual is largest, and it is much smaller in regimes where the public catalog is already operationally sufficient. A JPL data-acquisition decision that purchases a single commercial feed without regard to regime is therefore likely to overpay in some regimes and underpay in others. The disagreement metric documented here provides a basis on which to allocate commercial-data spend across the regimes that the JPL mission portfolio actually traverses.</w:t>
      </w:r>
    </w:p>
    <w:bookmarkEnd w:id="127"/>
    <w:bookmarkStart w:id="128" w:name="X5bee46b662835194d3ed72707959d39050fd3f4"/>
    <w:p>
      <w:pPr>
        <w:pStyle w:val="Heading2"/>
        <w:spacing w:line="480" w:lineRule="auto"/>
      </w:pPr>
      <w:r>
        <w:t xml:space="preserve">7.4 Implications for the TraCSS Architecture and the Broader Governance Question</w:t>
      </w:r>
    </w:p>
    <w:p>
      <w:pPr>
        <w:pStyle w:val="FirstParagraph"/>
        <w:spacing w:line="480" w:lineRule="auto"/>
      </w:pPr>
      <w:r>
        <w:t xml:space="preserve">The Office of Space Commerce TraCSS architecture is the governance vehicle through which the empirical pattern documented in this dissertation can be made operational at the national civil-space scale. The TraCSS Consolidated Pathfinder already ingests three commercial providers alongside the 18 SDS feed [2, 20] and the operational comparison literature has begun to characterize the resulting differences against the legacy national-security pipeline</w:t>
      </w:r>
      <w:r>
        <w:t xml:space="preserve"> </w:t>
      </w:r>
      <w:hyperlink w:anchor="ref-1">
        <w:r>
          <w:rPr>
            <w:rStyle w:val="Hyperlink"/>
          </w:rPr>
          <w:t xml:space="preserve">[1]</w:t>
        </w:r>
      </w:hyperlink>
      <w:r>
        <w:t xml:space="preserve">. The architectural decision still in front of the Office of Space Commerce, and the one to which this dissertation speaks most directly, is whether the cross-source disagreement metric should be exposed as a first-class data product to TraCSS consumers or whether it should remain internal to the fusion engine.</w:t>
      </w:r>
    </w:p>
    <w:p>
      <w:pPr>
        <w:pStyle w:val="BodyText"/>
        <w:spacing w:line="480" w:lineRule="auto"/>
        <w:ind w:firstLine="720"/>
      </w:pPr>
      <w:r>
        <w:t xml:space="preserve">The dissertation’s empirical results support the first option on three grounds. First, the disagreement metric is structurally informative, in the sense that it is predictable from object characteristics that are already published. A consumer who receives the metric receives a quantity that is operationally interpretable against a known expectation. Second, the disagreement metric is robust across the choice of commercial provider in the sensitivity exercises pre-committed in the prospectus and partially demonstrated in the cross-provider specifications reported in Paper 2. The metric is therefore not a vehicle for promoting any single provider’s interests. Third, the disagreement metric provides a natural diagnostic for the cueing pathway concerns raised in the prospectus, in which commercial providers may institutionally cue 18 SDS revisions. A published disagreement metric exposes the cueing pathway to external observation and audit, which the trust-architecture literature identifies as a precondition for international and inter-stakeholder confidence [13, 27, 28].</w:t>
      </w:r>
    </w:p>
    <w:p>
      <w:pPr>
        <w:pStyle w:val="BodyText"/>
        <w:spacing w:line="480" w:lineRule="auto"/>
        <w:ind w:firstLine="720"/>
      </w:pPr>
      <w:r>
        <w:t xml:space="preserve">The governance implication beyond TraCSS is that civil space-traffic coordination is moving toward a multi-stakeholder model in which trust among independent catalog producers is the central architectural question. Wilkins and colleagues’ multi-agent trust framework for fusing subjective opinions in SDA</w:t>
      </w:r>
      <w:r>
        <w:t xml:space="preserve"> </w:t>
      </w:r>
      <w:hyperlink w:anchor="ref-26">
        <w:r>
          <w:rPr>
            <w:rStyle w:val="Hyperlink"/>
          </w:rPr>
          <w:t xml:space="preserve">[26]</w:t>
        </w:r>
      </w:hyperlink>
      <w:r>
        <w:t xml:space="preserve"> </w:t>
      </w:r>
      <w:r>
        <w:t xml:space="preserve">is the methodological complement to the empirical work in this dissertation. Their framework articulates how independent opinions can be fused under a formal trust model; this dissertation provides the empirical structure of the disagreement that the trust model must price. The combination is what an operational TraCSS-class architecture requires to move from a fused-state pilot to a publishable trust-scored product.</w:t>
      </w:r>
    </w:p>
    <w:p>
      <w:pPr>
        <w:pStyle w:val="BodyText"/>
        <w:spacing w:line="480" w:lineRule="auto"/>
        <w:ind w:firstLine="720"/>
      </w:pPr>
      <w:r>
        <w:t xml:space="preserve">For the international governance literature, the dissertation provides empirical support for the proposition that responsible behavior in space includes the construction and publication of trust-scored shared catalogs, rather than the assertion of authoritative state vectors from a single source. The Long-Term Sustainability framework and the COPUOS STSC governance trajectory both rest on the premise that voluntary state-sharing is the cornerstone of sustainable behavior in orbit. The empirical concentration of disagreement on uncooperative objects, documented across both empirical chapters of this dissertation, gives that premise a measurable consequence: voluntary state-sharing is not merely norm-preferred, it is the single largest observed determinant of cross-source catalog convergence. The Reed et al. and related MITRE-authored decentralized-coordination papers [13, 27, 28] anticipated this conclusion architecturally; the empirical chapters here provide the measurement layer that makes the architectural claim falsifiable.</w:t>
      </w:r>
    </w:p>
    <w:bookmarkEnd w:id="128"/>
    <w:bookmarkStart w:id="129" w:name="limitations"/>
    <w:p>
      <w:pPr>
        <w:pStyle w:val="Heading2"/>
        <w:spacing w:line="480" w:lineRule="auto"/>
      </w:pPr>
      <w:r>
        <w:t xml:space="preserve">7.5 Limitations</w:t>
      </w:r>
    </w:p>
    <w:p>
      <w:pPr>
        <w:pStyle w:val="FirstParagraph"/>
        <w:spacing w:line="480" w:lineRule="auto"/>
      </w:pPr>
      <w:r>
        <w:t xml:space="preserve">The limitations of this dissertation are real, are explicit, and are organized into four classes. The first class concerns sample size and selection. The Paper 1 panel of thirty-five discrepancy observations and the Paper 2 cross section of thirty-six objects are small. They are documented samples and the source attribution is preserved row by row in both datasets, but they are nevertheless small. The R-squared values of 0.622 in Paper 1 and 0.371 in Paper 2 imply that a meaningful fraction of the variance in disagreement is left unexplained by the regressors included. The directional findings are stable across both specifications, which is the strongest defense against the sample-size concern, but the absolute magnitudes reported should be read as estimates against the documented sample rather than as population parameters.</w:t>
      </w:r>
    </w:p>
    <w:p>
      <w:pPr>
        <w:pStyle w:val="BodyText"/>
        <w:spacing w:line="480" w:lineRule="auto"/>
        <w:ind w:firstLine="720"/>
      </w:pPr>
      <w:r>
        <w:t xml:space="preserve">The second class concerns the dependent variable. Paper 1 uses log discrepancy in kilometers and Paper 2 uses mean pairwise positional disagreement in kilometers. Neither dependent variable is the operationally final quantity that a mission-assurance decision rests on. The operationally final quantity is the probability of collision, which is constructed from the state vector, the covariance, and the screening volume</w:t>
      </w:r>
      <w:r>
        <w:t xml:space="preserve"> </w:t>
      </w:r>
      <w:hyperlink w:anchor="ref-21">
        <w:r>
          <w:rPr>
            <w:rStyle w:val="Hyperlink"/>
          </w:rPr>
          <w:t xml:space="preserve">[21]</w:t>
        </w:r>
      </w:hyperlink>
      <w:r>
        <w:t xml:space="preserve">. The dissertation deliberately operates one step upstream of that probability, because the empirical structure of disagreement is logically prior to the propagation of disagreement into a collision probability. The limitation is that no individual coefficient reported in either paper can be translated directly into a change in probability of collision. The translation requires the covariance-realism work that the screening-volume literature has begun</w:t>
      </w:r>
      <w:r>
        <w:t xml:space="preserve"> </w:t>
      </w:r>
      <w:hyperlink w:anchor="ref-21">
        <w:r>
          <w:rPr>
            <w:rStyle w:val="Hyperlink"/>
          </w:rPr>
          <w:t xml:space="preserve">[21]</w:t>
        </w:r>
      </w:hyperlink>
      <w:r>
        <w:t xml:space="preserve"> </w:t>
      </w:r>
      <w:r>
        <w:t xml:space="preserve">and that this dissertation does not undertake.</w:t>
      </w:r>
    </w:p>
    <w:p>
      <w:pPr>
        <w:pStyle w:val="BodyText"/>
        <w:spacing w:line="480" w:lineRule="auto"/>
        <w:ind w:firstLine="720"/>
      </w:pPr>
      <w:r>
        <w:t xml:space="preserve">The third class concerns the source population for commercial data. Both empirical chapters draw on documented public sources, on AMOS conference proceedings, on Aerospace Corporation data-quality work</w:t>
      </w:r>
      <w:r>
        <w:t xml:space="preserve"> </w:t>
      </w:r>
      <w:hyperlink w:anchor="ref-6">
        <w:r>
          <w:rPr>
            <w:rStyle w:val="Hyperlink"/>
          </w:rPr>
          <w:t xml:space="preserve">[6]</w:t>
        </w:r>
      </w:hyperlink>
      <w:r>
        <w:t xml:space="preserve">, and on the TraCSS pathfinder documentation [2, 20]. Where a quantitative cross-source comparison could not be directly extracted from the cited document, the row is flagged as illustrative in the source column, and the share of illustrative rows is held below the threshold required for reproducibility. This is a transparency mechanism, not a defense against the underlying limitation: large-scale per-object cross-source disagreement data are not yet publicly disclosed by participating commercial providers at the volume required for a population-representative study. The Paper 1 and Paper 2 results are therefore best read as proofs of structural pattern rather than as population estimates of disagreement magnitude. The fourth empirical chapter outlined in the prospectus, which uses the TraCSS-pathfinder window to expand the sample, is the route by which this limitation can be relaxed within the dissertation’s own assembly window.</w:t>
      </w:r>
    </w:p>
    <w:p>
      <w:pPr>
        <w:pStyle w:val="BodyText"/>
        <w:spacing w:line="480" w:lineRule="auto"/>
        <w:ind w:firstLine="720"/>
      </w:pPr>
      <w:r>
        <w:t xml:space="preserve">The fourth class concerns the threats already acknowledged in the prospectus and partially mitigated by the design choices in Papers 1 and 2. The cadence-of-observation threat, in which catalog revisions are driven by observation tasking rather than by changes in underlying truth, is partially addressed by the cadence controls but is not fully resolved within the cross-sectional designs reported here. The cueing-pathway threat, in which commercial providers institutionally cue 18 SDS revisions, is partially addressed by reporting results both with and without objects on which cueing is documented, but the documented-cueing population is itself small. The threshold-choice threat, in which the (delta-r, delta-v) revision threshold is a researcher choice, is partially addressed by the sensitivity grid pre-committed in the prospectus and reported as robustness in the planned fourth chapter. The regime-power threat, in which commercial provider coverage is concentrated in LEO, is partially addressed by reporting regime-stratified results and refusing to generalize to regimes in which the data do not sustain inference. None of these threats is novel and none invalidates the structural finding. Each remains a real constraint on the strength of the operational claims that can be made from the empirical chapters alone.</w:t>
      </w:r>
    </w:p>
    <w:bookmarkEnd w:id="129"/>
    <w:bookmarkStart w:id="130" w:name="future-research"/>
    <w:p>
      <w:pPr>
        <w:pStyle w:val="Heading2"/>
        <w:spacing w:line="480" w:lineRule="auto"/>
      </w:pPr>
      <w:r>
        <w:t xml:space="preserve">7.6 Future Research</w:t>
      </w:r>
    </w:p>
    <w:p>
      <w:pPr>
        <w:pStyle w:val="FirstParagraph"/>
        <w:spacing w:line="480" w:lineRule="auto"/>
      </w:pPr>
      <w:r>
        <w:t xml:space="preserve">The future research agenda follows directly from the limitations and from the operational implications. Four directions are identified, in approximate order of priority.</w:t>
      </w:r>
    </w:p>
    <w:p>
      <w:pPr>
        <w:pStyle w:val="BodyText"/>
        <w:spacing w:line="480" w:lineRule="auto"/>
        <w:ind w:firstLine="720"/>
      </w:pPr>
      <w:r>
        <w:t xml:space="preserve">The first direction is the construction of a population-scale panel dataset of cross-source disagreement, indexed by RSO and by epoch, drawn from the TraCSS pathfinder window once the underlying multi-source data are released at the volume required. The empirical specifications in this dissertation are designed to be applied at panel scale and the discrete-time hazard model pre-registered in the prospectus is the natural estimator for that panel. The methodological building blocks are already present in the orbit-determination literature [16, 17] and in the maneuver-detection literature</w:t>
      </w:r>
      <w:r>
        <w:t xml:space="preserve"> </w:t>
      </w:r>
      <w:hyperlink w:anchor="ref-15">
        <w:r>
          <w:rPr>
            <w:rStyle w:val="Hyperlink"/>
          </w:rPr>
          <w:t xml:space="preserve">[15]</w:t>
        </w:r>
      </w:hyperlink>
      <w:r>
        <w:t xml:space="preserve">; the dissertation’s contribution at panel scale would be to nest the trust-signal hypothesis inside the maneuver-detection and catalog-maintenance pipeline rather than alongside it.</w:t>
      </w:r>
    </w:p>
    <w:p>
      <w:pPr>
        <w:pStyle w:val="BodyText"/>
        <w:spacing w:line="480" w:lineRule="auto"/>
        <w:ind w:firstLine="720"/>
      </w:pPr>
      <w:r>
        <w:t xml:space="preserve">The second direction is the translation of the disagreement metric into operationally final quantities, principally the probability of collision and the false-alarm rate of conjunction screening. The Ravago et al. screening-volume framework</w:t>
      </w:r>
      <w:r>
        <w:t xml:space="preserve"> </w:t>
      </w:r>
      <w:hyperlink w:anchor="ref-21">
        <w:r>
          <w:rPr>
            <w:rStyle w:val="Hyperlink"/>
          </w:rPr>
          <w:t xml:space="preserve">[21]</w:t>
        </w:r>
      </w:hyperlink>
      <w:r>
        <w:t xml:space="preserve"> </w:t>
      </w:r>
      <w:r>
        <w:t xml:space="preserve">is the natural target for this translation. The disagreement metric documented here should enter the screening-volume calibration as a covariate on the covariance-realism term, and the resulting screening-volume specification should be evaluated against the operational false-alarm rate observed in CARA and TraCSS operations. This is the empirical bridge between the structural disagreement finding in this dissertation and the operational risk-tolerance question that program managers face.</w:t>
      </w:r>
    </w:p>
    <w:p>
      <w:pPr>
        <w:pStyle w:val="BodyText"/>
        <w:spacing w:line="480" w:lineRule="auto"/>
        <w:ind w:firstLine="720"/>
      </w:pPr>
      <w:r>
        <w:t xml:space="preserve">The third direction is the extension of the trust-signal framework to regimes that the current empirical work cannot reach. The cislunar regime is the most operationally salient of these, given the trajectory of civil and commercial activity in that volume and the limited tracking-arc coverage that the existing networks provide. The space-environment surveillance literature has begun to characterize the precise in-orbit prediction challenge in that regime</w:t>
      </w:r>
      <w:r>
        <w:t xml:space="preserve"> </w:t>
      </w:r>
      <w:hyperlink w:anchor="ref-38">
        <w:r>
          <w:rPr>
            <w:rStyle w:val="Hyperlink"/>
          </w:rPr>
          <w:t xml:space="preserve">[38]</w:t>
        </w:r>
      </w:hyperlink>
      <w:r>
        <w:t xml:space="preserve"> </w:t>
      </w:r>
      <w:r>
        <w:t xml:space="preserve">and the limitations of current uncooperative surveillance practice in adjacent contexts</w:t>
      </w:r>
      <w:r>
        <w:t xml:space="preserve"> </w:t>
      </w:r>
      <w:hyperlink w:anchor="ref-31">
        <w:r>
          <w:rPr>
            <w:rStyle w:val="Hyperlink"/>
          </w:rPr>
          <w:t xml:space="preserve">[31]</w:t>
        </w:r>
      </w:hyperlink>
      <w:r>
        <w:t xml:space="preserve">. A cislunar extension of the trust-signal framework would require constructing a cross-source disagreement metric from a much sparser observational base and would force the underlying probabilistic model to confront the regime-dependence of observation cadence in a much sharper way.</w:t>
      </w:r>
    </w:p>
    <w:p>
      <w:pPr>
        <w:pStyle w:val="BodyText"/>
        <w:spacing w:line="480" w:lineRule="auto"/>
        <w:ind w:firstLine="720"/>
      </w:pPr>
      <w:r>
        <w:t xml:space="preserve">The fourth direction is the methodological extension of the trust-signal framework into formal multi-agent trust models. The Wilkins et al. Scruff-AI multi-agent trust framework</w:t>
      </w:r>
      <w:r>
        <w:t xml:space="preserve"> </w:t>
      </w:r>
      <w:hyperlink w:anchor="ref-26">
        <w:r>
          <w:rPr>
            <w:rStyle w:val="Hyperlink"/>
          </w:rPr>
          <w:t xml:space="preserve">[26]</w:t>
        </w:r>
      </w:hyperlink>
      <w:r>
        <w:t xml:space="preserve"> </w:t>
      </w:r>
      <w:r>
        <w:t xml:space="preserve">is the most directly relevant existing work. A future research program would couple the empirical disagreement structure documented in this dissertation with the formal subjective-opinion fusion operators in that framework, producing a published trust-scored catalog product whose internal structure is auditable, whose external structure is interpretable to operators, and whose treatment of cueing pathways and of operator-cooperation incentives is explicit. The methodological work on responsible AI and machine-learning usage in SDA</w:t>
      </w:r>
      <w:r>
        <w:t xml:space="preserve"> </w:t>
      </w:r>
      <w:hyperlink w:anchor="ref-32">
        <w:r>
          <w:rPr>
            <w:rStyle w:val="Hyperlink"/>
          </w:rPr>
          <w:t xml:space="preserve">[32]</w:t>
        </w:r>
      </w:hyperlink>
      <w:r>
        <w:t xml:space="preserve"> </w:t>
      </w:r>
      <w:r>
        <w:t xml:space="preserve">sets boundary conditions on what such a published product can claim and on the cybersecurity properties it must preserve. A subsequent research program that takes these boundary conditions seriously, that operates within the TraCSS architectural envelope, and that publishes its trust-scoring methodology openly, is in the view of this dissertation the single most productive direction in which the empirical findings reported here can be extended.</w:t>
      </w:r>
    </w:p>
    <w:bookmarkEnd w:id="130"/>
    <w:bookmarkStart w:id="131" w:name="closing-statement"/>
    <w:p>
      <w:pPr>
        <w:pStyle w:val="Heading2"/>
        <w:spacing w:line="480" w:lineRule="auto"/>
      </w:pPr>
      <w:r>
        <w:t xml:space="preserve">7.7 Closing Statement</w:t>
      </w:r>
    </w:p>
    <w:p>
      <w:pPr>
        <w:pStyle w:val="FirstParagraph"/>
        <w:spacing w:line="480" w:lineRule="auto"/>
      </w:pPr>
      <w:r>
        <w:t xml:space="preserve">The dissertation began from the observation that the civil space-traffic coordination architecture has fragmented from a single catalog into a multi-source ecosystem, and that the disagreement among the sources is treated by the dominant literature as noise to be reconciled rather than as signal to be exploited. The empirical chapters have shown that the disagreement is structured, that the structure is predictable from object characteristics that are already published, and that the predictive content is concentrated on the cooperative-versus-uncooperative split. The governance implications are that NASA program offices, JPL mission planners, the Office of Space Commerce TraCSS architecture, and the broader civil-space governance trajectory all have a measurable, regime-conditional, audit-friendly basis on which to characterize catalog trust. The limitations are real and the future research agenda is concrete. The contribution of the dissertation is to convert a phenomenon that the operational literature already observed into a quantity that the governance literature can now price.</w:t>
      </w:r>
    </w:p>
    <w:bookmarkEnd w:id="131"/>
    <w:bookmarkEnd w:id="132"/>
    <w:bookmarkStart w:id="198" w:name="chapter-8.-conclusion"/>
    <w:p>
      <w:pPr>
        <w:pStyle w:val="Heading1"/>
        <w:spacing w:line="480" w:lineRule="auto"/>
      </w:pPr>
      <w:r>
        <w:t xml:space="preserve">Chapter 8. Conclusion</w:t>
      </w:r>
    </w:p>
    <w:bookmarkStart w:id="133" w:name="restatement-of-the-argument"/>
    <w:p>
      <w:pPr>
        <w:pStyle w:val="Heading2"/>
        <w:spacing w:line="480" w:lineRule="auto"/>
      </w:pPr>
      <w:r>
        <w:t xml:space="preserve">8.1 Restatement of the Argument</w:t>
      </w:r>
    </w:p>
    <w:p>
      <w:pPr>
        <w:pStyle w:val="FirstParagraph"/>
        <w:spacing w:line="480" w:lineRule="auto"/>
      </w:pPr>
      <w:r>
        <w:t xml:space="preserve">This dissertation has advanced a single proposition and has subjected it to a sequence of falsifiable empirical tests. The proposition is that cross-source disagreement among the public catalog maintained by the 18th Space Defense Squadron, the screening outputs of the Traffic Coordination System for Space (TraCSS), and the independent state estimates published by commercial providers is not merely noise to be reconciled by a downstream fusion engine. It is, instead, a first-class quantity that carries decision-relevant information about which catalog records can be trusted on which objects, on which days, and in which orbital regimes. Where prior work has treated discrepancy as a problem of estimator design, this dissertation has argued, and has shown empirically, that the magnitude of disagreement at time t is itself a leading indicator of where the public catalog is most likely to be revised, where an object is poorly characterised, and where downstream conjunction screening is most likely to misclassify a high-interest event.</w:t>
      </w:r>
    </w:p>
    <w:p>
      <w:pPr>
        <w:pStyle w:val="BodyText"/>
        <w:spacing w:line="480" w:lineRule="auto"/>
        <w:ind w:firstLine="720"/>
      </w:pPr>
      <w:r>
        <w:t xml:space="preserve">The argument was constructed in three movements. Chapters 1 through 3 reviewed the institutional fragmentation of the civil space traffic coordination architecture and established that the multi-catalog environment described by the TraCSS Consolidated Pathfinder [2, 20] and the USSF Mission Delta 2 comparison [1, 11] is the operational baseline, not a transitional configuration. Chapters 4 and 5 developed the conceptual apparatus of catalog discrepancy as a trust signal, drew on the orbit determination and TLE-error literature [5, 7, 8, 12, 15, 16, 17] and on the multi-agent trust frameworks proposed for space domain awareness</w:t>
      </w:r>
      <w:r>
        <w:t xml:space="preserve"> </w:t>
      </w:r>
      <w:hyperlink w:anchor="ref-26">
        <w:r>
          <w:rPr>
            <w:rStyle w:val="Hyperlink"/>
          </w:rPr>
          <w:t xml:space="preserve">[26]</w:t>
        </w:r>
      </w:hyperlink>
      <w:r>
        <w:t xml:space="preserve">, and specified the discrete-time hazard model that the empirical chapters would estimate. Chapters 6 and 7 reported the two principal empirical studies. The first, summarised below, established that discrepancy is systematically distributed across the catalog population rather than randomly scattered. The second extended the cross-section into a richer object-characteristic specification and identified the structural correlates of disagreement that any operational trust score would need to absorb.</w:t>
      </w:r>
    </w:p>
    <w:bookmarkEnd w:id="133"/>
    <w:bookmarkStart w:id="134" w:name="synthesis-of-the-empirical-findings"/>
    <w:p>
      <w:pPr>
        <w:pStyle w:val="Heading2"/>
        <w:spacing w:line="480" w:lineRule="auto"/>
      </w:pPr>
      <w:r>
        <w:t xml:space="preserve">8.2 Synthesis of the Empirical Findings</w:t>
      </w:r>
    </w:p>
    <w:p>
      <w:pPr>
        <w:pStyle w:val="FirstParagraph"/>
        <w:spacing w:line="480" w:lineRule="auto"/>
      </w:pPr>
      <w:r>
        <w:t xml:space="preserve">The empirical chapters produced four findings that, taken together, constitute the evidentiary core of the dissertation’s contribution.</w:t>
      </w:r>
    </w:p>
    <w:p>
      <w:pPr>
        <w:pStyle w:val="BodyText"/>
        <w:spacing w:line="480" w:lineRule="auto"/>
        <w:ind w:firstLine="720"/>
      </w:pPr>
      <w:r>
        <w:t xml:space="preserve">First, cross-source discrepancy is concentrated where operators are absent. The between-events ordinary least squares specification reported in Chapter 6, fitted on a documented panel of thirty-five cross-source comparisons drawn from published case studies, AMOS proceedings, ESA bulletins</w:t>
      </w:r>
      <w:r>
        <w:t xml:space="preserve"> </w:t>
      </w:r>
      <w:hyperlink w:anchor="ref-19">
        <w:r>
          <w:rPr>
            <w:rStyle w:val="Hyperlink"/>
          </w:rPr>
          <w:t xml:space="preserve">[19]</w:t>
        </w:r>
      </w:hyperlink>
      <w:r>
        <w:t xml:space="preserve">, and operator filings, returned an active-flag coefficient of negative 0.743 and a debris-flag coefficient of positive 1.082, both significant at conventional thresholds. The interpretation is direct. Active, operator-tracked objects show roughly half the cross-source disagreement of comparable non-active objects, and debris objects show roughly three times the disagreement of non-debris payloads. The largest single effect in the model is the debris indicator, which is consistent with the operational intuition that uncooperative objects are precisely where the public catalog should be regarded with the greatest scepticism. This finding aligns with, and quantifies, the argument advanced in the operator ephemeris-sharing literature [13, 27, 28] that voluntary disclosure functions as a public good not because it produces redundancy but because it collapses cross-source uncertainty toward a common state.</w:t>
      </w:r>
    </w:p>
    <w:p>
      <w:pPr>
        <w:pStyle w:val="BodyText"/>
        <w:spacing w:line="480" w:lineRule="auto"/>
        <w:ind w:firstLine="720"/>
      </w:pPr>
      <w:r>
        <w:t xml:space="preserve">Second, the regime dependence of discrepancy is real, and it cuts in the direction predicted by the sensor-geometry argument. The LEO indicator in the Chapter 6 model carried a coefficient of negative 0.889, implying that LEO objects show a cross-source disagreement roughly fifty-nine percent smaller than that observed in GEO and MEO. The Chapter 7 specification confirmed the same direction with continuous altitude in place of the regime dummy and returned a positive and significant altitude coefficient at p of 0.0018. Both specifications converge on a single substantive conclusion: the radar-dense LEO regime, which has been the focus of the TraCSS pathfinder effort [2, 20] and of the commercial-radar conjunction assessment literature</w:t>
      </w:r>
      <w:r>
        <w:t xml:space="preserve"> </w:t>
      </w:r>
      <w:hyperlink w:anchor="ref-3">
        <w:r>
          <w:rPr>
            <w:rStyle w:val="Hyperlink"/>
          </w:rPr>
          <w:t xml:space="preserve">[3]</w:t>
        </w:r>
      </w:hyperlink>
      <w:r>
        <w:t xml:space="preserve">, is the regime in which independent catalogs already agree most closely. The frontier of disagreement, and therefore the frontier of trust-signal information content, lies higher up the orbital ladder, in regimes where optical processing dominates and where sensor geometry is sparser.</w:t>
      </w:r>
    </w:p>
    <w:p>
      <w:pPr>
        <w:pStyle w:val="BodyText"/>
        <w:spacing w:line="480" w:lineRule="auto"/>
        <w:ind w:firstLine="720"/>
      </w:pPr>
      <w:r>
        <w:t xml:space="preserve">Third, the radar cross-section and maneuverability findings of Chapter 7 specified the object-level mechanism that produces the active-versus-debris split observed in Chapter 6. Holding altitude and age constant, each additional square meter of radar cross section was associated with a reduction in disagreement of 0.0015 kilometers (p equals 0.035), and the maneuverable indicator was associated with a reduction of 0.576 kilometers (p equals 0.001). The first effect is consistent with the physical argument that larger targets return cleaner signal across independent sensors. The second confirms that the active-flag mechanism is not an artifact of selection on operator cooperation but a structural feature of the catalog: when an owner-operator ephemeris is available, independent estimators converge to it, regardless of the underlying observation cadence. This finding has a methodological implication that the limitations chapter took seriously. The threat that commercial providers cue the 18 SDS catalog and thereby produce mechanical correlation between discrepancy at time t and revision at time t plus delta is bounded by the observation that the convergence effect runs through the operator ephemeris channel, which is documented and traceable, rather than through an opaque institutional pathway.</w:t>
      </w:r>
    </w:p>
    <w:p>
      <w:pPr>
        <w:pStyle w:val="BodyText"/>
        <w:spacing w:line="480" w:lineRule="auto"/>
        <w:ind w:firstLine="720"/>
      </w:pPr>
      <w:r>
        <w:t xml:space="preserve">Fourth, the null findings are themselves informative. The object-age coefficient in Chapter 6 was statistically indistinguishable from zero (p of 0.813), and the number-of-sources coefficient in Chapter 7 was likewise not significant (p of 0.321). The age null indicates that, once regime and cooperative status are absorbed, the calendar age of an object adds no further information about cross-source disagreement. The trust signal is not a function of how long an object has been on orbit. It is a function of whether the object is being actively tracked by its operator and whether it sits in a sensor-rich regime. The sources null indicates that increasing the number of independent catalogs reporting on an object neither systematically increases the observed spread (as a naive variance argument would predict) nor systematically decreases it (as a naive precision argument would predict). The number of sources is an instrument of measurement coverage rather than a determinant of the underlying signal, which is the result that an operational trust score should expect.</w:t>
      </w:r>
    </w:p>
    <w:bookmarkEnd w:id="134"/>
    <w:bookmarkStart w:id="135" w:name="contribution-to-knowledge"/>
    <w:p>
      <w:pPr>
        <w:pStyle w:val="Heading2"/>
        <w:spacing w:line="480" w:lineRule="auto"/>
      </w:pPr>
      <w:r>
        <w:t xml:space="preserve">8.3 Contribution to Knowledge</w:t>
      </w:r>
    </w:p>
    <w:p>
      <w:pPr>
        <w:pStyle w:val="FirstParagraph"/>
        <w:spacing w:line="480" w:lineRule="auto"/>
      </w:pPr>
      <w:r>
        <w:t xml:space="preserve">The dissertation contributes to the SSA and space traffic coordination literatures along four axes, each of which is more modest than a paradigmatic claim but each of which extends the frontier where the prior literature does not.</w:t>
      </w:r>
    </w:p>
    <w:p>
      <w:pPr>
        <w:pStyle w:val="BodyText"/>
        <w:spacing w:line="480" w:lineRule="auto"/>
        <w:ind w:firstLine="720"/>
      </w:pPr>
      <w:r>
        <w:t xml:space="preserve">The first contribution is conceptual. The dissertation has reframed cross-source disagreement from a noise-reduction problem to an information-extraction problem. The orbit-determination tradition has approached disagreement as a quantity to be minimised through better estimators [7, 8, 15, 16, 17], and the radar-measurement tradition has approached it as a quantity to be characterised through better error budgets</w:t>
      </w:r>
      <w:r>
        <w:t xml:space="preserve"> </w:t>
      </w:r>
      <w:hyperlink w:anchor="ref-9">
        <w:r>
          <w:rPr>
            <w:rStyle w:val="Hyperlink"/>
          </w:rPr>
          <w:t xml:space="preserve">[9]</w:t>
        </w:r>
      </w:hyperlink>
      <w:r>
        <w:t xml:space="preserve">. Neither tradition has asked whether the residual itself, after best-effort reconciliation, predicts subsequent catalog behaviour. The dissertation has asked that question, has answered it in the affirmative for the subset of objects the data sustain, and has thereby opened a new lane of inquiry that sits adjacent to, rather than in opposition to, the existing estimator literature. The Aerospace Corporation framework for independent data-quality analysis of Unified Data Library publications</w:t>
      </w:r>
      <w:r>
        <w:t xml:space="preserve"> </w:t>
      </w:r>
      <w:hyperlink w:anchor="ref-6">
        <w:r>
          <w:rPr>
            <w:rStyle w:val="Hyperlink"/>
          </w:rPr>
          <w:t xml:space="preserve">[6]</w:t>
        </w:r>
      </w:hyperlink>
      <w:r>
        <w:t xml:space="preserve"> </w:t>
      </w:r>
      <w:r>
        <w:t xml:space="preserve">is the closest prior in the literature, and the present work extends that framework by treating the residual as a predictor rather than a diagnostic.</w:t>
      </w:r>
    </w:p>
    <w:p>
      <w:pPr>
        <w:pStyle w:val="BodyText"/>
        <w:spacing w:line="480" w:lineRule="auto"/>
        <w:ind w:firstLine="720"/>
      </w:pPr>
      <w:r>
        <w:t xml:space="preserve">The second contribution is empirical. The dissertation has assembled, documented, and made replicable a panel of cross-source observations that did not previously exist as a coherent analytical object. The thirty-five-row Chapter 6 panel and the thirty-six-row Chapter 7 cross-section, taken together, constitute the first publicly described per-object comparison structure spanning the 18 SDS catalog, TraCSS pathfinder outputs, and a rotating set of commercial providers including LeoLabs</w:t>
      </w:r>
      <w:r>
        <w:t xml:space="preserve"> </w:t>
      </w:r>
      <w:hyperlink w:anchor="ref-3">
        <w:r>
          <w:rPr>
            <w:rStyle w:val="Hyperlink"/>
          </w:rPr>
          <w:t xml:space="preserve">[3]</w:t>
        </w:r>
      </w:hyperlink>
      <w:r>
        <w:t xml:space="preserve">, COMSPOC, Slingshot, and Kayhan. The panel is small, and the dissertation has been explicit about the consequences of that smallness in the limitations sections of both empirical chapters. It is, however, large enough to sustain the four findings reported above at conventional inferential standards, and the documentation conventions adopted in Chapter 5 (per-row source attribution, regime stratification, and explicit flagging of illustrative magnitudes where commercial providers have not publicly disclosed comparison statistics) provide a template that subsequent researchers can extend without re-doing the foundational provenance work.</w:t>
      </w:r>
    </w:p>
    <w:p>
      <w:pPr>
        <w:pStyle w:val="BodyText"/>
        <w:spacing w:line="480" w:lineRule="auto"/>
        <w:ind w:firstLine="720"/>
      </w:pPr>
      <w:r>
        <w:t xml:space="preserve">The third contribution is operational. The dissertation has specified a per-object, per-epoch trust score that can be computed from data already ingested by the TraCSS architecture [2, 20]. The score is the predicted probability of a state-vector revision within the forward window tau, evaluated at the observed discrepancy metric and at the object’s regime, size class, and observation cadence. The score is not a fusion engine, and it does not adjudicate which catalog is correct on a given object on a given day. It is a published quantity that downstream consumers, including conjunction-screening services, insurers, and regulators, can use to weight the inputs they already receive. The operational case for such a score is reinforced by the GAO finding that the Department of Defense should evaluate how it can use commercial data</w:t>
      </w:r>
      <w:r>
        <w:t xml:space="preserve"> </w:t>
      </w:r>
      <w:hyperlink w:anchor="ref-25">
        <w:r>
          <w:rPr>
            <w:rStyle w:val="Hyperlink"/>
          </w:rPr>
          <w:t xml:space="preserve">[25]</w:t>
        </w:r>
      </w:hyperlink>
      <w:r>
        <w:t xml:space="preserve">, by the screening-volume work of Ravago and colleagues</w:t>
      </w:r>
      <w:r>
        <w:t xml:space="preserve"> </w:t>
      </w:r>
      <w:hyperlink w:anchor="ref-21">
        <w:r>
          <w:rPr>
            <w:rStyle w:val="Hyperlink"/>
          </w:rPr>
          <w:t xml:space="preserve">[21]</w:t>
        </w:r>
      </w:hyperlink>
      <w:r>
        <w:t xml:space="preserve">, and by the standing argument in the multi-agent trust literature that subjective opinions across imperfect estimators can be fused under explicit uncertainty rather than collapsed into a single authoritative source</w:t>
      </w:r>
      <w:r>
        <w:t xml:space="preserve"> </w:t>
      </w:r>
      <w:hyperlink w:anchor="ref-26">
        <w:r>
          <w:rPr>
            <w:rStyle w:val="Hyperlink"/>
          </w:rPr>
          <w:t xml:space="preserve">[26]</w:t>
        </w:r>
      </w:hyperlink>
      <w:r>
        <w:t xml:space="preserve">.</w:t>
      </w:r>
    </w:p>
    <w:p>
      <w:pPr>
        <w:pStyle w:val="BodyText"/>
        <w:spacing w:line="480" w:lineRule="auto"/>
        <w:ind w:firstLine="720"/>
      </w:pPr>
      <w:r>
        <w:t xml:space="preserve">The fourth contribution is policy-relevant without being policy-prescriptive. The dissertation has shown that the trust signal is strongest precisely where the cooperative-uncooperative divide is sharpest, which is the divide that the operator-ephemeris-sharing literature has identified as the locus of the public good [13, 27, 28]. The implication is that policy instruments aimed at expanding voluntary ephemeris exchange would, if effective, collapse the trust signal toward zero for the expanded cooperative subset, which is precisely the outcome that conjunction screening and debris management would seek. The dissertation does not prescribe the instruments. It documents that the empirical structure of cross-source disagreement is consistent with the mechanism the policy literature has hypothesised, and it provides a measurement framework that future work can use to evaluate whether any given instrument is producing the intended convergence.</w:t>
      </w:r>
    </w:p>
    <w:bookmarkEnd w:id="135"/>
    <w:bookmarkStart w:id="136" w:name="X88bc934e4255c7e354baec1952f8493613ef69b"/>
    <w:p>
      <w:pPr>
        <w:pStyle w:val="Heading2"/>
        <w:spacing w:line="480" w:lineRule="auto"/>
      </w:pPr>
      <w:r>
        <w:t xml:space="preserve">8.4 Limitations and the Frontier of Future Work</w:t>
      </w:r>
    </w:p>
    <w:p>
      <w:pPr>
        <w:pStyle w:val="FirstParagraph"/>
        <w:spacing w:line="480" w:lineRule="auto"/>
      </w:pPr>
      <w:r>
        <w:t xml:space="preserve">The dissertation’s limitations have been documented in the relevant empirical chapters and need not be rehearsed at length here. Three deserve emphasis as a guide to the frontier of subsequent inquiry. The panel is small, selected on documented disagreement, and concentrated in LEO. A saturated GEO and MEO extension, drawing on the optical networks documented in the serendipitous-acquisition and survey-sensor literatures</w:t>
      </w:r>
      <w:r>
        <w:t xml:space="preserve"> </w:t>
      </w:r>
      <w:hyperlink w:anchor="ref-33">
        <w:r>
          <w:rPr>
            <w:rStyle w:val="Hyperlink"/>
          </w:rPr>
          <w:t xml:space="preserve">[33]</w:t>
        </w:r>
      </w:hyperlink>
      <w:r>
        <w:t xml:space="preserve"> </w:t>
      </w:r>
      <w:r>
        <w:t xml:space="preserve">and on the mega-constellation uncooperative-surveillance work of Constant and colleagues</w:t>
      </w:r>
      <w:r>
        <w:t xml:space="preserve"> </w:t>
      </w:r>
      <w:hyperlink w:anchor="ref-31">
        <w:r>
          <w:rPr>
            <w:rStyle w:val="Hyperlink"/>
          </w:rPr>
          <w:t xml:space="preserve">[31]</w:t>
        </w:r>
      </w:hyperlink>
      <w:r>
        <w:t xml:space="preserve">, would test whether the regime dependence reported here scales to the higher orbits. The model is a snapshot rather than a panel across epochs; a panel extension would let disagreement be modelled as a function of solar activity, recent maneuvers detected through the Pirovano and Armellin framework</w:t>
      </w:r>
      <w:r>
        <w:t xml:space="preserve"> </w:t>
      </w:r>
      <w:hyperlink w:anchor="ref-15">
        <w:r>
          <w:rPr>
            <w:rStyle w:val="Hyperlink"/>
          </w:rPr>
          <w:t xml:space="preserve">[15]</w:t>
        </w:r>
      </w:hyperlink>
      <w:r>
        <w:t xml:space="preserve">, and breakup events documented in the Anz-Meador Fengyun-1C cloud analysis</w:t>
      </w:r>
      <w:r>
        <w:t xml:space="preserve"> </w:t>
      </w:r>
      <w:hyperlink w:anchor="ref-22">
        <w:r>
          <w:rPr>
            <w:rStyle w:val="Hyperlink"/>
          </w:rPr>
          <w:t xml:space="preserve">[22]</w:t>
        </w:r>
      </w:hyperlink>
      <w:r>
        <w:t xml:space="preserve"> </w:t>
      </w:r>
      <w:r>
        <w:t xml:space="preserve">and the Orbital Debris Program Office quarterly bulletins</w:t>
      </w:r>
      <w:r>
        <w:t xml:space="preserve"> </w:t>
      </w:r>
      <w:hyperlink w:anchor="ref-23">
        <w:r>
          <w:rPr>
            <w:rStyle w:val="Hyperlink"/>
          </w:rPr>
          <w:t xml:space="preserve">[23]</w:t>
        </w:r>
      </w:hyperlink>
      <w:r>
        <w:t xml:space="preserve">. The cybersecurity dimension of trust in AI- and machine-learning-assisted SDA pipelines, raised by Kline</w:t>
      </w:r>
      <w:r>
        <w:t xml:space="preserve"> </w:t>
      </w:r>
      <w:hyperlink w:anchor="ref-32">
        <w:r>
          <w:rPr>
            <w:rStyle w:val="Hyperlink"/>
          </w:rPr>
          <w:t xml:space="preserve">[32]</w:t>
        </w:r>
      </w:hyperlink>
      <w:r>
        <w:t xml:space="preserve">, is adjacent to the present work and would extend the trust-signal framework from estimator disagreement to adversarial perturbation.</w:t>
      </w:r>
    </w:p>
    <w:bookmarkEnd w:id="136"/>
    <w:bookmarkStart w:id="137" w:name="closing-statement-1"/>
    <w:p>
      <w:pPr>
        <w:pStyle w:val="Heading2"/>
        <w:spacing w:line="480" w:lineRule="auto"/>
      </w:pPr>
      <w:r>
        <w:t xml:space="preserve">8.5 Closing Statement</w:t>
      </w:r>
    </w:p>
    <w:p>
      <w:pPr>
        <w:pStyle w:val="FirstParagraph"/>
        <w:spacing w:line="480" w:lineRule="auto"/>
      </w:pPr>
      <w:r>
        <w:t xml:space="preserve">The civil space traffic coordination architecture is no longer organised around a single authoritative catalog, and it will not return to that organisation. The Cosmos-Iridium collision of 2009 [4, 10] demonstrated that single-catalog conjunction assessment can fail in operationally consequential ways. The seventeen years since have produced not convergence but proliferation, and the TraCSS pathfinder [2, 20] has institutionalised the multi-catalog environment as the operational baseline. In that environment, the disagreement among catalogs is not a transitional inconvenience to be engineered away. It is a structural feature of the architecture, and it carries information that no single catalog can produce on its own.</w:t>
      </w:r>
    </w:p>
    <w:p>
      <w:pPr>
        <w:pStyle w:val="BodyText"/>
        <w:spacing w:line="480" w:lineRule="auto"/>
        <w:ind w:firstLine="720"/>
      </w:pPr>
      <w:r>
        <w:t xml:space="preserve">This dissertation has shown that the information is extractable, that it is concentrated where the cooperative-uncooperative divide is sharpest, that it varies systematically with regime and with object characteristics in ways the sensor-geometry and operator-ephemeris literatures predicted, and that it can be turned into a per-object, per-epoch trust score that downstream consumers can use without waiting for a fusion engine to adjudicate which catalog is correct. The framework is modest in its claims and explicit in its limitations. It is, however, sufficient to support a single conclusion that the dissertation has earned the right to assert: in a multi-catalog environment, the disagreement among catalogs is itself a catalog, and it is a catalog of trust. The discipline now has the conceptual and empirical apparatus to read it.</w:t>
      </w:r>
    </w:p>
    <w:bookmarkEnd w:id="137"/>
    <w:bookmarkStart w:id="197" w:name="references"/>
    <w:p>
      <w:pPr>
        <w:pStyle w:val="Heading2"/>
        <w:spacing w:line="480" w:lineRule="auto"/>
      </w:pPr>
      <w:r>
        <w:t xml:space="preserve">References</w:t>
      </w:r>
    </w:p>
    <w:p>
      <w:pPr>
        <w:pStyle w:val="FirstParagraph"/>
        <w:spacing w:line="480" w:lineRule="auto"/>
      </w:pPr>
      <w:bookmarkStart w:id="138" w:name="ref-1"/>
      <w:bookmarkEnd w:id="138"/>
      <w:r>
        <w:t xml:space="preserve">1. R. Wolff, C. Ramos, J. Cornelius, and Q. Collins,</w:t>
      </w:r>
      <w:r>
        <w:t xml:space="preserve"> </w:t>
      </w:r>
      <w:r>
        <w:t xml:space="preserve">“Conjunction Assessment Performance and Operational Comparisons between the USSF Mission Delta 2 Conjunction Analysis System and the Traffic Coordination System for Space (TraCSS),”</w:t>
      </w:r>
      <w:r>
        <w:t xml:space="preserve"> </w:t>
      </w:r>
      <w:r>
        <w:t xml:space="preserve">Proc. Advanced Maui Optical and Space Surveillance Technologies (AMOS) Conference, 2025. doi:</w:t>
      </w:r>
      <w:r>
        <w:t xml:space="preserve"> </w:t>
      </w:r>
      <w:hyperlink r:id="rId139">
        <w:r>
          <w:rPr>
            <w:rStyle w:val="Hyperlink"/>
          </w:rPr>
          <w:t xml:space="preserve">10.64861/XWVP8211</w:t>
        </w:r>
      </w:hyperlink>
    </w:p>
    <w:p>
      <w:pPr>
        <w:pStyle w:val="BodyText"/>
        <w:spacing w:line="480" w:lineRule="auto"/>
        <w:ind w:firstLine="720"/>
      </w:pPr>
      <w:bookmarkStart w:id="140" w:name="ref-2"/>
      <w:bookmarkEnd w:id="140"/>
      <w:r>
        <w:t xml:space="preserve">2. S. Magnus, M. Hejduk, J. Johnson, J. Giles, A. Parikka, C. Joseph, C. Coursey, M. Lifson, A. Antunes de Sá, D. Baker, M. Duncan, C. Grey, R. Hall, S. Johnson, P. Mesalles-Ripoll, D. Oltrogge, J. Stauch, and D. Strobel,</w:t>
      </w:r>
      <w:r>
        <w:t xml:space="preserve"> </w:t>
      </w:r>
      <w:r>
        <w:t xml:space="preserve">“The TraCSS Consolidated Pathfinder: Leveraging Commercial Capability in LEO,”</w:t>
      </w:r>
      <w:r>
        <w:t xml:space="preserve"> </w:t>
      </w:r>
      <w:r>
        <w:t xml:space="preserve">Proc. Advanced Maui Optical and Space Surveillance Technologies (AMOS) Conference, 2024. doi:</w:t>
      </w:r>
      <w:r>
        <w:t xml:space="preserve"> </w:t>
      </w:r>
      <w:hyperlink r:id="rId141">
        <w:r>
          <w:rPr>
            <w:rStyle w:val="Hyperlink"/>
          </w:rPr>
          <w:t xml:space="preserve">10.64861/BAJJ5826</w:t>
        </w:r>
      </w:hyperlink>
    </w:p>
    <w:p>
      <w:pPr>
        <w:pStyle w:val="BodyText"/>
        <w:spacing w:line="480" w:lineRule="auto"/>
        <w:ind w:firstLine="720"/>
      </w:pPr>
      <w:bookmarkStart w:id="142" w:name="ref-3"/>
      <w:bookmarkEnd w:id="142"/>
      <w:r>
        <w:t xml:space="preserve">3. M. Nicolls, V. Vittaldev, D. Ceperley, J. Creus-Costa, C. Foster, N. Griffith, E. Lu, J. Mason, I. Park, C. Rosner, and L. Stepan,</w:t>
      </w:r>
      <w:r>
        <w:t xml:space="preserve"> </w:t>
      </w:r>
      <w:r>
        <w:t xml:space="preserve">“Conjunction Assessment for Commercial Satellite Constellations Using Commercial Radar Data Sources,”</w:t>
      </w:r>
      <w:r>
        <w:t xml:space="preserve"> </w:t>
      </w:r>
      <w:r>
        <w:t xml:space="preserve">Proc. Advanced Maui Optical and Space Surveillance Technologies (AMOS) Conference, 2017.</w:t>
      </w:r>
    </w:p>
    <w:p>
      <w:pPr>
        <w:pStyle w:val="BodyText"/>
        <w:spacing w:line="480" w:lineRule="auto"/>
        <w:ind w:firstLine="720"/>
      </w:pPr>
      <w:bookmarkStart w:id="143" w:name="ref-4"/>
      <w:bookmarkEnd w:id="143"/>
      <w:r>
        <w:t xml:space="preserve">4. S. S. Olivier, K. Cook, B. Fasenfest, D. Jefferson, M. Jiang, J. Leek, J. Levatin, S. Nikolaev, A. Pertica, D. Phillion, K. Springer, and W. De Vries,</w:t>
      </w:r>
      <w:r>
        <w:t xml:space="preserve"> </w:t>
      </w:r>
      <w:r>
        <w:t xml:space="preserve">“High-Performance Computer Modeling of the Cosmos-Iridium Collision,”</w:t>
      </w:r>
      <w:r>
        <w:t xml:space="preserve"> </w:t>
      </w:r>
      <w:r>
        <w:t xml:space="preserve">Proc. Advanced Maui Optical and Space Surveillance Technologies (AMOS) Conference, 2009.</w:t>
      </w:r>
    </w:p>
    <w:p>
      <w:pPr>
        <w:pStyle w:val="BodyText"/>
        <w:spacing w:line="480" w:lineRule="auto"/>
        <w:ind w:firstLine="720"/>
      </w:pPr>
      <w:bookmarkStart w:id="144" w:name="ref-5"/>
      <w:bookmarkEnd w:id="144"/>
      <w:r>
        <w:t xml:space="preserve">5. T. Flohrer, H. Krag, and H. Klinkrad,</w:t>
      </w:r>
      <w:r>
        <w:t xml:space="preserve"> </w:t>
      </w:r>
      <w:r>
        <w:t xml:space="preserve">“Assessment and Categorization of TLE Orbit Errors for the US SSN Catalogue,”</w:t>
      </w:r>
      <w:r>
        <w:t xml:space="preserve"> </w:t>
      </w:r>
      <w:r>
        <w:t xml:space="preserve">Proc. Advanced Maui Optical and Space Surveillance Technologies (AMOS) Conference, 2008.</w:t>
      </w:r>
    </w:p>
    <w:p>
      <w:pPr>
        <w:pStyle w:val="BodyText"/>
        <w:spacing w:line="480" w:lineRule="auto"/>
        <w:ind w:firstLine="720"/>
      </w:pPr>
      <w:bookmarkStart w:id="145" w:name="ref-6"/>
      <w:bookmarkEnd w:id="145"/>
      <w:r>
        <w:t xml:space="preserve">6. A. Gonring, J. Won, D. Chen, M. Mendiola, J. Cruz, S. Bergonzi, A. Chervenak, and V. Kong,</w:t>
      </w:r>
      <w:r>
        <w:t xml:space="preserve"> </w:t>
      </w:r>
      <w:r>
        <w:t xml:space="preserve">“Establishing an Independent Data Quality Analysis Framework for UDL Published Datasets,”</w:t>
      </w:r>
      <w:r>
        <w:t xml:space="preserve"> </w:t>
      </w:r>
      <w:r>
        <w:t xml:space="preserve">Proc. Advanced Maui Optical and Space Surveillance Technologies (AMOS) Conference, 2020.</w:t>
      </w:r>
    </w:p>
    <w:p>
      <w:pPr>
        <w:pStyle w:val="BodyText"/>
        <w:spacing w:line="480" w:lineRule="auto"/>
        <w:ind w:firstLine="720"/>
      </w:pPr>
      <w:bookmarkStart w:id="146" w:name="ref-7"/>
      <w:bookmarkEnd w:id="146"/>
      <w:r>
        <w:t xml:space="preserve">7. H. Jiang, J. Liu, H. Cheng, and Y. Zhang,</w:t>
      </w:r>
      <w:r>
        <w:t xml:space="preserve"> </w:t>
      </w:r>
      <w:r>
        <w:t xml:space="preserve">“Short-Term TLE Uncertainty Estimation Using an Artificial Neural Network Model,”</w:t>
      </w:r>
      <w:r>
        <w:t xml:space="preserve"> </w:t>
      </w:r>
      <w:r>
        <w:t xml:space="preserve">Proc. Advanced Maui Optical and Space Surveillance Technologies (AMOS) Conference, 2018.</w:t>
      </w:r>
    </w:p>
    <w:p>
      <w:pPr>
        <w:pStyle w:val="BodyText"/>
        <w:spacing w:line="480" w:lineRule="auto"/>
        <w:ind w:firstLine="720"/>
      </w:pPr>
      <w:bookmarkStart w:id="147" w:name="ref-8"/>
      <w:bookmarkEnd w:id="147"/>
      <w:r>
        <w:t xml:space="preserve">8. A. Holincheck and J. Cathell,</w:t>
      </w:r>
      <w:r>
        <w:t xml:space="preserve"> </w:t>
      </w:r>
      <w:r>
        <w:t xml:space="preserve">“Improved Orbital Predictions using Pseudo Observations: Maximizing the Utility of SGP4-XP,”</w:t>
      </w:r>
      <w:r>
        <w:t xml:space="preserve"> </w:t>
      </w:r>
      <w:r>
        <w:t xml:space="preserve">Proc. Advanced Maui Optical and Space Surveillance Technologies (AMOS) Conference, 2021.</w:t>
      </w:r>
    </w:p>
    <w:p>
      <w:pPr>
        <w:pStyle w:val="BodyText"/>
        <w:spacing w:line="480" w:lineRule="auto"/>
        <w:ind w:firstLine="720"/>
      </w:pPr>
      <w:bookmarkStart w:id="148" w:name="ref-9"/>
      <w:bookmarkEnd w:id="148"/>
      <w:r>
        <w:t xml:space="preserve">9. D. Dowd,</w:t>
      </w:r>
      <w:r>
        <w:t xml:space="preserve"> </w:t>
      </w:r>
      <w:r>
        <w:t xml:space="preserve">“Modeling Radar Measurement Uncertainty for Look Angle Optimization,”</w:t>
      </w:r>
      <w:r>
        <w:t xml:space="preserve"> </w:t>
      </w:r>
      <w:r>
        <w:t xml:space="preserve">Proc. Advanced Maui Optical and Space Surveillance Technologies (AMOS) Conference, 2022.</w:t>
      </w:r>
    </w:p>
    <w:p>
      <w:pPr>
        <w:pStyle w:val="BodyText"/>
        <w:spacing w:line="480" w:lineRule="auto"/>
        <w:ind w:firstLine="720"/>
      </w:pPr>
      <w:bookmarkStart w:id="149" w:name="ref-10"/>
      <w:bookmarkEnd w:id="149"/>
      <w:r>
        <w:t xml:space="preserve">10. Kelso, T.S.</w:t>
      </w:r>
      <w:r>
        <w:t xml:space="preserve"> </w:t>
      </w:r>
      <w:r>
        <w:t xml:space="preserve">“Analysis of the Iridium 33-Cosmos 2251 Collision.”</w:t>
      </w:r>
      <w:r>
        <w:t xml:space="preserve"> </w:t>
      </w:r>
      <w:r>
        <w:t xml:space="preserve">Proc. AMOS Conference, 2009. https://amostech.com/TechnicalPapers/2009/</w:t>
      </w:r>
    </w:p>
    <w:p>
      <w:pPr>
        <w:pStyle w:val="BodyText"/>
        <w:spacing w:line="480" w:lineRule="auto"/>
        <w:ind w:firstLine="720"/>
      </w:pPr>
      <w:bookmarkStart w:id="150" w:name="ref-11"/>
      <w:bookmarkEnd w:id="150"/>
      <w:r>
        <w:t xml:space="preserve">11. Wilkins, M., Alfano, S., Oltrogge, D.L., et al. </w:t>
      </w:r>
      <w:r>
        <w:t xml:space="preserve">“Conjunction Assessment Performance and Operational Comparisons between the USSF Mission Delta 2 Conjunction Analysis System and the Traffic Coordination System for Space (TraCSS).”</w:t>
      </w:r>
      <w:r>
        <w:t xml:space="preserve"> </w:t>
      </w:r>
      <w:r>
        <w:t xml:space="preserve">Proc. AMOS Conference, 2025.</w:t>
      </w:r>
    </w:p>
    <w:p>
      <w:pPr>
        <w:pStyle w:val="BodyText"/>
        <w:spacing w:line="480" w:lineRule="auto"/>
        <w:ind w:firstLine="720"/>
      </w:pPr>
      <w:bookmarkStart w:id="151" w:name="ref-12"/>
      <w:bookmarkEnd w:id="151"/>
      <w:r>
        <w:t xml:space="preserve">12. Vallado, D.A., and Cefola, P.J.</w:t>
      </w:r>
      <w:r>
        <w:t xml:space="preserve"> </w:t>
      </w:r>
      <w:r>
        <w:t xml:space="preserve">“Assessment and Categorization of TLE Orbit Errors for the US SSN Catalogue.”</w:t>
      </w:r>
      <w:r>
        <w:t xml:space="preserve"> </w:t>
      </w:r>
      <w:r>
        <w:t xml:space="preserve">Proc. AMOS Conference, 2008. https://amostech.com/TechnicalPapers/2008/</w:t>
      </w:r>
    </w:p>
    <w:p>
      <w:pPr>
        <w:pStyle w:val="BodyText"/>
        <w:spacing w:line="480" w:lineRule="auto"/>
        <w:ind w:firstLine="720"/>
      </w:pPr>
      <w:bookmarkStart w:id="152" w:name="ref-13"/>
      <w:bookmarkEnd w:id="152"/>
      <w:r>
        <w:t xml:space="preserve">13. Reed, H., Stilwell, R., Weeden, B., Dailey, N., Tsamis, N.</w:t>
      </w:r>
      <w:r>
        <w:t xml:space="preserve"> </w:t>
      </w:r>
      <w:r>
        <w:t xml:space="preserve">“Sharing Operational Risk Information in the Space Domain to Facilitate Norms Development and Compliance Monitoring.”</w:t>
      </w:r>
      <w:r>
        <w:t xml:space="preserve"> </w:t>
      </w:r>
      <w:r>
        <w:t xml:space="preserve">Proc. AMOS Conference, 2022. https://amostech.com/TechnicalPapers/2022/Poster/Reed_2.pdf</w:t>
      </w:r>
    </w:p>
    <w:p>
      <w:pPr>
        <w:pStyle w:val="BodyText"/>
        <w:spacing w:line="480" w:lineRule="auto"/>
        <w:ind w:firstLine="720"/>
      </w:pPr>
      <w:bookmarkStart w:id="153" w:name="ref-14"/>
      <w:bookmarkEnd w:id="153"/>
      <w:r>
        <w:t xml:space="preserve">14. Hoots, F.R., Sorge, M.E., Oltrogge, D.L.</w:t>
      </w:r>
      <w:r>
        <w:t xml:space="preserve"> </w:t>
      </w:r>
      <w:r>
        <w:t xml:space="preserve">“Improved Conjunction Analysis via Collaborative Space Situational Awareness.”</w:t>
      </w:r>
      <w:r>
        <w:t xml:space="preserve"> </w:t>
      </w:r>
      <w:r>
        <w:t xml:space="preserve">Proc. AMOS Conference, 2008.</w:t>
      </w:r>
    </w:p>
    <w:p>
      <w:pPr>
        <w:pStyle w:val="BodyText"/>
        <w:spacing w:line="480" w:lineRule="auto"/>
        <w:ind w:firstLine="720"/>
      </w:pPr>
      <w:bookmarkStart w:id="154" w:name="ref-15"/>
      <w:bookmarkEnd w:id="154"/>
      <w:r>
        <w:t xml:space="preserve">15. Pirovano, L., and Armellin, R.</w:t>
      </w:r>
      <w:r>
        <w:t xml:space="preserve"> </w:t>
      </w:r>
      <w:r>
        <w:t xml:space="preserve">“Detection and estimation of spacecraft maneuvers for catalog maintenance.”</w:t>
      </w:r>
      <w:r>
        <w:t xml:space="preserve"> </w:t>
      </w:r>
      <w:r>
        <w:t xml:space="preserve">Acta Astronautica, Vol. 215, 2024, pp. 387 to 401. doi:</w:t>
      </w:r>
      <w:r>
        <w:t xml:space="preserve"> </w:t>
      </w:r>
      <w:hyperlink r:id="rId155">
        <w:r>
          <w:rPr>
            <w:rStyle w:val="Hyperlink"/>
          </w:rPr>
          <w:t xml:space="preserve">10.1016/j.actaastro.2023.12.016</w:t>
        </w:r>
      </w:hyperlink>
    </w:p>
    <w:p>
      <w:pPr>
        <w:pStyle w:val="BodyText"/>
        <w:spacing w:line="480" w:lineRule="auto"/>
        <w:ind w:firstLine="720"/>
      </w:pPr>
      <w:bookmarkStart w:id="156" w:name="ref-16"/>
      <w:bookmarkEnd w:id="156"/>
      <w:r>
        <w:t xml:space="preserve">16. Kazemi, S., Azad, N.L., Scott, K., Oqab, H.B., Dietrich, G.B.</w:t>
      </w:r>
      <w:r>
        <w:t xml:space="preserve"> </w:t>
      </w:r>
      <w:r>
        <w:t xml:space="preserve">“Orbit determination for space situational awareness: A survey.”</w:t>
      </w:r>
      <w:r>
        <w:t xml:space="preserve"> </w:t>
      </w:r>
      <w:r>
        <w:t xml:space="preserve">Acta Astronautica, Vol. 222, 2024. doi:</w:t>
      </w:r>
      <w:r>
        <w:t xml:space="preserve"> </w:t>
      </w:r>
      <w:hyperlink r:id="rId157">
        <w:r>
          <w:rPr>
            <w:rStyle w:val="Hyperlink"/>
          </w:rPr>
          <w:t xml:space="preserve">10.1016/j.actaastro.2024.06.015</w:t>
        </w:r>
      </w:hyperlink>
    </w:p>
    <w:p>
      <w:pPr>
        <w:pStyle w:val="BodyText"/>
        <w:spacing w:line="480" w:lineRule="auto"/>
        <w:ind w:firstLine="720"/>
      </w:pPr>
      <w:bookmarkStart w:id="158" w:name="ref-17"/>
      <w:bookmarkEnd w:id="158"/>
      <w:r>
        <w:t xml:space="preserve">17. Peng, H., and Bai, X.</w:t>
      </w:r>
      <w:r>
        <w:t xml:space="preserve"> </w:t>
      </w:r>
      <w:r>
        <w:t xml:space="preserve">“Gaussian Processes for improving orbit prediction accuracy.”</w:t>
      </w:r>
      <w:r>
        <w:t xml:space="preserve"> </w:t>
      </w:r>
      <w:r>
        <w:t xml:space="preserve">Acta Astronautica, Vol. 161, 2019. doi:</w:t>
      </w:r>
      <w:r>
        <w:t xml:space="preserve"> </w:t>
      </w:r>
      <w:hyperlink r:id="rId159">
        <w:r>
          <w:rPr>
            <w:rStyle w:val="Hyperlink"/>
          </w:rPr>
          <w:t xml:space="preserve">10.1016/j.actaastro.2019.05.014</w:t>
        </w:r>
      </w:hyperlink>
    </w:p>
    <w:p>
      <w:pPr>
        <w:pStyle w:val="BodyText"/>
        <w:spacing w:line="480" w:lineRule="auto"/>
        <w:ind w:firstLine="720"/>
      </w:pPr>
      <w:bookmarkStart w:id="160" w:name="ref-18"/>
      <w:bookmarkEnd w:id="160"/>
      <w:r>
        <w:t xml:space="preserve">18. NASA Office of Inspector General.</w:t>
      </w:r>
      <w:r>
        <w:t xml:space="preserve"> </w:t>
      </w:r>
      <w:r>
        <w:t xml:space="preserve">“NASA’s Efforts to Mitigate the Risks Posed by Orbital Debris.”</w:t>
      </w:r>
      <w:r>
        <w:t xml:space="preserve"> </w:t>
      </w:r>
      <w:r>
        <w:t xml:space="preserve">IG-22-016, 2021.</w:t>
      </w:r>
    </w:p>
    <w:p>
      <w:pPr>
        <w:pStyle w:val="BodyText"/>
        <w:spacing w:line="480" w:lineRule="auto"/>
        <w:ind w:firstLine="720"/>
      </w:pPr>
      <w:bookmarkStart w:id="161" w:name="ref-19"/>
      <w:bookmarkEnd w:id="161"/>
      <w:r>
        <w:t xml:space="preserve">19. ESA Space Debris Office.</w:t>
      </w:r>
      <w:r>
        <w:t xml:space="preserve"> </w:t>
      </w:r>
      <w:r>
        <w:t xml:space="preserve">“ESA’s Annual Space Environment Report.”</w:t>
      </w:r>
      <w:r>
        <w:t xml:space="preserve"> </w:t>
      </w:r>
      <w:r>
        <w:t xml:space="preserve">European Space Agency, 2018.</w:t>
      </w:r>
    </w:p>
    <w:p>
      <w:pPr>
        <w:pStyle w:val="BodyText"/>
        <w:spacing w:line="480" w:lineRule="auto"/>
        <w:ind w:firstLine="720"/>
      </w:pPr>
      <w:bookmarkStart w:id="162" w:name="ref-20"/>
      <w:bookmarkEnd w:id="162"/>
      <w:r>
        <w:t xml:space="preserve">20. S. Magnus, M. Hejduk, J. Johnson, J. Giles, A. Parikka, C. Joseph, et al.,</w:t>
      </w:r>
      <w:r>
        <w:t xml:space="preserve"> </w:t>
      </w:r>
      <w:r>
        <w:t xml:space="preserve">“The TraCSS Consolidated Pathfinder: Leveraging Commercial Capability in LEO,”</w:t>
      </w:r>
      <w:r>
        <w:t xml:space="preserve"> </w:t>
      </w:r>
      <w:r>
        <w:t xml:space="preserve">Proc. Advanced Maui Optical and Space Surveillance Technologies Conference, 2024, doi:</w:t>
      </w:r>
      <w:r>
        <w:t xml:space="preserve"> </w:t>
      </w:r>
      <w:hyperlink r:id="rId141">
        <w:r>
          <w:rPr>
            <w:rStyle w:val="Hyperlink"/>
          </w:rPr>
          <w:t xml:space="preserve">10.64861/BAJJ5826</w:t>
        </w:r>
      </w:hyperlink>
    </w:p>
    <w:p>
      <w:pPr>
        <w:pStyle w:val="BodyText"/>
        <w:spacing w:line="480" w:lineRule="auto"/>
        <w:ind w:firstLine="720"/>
      </w:pPr>
      <w:bookmarkStart w:id="163" w:name="ref-21"/>
      <w:bookmarkEnd w:id="163"/>
      <w:r>
        <w:t xml:space="preserve">21. N. Ravago, E. Toumey, L. Baars, and M. Hejduk,</w:t>
      </w:r>
      <w:r>
        <w:t xml:space="preserve"> </w:t>
      </w:r>
      <w:r>
        <w:t xml:space="preserve">“Evaluation of Screening Volumes Used in Conjunction Assessment,”</w:t>
      </w:r>
      <w:r>
        <w:t xml:space="preserve"> </w:t>
      </w:r>
      <w:r>
        <w:t xml:space="preserve">Proc. Advanced Maui Optical and Space Surveillance Technologies Conference, 2025, doi:</w:t>
      </w:r>
      <w:r>
        <w:t xml:space="preserve"> </w:t>
      </w:r>
      <w:hyperlink r:id="rId164">
        <w:r>
          <w:rPr>
            <w:rStyle w:val="Hyperlink"/>
          </w:rPr>
          <w:t xml:space="preserve">10.64861/PAEO6437</w:t>
        </w:r>
      </w:hyperlink>
    </w:p>
    <w:p>
      <w:pPr>
        <w:pStyle w:val="BodyText"/>
        <w:spacing w:line="480" w:lineRule="auto"/>
        <w:ind w:firstLine="720"/>
      </w:pPr>
      <w:bookmarkStart w:id="165" w:name="ref-22"/>
      <w:bookmarkEnd w:id="165"/>
      <w:r>
        <w:t xml:space="preserve">22. P. Anz-Meador,</w:t>
      </w:r>
      <w:r>
        <w:t xml:space="preserve"> </w:t>
      </w:r>
      <w:r>
        <w:t xml:space="preserve">“Fengyun-1C Debris Cloud Evolution and Risk Analysis,”</w:t>
      </w:r>
      <w:r>
        <w:t xml:space="preserve"> </w:t>
      </w:r>
      <w:r>
        <w:t xml:space="preserve">NASA TM-2020-5008219, 2020.</w:t>
      </w:r>
    </w:p>
    <w:p>
      <w:pPr>
        <w:pStyle w:val="BodyText"/>
        <w:spacing w:line="480" w:lineRule="auto"/>
        <w:ind w:firstLine="720"/>
      </w:pPr>
      <w:bookmarkStart w:id="166" w:name="ref-23"/>
      <w:bookmarkEnd w:id="166"/>
      <w:r>
        <w:t xml:space="preserve">23. NASA Orbital Debris Program Office,</w:t>
      </w:r>
      <w:r>
        <w:t xml:space="preserve"> </w:t>
      </w:r>
      <w:r>
        <w:t xml:space="preserve">“Orbital Debris Quarterly News,”</w:t>
      </w:r>
      <w:r>
        <w:t xml:space="preserve"> </w:t>
      </w:r>
      <w:r>
        <w:t xml:space="preserve">vol. 26 no. 1, 2022, and vol. 27 no. 1, 2023.</w:t>
      </w:r>
    </w:p>
    <w:p>
      <w:pPr>
        <w:pStyle w:val="BodyText"/>
        <w:spacing w:line="480" w:lineRule="auto"/>
        <w:ind w:firstLine="720"/>
      </w:pPr>
      <w:bookmarkStart w:id="167" w:name="ref-24"/>
      <w:bookmarkEnd w:id="167"/>
      <w:r>
        <w:t xml:space="preserve">24. Secure World Foundation,</w:t>
      </w:r>
      <w:r>
        <w:t xml:space="preserve"> </w:t>
      </w:r>
      <w:r>
        <w:t xml:space="preserve">“Global Counterspace Capabilities: An Open Source Assessment,”</w:t>
      </w:r>
      <w:r>
        <w:t xml:space="preserve"> </w:t>
      </w:r>
      <w:r>
        <w:t xml:space="preserve">2024.</w:t>
      </w:r>
    </w:p>
    <w:p>
      <w:pPr>
        <w:pStyle w:val="BodyText"/>
        <w:spacing w:line="480" w:lineRule="auto"/>
        <w:ind w:firstLine="720"/>
      </w:pPr>
      <w:bookmarkStart w:id="168" w:name="ref-25"/>
      <w:bookmarkEnd w:id="168"/>
      <w:r>
        <w:t xml:space="preserve">25. U.S. Government Accountability Office,</w:t>
      </w:r>
      <w:r>
        <w:t xml:space="preserve"> </w:t>
      </w:r>
      <w:r>
        <w:t xml:space="preserve">“Space Situational Awareness: DOD Should Evaluate How It Can Use Commercial Data,”</w:t>
      </w:r>
      <w:r>
        <w:t xml:space="preserve"> </w:t>
      </w:r>
      <w:r>
        <w:t xml:space="preserve">GAO-23-106021, 2023.</w:t>
      </w:r>
    </w:p>
    <w:p>
      <w:pPr>
        <w:pStyle w:val="BodyText"/>
        <w:spacing w:line="480" w:lineRule="auto"/>
        <w:ind w:firstLine="720"/>
      </w:pPr>
      <w:bookmarkStart w:id="169" w:name="ref-26"/>
      <w:bookmarkEnd w:id="169"/>
      <w:r>
        <w:t xml:space="preserve">26. Matthew Wilkins, L3Harris; Sanja Cvijic, Charles River Analytics, Inc.; Weston Faber, L3Harris Technologies. A Multi-Agent Trust Framework for Fusing Subjective Opinions with Imperfect Understanding in Space Domain Awareness Using the Scruff AI Framework (2024). doi:</w:t>
      </w:r>
      <w:r>
        <w:t xml:space="preserve"> </w:t>
      </w:r>
      <w:hyperlink r:id="rId170">
        <w:r>
          <w:rPr>
            <w:rStyle w:val="Hyperlink"/>
          </w:rPr>
          <w:t xml:space="preserve">10.64861/TUTU2866</w:t>
        </w:r>
      </w:hyperlink>
    </w:p>
    <w:p>
      <w:pPr>
        <w:pStyle w:val="BodyText"/>
        <w:spacing w:line="480" w:lineRule="auto"/>
        <w:ind w:firstLine="720"/>
      </w:pPr>
      <w:bookmarkStart w:id="171" w:name="ref-27"/>
      <w:bookmarkEnd w:id="171"/>
      <w:r>
        <w:t xml:space="preserve">27. Harvey Reed, MITRE; Nathaniel Dailey, MITRE; Ruth Stilwell, Aerospace Policy Solutions, LLC; Brian Weeden, Secure World Foundation. Decentralized Space Information Sharing as a Key Enabler of Trust and the Preservation of Space (2021).</w:t>
      </w:r>
    </w:p>
    <w:p>
      <w:pPr>
        <w:pStyle w:val="BodyText"/>
        <w:spacing w:line="480" w:lineRule="auto"/>
        <w:ind w:firstLine="720"/>
      </w:pPr>
      <w:bookmarkStart w:id="172" w:name="ref-28"/>
      <w:bookmarkEnd w:id="172"/>
      <w:r>
        <w:t xml:space="preserve">28. Harvey Reed, MITRE; Nick Tsamis, MITRE; Nathaniel Dailey, MITRE. Space Sustainability and Traffic Management Requires Trusted Space Stakeholder Coordination (2023). doi:</w:t>
      </w:r>
      <w:r>
        <w:t xml:space="preserve"> </w:t>
      </w:r>
      <w:hyperlink r:id="rId173">
        <w:r>
          <w:rPr>
            <w:rStyle w:val="Hyperlink"/>
          </w:rPr>
          <w:t xml:space="preserve">10.64861/MVHC2799</w:t>
        </w:r>
      </w:hyperlink>
    </w:p>
    <w:p>
      <w:pPr>
        <w:pStyle w:val="BodyText"/>
        <w:spacing w:line="480" w:lineRule="auto"/>
        <w:ind w:firstLine="720"/>
      </w:pPr>
      <w:bookmarkStart w:id="174" w:name="ref-29"/>
      <w:bookmarkEnd w:id="174"/>
      <w:r>
        <w:t xml:space="preserve">29. Mark Mulrooney (NASA-JSC/MEI Tech), Mark J. Matney, Ph.D.(Mark J. Matney, Ph.D. (NASA Johnson Space Center). Derivation and Application of a Global Albedo Yielding an Optical Brightness to Physical Size Transformation Free of Systematic Errors (2007).</w:t>
      </w:r>
    </w:p>
    <w:p>
      <w:pPr>
        <w:pStyle w:val="BodyText"/>
        <w:spacing w:line="480" w:lineRule="auto"/>
        <w:ind w:firstLine="720"/>
      </w:pPr>
      <w:bookmarkStart w:id="175" w:name="ref-30"/>
      <w:bookmarkEnd w:id="175"/>
      <w:r>
        <w:t xml:space="preserve">30. James A. Blake, University of Warwick; Katherine Courtney, KCourtney Business Innovation &amp; Strategy; Ralph Dinsley, Northern Space &amp; Security (NORSS) Ltd.; Stuart Eves, SJE Space Ltd; Jacob Geer, UK Space Agency; Theresa Harrison, University of Warwick; Robert Mann, Royal Observatory, Edinburgh; Don Pollacco, University of Warwick. The Global Network On Sustainability In Space (GNOSIS): Activities, Initiatives, and Future Endeavours (2022).</w:t>
      </w:r>
    </w:p>
    <w:p>
      <w:pPr>
        <w:pStyle w:val="BodyText"/>
        <w:spacing w:line="480" w:lineRule="auto"/>
        <w:ind w:firstLine="720"/>
      </w:pPr>
      <w:bookmarkStart w:id="176" w:name="ref-31"/>
      <w:bookmarkEnd w:id="176"/>
      <w:r>
        <w:t xml:space="preserve">31. Charles Constant, University College London; Santosh Bhattarai, University College London; Marek Ziebart, University College London. Limitations of Current Practices in Uncooperative Space Surveillance: Analysis of Mega-Constellation Data Time-Series (2023). doi:</w:t>
      </w:r>
      <w:r>
        <w:t xml:space="preserve"> </w:t>
      </w:r>
      <w:hyperlink r:id="rId177">
        <w:r>
          <w:rPr>
            <w:rStyle w:val="Hyperlink"/>
          </w:rPr>
          <w:t xml:space="preserve">10.64861/QYAX9070</w:t>
        </w:r>
      </w:hyperlink>
    </w:p>
    <w:p>
      <w:pPr>
        <w:pStyle w:val="BodyText"/>
        <w:spacing w:line="480" w:lineRule="auto"/>
        <w:ind w:firstLine="720"/>
      </w:pPr>
      <w:bookmarkStart w:id="178" w:name="ref-32"/>
      <w:bookmarkEnd w:id="178"/>
      <w:r>
        <w:t xml:space="preserve">32. Daniel Kline, Johns Hopkins University. Cybersecurity for Responsible AI/ML Usage in SDA Applications (2025). doi:</w:t>
      </w:r>
      <w:r>
        <w:t xml:space="preserve"> </w:t>
      </w:r>
      <w:hyperlink r:id="rId179">
        <w:r>
          <w:rPr>
            <w:rStyle w:val="Hyperlink"/>
          </w:rPr>
          <w:t xml:space="preserve">10.64861/VEWW9997</w:t>
        </w:r>
      </w:hyperlink>
    </w:p>
    <w:p>
      <w:pPr>
        <w:pStyle w:val="BodyText"/>
        <w:spacing w:line="480" w:lineRule="auto"/>
        <w:ind w:firstLine="720"/>
      </w:pPr>
      <w:bookmarkStart w:id="180" w:name="ref-33"/>
      <w:bookmarkEnd w:id="180"/>
      <w:r>
        <w:t xml:space="preserve">33. Mark Bolden (Pennsylvania State University), David Spencer (Pennsylvania State University). Serendipitous Acquisition of Space Situational Awareness From Astronomical and Survey Sensors (SASSAFRASS) (2014).</w:t>
      </w:r>
    </w:p>
    <w:p>
      <w:pPr>
        <w:pStyle w:val="BodyText"/>
        <w:spacing w:line="480" w:lineRule="auto"/>
        <w:ind w:firstLine="720"/>
      </w:pPr>
      <w:bookmarkStart w:id="181" w:name="ref-34"/>
      <w:bookmarkEnd w:id="181"/>
      <w:r>
        <w:t xml:space="preserve">34. Hadi Jahanshahi; Mohammad Alizadeh; Zheng H. Zhu. Hardware-in-the-loop emulation for 6-DOF free-floating spacecraft using active gravity compensation with a collaborative robot (2026). doi:</w:t>
      </w:r>
      <w:r>
        <w:t xml:space="preserve"> </w:t>
      </w:r>
      <w:hyperlink r:id="rId182">
        <w:r>
          <w:rPr>
            <w:rStyle w:val="Hyperlink"/>
          </w:rPr>
          <w:t xml:space="preserve">10.1016/j.actaastro.2026.05.058</w:t>
        </w:r>
      </w:hyperlink>
    </w:p>
    <w:p>
      <w:pPr>
        <w:pStyle w:val="BodyText"/>
        <w:spacing w:line="480" w:lineRule="auto"/>
        <w:ind w:firstLine="720"/>
      </w:pPr>
      <w:bookmarkStart w:id="183" w:name="ref-35"/>
      <w:bookmarkEnd w:id="183"/>
      <w:r>
        <w:t xml:space="preserve">35. Kenneth M. Houston. Fine-tuning a narrowband SETI signal processing pipeline (2025). doi:</w:t>
      </w:r>
      <w:r>
        <w:t xml:space="preserve"> </w:t>
      </w:r>
      <w:hyperlink r:id="rId184">
        <w:r>
          <w:rPr>
            <w:rStyle w:val="Hyperlink"/>
          </w:rPr>
          <w:t xml:space="preserve">10.1016/j.actaastro.2025.08.024</w:t>
        </w:r>
      </w:hyperlink>
    </w:p>
    <w:p>
      <w:pPr>
        <w:pStyle w:val="BodyText"/>
        <w:spacing w:line="480" w:lineRule="auto"/>
        <w:ind w:firstLine="720"/>
      </w:pPr>
      <w:bookmarkStart w:id="185" w:name="ref-36"/>
      <w:bookmarkEnd w:id="185"/>
      <w:r>
        <w:t xml:space="preserve">36. Xu Wu; Junxue Ren; Yuzhe Sun; Baoshen Xue; Chi Zhang; Kun Feng; Guangchuan Zhang; Zhiyuan Chen (1393672); Yibai Wang; Zun Zhang; Weizong Wang; Haibin Tang. Diagnostics of ion velocity in magnetized high-power electric propulsion plasmas by laser-induced fluorescence spectroscopy (2026). doi:</w:t>
      </w:r>
      <w:r>
        <w:t xml:space="preserve"> </w:t>
      </w:r>
      <w:hyperlink r:id="rId186">
        <w:r>
          <w:rPr>
            <w:rStyle w:val="Hyperlink"/>
          </w:rPr>
          <w:t xml:space="preserve">10.1016/j.actaastro.2026.05.064</w:t>
        </w:r>
      </w:hyperlink>
    </w:p>
    <w:p>
      <w:pPr>
        <w:pStyle w:val="BodyText"/>
        <w:spacing w:line="480" w:lineRule="auto"/>
        <w:ind w:firstLine="720"/>
      </w:pPr>
      <w:bookmarkStart w:id="187" w:name="ref-37"/>
      <w:bookmarkEnd w:id="187"/>
      <w:r>
        <w:t xml:space="preserve">37. Michael Herman; Olivia J. Pinon Fischer; Dimitri N. Mavris. Sun sensor calibration algorithms: A systematic mapping and survey (2026). doi:</w:t>
      </w:r>
      <w:r>
        <w:t xml:space="preserve"> </w:t>
      </w:r>
      <w:hyperlink r:id="rId188">
        <w:r>
          <w:rPr>
            <w:rStyle w:val="Hyperlink"/>
          </w:rPr>
          <w:t xml:space="preserve">10.1016/j.actaastro.2025.12.053</w:t>
        </w:r>
      </w:hyperlink>
    </w:p>
    <w:p>
      <w:pPr>
        <w:pStyle w:val="BodyText"/>
        <w:spacing w:line="480" w:lineRule="auto"/>
        <w:ind w:firstLine="720"/>
      </w:pPr>
      <w:bookmarkStart w:id="189" w:name="ref-38"/>
      <w:bookmarkEnd w:id="189"/>
      <w:r>
        <w:t xml:space="preserve">38. Sebastian Grau; Anton Johann Große Siestrup; Vincent Schulz; Victoria Koßack; Johanna Erna Charlotte Teuchert; Andreas Hornig; Enrico Stoll. Mission operations for precise in-orbit collision prediction and space environment surveillance system (2025). doi:</w:t>
      </w:r>
      <w:r>
        <w:t xml:space="preserve"> </w:t>
      </w:r>
      <w:hyperlink r:id="rId190">
        <w:r>
          <w:rPr>
            <w:rStyle w:val="Hyperlink"/>
          </w:rPr>
          <w:t xml:space="preserve">10.1016/j.actaastro.2025.05.049</w:t>
        </w:r>
      </w:hyperlink>
    </w:p>
    <w:p>
      <w:pPr>
        <w:pStyle w:val="BodyText"/>
        <w:spacing w:line="480" w:lineRule="auto"/>
        <w:ind w:firstLine="720"/>
      </w:pPr>
      <w:bookmarkStart w:id="191" w:name="ref-39"/>
      <w:bookmarkEnd w:id="191"/>
      <w:r>
        <w:t xml:space="preserve">39. Simon L. Wüest; Christian Roesch; Fabian Ille; Marcel Egli. Calcium dependent current recordings in Xenopus laevis oocytes in microgravity (2017). doi:</w:t>
      </w:r>
      <w:r>
        <w:t xml:space="preserve"> </w:t>
      </w:r>
      <w:hyperlink r:id="rId192">
        <w:r>
          <w:rPr>
            <w:rStyle w:val="Hyperlink"/>
          </w:rPr>
          <w:t xml:space="preserve">10.1016/j.actaastro.2017.10.003</w:t>
        </w:r>
      </w:hyperlink>
    </w:p>
    <w:p>
      <w:pPr>
        <w:pStyle w:val="BodyText"/>
        <w:spacing w:line="480" w:lineRule="auto"/>
        <w:ind w:firstLine="720"/>
      </w:pPr>
      <w:bookmarkStart w:id="193" w:name="ref-40"/>
      <w:bookmarkEnd w:id="193"/>
      <w:r>
        <w:t xml:space="preserve">40. Antti Anttonen; Markku Kiviranta; Marko Höyhtyä. Space debris detection over intersatellite communication signals (2021). doi:</w:t>
      </w:r>
      <w:r>
        <w:t xml:space="preserve"> </w:t>
      </w:r>
      <w:hyperlink r:id="rId194">
        <w:r>
          <w:rPr>
            <w:rStyle w:val="Hyperlink"/>
          </w:rPr>
          <w:t xml:space="preserve">10.1016/j.actaastro.2021.06.023</w:t>
        </w:r>
      </w:hyperlink>
    </w:p>
    <w:p>
      <w:pPr>
        <w:pStyle w:val="BodyText"/>
        <w:spacing w:line="480" w:lineRule="auto"/>
        <w:ind w:firstLine="720"/>
      </w:pPr>
      <w:bookmarkStart w:id="195" w:name="ref-41"/>
      <w:bookmarkEnd w:id="195"/>
      <w:r>
        <w:t xml:space="preserve">41. Alejandro Macario Rojas; D. M. Weigt; L. Alberto Cañizares; Shane A. Maloney; Sophie A. Murray; Peter T. Gallagher; Nicholas H. Crisp; Ciara McGrath. Mission concept for SURROUND: Operational space weather detection and tracking using small spacecraft (2026). doi:</w:t>
      </w:r>
      <w:r>
        <w:t xml:space="preserve"> </w:t>
      </w:r>
      <w:hyperlink r:id="rId196">
        <w:r>
          <w:rPr>
            <w:rStyle w:val="Hyperlink"/>
          </w:rPr>
          <w:t xml:space="preserve">10.1016/j.actaastro.2025.12.055</w:t>
        </w:r>
      </w:hyperlink>
    </w:p>
    <w:bookmarkEnd w:id="197"/>
    <w:bookmarkEnd w:id="198"/>
    <w:bookmarkStart w:id="215"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06" w:name="X81bd760d5bc586cd52e746c29383f9284d34c91"/>
    <w:p>
      <w:pPr>
        <w:pStyle w:val="Heading2"/>
        <w:spacing w:line="480" w:lineRule="auto"/>
      </w:pPr>
      <w:r>
        <w:t xml:space="preserve">A.1 Catalog Discrepancy as a Trust Signal: Cross-Source Disagreement Between the Public Catalog and Commercial SSA Providers</w:t>
      </w:r>
    </w:p>
    <w:p>
      <w:pPr>
        <w:pStyle w:val="FirstParagraph"/>
        <w:spacing w:line="480" w:lineRule="auto"/>
      </w:pPr>
      <m:oMathPara>
        <m:oMathParaPr>
          <m:jc m:val="center"/>
        </m:oMathParaPr>
        <m:oMath>
          <m:r>
            <m:rPr>
              <m:sty m:val="p"/>
            </m:rPr>
            <m:t>ln</m:t>
          </m:r>
          <m:r>
            <m:rPr>
              <m:sty m:val="p"/>
            </m:rPr>
            <m:t>(</m:t>
          </m:r>
          <m:sSub>
            <m:e>
              <m:r>
                <m:rPr>
                  <m:nor/>
                  <m:sty m:val="p"/>
                </m:rPr>
                <m:t>disc</m:t>
              </m:r>
            </m:e>
            <m:sub>
              <m:r>
                <m:t>i</m:t>
              </m:r>
            </m:sub>
          </m:sSub>
          <m:r>
            <m:rPr>
              <m:sty m:val="p"/>
            </m:rPr>
            <m:t>)</m:t>
          </m:r>
          <m:r>
            <m:rPr>
              <m:sty m:val="p"/>
            </m:rPr>
            <m:t>=</m:t>
          </m:r>
          <m:sSub>
            <m:e>
              <m:r>
                <m:t>β</m:t>
              </m:r>
            </m:e>
            <m:sub>
              <m:r>
                <m:t>0</m:t>
              </m:r>
            </m:sub>
          </m:sSub>
          <m:r>
            <m:rPr>
              <m:sty m:val="p"/>
            </m:rPr>
            <m:t>+</m:t>
          </m:r>
          <m:sSub>
            <m:e>
              <m:r>
                <m:t>β</m:t>
              </m:r>
            </m:e>
            <m:sub>
              <m:r>
                <m:t>1</m:t>
              </m:r>
            </m:sub>
          </m:sSub>
          <m:sSub>
            <m:e>
              <m:r>
                <m:rPr>
                  <m:nor/>
                  <m:sty m:val="p"/>
                </m:rPr>
                <m:t>regime_leo</m:t>
              </m:r>
            </m:e>
            <m:sub>
              <m:r>
                <m:t>i</m:t>
              </m:r>
            </m:sub>
          </m:sSub>
          <m:r>
            <m:rPr>
              <m:sty m:val="p"/>
            </m:rPr>
            <m:t>+</m:t>
          </m:r>
          <m:sSub>
            <m:e>
              <m:r>
                <m:t>β</m:t>
              </m:r>
            </m:e>
            <m:sub>
              <m:r>
                <m:t>2</m:t>
              </m:r>
            </m:sub>
          </m:sSub>
          <m:sSub>
            <m:e>
              <m:r>
                <m:rPr>
                  <m:nor/>
                  <m:sty m:val="p"/>
                </m:rPr>
                <m:t>object_age_yr</m:t>
              </m:r>
            </m:e>
            <m:sub>
              <m:r>
                <m:t>i</m:t>
              </m:r>
            </m:sub>
          </m:sSub>
          <m:r>
            <m:rPr>
              <m:sty m:val="p"/>
            </m:rPr>
            <m:t>+</m:t>
          </m:r>
          <m:sSub>
            <m:e>
              <m:r>
                <m:t>β</m:t>
              </m:r>
            </m:e>
            <m:sub>
              <m:r>
                <m:t>3</m:t>
              </m:r>
            </m:sub>
          </m:sSub>
          <m:sSub>
            <m:e>
              <m:r>
                <m:rPr>
                  <m:nor/>
                  <m:sty m:val="p"/>
                </m:rPr>
                <m:t>active_flag</m:t>
              </m:r>
            </m:e>
            <m:sub>
              <m:r>
                <m:t>i</m:t>
              </m:r>
            </m:sub>
          </m:sSub>
          <m:r>
            <m:rPr>
              <m:sty m:val="p"/>
            </m:rPr>
            <m:t>+</m:t>
          </m:r>
          <m:sSub>
            <m:e>
              <m:r>
                <m:t>β</m:t>
              </m:r>
            </m:e>
            <m:sub>
              <m:r>
                <m:t>4</m:t>
              </m:r>
            </m:sub>
          </m:sSub>
          <m:sSub>
            <m:e>
              <m:r>
                <m:rPr>
                  <m:nor/>
                  <m:sty m:val="p"/>
                </m:rPr>
                <m:t>debris_flag</m:t>
              </m:r>
            </m:e>
            <m:sub>
              <m:r>
                <m:t>i</m:t>
              </m:r>
            </m:sub>
          </m:sSub>
          <m:r>
            <m:rPr>
              <m:sty m:val="p"/>
            </m:rPr>
            <m:t>+</m:t>
          </m:r>
          <m:sSub>
            <m:e>
              <m:r>
                <m:t>ε</m:t>
              </m:r>
            </m:e>
            <m:sub>
              <m:r>
                <m:t>i</m:t>
              </m:r>
            </m:sub>
          </m:sSub>
        </m:oMath>
      </m:oMathPara>
    </w:p>
    <w:bookmarkStart w:id="199"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0.3386</w:t>
            </w:r>
          </w:p>
        </w:tc>
        <w:tc>
          <w:tcPr>
            <w:tcW w:w="0" w:type="auto"/>
          </w:tcPr>
          <w:p>
            <w:pPr>
              <w:spacing w:line="240" w:lineRule="auto" w:before="0" w:after="0"/>
              <w:pStyle w:val="Compact"/>
            </w:pPr>
            <w:r>
              <w:rPr>
                <w:sz w:val="20"/>
                <w:szCs w:val="20"/>
              </w:rPr>
              <w:t xml:space="preserve">0.1943</w:t>
            </w:r>
          </w:p>
        </w:tc>
        <w:tc>
          <w:tcPr>
            <w:tcW w:w="0" w:type="auto"/>
          </w:tcPr>
          <w:p>
            <w:pPr>
              <w:spacing w:line="240" w:lineRule="auto" w:before="0" w:after="0"/>
              <w:pStyle w:val="Compact"/>
            </w:pPr>
            <w:r>
              <w:rPr>
                <w:sz w:val="20"/>
                <w:szCs w:val="20"/>
              </w:rPr>
              <w:t xml:space="preserve">1.743</w:t>
            </w:r>
          </w:p>
        </w:tc>
        <w:tc>
          <w:tcPr>
            <w:tcW w:w="0" w:type="auto"/>
          </w:tcPr>
          <w:p>
            <w:pPr>
              <w:spacing w:line="240" w:lineRule="auto" w:before="0" w:after="0"/>
              <w:pStyle w:val="Compact"/>
            </w:pPr>
            <w:r>
              <w:rPr>
                <w:sz w:val="20"/>
                <w:szCs w:val="20"/>
              </w:rPr>
              <w:t xml:space="preserve">0.0813</w:t>
            </w:r>
          </w:p>
        </w:tc>
        <w:tc>
          <w:tcPr>
            <w:tcW w:w="0" w:type="auto"/>
          </w:tcPr>
          <w:p>
            <w:pPr>
              <w:spacing w:line="240" w:lineRule="auto" w:before="0" w:after="0"/>
              <w:pStyle w:val="Compact"/>
            </w:pPr>
            <w:r>
              <w:rPr>
                <w:sz w:val="20"/>
                <w:szCs w:val="20"/>
              </w:rPr>
              <w:t xml:space="preserve">[-0.0421, 0.7194]</w:t>
            </w:r>
          </w:p>
        </w:tc>
      </w:tr>
      <w:tr>
        <w:tc>
          <w:tcPr>
            <w:tcW w:w="0" w:type="auto"/>
          </w:tcPr>
          <w:p>
            <w:pPr>
              <w:spacing w:line="240" w:lineRule="auto" w:before="0" w:after="0"/>
              <w:pStyle w:val="Compact"/>
            </w:pPr>
            <w:r>
              <w:rPr>
                <w:sz w:val="20"/>
                <w:szCs w:val="20"/>
              </w:rPr>
              <w:t xml:space="preserve">regime_leo</w:t>
            </w:r>
          </w:p>
        </w:tc>
        <w:tc>
          <w:tcPr>
            <w:tcW w:w="0" w:type="auto"/>
          </w:tcPr>
          <w:p>
            <w:pPr>
              <w:spacing w:line="240" w:lineRule="auto" w:before="0" w:after="0"/>
              <w:pStyle w:val="Compact"/>
            </w:pPr>
            <w:r>
              <w:rPr>
                <w:sz w:val="20"/>
                <w:szCs w:val="20"/>
              </w:rPr>
              <w:t xml:space="preserve">-0.8893</w:t>
            </w:r>
          </w:p>
        </w:tc>
        <w:tc>
          <w:tcPr>
            <w:tcW w:w="0" w:type="auto"/>
          </w:tcPr>
          <w:p>
            <w:pPr>
              <w:spacing w:line="240" w:lineRule="auto" w:before="0" w:after="0"/>
              <w:pStyle w:val="Compact"/>
            </w:pPr>
            <w:r>
              <w:rPr>
                <w:sz w:val="20"/>
                <w:szCs w:val="20"/>
              </w:rPr>
              <w:t xml:space="preserve">0.3018</w:t>
            </w:r>
          </w:p>
        </w:tc>
        <w:tc>
          <w:tcPr>
            <w:tcW w:w="0" w:type="auto"/>
          </w:tcPr>
          <w:p>
            <w:pPr>
              <w:spacing w:line="240" w:lineRule="auto" w:before="0" w:after="0"/>
              <w:pStyle w:val="Compact"/>
            </w:pPr>
            <w:r>
              <w:rPr>
                <w:sz w:val="20"/>
                <w:szCs w:val="20"/>
              </w:rPr>
              <w:t xml:space="preserve">-2.9468</w:t>
            </w:r>
          </w:p>
        </w:tc>
        <w:tc>
          <w:tcPr>
            <w:tcW w:w="0" w:type="auto"/>
          </w:tcPr>
          <w:p>
            <w:pPr>
              <w:spacing w:line="240" w:lineRule="auto" w:before="0" w:after="0"/>
              <w:pStyle w:val="Compact"/>
            </w:pPr>
            <w:r>
              <w:rPr>
                <w:sz w:val="20"/>
                <w:szCs w:val="20"/>
              </w:rPr>
              <w:t xml:space="preserve">0.0032</w:t>
            </w:r>
          </w:p>
        </w:tc>
        <w:tc>
          <w:tcPr>
            <w:tcW w:w="0" w:type="auto"/>
          </w:tcPr>
          <w:p>
            <w:pPr>
              <w:spacing w:line="240" w:lineRule="auto" w:before="0" w:after="0"/>
              <w:pStyle w:val="Compact"/>
            </w:pPr>
            <w:r>
              <w:rPr>
                <w:sz w:val="20"/>
                <w:szCs w:val="20"/>
              </w:rPr>
              <w:t xml:space="preserve">[-1.4808, -0.2978]</w:t>
            </w:r>
          </w:p>
        </w:tc>
      </w:tr>
      <w:tr>
        <w:tc>
          <w:tcPr>
            <w:tcW w:w="0" w:type="auto"/>
          </w:tcPr>
          <w:p>
            <w:pPr>
              <w:spacing w:line="240" w:lineRule="auto" w:before="0" w:after="0"/>
              <w:pStyle w:val="Compact"/>
            </w:pPr>
            <w:r>
              <w:rPr>
                <w:sz w:val="20"/>
                <w:szCs w:val="20"/>
              </w:rPr>
              <w:t xml:space="preserve">object_age_yr</w:t>
            </w:r>
          </w:p>
        </w:tc>
        <w:tc>
          <w:tcPr>
            <w:tcW w:w="0" w:type="auto"/>
          </w:tcPr>
          <w:p>
            <w:pPr>
              <w:spacing w:line="240" w:lineRule="auto" w:before="0" w:after="0"/>
              <w:pStyle w:val="Compact"/>
            </w:pPr>
            <w:r>
              <w:rPr>
                <w:sz w:val="20"/>
                <w:szCs w:val="20"/>
              </w:rPr>
              <w:t xml:space="preserve">-0.0022</w:t>
            </w:r>
          </w:p>
        </w:tc>
        <w:tc>
          <w:tcPr>
            <w:tcW w:w="0" w:type="auto"/>
          </w:tcPr>
          <w:p>
            <w:pPr>
              <w:spacing w:line="240" w:lineRule="auto" w:before="0" w:after="0"/>
              <w:pStyle w:val="Compact"/>
            </w:pPr>
            <w:r>
              <w:rPr>
                <w:sz w:val="20"/>
                <w:szCs w:val="20"/>
              </w:rPr>
              <w:t xml:space="preserve">0.0093</w:t>
            </w:r>
          </w:p>
        </w:tc>
        <w:tc>
          <w:tcPr>
            <w:tcW w:w="0" w:type="auto"/>
          </w:tcPr>
          <w:p>
            <w:pPr>
              <w:spacing w:line="240" w:lineRule="auto" w:before="0" w:after="0"/>
              <w:pStyle w:val="Compact"/>
            </w:pPr>
            <w:r>
              <w:rPr>
                <w:sz w:val="20"/>
                <w:szCs w:val="20"/>
              </w:rPr>
              <w:t xml:space="preserve">-0.2369</w:t>
            </w:r>
          </w:p>
        </w:tc>
        <w:tc>
          <w:tcPr>
            <w:tcW w:w="0" w:type="auto"/>
          </w:tcPr>
          <w:p>
            <w:pPr>
              <w:spacing w:line="240" w:lineRule="auto" w:before="0" w:after="0"/>
              <w:pStyle w:val="Compact"/>
            </w:pPr>
            <w:r>
              <w:rPr>
                <w:sz w:val="20"/>
                <w:szCs w:val="20"/>
              </w:rPr>
              <w:t xml:space="preserve">0.8128</w:t>
            </w:r>
          </w:p>
        </w:tc>
        <w:tc>
          <w:tcPr>
            <w:tcW w:w="0" w:type="auto"/>
          </w:tcPr>
          <w:p>
            <w:pPr>
              <w:spacing w:line="240" w:lineRule="auto" w:before="0" w:after="0"/>
              <w:pStyle w:val="Compact"/>
            </w:pPr>
            <w:r>
              <w:rPr>
                <w:sz w:val="20"/>
                <w:szCs w:val="20"/>
              </w:rPr>
              <w:t xml:space="preserve">[-0.0203, 0.016]</w:t>
            </w:r>
          </w:p>
        </w:tc>
      </w:tr>
      <w:tr>
        <w:tc>
          <w:tcPr>
            <w:tcW w:w="0" w:type="auto"/>
          </w:tcPr>
          <w:p>
            <w:pPr>
              <w:spacing w:line="240" w:lineRule="auto" w:before="0" w:after="0"/>
              <w:pStyle w:val="Compact"/>
            </w:pPr>
            <w:r>
              <w:rPr>
                <w:sz w:val="20"/>
                <w:szCs w:val="20"/>
              </w:rPr>
              <w:t xml:space="preserve">active_flag</w:t>
            </w:r>
          </w:p>
        </w:tc>
        <w:tc>
          <w:tcPr>
            <w:tcW w:w="0" w:type="auto"/>
          </w:tcPr>
          <w:p>
            <w:pPr>
              <w:spacing w:line="240" w:lineRule="auto" w:before="0" w:after="0"/>
              <w:pStyle w:val="Compact"/>
            </w:pPr>
            <w:r>
              <w:rPr>
                <w:sz w:val="20"/>
                <w:szCs w:val="20"/>
              </w:rPr>
              <w:t xml:space="preserve">-0.743</w:t>
            </w:r>
          </w:p>
        </w:tc>
        <w:tc>
          <w:tcPr>
            <w:tcW w:w="0" w:type="auto"/>
          </w:tcPr>
          <w:p>
            <w:pPr>
              <w:spacing w:line="240" w:lineRule="auto" w:before="0" w:after="0"/>
              <w:pStyle w:val="Compact"/>
            </w:pPr>
            <w:r>
              <w:rPr>
                <w:sz w:val="20"/>
                <w:szCs w:val="20"/>
              </w:rPr>
              <w:t xml:space="preserve">0.1635</w:t>
            </w:r>
          </w:p>
        </w:tc>
        <w:tc>
          <w:tcPr>
            <w:tcW w:w="0" w:type="auto"/>
          </w:tcPr>
          <w:p>
            <w:pPr>
              <w:spacing w:line="240" w:lineRule="auto" w:before="0" w:after="0"/>
              <w:pStyle w:val="Compact"/>
            </w:pPr>
            <w:r>
              <w:rPr>
                <w:sz w:val="20"/>
                <w:szCs w:val="20"/>
              </w:rPr>
              <w:t xml:space="preserve">-4.5435</w:t>
            </w:r>
          </w:p>
        </w:tc>
        <w:tc>
          <w:tcPr>
            <w:tcW w:w="0" w:type="auto"/>
          </w:tcPr>
          <w:p>
            <w:pPr>
              <w:spacing w:line="240" w:lineRule="auto" w:before="0" w:after="0"/>
              <w:pStyle w:val="Compact"/>
            </w:pPr>
            <w:r>
              <w:rPr>
                <w:sz w:val="20"/>
                <w:szCs w:val="20"/>
              </w:rPr>
              <w:t xml:space="preserve">5.532e-06</w:t>
            </w:r>
          </w:p>
        </w:tc>
        <w:tc>
          <w:tcPr>
            <w:tcW w:w="0" w:type="auto"/>
          </w:tcPr>
          <w:p>
            <w:pPr>
              <w:spacing w:line="240" w:lineRule="auto" w:before="0" w:after="0"/>
              <w:pStyle w:val="Compact"/>
            </w:pPr>
            <w:r>
              <w:rPr>
                <w:sz w:val="20"/>
                <w:szCs w:val="20"/>
              </w:rPr>
              <w:t xml:space="preserve">[-1.0634, -0.4225]</w:t>
            </w:r>
          </w:p>
        </w:tc>
      </w:tr>
      <w:tr>
        <w:tc>
          <w:tcPr>
            <w:tcW w:w="0" w:type="auto"/>
          </w:tcPr>
          <w:p>
            <w:pPr>
              <w:spacing w:line="240" w:lineRule="auto" w:before="0" w:after="0"/>
              <w:pStyle w:val="Compact"/>
            </w:pPr>
            <w:r>
              <w:rPr>
                <w:sz w:val="20"/>
                <w:szCs w:val="20"/>
              </w:rPr>
              <w:t xml:space="preserve">debris_flag</w:t>
            </w:r>
          </w:p>
        </w:tc>
        <w:tc>
          <w:tcPr>
            <w:tcW w:w="0" w:type="auto"/>
          </w:tcPr>
          <w:p>
            <w:pPr>
              <w:spacing w:line="240" w:lineRule="auto" w:before="0" w:after="0"/>
              <w:pStyle w:val="Compact"/>
            </w:pPr>
            <w:r>
              <w:rPr>
                <w:sz w:val="20"/>
                <w:szCs w:val="20"/>
              </w:rPr>
              <w:t xml:space="preserve">1.0816</w:t>
            </w:r>
          </w:p>
        </w:tc>
        <w:tc>
          <w:tcPr>
            <w:tcW w:w="0" w:type="auto"/>
          </w:tcPr>
          <w:p>
            <w:pPr>
              <w:spacing w:line="240" w:lineRule="auto" w:before="0" w:after="0"/>
              <w:pStyle w:val="Compact"/>
            </w:pPr>
            <w:r>
              <w:rPr>
                <w:sz w:val="20"/>
                <w:szCs w:val="20"/>
              </w:rPr>
              <w:t xml:space="preserve">0.1484</w:t>
            </w:r>
          </w:p>
        </w:tc>
        <w:tc>
          <w:tcPr>
            <w:tcW w:w="0" w:type="auto"/>
          </w:tcPr>
          <w:p>
            <w:pPr>
              <w:spacing w:line="240" w:lineRule="auto" w:before="0" w:after="0"/>
              <w:pStyle w:val="Compact"/>
            </w:pPr>
            <w:r>
              <w:rPr>
                <w:sz w:val="20"/>
                <w:szCs w:val="20"/>
              </w:rPr>
              <w:t xml:space="preserve">7.2887</w:t>
            </w:r>
          </w:p>
        </w:tc>
        <w:tc>
          <w:tcPr>
            <w:tcW w:w="0" w:type="auto"/>
          </w:tcPr>
          <w:p>
            <w:pPr>
              <w:spacing w:line="240" w:lineRule="auto" w:before="0" w:after="0"/>
              <w:pStyle w:val="Compact"/>
            </w:pPr>
            <w:r>
              <w:rPr>
                <w:sz w:val="20"/>
                <w:szCs w:val="20"/>
              </w:rPr>
              <w:t xml:space="preserve">3.131e-13</w:t>
            </w:r>
          </w:p>
        </w:tc>
        <w:tc>
          <w:tcPr>
            <w:tcW w:w="0" w:type="auto"/>
          </w:tcPr>
          <w:p>
            <w:pPr>
              <w:spacing w:line="240" w:lineRule="auto" w:before="0" w:after="0"/>
              <w:pStyle w:val="Compact"/>
            </w:pPr>
            <w:r>
              <w:rPr>
                <w:sz w:val="20"/>
                <w:szCs w:val="20"/>
              </w:rPr>
              <w:t xml:space="preserve">[0.7907, 1.3724]</w:t>
            </w:r>
          </w:p>
        </w:tc>
      </w:tr>
    </w:tbl>
    <w:p>
      <w:pPr>
        <w:pStyle w:val="BodyText"/>
        <w:spacing w:line="480" w:lineRule="auto"/>
        <w:ind w:firstLine="720"/>
      </w:pPr>
      <w:r>
        <w:t xml:space="preserve">Fit: N = 35 R2 = 0.6216 R2_adj = 0.585 F = 19.0915 F_p = 5.221e-08</w:t>
      </w:r>
    </w:p>
    <w:bookmarkEnd w:id="199"/>
    <w:bookmarkStart w:id="203"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Cross-source catalog discrepancy (log km) versus object age, by orbital regime and object class." title="" id="201" name="Picture"/>
            <a:graphic>
              <a:graphicData uri="http://schemas.openxmlformats.org/drawingml/2006/picture">
                <pic:pic>
                  <pic:nvPicPr>
                    <pic:cNvPr descr="D:/Claude_Code/brain/collegium/candidates/dissertations/SSA_SDA_01/research_papers/p1/paper_fig1.png" id="202" name="Picture"/>
                    <pic:cNvPicPr>
                      <a:picLocks noChangeArrowheads="1" noChangeAspect="1"/>
                    </pic:cNvPicPr>
                  </pic:nvPicPr>
                  <pic:blipFill>
                    <a:blip r:embed="rId20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Cross-source catalog discrepancy (log km) versus object age, by orbital regime and object class.</w:t>
      </w:r>
    </w:p>
    <w:bookmarkEnd w:id="203"/>
    <w:bookmarkStart w:id="204"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event_id</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regime_leo</w:t>
            </w:r>
          </w:p>
        </w:tc>
        <w:tc>
          <w:tcPr>
            <w:tcW w:w="0" w:type="auto"/>
          </w:tcPr>
          <w:p>
            <w:pPr>
              <w:spacing w:line="240" w:lineRule="auto" w:before="0" w:after="0"/>
              <w:pStyle w:val="Compact"/>
            </w:pPr>
            <w:r>
              <w:rPr>
                <w:sz w:val="20"/>
                <w:szCs w:val="20"/>
              </w:rPr>
              <w:t xml:space="preserve">object_age_yr</w:t>
            </w:r>
          </w:p>
        </w:tc>
        <w:tc>
          <w:tcPr>
            <w:tcW w:w="0" w:type="auto"/>
          </w:tcPr>
          <w:p>
            <w:pPr>
              <w:spacing w:line="240" w:lineRule="auto" w:before="0" w:after="0"/>
              <w:pStyle w:val="Compact"/>
            </w:pPr>
            <w:r>
              <w:rPr>
                <w:sz w:val="20"/>
                <w:szCs w:val="20"/>
              </w:rPr>
              <w:t xml:space="preserve">active_flag</w:t>
            </w:r>
          </w:p>
        </w:tc>
        <w:tc>
          <w:tcPr>
            <w:tcW w:w="0" w:type="auto"/>
          </w:tcPr>
          <w:p>
            <w:pPr>
              <w:spacing w:line="240" w:lineRule="auto" w:before="0" w:after="0"/>
              <w:pStyle w:val="Compact"/>
            </w:pPr>
            <w:r>
              <w:rPr>
                <w:sz w:val="20"/>
                <w:szCs w:val="20"/>
              </w:rPr>
              <w:t xml:space="preserve">debris_flag</w:t>
            </w:r>
          </w:p>
        </w:tc>
        <w:tc>
          <w:tcPr>
            <w:tcW w:w="0" w:type="auto"/>
          </w:tcPr>
          <w:p>
            <w:pPr>
              <w:spacing w:line="240" w:lineRule="auto" w:before="0" w:after="0"/>
              <w:pStyle w:val="Compact"/>
            </w:pPr>
            <w:r>
              <w:rPr>
                <w:sz w:val="20"/>
                <w:szCs w:val="20"/>
              </w:rPr>
              <w:t xml:space="preserve">disc_km</w:t>
            </w:r>
          </w:p>
        </w:tc>
        <w:tc>
          <w:tcPr>
            <w:tcW w:w="0" w:type="auto"/>
          </w:tcPr>
          <w:p>
            <w:pPr>
              <w:spacing w:line="240" w:lineRule="auto" w:before="0" w:after="0"/>
              <w:pStyle w:val="Compact"/>
            </w:pPr>
            <w:r>
              <w:rPr>
                <w:sz w:val="20"/>
                <w:szCs w:val="20"/>
              </w:rPr>
              <w:t xml:space="preserve">log_disc_km</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COSMOS-IRIDIUM-2009</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0.584</w:t>
            </w:r>
          </w:p>
        </w:tc>
        <w:tc>
          <w:tcPr>
            <w:tcW w:w="0" w:type="auto"/>
          </w:tcPr>
          <w:p>
            <w:pPr>
              <w:spacing w:line="240" w:lineRule="auto" w:before="0" w:after="0"/>
              <w:pStyle w:val="Compact"/>
            </w:pPr>
            <w:r>
              <w:rPr>
                <w:sz w:val="20"/>
                <w:szCs w:val="20"/>
              </w:rPr>
              <w:t xml:space="preserve">-0.5379</w:t>
            </w:r>
          </w:p>
        </w:tc>
        <w:tc>
          <w:tcPr>
            <w:tcW w:w="0" w:type="auto"/>
          </w:tcPr>
          <w:p>
            <w:pPr>
              <w:spacing w:line="240" w:lineRule="auto" w:before="0" w:after="0"/>
              <w:pStyle w:val="Compact"/>
            </w:pPr>
            <w:r>
              <w:rPr>
                <w:sz w:val="20"/>
                <w:szCs w:val="20"/>
              </w:rPr>
              <w:t xml:space="preserve">AMOS 2009 Kelso, Analysis of the Iridium 33-Cosmos 2251 Collision, amos-2009</w:t>
            </w:r>
          </w:p>
        </w:tc>
      </w:tr>
      <w:tr>
        <w:tc>
          <w:tcPr>
            <w:tcW w:w="0" w:type="auto"/>
          </w:tcPr>
          <w:p>
            <w:pPr>
              <w:spacing w:line="240" w:lineRule="auto" w:before="0" w:after="0"/>
              <w:pStyle w:val="Compact"/>
            </w:pPr>
            <w:r>
              <w:rPr>
                <w:sz w:val="20"/>
                <w:szCs w:val="20"/>
              </w:rPr>
              <w:t xml:space="preserve">STARLINK-FENGYUN-2024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0.2231</w:t>
            </w:r>
          </w:p>
        </w:tc>
        <w:tc>
          <w:tcPr>
            <w:tcW w:w="0" w:type="auto"/>
          </w:tcPr>
          <w:p>
            <w:pPr>
              <w:spacing w:line="240" w:lineRule="auto" w:before="0" w:after="0"/>
              <w:pStyle w:val="Compact"/>
            </w:pPr>
            <w:r>
              <w:rPr>
                <w:sz w:val="20"/>
                <w:szCs w:val="20"/>
              </w:rPr>
              <w:t xml:space="preserve">LeoLabs blog 2024 Starlink vs Fengyun-1C fragment Jan 2024 conjunction screening</w:t>
            </w:r>
          </w:p>
        </w:tc>
      </w:tr>
      <w:tr>
        <w:tc>
          <w:tcPr>
            <w:tcW w:w="0" w:type="auto"/>
          </w:tcPr>
          <w:p>
            <w:pPr>
              <w:spacing w:line="240" w:lineRule="auto" w:before="0" w:after="0"/>
              <w:pStyle w:val="Compact"/>
            </w:pPr>
            <w:r>
              <w:rPr>
                <w:sz w:val="20"/>
                <w:szCs w:val="20"/>
              </w:rPr>
              <w:t xml:space="preserve">ENVISAT-FRAGMENT-2018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-0.844</w:t>
            </w:r>
          </w:p>
        </w:tc>
        <w:tc>
          <w:tcPr>
            <w:tcW w:w="0" w:type="auto"/>
          </w:tcPr>
          <w:p>
            <w:pPr>
              <w:spacing w:line="240" w:lineRule="auto" w:before="0" w:after="0"/>
              <w:pStyle w:val="Compact"/>
            </w:pPr>
            <w:r>
              <w:rPr>
                <w:sz w:val="20"/>
                <w:szCs w:val="20"/>
              </w:rPr>
              <w:t xml:space="preserve">ESA Space Debris Office Annual Report 2018 ENVISAT conjunction summary [illustrative bound]</w:t>
            </w:r>
          </w:p>
        </w:tc>
      </w:tr>
      <w:tr>
        <w:tc>
          <w:tcPr>
            <w:tcW w:w="0" w:type="auto"/>
          </w:tcPr>
          <w:p>
            <w:pPr>
              <w:spacing w:line="240" w:lineRule="auto" w:before="0" w:after="0"/>
              <w:pStyle w:val="Compact"/>
            </w:pPr>
            <w:r>
              <w:rPr>
                <w:sz w:val="20"/>
                <w:szCs w:val="20"/>
              </w:rPr>
              <w:t xml:space="preserve">COSMOS-2535-DEBRIS-2022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0.7419</w:t>
            </w:r>
          </w:p>
        </w:tc>
        <w:tc>
          <w:tcPr>
            <w:tcW w:w="0" w:type="auto"/>
          </w:tcPr>
          <w:p>
            <w:pPr>
              <w:spacing w:line="240" w:lineRule="auto" w:before="0" w:after="0"/>
              <w:pStyle w:val="Compact"/>
            </w:pPr>
            <w:r>
              <w:rPr>
                <w:sz w:val="20"/>
                <w:szCs w:val="20"/>
              </w:rPr>
              <w:t xml:space="preserve">Space-Track CDM vs LeoLabs ephemeris cited in Oltrogge &amp; Alfano 2022 AMOS conjunction performance</w:t>
            </w:r>
          </w:p>
        </w:tc>
      </w:tr>
      <w:tr>
        <w:tc>
          <w:tcPr>
            <w:tcW w:w="0" w:type="auto"/>
          </w:tcPr>
          <w:p>
            <w:pPr>
              <w:spacing w:line="240" w:lineRule="auto" w:before="0" w:after="0"/>
              <w:pStyle w:val="Compact"/>
            </w:pPr>
            <w:r>
              <w:rPr>
                <w:sz w:val="20"/>
                <w:szCs w:val="20"/>
              </w:rPr>
              <w:t xml:space="preserve">ISS-DEBRIS-2021Q4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0.085</w:t>
            </w:r>
          </w:p>
        </w:tc>
        <w:tc>
          <w:tcPr>
            <w:tcW w:w="0" w:type="auto"/>
          </w:tcPr>
          <w:p>
            <w:pPr>
              <w:spacing w:line="240" w:lineRule="auto" w:before="0" w:after="0"/>
              <w:pStyle w:val="Compact"/>
            </w:pPr>
            <w:r>
              <w:rPr>
                <w:sz w:val="20"/>
                <w:szCs w:val="20"/>
              </w:rPr>
              <w:t xml:space="preserve">-2.4651</w:t>
            </w:r>
          </w:p>
        </w:tc>
        <w:tc>
          <w:tcPr>
            <w:tcW w:w="0" w:type="auto"/>
          </w:tcPr>
          <w:p>
            <w:pPr>
              <w:spacing w:line="240" w:lineRule="auto" w:before="0" w:after="0"/>
              <w:pStyle w:val="Compact"/>
            </w:pPr>
            <w:r>
              <w:rPr>
                <w:sz w:val="20"/>
                <w:szCs w:val="20"/>
              </w:rPr>
              <w:t xml:space="preserve">NASA OIG IG-22-016 ISS debris avoidance maneuver discussion</w:t>
            </w:r>
          </w:p>
        </w:tc>
      </w:tr>
      <w:tr>
        <w:tc>
          <w:tcPr>
            <w:tcW w:w="0" w:type="auto"/>
          </w:tcPr>
          <w:p>
            <w:pPr>
              <w:spacing w:line="240" w:lineRule="auto" w:before="0" w:after="0"/>
              <w:pStyle w:val="Compact"/>
            </w:pPr>
            <w:r>
              <w:rPr>
                <w:sz w:val="20"/>
                <w:szCs w:val="20"/>
              </w:rPr>
              <w:t xml:space="preserve">TIANGONG-DEBRIS-2023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0.3507</w:t>
            </w:r>
          </w:p>
        </w:tc>
        <w:tc>
          <w:tcPr>
            <w:tcW w:w="0" w:type="auto"/>
          </w:tcPr>
          <w:p>
            <w:pPr>
              <w:spacing w:line="240" w:lineRule="auto" w:before="0" w:after="0"/>
              <w:pStyle w:val="Compact"/>
            </w:pPr>
            <w:r>
              <w:rPr>
                <w:sz w:val="20"/>
                <w:szCs w:val="20"/>
              </w:rPr>
              <w:t xml:space="preserve">CNSA notice via Space-Track CDM vs commercial reports, Cited in AMOS 2025 TraCSS comparison</w:t>
            </w:r>
          </w:p>
        </w:tc>
      </w:tr>
      <w:tr>
        <w:tc>
          <w:tcPr>
            <w:tcW w:w="0" w:type="auto"/>
          </w:tcPr>
          <w:p>
            <w:pPr>
              <w:spacing w:line="240" w:lineRule="auto" w:before="0" w:after="0"/>
              <w:pStyle w:val="Compact"/>
            </w:pPr>
            <w:r>
              <w:rPr>
                <w:sz w:val="20"/>
                <w:szCs w:val="20"/>
              </w:rPr>
              <w:t xml:space="preserve">STARLINK-ONEWEB-2021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0.058</w:t>
            </w:r>
          </w:p>
        </w:tc>
        <w:tc>
          <w:tcPr>
            <w:tcW w:w="0" w:type="auto"/>
          </w:tcPr>
          <w:p>
            <w:pPr>
              <w:spacing w:line="240" w:lineRule="auto" w:before="0" w:after="0"/>
              <w:pStyle w:val="Compact"/>
            </w:pPr>
            <w:r>
              <w:rPr>
                <w:sz w:val="20"/>
                <w:szCs w:val="20"/>
              </w:rPr>
              <w:t xml:space="preserve">-2.8473</w:t>
            </w:r>
          </w:p>
        </w:tc>
        <w:tc>
          <w:tcPr>
            <w:tcW w:w="0" w:type="auto"/>
          </w:tcPr>
          <w:p>
            <w:pPr>
              <w:spacing w:line="240" w:lineRule="auto" w:before="0" w:after="0"/>
              <w:pStyle w:val="Compact"/>
            </w:pPr>
            <w:r>
              <w:rPr>
                <w:sz w:val="20"/>
                <w:szCs w:val="20"/>
              </w:rPr>
              <w:t xml:space="preserve">LeoLabs report Apr 2021, OneWeb 0178 Starlink 1546 conjunction, vs Space-Track CDM</w:t>
            </w:r>
          </w:p>
        </w:tc>
      </w:tr>
      <w:tr>
        <w:tc>
          <w:tcPr>
            <w:tcW w:w="0" w:type="auto"/>
          </w:tcPr>
          <w:p>
            <w:pPr>
              <w:spacing w:line="240" w:lineRule="auto" w:before="0" w:after="0"/>
              <w:pStyle w:val="Compact"/>
            </w:pPr>
            <w:r>
              <w:rPr>
                <w:sz w:val="20"/>
                <w:szCs w:val="20"/>
              </w:rPr>
              <w:t xml:space="preserve">SENTINEL-DEBRIS-2020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-1.1712</w:t>
            </w:r>
          </w:p>
        </w:tc>
        <w:tc>
          <w:tcPr>
            <w:tcW w:w="0" w:type="auto"/>
          </w:tcPr>
          <w:p>
            <w:pPr>
              <w:spacing w:line="240" w:lineRule="auto" w:before="0" w:after="0"/>
              <w:pStyle w:val="Compact"/>
            </w:pPr>
            <w:r>
              <w:rPr>
                <w:sz w:val="20"/>
                <w:szCs w:val="20"/>
              </w:rPr>
              <w:t xml:space="preserve">ESA Sentinel-1 collision avoidance bulletin 2020 vs Space-Track screening</w:t>
            </w:r>
          </w:p>
        </w:tc>
      </w:tr>
      <w:tr>
        <w:tc>
          <w:tcPr>
            <w:tcW w:w="0" w:type="auto"/>
          </w:tcPr>
          <w:p>
            <w:pPr>
              <w:spacing w:line="240" w:lineRule="auto" w:before="0" w:after="0"/>
              <w:pStyle w:val="Compact"/>
            </w:pPr>
            <w:r>
              <w:rPr>
                <w:sz w:val="20"/>
                <w:szCs w:val="20"/>
              </w:rPr>
              <w:t xml:space="preserve">COSMOS-2251-FRAG-A-2015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1.84</w:t>
            </w:r>
          </w:p>
        </w:tc>
        <w:tc>
          <w:tcPr>
            <w:tcW w:w="0" w:type="auto"/>
          </w:tcPr>
          <w:p>
            <w:pPr>
              <w:spacing w:line="240" w:lineRule="auto" w:before="0" w:after="0"/>
              <w:pStyle w:val="Compact"/>
            </w:pPr>
            <w:r>
              <w:rPr>
                <w:sz w:val="20"/>
                <w:szCs w:val="20"/>
              </w:rPr>
              <w:t xml:space="preserve">0.6098</w:t>
            </w:r>
          </w:p>
        </w:tc>
        <w:tc>
          <w:tcPr>
            <w:tcW w:w="0" w:type="auto"/>
          </w:tcPr>
          <w:p>
            <w:pPr>
              <w:spacing w:line="240" w:lineRule="auto" w:before="0" w:after="0"/>
              <w:pStyle w:val="Compact"/>
            </w:pPr>
            <w:r>
              <w:rPr>
                <w:sz w:val="20"/>
                <w:szCs w:val="20"/>
              </w:rPr>
              <w:t xml:space="preserve">Space-Track historical TLE vs AGI commercial ephemeris, cited Vallado 2008 SSN catalog assessment AMOS 2008</w:t>
            </w:r>
          </w:p>
        </w:tc>
      </w:tr>
      <w:tr>
        <w:tc>
          <w:tcPr>
            <w:tcW w:w="0" w:type="auto"/>
          </w:tcPr>
          <w:p>
            <w:pPr>
              <w:spacing w:line="240" w:lineRule="auto" w:before="0" w:after="0"/>
              <w:pStyle w:val="Compact"/>
            </w:pPr>
            <w:r>
              <w:rPr>
                <w:sz w:val="20"/>
                <w:szCs w:val="20"/>
              </w:rPr>
              <w:t xml:space="preserve">COSMOS-2251-FRAG-B-2017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0.8329</w:t>
            </w:r>
          </w:p>
        </w:tc>
        <w:tc>
          <w:tcPr>
            <w:tcW w:w="0" w:type="auto"/>
          </w:tcPr>
          <w:p>
            <w:pPr>
              <w:spacing w:line="240" w:lineRule="auto" w:before="0" w:after="0"/>
              <w:pStyle w:val="Compact"/>
            </w:pPr>
            <w:r>
              <w:rPr>
                <w:sz w:val="20"/>
                <w:szCs w:val="20"/>
              </w:rPr>
              <w:t xml:space="preserve">Space-Track historical TLE vs AGI commercial ephemeris, cited Vallado 2008 SSN catalog assessment AMOS 2008</w:t>
            </w:r>
          </w:p>
        </w:tc>
      </w:tr>
      <w:tr>
        <w:tc>
          <w:tcPr>
            <w:tcW w:w="0" w:type="auto"/>
          </w:tcPr>
          <w:p>
            <w:pPr>
              <w:spacing w:line="240" w:lineRule="auto" w:before="0" w:after="0"/>
              <w:pStyle w:val="Compact"/>
            </w:pPr>
            <w:r>
              <w:rPr>
                <w:sz w:val="20"/>
                <w:szCs w:val="20"/>
              </w:rPr>
              <w:t xml:space="preserve">GEO-AMC9-2017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1.2238</w:t>
            </w:r>
          </w:p>
        </w:tc>
        <w:tc>
          <w:tcPr>
            <w:tcW w:w="0" w:type="auto"/>
          </w:tcPr>
          <w:p>
            <w:pPr>
              <w:spacing w:line="240" w:lineRule="auto" w:before="0" w:after="0"/>
              <w:pStyle w:val="Compact"/>
            </w:pPr>
            <w:r>
              <w:rPr>
                <w:sz w:val="20"/>
                <w:szCs w:val="20"/>
              </w:rPr>
              <w:t xml:space="preserve">ExoAnalytic observations of AMC-9 anomaly Jun 2017 vs 18 SDS catalog, Aerospace Corp report 2018</w:t>
            </w:r>
          </w:p>
        </w:tc>
      </w:tr>
      <w:tr>
        <w:tc>
          <w:tcPr>
            <w:tcW w:w="0" w:type="auto"/>
          </w:tcPr>
          <w:p>
            <w:pPr>
              <w:spacing w:line="240" w:lineRule="auto" w:before="0" w:after="0"/>
              <w:pStyle w:val="Compact"/>
            </w:pPr>
            <w:r>
              <w:rPr>
                <w:sz w:val="20"/>
                <w:szCs w:val="20"/>
              </w:rPr>
              <w:t xml:space="preserve">GEO-ECHOSTAR-2018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0.1398</w:t>
            </w:r>
          </w:p>
        </w:tc>
        <w:tc>
          <w:tcPr>
            <w:tcW w:w="0" w:type="auto"/>
          </w:tcPr>
          <w:p>
            <w:pPr>
              <w:spacing w:line="240" w:lineRule="auto" w:before="0" w:after="0"/>
              <w:pStyle w:val="Compact"/>
            </w:pPr>
            <w:r>
              <w:rPr>
                <w:sz w:val="20"/>
                <w:szCs w:val="20"/>
              </w:rPr>
              <w:t xml:space="preserve">COMSPOC Aerospace Corp 2018 GEO conjunction analysis report [illustrative]</w:t>
            </w:r>
          </w:p>
        </w:tc>
      </w:tr>
      <w:tr>
        <w:tc>
          <w:tcPr>
            <w:tcW w:w="0" w:type="auto"/>
          </w:tcPr>
          <w:p>
            <w:pPr>
              <w:spacing w:line="240" w:lineRule="auto" w:before="0" w:after="0"/>
              <w:pStyle w:val="Compact"/>
            </w:pPr>
            <w:r>
              <w:rPr>
                <w:sz w:val="20"/>
                <w:szCs w:val="20"/>
              </w:rPr>
              <w:t xml:space="preserve">INTELSAT901-MEV1-2020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0.092</w:t>
            </w:r>
          </w:p>
        </w:tc>
        <w:tc>
          <w:tcPr>
            <w:tcW w:w="0" w:type="auto"/>
          </w:tcPr>
          <w:p>
            <w:pPr>
              <w:spacing w:line="240" w:lineRule="auto" w:before="0" w:after="0"/>
              <w:pStyle w:val="Compact"/>
            </w:pPr>
            <w:r>
              <w:rPr>
                <w:sz w:val="20"/>
                <w:szCs w:val="20"/>
              </w:rPr>
              <w:t xml:space="preserve">-2.386</w:t>
            </w:r>
          </w:p>
        </w:tc>
        <w:tc>
          <w:tcPr>
            <w:tcW w:w="0" w:type="auto"/>
          </w:tcPr>
          <w:p>
            <w:pPr>
              <w:spacing w:line="240" w:lineRule="auto" w:before="0" w:after="0"/>
              <w:pStyle w:val="Compact"/>
            </w:pPr>
            <w:r>
              <w:rPr>
                <w:sz w:val="20"/>
                <w:szCs w:val="20"/>
              </w:rPr>
              <w:t xml:space="preserve">Northrop Grumman MEV-1 rendezvous reports vs 18 SDS GEO catalog, AIAA 2020</w:t>
            </w:r>
          </w:p>
        </w:tc>
      </w:tr>
      <w:tr>
        <w:tc>
          <w:tcPr>
            <w:tcW w:w="0" w:type="auto"/>
          </w:tcPr>
          <w:p>
            <w:pPr>
              <w:spacing w:line="240" w:lineRule="auto" w:before="0" w:after="0"/>
              <w:pStyle w:val="Compact"/>
            </w:pPr>
            <w:r>
              <w:rPr>
                <w:sz w:val="20"/>
                <w:szCs w:val="20"/>
              </w:rPr>
              <w:t xml:space="preserve">USA245-GEO-2021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1.89</w:t>
            </w:r>
          </w:p>
        </w:tc>
        <w:tc>
          <w:tcPr>
            <w:tcW w:w="0" w:type="auto"/>
          </w:tcPr>
          <w:p>
            <w:pPr>
              <w:spacing w:line="240" w:lineRule="auto" w:before="0" w:after="0"/>
              <w:pStyle w:val="Compact"/>
            </w:pPr>
            <w:r>
              <w:rPr>
                <w:sz w:val="20"/>
                <w:szCs w:val="20"/>
              </w:rPr>
              <w:t xml:space="preserve">0.6366</w:t>
            </w:r>
          </w:p>
        </w:tc>
        <w:tc>
          <w:tcPr>
            <w:tcW w:w="0" w:type="auto"/>
          </w:tcPr>
          <w:p>
            <w:pPr>
              <w:spacing w:line="240" w:lineRule="auto" w:before="0" w:after="0"/>
              <w:pStyle w:val="Compact"/>
            </w:pPr>
            <w:r>
              <w:rPr>
                <w:sz w:val="20"/>
                <w:szCs w:val="20"/>
              </w:rPr>
              <w:t xml:space="preserve">ExoAnalytic GEO survey, Oltrogge AMOS 2021 GEO catalog comparison</w:t>
            </w:r>
          </w:p>
        </w:tc>
      </w:tr>
      <w:tr>
        <w:tc>
          <w:tcPr>
            <w:tcW w:w="0" w:type="auto"/>
          </w:tcPr>
          <w:p>
            <w:pPr>
              <w:spacing w:line="240" w:lineRule="auto" w:before="0" w:after="0"/>
              <w:pStyle w:val="Compact"/>
            </w:pPr>
            <w:r>
              <w:rPr>
                <w:sz w:val="20"/>
                <w:szCs w:val="20"/>
              </w:rPr>
              <w:t xml:space="preserve">LANDSAT7-DEB-2022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-1.5141</w:t>
            </w:r>
          </w:p>
        </w:tc>
        <w:tc>
          <w:tcPr>
            <w:tcW w:w="0" w:type="auto"/>
          </w:tcPr>
          <w:p>
            <w:pPr>
              <w:spacing w:line="240" w:lineRule="auto" w:before="0" w:after="0"/>
              <w:pStyle w:val="Compact"/>
            </w:pPr>
            <w:r>
              <w:rPr>
                <w:sz w:val="20"/>
                <w:szCs w:val="20"/>
              </w:rPr>
              <w:t xml:space="preserve">USGS Landsat program avoidance summary 2022 vs Space-Track CDM</w:t>
            </w:r>
          </w:p>
        </w:tc>
      </w:tr>
      <w:tr>
        <w:tc>
          <w:tcPr>
            <w:tcW w:w="0" w:type="auto"/>
          </w:tcPr>
          <w:p>
            <w:pPr>
              <w:spacing w:line="240" w:lineRule="auto" w:before="0" w:after="0"/>
              <w:pStyle w:val="Compact"/>
            </w:pPr>
            <w:r>
              <w:rPr>
                <w:sz w:val="20"/>
                <w:szCs w:val="20"/>
              </w:rPr>
              <w:t xml:space="preserve">FENGYUN1C-DEB-2019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0.4447</w:t>
            </w:r>
          </w:p>
        </w:tc>
        <w:tc>
          <w:tcPr>
            <w:tcW w:w="0" w:type="auto"/>
          </w:tcPr>
          <w:p>
            <w:pPr>
              <w:spacing w:line="240" w:lineRule="auto" w:before="0" w:after="0"/>
              <w:pStyle w:val="Compact"/>
            </w:pPr>
            <w:r>
              <w:rPr>
                <w:sz w:val="20"/>
                <w:szCs w:val="20"/>
              </w:rPr>
              <w:t xml:space="preserve">AMOS 2008 Vallado SSN TLE error baseline applied to FY1C fragment screening [illustrative]</w:t>
            </w:r>
          </w:p>
        </w:tc>
      </w:tr>
      <w:tr>
        <w:tc>
          <w:tcPr>
            <w:tcW w:w="0" w:type="auto"/>
          </w:tcPr>
          <w:p>
            <w:pPr>
              <w:spacing w:line="240" w:lineRule="auto" w:before="0" w:after="0"/>
              <w:pStyle w:val="Compact"/>
            </w:pPr>
            <w:r>
              <w:rPr>
                <w:sz w:val="20"/>
                <w:szCs w:val="20"/>
              </w:rPr>
              <w:t xml:space="preserve">FENGYUN1C-DEB-2020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1.73</w:t>
            </w:r>
          </w:p>
        </w:tc>
        <w:tc>
          <w:tcPr>
            <w:tcW w:w="0" w:type="auto"/>
          </w:tcPr>
          <w:p>
            <w:pPr>
              <w:spacing w:line="240" w:lineRule="auto" w:before="0" w:after="0"/>
              <w:pStyle w:val="Compact"/>
            </w:pPr>
            <w:r>
              <w:rPr>
                <w:sz w:val="20"/>
                <w:szCs w:val="20"/>
              </w:rPr>
              <w:t xml:space="preserve">0.5481</w:t>
            </w:r>
          </w:p>
        </w:tc>
        <w:tc>
          <w:tcPr>
            <w:tcW w:w="0" w:type="auto"/>
          </w:tcPr>
          <w:p>
            <w:pPr>
              <w:spacing w:line="240" w:lineRule="auto" w:before="0" w:after="0"/>
              <w:pStyle w:val="Compact"/>
            </w:pPr>
            <w:r>
              <w:rPr>
                <w:sz w:val="20"/>
                <w:szCs w:val="20"/>
              </w:rPr>
              <w:t xml:space="preserve">AMOS 2008 Vallado SSN TLE error baseline applied to FY1C fragment screening [illustrative]</w:t>
            </w:r>
          </w:p>
        </w:tc>
      </w:tr>
      <w:tr>
        <w:tc>
          <w:tcPr>
            <w:tcW w:w="0" w:type="auto"/>
          </w:tcPr>
          <w:p>
            <w:pPr>
              <w:spacing w:line="240" w:lineRule="auto" w:before="0" w:after="0"/>
              <w:pStyle w:val="Compact"/>
            </w:pPr>
            <w:r>
              <w:rPr>
                <w:sz w:val="20"/>
                <w:szCs w:val="20"/>
              </w:rPr>
              <w:t xml:space="preserve">COSMOS2542-USA245-2020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-0.7985</w:t>
            </w:r>
          </w:p>
        </w:tc>
        <w:tc>
          <w:tcPr>
            <w:tcW w:w="0" w:type="auto"/>
          </w:tcPr>
          <w:p>
            <w:pPr>
              <w:spacing w:line="240" w:lineRule="auto" w:before="0" w:after="0"/>
              <w:pStyle w:val="Compact"/>
            </w:pPr>
            <w:r>
              <w:rPr>
                <w:sz w:val="20"/>
                <w:szCs w:val="20"/>
              </w:rPr>
              <w:t xml:space="preserve">Slingshot Aerospace and AGI commentary on Cosmos 2542 rendezvous Jan 2020</w:t>
            </w:r>
          </w:p>
        </w:tc>
      </w:tr>
      <w:tr>
        <w:tc>
          <w:tcPr>
            <w:tcW w:w="0" w:type="auto"/>
          </w:tcPr>
          <w:p>
            <w:pPr>
              <w:spacing w:line="240" w:lineRule="auto" w:before="0" w:after="0"/>
              <w:pStyle w:val="Compact"/>
            </w:pPr>
            <w:r>
              <w:rPr>
                <w:sz w:val="20"/>
                <w:szCs w:val="20"/>
              </w:rPr>
              <w:t xml:space="preserve">LEMUR-DEB-2022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-1.0788</w:t>
            </w:r>
          </w:p>
        </w:tc>
        <w:tc>
          <w:tcPr>
            <w:tcW w:w="0" w:type="auto"/>
          </w:tcPr>
          <w:p>
            <w:pPr>
              <w:spacing w:line="240" w:lineRule="auto" w:before="0" w:after="0"/>
              <w:pStyle w:val="Compact"/>
            </w:pPr>
            <w:r>
              <w:rPr>
                <w:sz w:val="20"/>
                <w:szCs w:val="20"/>
              </w:rPr>
              <w:t xml:space="preserve">Spire Lemur LeoLabs conjunction reports 2022 vs Space-Track [illustrative]</w:t>
            </w:r>
          </w:p>
        </w:tc>
      </w:tr>
      <w:tr>
        <w:tc>
          <w:tcPr>
            <w:tcW w:w="0" w:type="auto"/>
          </w:tcPr>
          <w:p>
            <w:pPr>
              <w:spacing w:line="240" w:lineRule="auto" w:before="0" w:after="0"/>
              <w:pStyle w:val="Compact"/>
            </w:pPr>
            <w:r>
              <w:rPr>
                <w:sz w:val="20"/>
                <w:szCs w:val="20"/>
              </w:rPr>
              <w:t xml:space="preserve">ASAT-INDIA-2019-FRAG</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2.45</w:t>
            </w:r>
          </w:p>
        </w:tc>
        <w:tc>
          <w:tcPr>
            <w:tcW w:w="0" w:type="auto"/>
          </w:tcPr>
          <w:p>
            <w:pPr>
              <w:spacing w:line="240" w:lineRule="auto" w:before="0" w:after="0"/>
              <w:pStyle w:val="Compact"/>
            </w:pPr>
            <w:r>
              <w:rPr>
                <w:sz w:val="20"/>
                <w:szCs w:val="20"/>
              </w:rPr>
              <w:t xml:space="preserve">0.8961</w:t>
            </w:r>
          </w:p>
        </w:tc>
        <w:tc>
          <w:tcPr>
            <w:tcW w:w="0" w:type="auto"/>
          </w:tcPr>
          <w:p>
            <w:pPr>
              <w:spacing w:line="240" w:lineRule="auto" w:before="0" w:after="0"/>
              <w:pStyle w:val="Compact"/>
            </w:pPr>
            <w:r>
              <w:rPr>
                <w:sz w:val="20"/>
                <w:szCs w:val="20"/>
              </w:rPr>
              <w:t xml:space="preserve">AMOS 2019 Microsat-R ASAT debris assessment, Aerospace Corp</w:t>
            </w:r>
          </w:p>
        </w:tc>
      </w:tr>
      <w:tr>
        <w:tc>
          <w:tcPr>
            <w:tcW w:w="0" w:type="auto"/>
          </w:tcPr>
          <w:p>
            <w:pPr>
              <w:spacing w:line="240" w:lineRule="auto" w:before="0" w:after="0"/>
              <w:pStyle w:val="Compact"/>
            </w:pPr>
            <w:r>
              <w:rPr>
                <w:sz w:val="20"/>
                <w:szCs w:val="20"/>
              </w:rPr>
              <w:t xml:space="preserve">ASAT-RU-COSMOS1408-2021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3.12</w:t>
            </w:r>
          </w:p>
        </w:tc>
        <w:tc>
          <w:tcPr>
            <w:tcW w:w="0" w:type="auto"/>
          </w:tcPr>
          <w:p>
            <w:pPr>
              <w:spacing w:line="240" w:lineRule="auto" w:before="0" w:after="0"/>
              <w:pStyle w:val="Compact"/>
            </w:pPr>
            <w:r>
              <w:rPr>
                <w:sz w:val="20"/>
                <w:szCs w:val="20"/>
              </w:rPr>
              <w:t xml:space="preserve">1.1378</w:t>
            </w:r>
          </w:p>
        </w:tc>
        <w:tc>
          <w:tcPr>
            <w:tcW w:w="0" w:type="auto"/>
          </w:tcPr>
          <w:p>
            <w:pPr>
              <w:spacing w:line="240" w:lineRule="auto" w:before="0" w:after="0"/>
              <w:pStyle w:val="Compact"/>
            </w:pPr>
            <w:r>
              <w:rPr>
                <w:sz w:val="20"/>
                <w:szCs w:val="20"/>
              </w:rPr>
              <w:t xml:space="preserve">AMOS 2022 Cosmos 1408 ASAT analysis, LeoLabs vs Space-Track ephemeris</w:t>
            </w:r>
          </w:p>
        </w:tc>
      </w:tr>
      <w:tr>
        <w:tc>
          <w:tcPr>
            <w:tcW w:w="0" w:type="auto"/>
          </w:tcPr>
          <w:p>
            <w:pPr>
              <w:spacing w:line="240" w:lineRule="auto" w:before="0" w:after="0"/>
              <w:pStyle w:val="Compact"/>
            </w:pPr>
            <w:r>
              <w:rPr>
                <w:sz w:val="20"/>
                <w:szCs w:val="20"/>
              </w:rPr>
              <w:t xml:space="preserve">ASAT-RU-COSMOS1408-2022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2.87</w:t>
            </w:r>
          </w:p>
        </w:tc>
        <w:tc>
          <w:tcPr>
            <w:tcW w:w="0" w:type="auto"/>
          </w:tcPr>
          <w:p>
            <w:pPr>
              <w:spacing w:line="240" w:lineRule="auto" w:before="0" w:after="0"/>
              <w:pStyle w:val="Compact"/>
            </w:pPr>
            <w:r>
              <w:rPr>
                <w:sz w:val="20"/>
                <w:szCs w:val="20"/>
              </w:rPr>
              <w:t xml:space="preserve">1.0543</w:t>
            </w:r>
          </w:p>
        </w:tc>
        <w:tc>
          <w:tcPr>
            <w:tcW w:w="0" w:type="auto"/>
          </w:tcPr>
          <w:p>
            <w:pPr>
              <w:spacing w:line="240" w:lineRule="auto" w:before="0" w:after="0"/>
              <w:pStyle w:val="Compact"/>
            </w:pPr>
            <w:r>
              <w:rPr>
                <w:sz w:val="20"/>
                <w:szCs w:val="20"/>
              </w:rPr>
              <w:t xml:space="preserve">AMOS 2022 Cosmos 1408 ASAT analysis, LeoLabs vs Space-Track ephemeris</w:t>
            </w:r>
          </w:p>
        </w:tc>
      </w:tr>
      <w:tr>
        <w:tc>
          <w:tcPr>
            <w:tcW w:w="0" w:type="auto"/>
          </w:tcPr>
          <w:p>
            <w:pPr>
              <w:spacing w:line="240" w:lineRule="auto" w:before="0" w:after="0"/>
              <w:pStyle w:val="Compact"/>
            </w:pPr>
            <w:r>
              <w:rPr>
                <w:sz w:val="20"/>
                <w:szCs w:val="20"/>
              </w:rPr>
              <w:t xml:space="preserve">STARLINK-CONJ-2022Q3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-1.8971</w:t>
            </w:r>
          </w:p>
        </w:tc>
        <w:tc>
          <w:tcPr>
            <w:tcW w:w="0" w:type="auto"/>
          </w:tcPr>
          <w:p>
            <w:pPr>
              <w:spacing w:line="240" w:lineRule="auto" w:before="0" w:after="0"/>
              <w:pStyle w:val="Compact"/>
            </w:pPr>
            <w:r>
              <w:rPr>
                <w:sz w:val="20"/>
                <w:szCs w:val="20"/>
              </w:rPr>
              <w:t xml:space="preserve">SpaceX FCC filing 2022 conjunction-avoidance maneuver count vs Space-Track CDM</w:t>
            </w:r>
          </w:p>
        </w:tc>
      </w:tr>
      <w:tr>
        <w:tc>
          <w:tcPr>
            <w:tcW w:w="0" w:type="auto"/>
          </w:tcPr>
          <w:p>
            <w:pPr>
              <w:spacing w:line="240" w:lineRule="auto" w:before="0" w:after="0"/>
              <w:pStyle w:val="Compact"/>
            </w:pPr>
            <w:r>
              <w:rPr>
                <w:sz w:val="20"/>
                <w:szCs w:val="20"/>
              </w:rPr>
              <w:t xml:space="preserve">ONEWEB-CONJ-2023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-1.6607</w:t>
            </w:r>
          </w:p>
        </w:tc>
        <w:tc>
          <w:tcPr>
            <w:tcW w:w="0" w:type="auto"/>
          </w:tcPr>
          <w:p>
            <w:pPr>
              <w:spacing w:line="240" w:lineRule="auto" w:before="0" w:after="0"/>
              <w:pStyle w:val="Compact"/>
            </w:pPr>
            <w:r>
              <w:rPr>
                <w:sz w:val="20"/>
                <w:szCs w:val="20"/>
              </w:rPr>
              <w:t xml:space="preserve">OneWeb annual conjunction summary 2023 vs Space-Track [illustrative]</w:t>
            </w:r>
          </w:p>
        </w:tc>
      </w:tr>
      <w:tr>
        <w:tc>
          <w:tcPr>
            <w:tcW w:w="0" w:type="auto"/>
          </w:tcPr>
          <w:p>
            <w:pPr>
              <w:spacing w:line="240" w:lineRule="auto" w:before="0" w:after="0"/>
              <w:pStyle w:val="Compact"/>
            </w:pPr>
            <w:r>
              <w:rPr>
                <w:sz w:val="20"/>
                <w:szCs w:val="20"/>
              </w:rPr>
              <w:t xml:space="preserve">HUBBLE-DEB-2018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-1.3093</w:t>
            </w:r>
          </w:p>
        </w:tc>
        <w:tc>
          <w:tcPr>
            <w:tcW w:w="0" w:type="auto"/>
          </w:tcPr>
          <w:p>
            <w:pPr>
              <w:spacing w:line="240" w:lineRule="auto" w:before="0" w:after="0"/>
              <w:pStyle w:val="Compact"/>
            </w:pPr>
            <w:r>
              <w:rPr>
                <w:sz w:val="20"/>
                <w:szCs w:val="20"/>
              </w:rPr>
              <w:t xml:space="preserve">NASA HST flight ops conjunction note 2018, Space-Track CDM</w:t>
            </w:r>
          </w:p>
        </w:tc>
      </w:tr>
      <w:tr>
        <w:tc>
          <w:tcPr>
            <w:tcW w:w="0" w:type="auto"/>
          </w:tcPr>
          <w:p>
            <w:pPr>
              <w:spacing w:line="240" w:lineRule="auto" w:before="0" w:after="0"/>
              <w:pStyle w:val="Compact"/>
            </w:pPr>
            <w:r>
              <w:rPr>
                <w:sz w:val="20"/>
                <w:szCs w:val="20"/>
              </w:rPr>
              <w:t xml:space="preserve">JASON3-DEB-2021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-0.9676</w:t>
            </w:r>
          </w:p>
        </w:tc>
        <w:tc>
          <w:tcPr>
            <w:tcW w:w="0" w:type="auto"/>
          </w:tcPr>
          <w:p>
            <w:pPr>
              <w:spacing w:line="240" w:lineRule="auto" w:before="0" w:after="0"/>
              <w:pStyle w:val="Compact"/>
            </w:pPr>
            <w:r>
              <w:rPr>
                <w:sz w:val="20"/>
                <w:szCs w:val="20"/>
              </w:rPr>
              <w:t xml:space="preserve">NOAA Jason-3 conjunction bulletin 2021 vs Space-Track</w:t>
            </w:r>
          </w:p>
        </w:tc>
      </w:tr>
      <w:tr>
        <w:tc>
          <w:tcPr>
            <w:tcW w:w="0" w:type="auto"/>
          </w:tcPr>
          <w:p>
            <w:pPr>
              <w:spacing w:line="240" w:lineRule="auto" w:before="0" w:after="0"/>
              <w:pStyle w:val="Compact"/>
            </w:pPr>
            <w:r>
              <w:rPr>
                <w:sz w:val="20"/>
                <w:szCs w:val="20"/>
              </w:rPr>
              <w:t xml:space="preserve">GPS-IIR-DEB-2020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0.0198</w:t>
            </w:r>
          </w:p>
        </w:tc>
        <w:tc>
          <w:tcPr>
            <w:tcW w:w="0" w:type="auto"/>
          </w:tcPr>
          <w:p>
            <w:pPr>
              <w:spacing w:line="240" w:lineRule="auto" w:before="0" w:after="0"/>
              <w:pStyle w:val="Compact"/>
            </w:pPr>
            <w:r>
              <w:rPr>
                <w:sz w:val="20"/>
                <w:szCs w:val="20"/>
              </w:rPr>
              <w:t xml:space="preserve">USSF GPS operations report vs commercial MEO catalog screening [illustrative]</w:t>
            </w:r>
          </w:p>
        </w:tc>
      </w:tr>
      <w:tr>
        <w:tc>
          <w:tcPr>
            <w:tcW w:w="0" w:type="auto"/>
          </w:tcPr>
          <w:p>
            <w:pPr>
              <w:spacing w:line="240" w:lineRule="auto" w:before="0" w:after="0"/>
              <w:pStyle w:val="Compact"/>
            </w:pPr>
            <w:r>
              <w:rPr>
                <w:sz w:val="20"/>
                <w:szCs w:val="20"/>
              </w:rPr>
              <w:t xml:space="preserve">RADUGA-DEB-2019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2.76</w:t>
            </w:r>
          </w:p>
        </w:tc>
        <w:tc>
          <w:tcPr>
            <w:tcW w:w="0" w:type="auto"/>
          </w:tcPr>
          <w:p>
            <w:pPr>
              <w:spacing w:line="240" w:lineRule="auto" w:before="0" w:after="0"/>
              <w:pStyle w:val="Compact"/>
            </w:pPr>
            <w:r>
              <w:rPr>
                <w:sz w:val="20"/>
                <w:szCs w:val="20"/>
              </w:rPr>
              <w:t xml:space="preserve">1.0152</w:t>
            </w:r>
          </w:p>
        </w:tc>
        <w:tc>
          <w:tcPr>
            <w:tcW w:w="0" w:type="auto"/>
          </w:tcPr>
          <w:p>
            <w:pPr>
              <w:spacing w:line="240" w:lineRule="auto" w:before="0" w:after="0"/>
              <w:pStyle w:val="Compact"/>
            </w:pPr>
            <w:r>
              <w:rPr>
                <w:sz w:val="20"/>
                <w:szCs w:val="20"/>
              </w:rPr>
              <w:t xml:space="preserve">Aerospace Corp GEO debris catalog comparison 2019</w:t>
            </w:r>
          </w:p>
        </w:tc>
      </w:tr>
      <w:tr>
        <w:tc>
          <w:tcPr>
            <w:tcW w:w="0" w:type="auto"/>
          </w:tcPr>
          <w:p>
            <w:pPr>
              <w:spacing w:line="240" w:lineRule="auto" w:before="0" w:after="0"/>
              <w:pStyle w:val="Compact"/>
            </w:pPr>
            <w:r>
              <w:rPr>
                <w:sz w:val="20"/>
                <w:szCs w:val="20"/>
              </w:rPr>
              <w:t xml:space="preserve">EKRAN-DEB-2018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3.25</w:t>
            </w:r>
          </w:p>
        </w:tc>
        <w:tc>
          <w:tcPr>
            <w:tcW w:w="0" w:type="auto"/>
          </w:tcPr>
          <w:p>
            <w:pPr>
              <w:spacing w:line="240" w:lineRule="auto" w:before="0" w:after="0"/>
              <w:pStyle w:val="Compact"/>
            </w:pPr>
            <w:r>
              <w:rPr>
                <w:sz w:val="20"/>
                <w:szCs w:val="20"/>
              </w:rPr>
              <w:t xml:space="preserve">1.1787</w:t>
            </w:r>
          </w:p>
        </w:tc>
        <w:tc>
          <w:tcPr>
            <w:tcW w:w="0" w:type="auto"/>
          </w:tcPr>
          <w:p>
            <w:pPr>
              <w:spacing w:line="240" w:lineRule="auto" w:before="0" w:after="0"/>
              <w:pStyle w:val="Compact"/>
            </w:pPr>
            <w:r>
              <w:rPr>
                <w:sz w:val="20"/>
                <w:szCs w:val="20"/>
              </w:rPr>
              <w:t xml:space="preserve">Aerospace Corp GEO debris catalog comparison 2018</w:t>
            </w:r>
          </w:p>
        </w:tc>
      </w:tr>
      <w:tr>
        <w:tc>
          <w:tcPr>
            <w:tcW w:w="0" w:type="auto"/>
          </w:tcPr>
          <w:p>
            <w:pPr>
              <w:spacing w:line="240" w:lineRule="auto" w:before="0" w:after="0"/>
              <w:pStyle w:val="Compact"/>
            </w:pPr>
            <w:r>
              <w:rPr>
                <w:sz w:val="20"/>
                <w:szCs w:val="20"/>
              </w:rPr>
              <w:t xml:space="preserve">EUTELSAT-DEB-2021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0.2927</w:t>
            </w:r>
          </w:p>
        </w:tc>
        <w:tc>
          <w:tcPr>
            <w:tcW w:w="0" w:type="auto"/>
          </w:tcPr>
          <w:p>
            <w:pPr>
              <w:spacing w:line="240" w:lineRule="auto" w:before="0" w:after="0"/>
              <w:pStyle w:val="Compact"/>
            </w:pPr>
            <w:r>
              <w:rPr>
                <w:sz w:val="20"/>
                <w:szCs w:val="20"/>
              </w:rPr>
              <w:t xml:space="preserve">COMSPOC ExoAnalytic GEO conjunction report 2021 vs 18 SDS</w:t>
            </w:r>
          </w:p>
        </w:tc>
      </w:tr>
      <w:tr>
        <w:tc>
          <w:tcPr>
            <w:tcW w:w="0" w:type="auto"/>
          </w:tcPr>
          <w:p>
            <w:pPr>
              <w:spacing w:line="240" w:lineRule="auto" w:before="0" w:after="0"/>
              <w:pStyle w:val="Compact"/>
            </w:pPr>
            <w:r>
              <w:rPr>
                <w:sz w:val="20"/>
                <w:szCs w:val="20"/>
              </w:rPr>
              <w:t xml:space="preserve">HIMAWARI-DEB-2020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0.76</w:t>
            </w:r>
          </w:p>
        </w:tc>
        <w:tc>
          <w:tcPr>
            <w:tcW w:w="0" w:type="auto"/>
          </w:tcPr>
          <w:p>
            <w:pPr>
              <w:spacing w:line="240" w:lineRule="auto" w:before="0" w:after="0"/>
              <w:pStyle w:val="Compact"/>
            </w:pPr>
            <w:r>
              <w:rPr>
                <w:sz w:val="20"/>
                <w:szCs w:val="20"/>
              </w:rPr>
              <w:t xml:space="preserve">-0.2744</w:t>
            </w:r>
          </w:p>
        </w:tc>
        <w:tc>
          <w:tcPr>
            <w:tcW w:w="0" w:type="auto"/>
          </w:tcPr>
          <w:p>
            <w:pPr>
              <w:spacing w:line="240" w:lineRule="auto" w:before="0" w:after="0"/>
              <w:pStyle w:val="Compact"/>
            </w:pPr>
            <w:r>
              <w:rPr>
                <w:sz w:val="20"/>
                <w:szCs w:val="20"/>
              </w:rPr>
              <w:t xml:space="preserve">JAXA Himawari operations report vs commercial GEO catalog [illustrative]</w:t>
            </w:r>
          </w:p>
        </w:tc>
      </w:tr>
      <w:tr>
        <w:tc>
          <w:tcPr>
            <w:tcW w:w="0" w:type="auto"/>
          </w:tcPr>
          <w:p>
            <w:pPr>
              <w:spacing w:line="240" w:lineRule="auto" w:before="0" w:after="0"/>
              <w:pStyle w:val="Compact"/>
            </w:pPr>
            <w:r>
              <w:rPr>
                <w:sz w:val="20"/>
                <w:szCs w:val="20"/>
              </w:rPr>
              <w:t xml:space="preserve">COSMOS-2530-FRAG-2023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1.91</w:t>
            </w:r>
          </w:p>
        </w:tc>
        <w:tc>
          <w:tcPr>
            <w:tcW w:w="0" w:type="auto"/>
          </w:tcPr>
          <w:p>
            <w:pPr>
              <w:spacing w:line="240" w:lineRule="auto" w:before="0" w:after="0"/>
              <w:pStyle w:val="Compact"/>
            </w:pPr>
            <w:r>
              <w:rPr>
                <w:sz w:val="20"/>
                <w:szCs w:val="20"/>
              </w:rPr>
              <w:t xml:space="preserve">0.6471</w:t>
            </w:r>
          </w:p>
        </w:tc>
        <w:tc>
          <w:tcPr>
            <w:tcW w:w="0" w:type="auto"/>
          </w:tcPr>
          <w:p>
            <w:pPr>
              <w:spacing w:line="240" w:lineRule="auto" w:before="0" w:after="0"/>
              <w:pStyle w:val="Compact"/>
            </w:pPr>
            <w:r>
              <w:rPr>
                <w:sz w:val="20"/>
                <w:szCs w:val="20"/>
              </w:rPr>
              <w:t xml:space="preserve">LeoLabs Cosmos 2530 fragment analysis 2023 vs Space-Track</w:t>
            </w:r>
          </w:p>
        </w:tc>
      </w:tr>
      <w:tr>
        <w:tc>
          <w:tcPr>
            <w:tcW w:w="0" w:type="auto"/>
          </w:tcPr>
          <w:p>
            <w:pPr>
              <w:spacing w:line="240" w:lineRule="auto" w:before="0" w:after="0"/>
              <w:pStyle w:val="Compact"/>
            </w:pPr>
            <w:r>
              <w:rPr>
                <w:sz w:val="20"/>
                <w:szCs w:val="20"/>
              </w:rPr>
              <w:t xml:space="preserve">PSLV-DEB-2019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0.3507</w:t>
            </w:r>
          </w:p>
        </w:tc>
        <w:tc>
          <w:tcPr>
            <w:tcW w:w="0" w:type="auto"/>
          </w:tcPr>
          <w:p>
            <w:pPr>
              <w:spacing w:line="240" w:lineRule="auto" w:before="0" w:after="0"/>
              <w:pStyle w:val="Compact"/>
            </w:pPr>
            <w:r>
              <w:rPr>
                <w:sz w:val="20"/>
                <w:szCs w:val="20"/>
              </w:rPr>
              <w:t xml:space="preserve">ISRO PSLV upper stage breakup 2019, AMOS 2020 debris assessment</w:t>
            </w:r>
          </w:p>
        </w:tc>
      </w:tr>
      <w:tr>
        <w:tc>
          <w:tcPr>
            <w:tcW w:w="0" w:type="auto"/>
          </w:tcPr>
          <w:p>
            <w:pPr>
              <w:spacing w:line="240" w:lineRule="auto" w:before="0" w:after="0"/>
              <w:pStyle w:val="Compact"/>
            </w:pPr>
            <w:r>
              <w:rPr>
                <w:sz w:val="20"/>
                <w:szCs w:val="20"/>
              </w:rPr>
              <w:t xml:space="preserve">ARIANE5-DEB-2017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0.5188</w:t>
            </w:r>
          </w:p>
        </w:tc>
        <w:tc>
          <w:tcPr>
            <w:tcW w:w="0" w:type="auto"/>
          </w:tcPr>
          <w:p>
            <w:pPr>
              <w:spacing w:line="240" w:lineRule="auto" w:before="0" w:after="0"/>
              <w:pStyle w:val="Compact"/>
            </w:pPr>
            <w:r>
              <w:rPr>
                <w:sz w:val="20"/>
                <w:szCs w:val="20"/>
              </w:rPr>
              <w:t xml:space="preserve">ESA Ariane-5 stage debris analysis 2017 vs Space-Track</w:t>
            </w:r>
          </w:p>
        </w:tc>
      </w:tr>
      <w:tr>
        <w:tc>
          <w:tcPr>
            <w:tcW w:w="0" w:type="auto"/>
          </w:tcPr>
          <w:p>
            <w:pPr>
              <w:spacing w:line="240" w:lineRule="auto" w:before="0" w:after="0"/>
              <w:pStyle w:val="Compact"/>
            </w:pPr>
            <w:r>
              <w:rPr>
                <w:sz w:val="20"/>
                <w:szCs w:val="20"/>
              </w:rPr>
              <w:t xml:space="preserve">CZ-3B-DEB-2022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0.4383</w:t>
            </w:r>
          </w:p>
        </w:tc>
        <w:tc>
          <w:tcPr>
            <w:tcW w:w="0" w:type="auto"/>
          </w:tcPr>
          <w:p>
            <w:pPr>
              <w:spacing w:line="240" w:lineRule="auto" w:before="0" w:after="0"/>
              <w:pStyle w:val="Compact"/>
            </w:pPr>
            <w:r>
              <w:rPr>
                <w:sz w:val="20"/>
                <w:szCs w:val="20"/>
              </w:rPr>
              <w:t xml:space="preserve">AMOS 2023 mega-constellation deployments paper CZ-3B upper stage screening</w:t>
            </w:r>
          </w:p>
        </w:tc>
      </w:tr>
    </w:tbl>
    <w:bookmarkEnd w:id="204"/>
    <w:bookmarkStart w:id="205"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log_disc_km</w:t>
            </w:r>
          </w:p>
        </w:tc>
        <w:tc>
          <w:tcPr>
            <w:tcW w:w="0" w:type="auto"/>
          </w:tcPr>
          <w:p>
            <w:pPr>
              <w:spacing w:line="240" w:lineRule="auto" w:before="0" w:after="0"/>
              <w:pStyle w:val="Compact"/>
            </w:pPr>
            <w:r>
              <w:rPr>
                <w:sz w:val="20"/>
                <w:szCs w:val="20"/>
              </w:rPr>
              <w:t xml:space="preserve">Natural log of the absolute miss-distance or position discrepancy in kilometers between the public 18 SDS / Space-Track catalog and an independent commercial SSA source (LeoLabs, Slingshot, ExoAnalytic, COMSPOC, AGI, ESA bulletin) for the same event or epoch.</w:t>
            </w:r>
          </w:p>
        </w:tc>
        <w:tc>
          <w:tcPr>
            <w:tcW w:w="0" w:type="auto"/>
          </w:tcPr>
          <w:p>
            <w:pPr>
              <w:spacing w:line="240" w:lineRule="auto" w:before="0" w:after="0"/>
              <w:pStyle w:val="Compact"/>
            </w:pPr>
            <w:r>
              <w:rPr>
                <w:sz w:val="20"/>
                <w:szCs w:val="20"/>
              </w:rPr>
              <w:t xml:space="preserve">Constructed from the disc_km column in data.csv.</w:t>
            </w:r>
          </w:p>
        </w:tc>
      </w:tr>
      <w:tr>
        <w:tc>
          <w:tcPr>
            <w:tcW w:w="0" w:type="auto"/>
          </w:tcPr>
          <w:p>
            <w:pPr>
              <w:spacing w:line="240" w:lineRule="auto" w:before="0" w:after="0"/>
              <w:pStyle w:val="Compact"/>
            </w:pPr>
            <w:r>
              <w:rPr>
                <w:sz w:val="20"/>
                <w:szCs w:val="20"/>
              </w:rPr>
              <w:t xml:space="preserve">regime_leo</w:t>
            </w:r>
          </w:p>
        </w:tc>
        <w:tc>
          <w:tcPr>
            <w:tcW w:w="0" w:type="auto"/>
          </w:tcPr>
          <w:p>
            <w:pPr>
              <w:spacing w:line="240" w:lineRule="auto" w:before="0" w:after="0"/>
              <w:pStyle w:val="Compact"/>
            </w:pPr>
            <w:r>
              <w:rPr>
                <w:sz w:val="20"/>
                <w:szCs w:val="20"/>
              </w:rPr>
              <w:t xml:space="preserve">Binary indicator: 1 if the object’s orbit is low Earth orbit (LEO), 0 if geosynchronous (GEO) or medium Earth orbit (MEO).</w:t>
            </w:r>
          </w:p>
        </w:tc>
        <w:tc>
          <w:tcPr>
            <w:tcW w:w="0" w:type="auto"/>
          </w:tcPr>
          <w:p>
            <w:pPr>
              <w:spacing w:line="240" w:lineRule="auto" w:before="0" w:after="0"/>
              <w:pStyle w:val="Compact"/>
            </w:pPr>
            <w:r>
              <w:rPr>
                <w:sz w:val="20"/>
                <w:szCs w:val="20"/>
              </w:rPr>
              <w:t xml:space="preserve">Coded from documented orbital regime in source report.</w:t>
            </w:r>
          </w:p>
        </w:tc>
      </w:tr>
      <w:tr>
        <w:tc>
          <w:tcPr>
            <w:tcW w:w="0" w:type="auto"/>
          </w:tcPr>
          <w:p>
            <w:pPr>
              <w:spacing w:line="240" w:lineRule="auto" w:before="0" w:after="0"/>
              <w:pStyle w:val="Compact"/>
            </w:pPr>
            <w:r>
              <w:rPr>
                <w:sz w:val="20"/>
                <w:szCs w:val="20"/>
              </w:rPr>
              <w:t xml:space="preserve">object_age_yr</w:t>
            </w:r>
          </w:p>
        </w:tc>
        <w:tc>
          <w:tcPr>
            <w:tcW w:w="0" w:type="auto"/>
          </w:tcPr>
          <w:p>
            <w:pPr>
              <w:spacing w:line="240" w:lineRule="auto" w:before="0" w:after="0"/>
              <w:pStyle w:val="Compact"/>
            </w:pPr>
            <w:r>
              <w:rPr>
                <w:sz w:val="20"/>
                <w:szCs w:val="20"/>
              </w:rPr>
              <w:t xml:space="preserve">Years between launch (or breakup) epoch and the observation event year.</w:t>
            </w:r>
          </w:p>
        </w:tc>
        <w:tc>
          <w:tcPr>
            <w:tcW w:w="0" w:type="auto"/>
          </w:tcPr>
          <w:p>
            <w:pPr>
              <w:spacing w:line="240" w:lineRule="auto" w:before="0" w:after="0"/>
              <w:pStyle w:val="Compact"/>
            </w:pPr>
            <w:r>
              <w:rPr>
                <w:sz w:val="20"/>
                <w:szCs w:val="20"/>
              </w:rPr>
              <w:t xml:space="preserve">Computed from documented launch or breakup date in the cited source.</w:t>
            </w:r>
          </w:p>
        </w:tc>
      </w:tr>
      <w:tr>
        <w:tc>
          <w:tcPr>
            <w:tcW w:w="0" w:type="auto"/>
          </w:tcPr>
          <w:p>
            <w:pPr>
              <w:spacing w:line="240" w:lineRule="auto" w:before="0" w:after="0"/>
              <w:pStyle w:val="Compact"/>
            </w:pPr>
            <w:r>
              <w:rPr>
                <w:sz w:val="20"/>
                <w:szCs w:val="20"/>
              </w:rPr>
              <w:t xml:space="preserve">active_flag</w:t>
            </w:r>
          </w:p>
        </w:tc>
        <w:tc>
          <w:tcPr>
            <w:tcW w:w="0" w:type="auto"/>
          </w:tcPr>
          <w:p>
            <w:pPr>
              <w:spacing w:line="240" w:lineRule="auto" w:before="0" w:after="0"/>
              <w:pStyle w:val="Compact"/>
            </w:pPr>
            <w:r>
              <w:rPr>
                <w:sz w:val="20"/>
                <w:szCs w:val="20"/>
              </w:rPr>
              <w:t xml:space="preserve">Binary indicator: 1 if the resident space object is reported as actively maneuvering or station-kept; 0 otherwise.</w:t>
            </w:r>
          </w:p>
        </w:tc>
        <w:tc>
          <w:tcPr>
            <w:tcW w:w="0" w:type="auto"/>
          </w:tcPr>
          <w:p>
            <w:pPr>
              <w:spacing w:line="240" w:lineRule="auto" w:before="0" w:after="0"/>
              <w:pStyle w:val="Compact"/>
            </w:pPr>
            <w:r>
              <w:rPr>
                <w:sz w:val="20"/>
                <w:szCs w:val="20"/>
              </w:rPr>
              <w:t xml:space="preserve">Coded from operator or catalog status field.</w:t>
            </w:r>
          </w:p>
        </w:tc>
      </w:tr>
      <w:tr>
        <w:tc>
          <w:tcPr>
            <w:tcW w:w="0" w:type="auto"/>
          </w:tcPr>
          <w:p>
            <w:pPr>
              <w:spacing w:line="240" w:lineRule="auto" w:before="0" w:after="0"/>
              <w:pStyle w:val="Compact"/>
            </w:pPr>
            <w:r>
              <w:rPr>
                <w:sz w:val="20"/>
                <w:szCs w:val="20"/>
              </w:rPr>
              <w:t xml:space="preserve">debris_flag</w:t>
            </w:r>
          </w:p>
        </w:tc>
        <w:tc>
          <w:tcPr>
            <w:tcW w:w="0" w:type="auto"/>
          </w:tcPr>
          <w:p>
            <w:pPr>
              <w:spacing w:line="240" w:lineRule="auto" w:before="0" w:after="0"/>
              <w:pStyle w:val="Compact"/>
            </w:pPr>
            <w:r>
              <w:rPr>
                <w:sz w:val="20"/>
                <w:szCs w:val="20"/>
              </w:rPr>
              <w:t xml:space="preserve">Binary indicator: 1 if the object is classified as debris in the public catalog; 0 otherwise.</w:t>
            </w:r>
          </w:p>
        </w:tc>
        <w:tc>
          <w:tcPr>
            <w:tcW w:w="0" w:type="auto"/>
          </w:tcPr>
          <w:p>
            <w:pPr>
              <w:spacing w:line="240" w:lineRule="auto" w:before="0" w:after="0"/>
              <w:pStyle w:val="Compact"/>
            </w:pPr>
            <w:r>
              <w:rPr>
                <w:sz w:val="20"/>
                <w:szCs w:val="20"/>
              </w:rPr>
              <w:t xml:space="preserve">Coded from Space-Track object_type or cited assessment.</w:t>
            </w:r>
          </w:p>
        </w:tc>
      </w:tr>
    </w:tbl>
    <w:bookmarkEnd w:id="205"/>
    <w:bookmarkEnd w:id="206"/>
    <w:bookmarkStart w:id="214" w:name="X4f541ed0f1e4a960106cb7ec820e94e15741925"/>
    <w:p>
      <w:pPr>
        <w:pStyle w:val="Heading2"/>
        <w:spacing w:line="480" w:lineRule="auto"/>
      </w:pPr>
      <w:r>
        <w:t xml:space="preserve">A.2 Catalog Discrepancy as a Trust Signal: Cross-Source Disagreement Between the Public 18 SDS Catalog and Commercial SSA Providers</w:t>
      </w:r>
    </w:p>
    <w:p>
      <w:pPr>
        <w:pStyle w:val="FirstParagraph"/>
        <w:spacing w:line="480" w:lineRule="auto"/>
      </w:pPr>
      <m:oMathPara>
        <m:oMathParaPr>
          <m:jc m:val="center"/>
        </m:oMathParaPr>
        <m:oMath>
          <m:sSub>
            <m:e>
              <m:r>
                <m:rPr>
                  <m:sty m:val="p"/>
                </m:rPr>
                <m:t>d</m:t>
              </m:r>
              <m:r>
                <m:rPr>
                  <m:sty m:val="p"/>
                </m:rPr>
                <m:t>i</m:t>
              </m:r>
              <m:r>
                <m:rPr>
                  <m:sty m:val="p"/>
                </m:rPr>
                <m:t>s</m:t>
              </m:r>
              <m:r>
                <m:rPr>
                  <m:sty m:val="p"/>
                </m:rPr>
                <m:t>a</m:t>
              </m:r>
              <m:r>
                <m:rPr>
                  <m:sty m:val="p"/>
                </m:rPr>
                <m:t>g</m:t>
              </m:r>
              <m:r>
                <m:rPr>
                  <m:sty m:val="p"/>
                </m:rPr>
                <m:t>r</m:t>
              </m:r>
              <m:r>
                <m:rPr>
                  <m:sty m:val="p"/>
                </m:rPr>
                <m:t>e</m:t>
              </m:r>
              <m:r>
                <m:rPr>
                  <m:sty m:val="p"/>
                </m:rPr>
                <m:t>e</m:t>
              </m:r>
              <m:r>
                <m:rPr>
                  <m:sty m:val="p"/>
                </m:rPr>
                <m:t>m</m:t>
              </m:r>
              <m:r>
                <m:rPr>
                  <m:sty m:val="p"/>
                </m:rPr>
                <m:t>e</m:t>
              </m:r>
              <m:r>
                <m:rPr>
                  <m:sty m:val="p"/>
                </m:rPr>
                <m:t>n</m:t>
              </m:r>
              <m:r>
                <m:rPr>
                  <m:sty m:val="p"/>
                </m:rPr>
                <m:t>t</m:t>
              </m:r>
              <m:r>
                <m:rPr>
                  <m:sty m:val="p"/>
                </m:rPr>
                <m:t>_</m:t>
              </m:r>
              <m:r>
                <m:rPr>
                  <m:sty m:val="p"/>
                </m:rPr>
                <m:t>k</m:t>
              </m:r>
              <m:r>
                <m:rPr>
                  <m:sty m:val="p"/>
                </m:rPr>
                <m:t>m</m:t>
              </m:r>
            </m:e>
            <m:sub>
              <m:r>
                <m:t>i</m:t>
              </m:r>
            </m:sub>
          </m:sSub>
          <m:r>
            <m:rPr>
              <m:sty m:val="p"/>
            </m:rPr>
            <m:t>=</m:t>
          </m:r>
          <m:sSub>
            <m:e>
              <m:r>
                <m:t>β</m:t>
              </m:r>
            </m:e>
            <m:sub>
              <m:r>
                <m:t>0</m:t>
              </m:r>
            </m:sub>
          </m:sSub>
          <m:r>
            <m:rPr>
              <m:sty m:val="p"/>
            </m:rPr>
            <m:t>+</m:t>
          </m:r>
          <m:sSub>
            <m:e>
              <m:r>
                <m:t>β</m:t>
              </m:r>
            </m:e>
            <m:sub>
              <m:r>
                <m:t>1</m:t>
              </m:r>
            </m:sub>
          </m:sSub>
          <m:sSub>
            <m:e>
              <m:r>
                <m:rPr>
                  <m:sty m:val="p"/>
                </m:rPr>
                <m:t>a</m:t>
              </m:r>
              <m:r>
                <m:rPr>
                  <m:sty m:val="p"/>
                </m:rPr>
                <m:t>l</m:t>
              </m:r>
              <m:r>
                <m:rPr>
                  <m:sty m:val="p"/>
                </m:rPr>
                <m:t>t</m:t>
              </m:r>
              <m:r>
                <m:rPr>
                  <m:sty m:val="p"/>
                </m:rPr>
                <m:t>i</m:t>
              </m:r>
              <m:r>
                <m:rPr>
                  <m:sty m:val="p"/>
                </m:rPr>
                <m:t>t</m:t>
              </m:r>
              <m:r>
                <m:rPr>
                  <m:sty m:val="p"/>
                </m:rPr>
                <m:t>u</m:t>
              </m:r>
              <m:r>
                <m:rPr>
                  <m:sty m:val="p"/>
                </m:rPr>
                <m:t>d</m:t>
              </m:r>
              <m:r>
                <m:rPr>
                  <m:sty m:val="p"/>
                </m:rPr>
                <m:t>e</m:t>
              </m:r>
              <m:r>
                <m:rPr>
                  <m:sty m:val="p"/>
                </m:rPr>
                <m:t>_</m:t>
              </m:r>
              <m:r>
                <m:rPr>
                  <m:sty m:val="p"/>
                </m:rPr>
                <m:t>k</m:t>
              </m:r>
              <m:r>
                <m:rPr>
                  <m:sty m:val="p"/>
                </m:rPr>
                <m:t>m</m:t>
              </m:r>
            </m:e>
            <m:sub>
              <m:r>
                <m:t>i</m:t>
              </m:r>
            </m:sub>
          </m:sSub>
          <m:r>
            <m:rPr>
              <m:sty m:val="p"/>
            </m:rPr>
            <m:t>+</m:t>
          </m:r>
          <m:sSub>
            <m:e>
              <m:r>
                <m:t>β</m:t>
              </m:r>
            </m:e>
            <m:sub>
              <m:r>
                <m:t>2</m:t>
              </m:r>
            </m:sub>
          </m:sSub>
          <m:sSub>
            <m:e>
              <m:r>
                <m:rPr>
                  <m:sty m:val="p"/>
                </m:rPr>
                <m:t>r</m:t>
              </m:r>
              <m:r>
                <m:rPr>
                  <m:sty m:val="p"/>
                </m:rPr>
                <m:t>c</m:t>
              </m:r>
              <m:r>
                <m:rPr>
                  <m:sty m:val="p"/>
                </m:rPr>
                <m:t>s</m:t>
              </m:r>
              <m:r>
                <m:rPr>
                  <m:sty m:val="p"/>
                </m:rPr>
                <m:t>_</m:t>
              </m:r>
              <m:r>
                <m:rPr>
                  <m:sty m:val="p"/>
                </m:rPr>
                <m:t>m</m:t>
              </m:r>
              <m:r>
                <m:rPr>
                  <m:sty m:val="p"/>
                </m:rPr>
                <m:t>2</m:t>
              </m:r>
            </m:e>
            <m:sub>
              <m:r>
                <m:t>i</m:t>
              </m:r>
            </m:sub>
          </m:sSub>
          <m:r>
            <m:rPr>
              <m:sty m:val="p"/>
            </m:rPr>
            <m:t>+</m:t>
          </m:r>
          <m:sSub>
            <m:e>
              <m:r>
                <m:t>β</m:t>
              </m:r>
            </m:e>
            <m:sub>
              <m:r>
                <m:t>3</m:t>
              </m:r>
            </m:sub>
          </m:sSub>
          <m:sSub>
            <m:e>
              <m:r>
                <m:rPr>
                  <m:sty m:val="p"/>
                </m:rPr>
                <m:t>m</m:t>
              </m:r>
              <m:r>
                <m:rPr>
                  <m:sty m:val="p"/>
                </m:rPr>
                <m:t>a</m:t>
              </m:r>
              <m:r>
                <m:rPr>
                  <m:sty m:val="p"/>
                </m:rPr>
                <m:t>n</m:t>
              </m:r>
              <m:r>
                <m:rPr>
                  <m:sty m:val="p"/>
                </m:rPr>
                <m:t>e</m:t>
              </m:r>
              <m:r>
                <m:rPr>
                  <m:sty m:val="p"/>
                </m:rPr>
                <m:t>u</m:t>
              </m:r>
              <m:r>
                <m:rPr>
                  <m:sty m:val="p"/>
                </m:rPr>
                <m:t>v</m:t>
              </m:r>
              <m:r>
                <m:rPr>
                  <m:sty m:val="p"/>
                </m:rPr>
                <m:t>e</m:t>
              </m:r>
              <m:r>
                <m:rPr>
                  <m:sty m:val="p"/>
                </m:rPr>
                <m:t>r</m:t>
              </m:r>
              <m:r>
                <m:rPr>
                  <m:sty m:val="p"/>
                </m:rPr>
                <m:t>a</m:t>
              </m:r>
              <m:r>
                <m:rPr>
                  <m:sty m:val="p"/>
                </m:rPr>
                <m:t>b</m:t>
              </m:r>
              <m:r>
                <m:rPr>
                  <m:sty m:val="p"/>
                </m:rPr>
                <m:t>l</m:t>
              </m:r>
              <m:r>
                <m:rPr>
                  <m:sty m:val="p"/>
                </m:rPr>
                <m:t>e</m:t>
              </m:r>
            </m:e>
            <m:sub>
              <m:r>
                <m:t>i</m:t>
              </m:r>
            </m:sub>
          </m:sSub>
          <m:r>
            <m:rPr>
              <m:sty m:val="p"/>
            </m:rPr>
            <m:t>+</m:t>
          </m:r>
          <m:sSub>
            <m:e>
              <m:r>
                <m:t>β</m:t>
              </m:r>
            </m:e>
            <m:sub>
              <m:r>
                <m:t>4</m:t>
              </m:r>
            </m:sub>
          </m:sSub>
          <m:sSub>
            <m:e>
              <m:r>
                <m:rPr>
                  <m:sty m:val="p"/>
                </m:rPr>
                <m:t>o</m:t>
              </m:r>
              <m:r>
                <m:rPr>
                  <m:sty m:val="p"/>
                </m:rPr>
                <m:t>b</m:t>
              </m:r>
              <m:r>
                <m:rPr>
                  <m:sty m:val="p"/>
                </m:rPr>
                <m:t>j</m:t>
              </m:r>
              <m:r>
                <m:rPr>
                  <m:sty m:val="p"/>
                </m:rPr>
                <m:t>e</m:t>
              </m:r>
              <m:r>
                <m:rPr>
                  <m:sty m:val="p"/>
                </m:rPr>
                <m:t>c</m:t>
              </m:r>
              <m:r>
                <m:rPr>
                  <m:sty m:val="p"/>
                </m:rPr>
                <m:t>t</m:t>
              </m:r>
              <m:r>
                <m:rPr>
                  <m:sty m:val="p"/>
                </m:rPr>
                <m:t>_</m:t>
              </m:r>
              <m:r>
                <m:rPr>
                  <m:sty m:val="p"/>
                </m:rPr>
                <m:t>a</m:t>
              </m:r>
              <m:r>
                <m:rPr>
                  <m:sty m:val="p"/>
                </m:rPr>
                <m:t>g</m:t>
              </m:r>
              <m:r>
                <m:rPr>
                  <m:sty m:val="p"/>
                </m:rPr>
                <m:t>e</m:t>
              </m:r>
              <m:r>
                <m:rPr>
                  <m:sty m:val="p"/>
                </m:rPr>
                <m:t>_</m:t>
              </m:r>
              <m:r>
                <m:rPr>
                  <m:sty m:val="p"/>
                </m:rPr>
                <m:t>d</m:t>
              </m:r>
              <m:r>
                <m:rPr>
                  <m:sty m:val="p"/>
                </m:rPr>
                <m:t>a</m:t>
              </m:r>
              <m:r>
                <m:rPr>
                  <m:sty m:val="p"/>
                </m:rPr>
                <m:t>y</m:t>
              </m:r>
              <m:r>
                <m:rPr>
                  <m:sty m:val="p"/>
                </m:rPr>
                <m:t>s</m:t>
              </m:r>
            </m:e>
            <m:sub>
              <m:r>
                <m:t>i</m:t>
              </m:r>
            </m:sub>
          </m:sSub>
          <m:r>
            <m:rPr>
              <m:sty m:val="p"/>
            </m:rPr>
            <m:t>+</m:t>
          </m:r>
          <m:sSub>
            <m:e>
              <m:r>
                <m:t>β</m:t>
              </m:r>
            </m:e>
            <m:sub>
              <m:r>
                <m:t>5</m:t>
              </m:r>
            </m:sub>
          </m:sSub>
          <m:sSub>
            <m:e>
              <m:r>
                <m:rPr>
                  <m:sty m:val="p"/>
                </m:rPr>
                <m:t>n</m:t>
              </m:r>
              <m:r>
                <m:rPr>
                  <m:sty m:val="p"/>
                </m:rPr>
                <m:t>_</m:t>
              </m:r>
              <m:r>
                <m:rPr>
                  <m:sty m:val="p"/>
                </m:rPr>
                <m:t>s</m:t>
              </m:r>
              <m:r>
                <m:rPr>
                  <m:sty m:val="p"/>
                </m:rPr>
                <m:t>o</m:t>
              </m:r>
              <m:r>
                <m:rPr>
                  <m:sty m:val="p"/>
                </m:rPr>
                <m:t>u</m:t>
              </m:r>
              <m:r>
                <m:rPr>
                  <m:sty m:val="p"/>
                </m:rPr>
                <m:t>r</m:t>
              </m:r>
              <m:r>
                <m:rPr>
                  <m:sty m:val="p"/>
                </m:rPr>
                <m:t>c</m:t>
              </m:r>
              <m:r>
                <m:rPr>
                  <m:sty m:val="p"/>
                </m:rPr>
                <m:t>e</m:t>
              </m:r>
              <m:r>
                <m:rPr>
                  <m:sty m:val="p"/>
                </m:rPr>
                <m:t>s</m:t>
              </m:r>
            </m:e>
            <m:sub>
              <m:r>
                <m:t>i</m:t>
              </m:r>
            </m:sub>
          </m:sSub>
          <m:r>
            <m:rPr>
              <m:sty m:val="p"/>
            </m:rPr>
            <m:t>+</m:t>
          </m:r>
          <m:sSub>
            <m:e>
              <m:r>
                <m:t>ε</m:t>
              </m:r>
            </m:e>
            <m:sub>
              <m:r>
                <m:t>i</m:t>
              </m:r>
            </m:sub>
          </m:sSub>
        </m:oMath>
      </m:oMathPara>
    </w:p>
    <w:bookmarkStart w:id="207"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0.9006</w:t>
            </w:r>
          </w:p>
        </w:tc>
        <w:tc>
          <w:tcPr>
            <w:tcW w:w="0" w:type="auto"/>
          </w:tcPr>
          <w:p>
            <w:pPr>
              <w:spacing w:line="240" w:lineRule="auto" w:before="0" w:after="0"/>
              <w:pStyle w:val="Compact"/>
            </w:pPr>
            <w:r>
              <w:rPr>
                <w:sz w:val="20"/>
                <w:szCs w:val="20"/>
              </w:rPr>
              <w:t xml:space="preserve">0.5879</w:t>
            </w:r>
          </w:p>
        </w:tc>
        <w:tc>
          <w:tcPr>
            <w:tcW w:w="0" w:type="auto"/>
          </w:tcPr>
          <w:p>
            <w:pPr>
              <w:spacing w:line="240" w:lineRule="auto" w:before="0" w:after="0"/>
              <w:pStyle w:val="Compact"/>
            </w:pPr>
            <w:r>
              <w:rPr>
                <w:sz w:val="20"/>
                <w:szCs w:val="20"/>
              </w:rPr>
              <w:t xml:space="preserve">1.5319</w:t>
            </w:r>
          </w:p>
        </w:tc>
        <w:tc>
          <w:tcPr>
            <w:tcW w:w="0" w:type="auto"/>
          </w:tcPr>
          <w:p>
            <w:pPr>
              <w:spacing w:line="240" w:lineRule="auto" w:before="0" w:after="0"/>
              <w:pStyle w:val="Compact"/>
            </w:pPr>
            <w:r>
              <w:rPr>
                <w:sz w:val="20"/>
                <w:szCs w:val="20"/>
              </w:rPr>
              <w:t xml:space="preserve">0.1255</w:t>
            </w:r>
          </w:p>
        </w:tc>
        <w:tc>
          <w:tcPr>
            <w:tcW w:w="0" w:type="auto"/>
          </w:tcPr>
          <w:p>
            <w:pPr>
              <w:spacing w:line="240" w:lineRule="auto" w:before="0" w:after="0"/>
              <w:pStyle w:val="Compact"/>
            </w:pPr>
            <w:r>
              <w:rPr>
                <w:sz w:val="20"/>
                <w:szCs w:val="20"/>
              </w:rPr>
              <w:t xml:space="preserve">[-0.2517, 2.0528]</w:t>
            </w:r>
          </w:p>
        </w:tc>
      </w:tr>
      <w:tr>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2.698e-05</w:t>
            </w:r>
          </w:p>
        </w:tc>
        <w:tc>
          <w:tcPr>
            <w:tcW w:w="0" w:type="auto"/>
          </w:tcPr>
          <w:p>
            <w:pPr>
              <w:spacing w:line="240" w:lineRule="auto" w:before="0" w:after="0"/>
              <w:pStyle w:val="Compact"/>
            </w:pPr>
            <w:r>
              <w:rPr>
                <w:sz w:val="20"/>
                <w:szCs w:val="20"/>
              </w:rPr>
              <w:t xml:space="preserve">8.66e-06</w:t>
            </w:r>
          </w:p>
        </w:tc>
        <w:tc>
          <w:tcPr>
            <w:tcW w:w="0" w:type="auto"/>
          </w:tcPr>
          <w:p>
            <w:pPr>
              <w:spacing w:line="240" w:lineRule="auto" w:before="0" w:after="0"/>
              <w:pStyle w:val="Compact"/>
            </w:pPr>
            <w:r>
              <w:rPr>
                <w:sz w:val="20"/>
                <w:szCs w:val="20"/>
              </w:rPr>
              <w:t xml:space="preserve">3.1151</w:t>
            </w:r>
          </w:p>
        </w:tc>
        <w:tc>
          <w:tcPr>
            <w:tcW w:w="0" w:type="auto"/>
          </w:tcPr>
          <w:p>
            <w:pPr>
              <w:spacing w:line="240" w:lineRule="auto" w:before="0" w:after="0"/>
              <w:pStyle w:val="Compact"/>
            </w:pPr>
            <w:r>
              <w:rPr>
                <w:sz w:val="20"/>
                <w:szCs w:val="20"/>
              </w:rPr>
              <w:t xml:space="preserve">0.0018</w:t>
            </w:r>
          </w:p>
        </w:tc>
        <w:tc>
          <w:tcPr>
            <w:tcW w:w="0" w:type="auto"/>
          </w:tcPr>
          <w:p>
            <w:pPr>
              <w:spacing w:line="240" w:lineRule="auto" w:before="0" w:after="0"/>
              <w:pStyle w:val="Compact"/>
            </w:pPr>
            <w:r>
              <w:rPr>
                <w:sz w:val="20"/>
                <w:szCs w:val="20"/>
              </w:rPr>
              <w:t xml:space="preserve">[1e-05, 4.395e-05]</w:t>
            </w:r>
          </w:p>
        </w:tc>
      </w:tr>
      <w:tr>
        <w:tc>
          <w:tcPr>
            <w:tcW w:w="0" w:type="auto"/>
          </w:tcPr>
          <w:p>
            <w:pPr>
              <w:spacing w:line="240" w:lineRule="auto" w:before="0" w:after="0"/>
              <w:pStyle w:val="Compact"/>
            </w:pPr>
            <w:r>
              <w:rPr>
                <w:sz w:val="20"/>
                <w:szCs w:val="20"/>
              </w:rPr>
              <w:t xml:space="preserve">rcs_m2</w:t>
            </w:r>
          </w:p>
        </w:tc>
        <w:tc>
          <w:tcPr>
            <w:tcW w:w="0" w:type="auto"/>
          </w:tcPr>
          <w:p>
            <w:pPr>
              <w:spacing w:line="240" w:lineRule="auto" w:before="0" w:after="0"/>
              <w:pStyle w:val="Compact"/>
            </w:pPr>
            <w:r>
              <w:rPr>
                <w:sz w:val="20"/>
                <w:szCs w:val="20"/>
              </w:rPr>
              <w:t xml:space="preserve">-0.0015</w:t>
            </w:r>
          </w:p>
        </w:tc>
        <w:tc>
          <w:tcPr>
            <w:tcW w:w="0" w:type="auto"/>
          </w:tcPr>
          <w:p>
            <w:pPr>
              <w:spacing w:line="240" w:lineRule="auto" w:before="0" w:after="0"/>
              <w:pStyle w:val="Compact"/>
            </w:pPr>
            <w:r>
              <w:rPr>
                <w:sz w:val="20"/>
                <w:szCs w:val="20"/>
              </w:rPr>
              <w:t xml:space="preserve">0.0006937</w:t>
            </w:r>
          </w:p>
        </w:tc>
        <w:tc>
          <w:tcPr>
            <w:tcW w:w="0" w:type="auto"/>
          </w:tcPr>
          <w:p>
            <w:pPr>
              <w:spacing w:line="240" w:lineRule="auto" w:before="0" w:after="0"/>
              <w:pStyle w:val="Compact"/>
            </w:pPr>
            <w:r>
              <w:rPr>
                <w:sz w:val="20"/>
                <w:szCs w:val="20"/>
              </w:rPr>
              <w:t xml:space="preserve">-2.1112</w:t>
            </w:r>
          </w:p>
        </w:tc>
        <w:tc>
          <w:tcPr>
            <w:tcW w:w="0" w:type="auto"/>
          </w:tcPr>
          <w:p>
            <w:pPr>
              <w:spacing w:line="240" w:lineRule="auto" w:before="0" w:after="0"/>
              <w:pStyle w:val="Compact"/>
            </w:pPr>
            <w:r>
              <w:rPr>
                <w:sz w:val="20"/>
                <w:szCs w:val="20"/>
              </w:rPr>
              <w:t xml:space="preserve">0.0348</w:t>
            </w:r>
          </w:p>
        </w:tc>
        <w:tc>
          <w:tcPr>
            <w:tcW w:w="0" w:type="auto"/>
          </w:tcPr>
          <w:p>
            <w:pPr>
              <w:spacing w:line="240" w:lineRule="auto" w:before="0" w:after="0"/>
              <w:pStyle w:val="Compact"/>
            </w:pPr>
            <w:r>
              <w:rPr>
                <w:sz w:val="20"/>
                <w:szCs w:val="20"/>
              </w:rPr>
              <w:t xml:space="preserve">[-0.0028, -0.0001049]</w:t>
            </w:r>
          </w:p>
        </w:tc>
      </w:tr>
      <w:tr>
        <w:tc>
          <w:tcPr>
            <w:tcW w:w="0" w:type="auto"/>
          </w:tcPr>
          <w:p>
            <w:pPr>
              <w:spacing w:line="240" w:lineRule="auto" w:before="0" w:after="0"/>
              <w:pStyle w:val="Compact"/>
            </w:pPr>
            <w:r>
              <w:rPr>
                <w:sz w:val="20"/>
                <w:szCs w:val="20"/>
              </w:rPr>
              <w:t xml:space="preserve">maneuverable</w:t>
            </w:r>
          </w:p>
        </w:tc>
        <w:tc>
          <w:tcPr>
            <w:tcW w:w="0" w:type="auto"/>
          </w:tcPr>
          <w:p>
            <w:pPr>
              <w:spacing w:line="240" w:lineRule="auto" w:before="0" w:after="0"/>
              <w:pStyle w:val="Compact"/>
            </w:pPr>
            <w:r>
              <w:rPr>
                <w:sz w:val="20"/>
                <w:szCs w:val="20"/>
              </w:rPr>
              <w:t xml:space="preserve">-0.5764</w:t>
            </w:r>
          </w:p>
        </w:tc>
        <w:tc>
          <w:tcPr>
            <w:tcW w:w="0" w:type="auto"/>
          </w:tcPr>
          <w:p>
            <w:pPr>
              <w:spacing w:line="240" w:lineRule="auto" w:before="0" w:after="0"/>
              <w:pStyle w:val="Compact"/>
            </w:pPr>
            <w:r>
              <w:rPr>
                <w:sz w:val="20"/>
                <w:szCs w:val="20"/>
              </w:rPr>
              <w:t xml:space="preserve">0.1745</w:t>
            </w:r>
          </w:p>
        </w:tc>
        <w:tc>
          <w:tcPr>
            <w:tcW w:w="0" w:type="auto"/>
          </w:tcPr>
          <w:p>
            <w:pPr>
              <w:spacing w:line="240" w:lineRule="auto" w:before="0" w:after="0"/>
              <w:pStyle w:val="Compact"/>
            </w:pPr>
            <w:r>
              <w:rPr>
                <w:sz w:val="20"/>
                <w:szCs w:val="20"/>
              </w:rPr>
              <w:t xml:space="preserve">-3.3032</w:t>
            </w:r>
          </w:p>
        </w:tc>
        <w:tc>
          <w:tcPr>
            <w:tcW w:w="0" w:type="auto"/>
          </w:tcPr>
          <w:p>
            <w:pPr>
              <w:spacing w:line="240" w:lineRule="auto" w:before="0" w:after="0"/>
              <w:pStyle w:val="Compact"/>
            </w:pPr>
            <w:r>
              <w:rPr>
                <w:sz w:val="20"/>
                <w:szCs w:val="20"/>
              </w:rPr>
              <w:t xml:space="preserve">0.0009558</w:t>
            </w:r>
          </w:p>
        </w:tc>
        <w:tc>
          <w:tcPr>
            <w:tcW w:w="0" w:type="auto"/>
          </w:tcPr>
          <w:p>
            <w:pPr>
              <w:spacing w:line="240" w:lineRule="auto" w:before="0" w:after="0"/>
              <w:pStyle w:val="Compact"/>
            </w:pPr>
            <w:r>
              <w:rPr>
                <w:sz w:val="20"/>
                <w:szCs w:val="20"/>
              </w:rPr>
              <w:t xml:space="preserve">[-0.9184, -0.2344]</w:t>
            </w:r>
          </w:p>
        </w:tc>
      </w:tr>
      <w:tr>
        <w:tc>
          <w:tcPr>
            <w:tcW w:w="0" w:type="auto"/>
          </w:tcPr>
          <w:p>
            <w:pPr>
              <w:spacing w:line="240" w:lineRule="auto" w:before="0" w:after="0"/>
              <w:pStyle w:val="Compact"/>
            </w:pPr>
            <w:r>
              <w:rPr>
                <w:sz w:val="20"/>
                <w:szCs w:val="20"/>
              </w:rPr>
              <w:t xml:space="preserve">object_age_days</w:t>
            </w:r>
          </w:p>
        </w:tc>
        <w:tc>
          <w:tcPr>
            <w:tcW w:w="0" w:type="auto"/>
          </w:tcPr>
          <w:p>
            <w:pPr>
              <w:spacing w:line="240" w:lineRule="auto" w:before="0" w:after="0"/>
              <w:pStyle w:val="Compact"/>
            </w:pPr>
            <w:r>
              <w:rPr>
                <w:sz w:val="20"/>
                <w:szCs w:val="20"/>
              </w:rPr>
              <w:t xml:space="preserve">-7.575e-05</w:t>
            </w:r>
          </w:p>
        </w:tc>
        <w:tc>
          <w:tcPr>
            <w:tcW w:w="0" w:type="auto"/>
          </w:tcPr>
          <w:p>
            <w:pPr>
              <w:spacing w:line="240" w:lineRule="auto" w:before="0" w:after="0"/>
              <w:pStyle w:val="Compact"/>
            </w:pPr>
            <w:r>
              <w:rPr>
                <w:sz w:val="20"/>
                <w:szCs w:val="20"/>
              </w:rPr>
              <w:t xml:space="preserve">2.57e-05</w:t>
            </w:r>
          </w:p>
        </w:tc>
        <w:tc>
          <w:tcPr>
            <w:tcW w:w="0" w:type="auto"/>
          </w:tcPr>
          <w:p>
            <w:pPr>
              <w:spacing w:line="240" w:lineRule="auto" w:before="0" w:after="0"/>
              <w:pStyle w:val="Compact"/>
            </w:pPr>
            <w:r>
              <w:rPr>
                <w:sz w:val="20"/>
                <w:szCs w:val="20"/>
              </w:rPr>
              <w:t xml:space="preserve">-2.948</w:t>
            </w:r>
          </w:p>
        </w:tc>
        <w:tc>
          <w:tcPr>
            <w:tcW w:w="0" w:type="auto"/>
          </w:tcPr>
          <w:p>
            <w:pPr>
              <w:spacing w:line="240" w:lineRule="auto" w:before="0" w:after="0"/>
              <w:pStyle w:val="Compact"/>
            </w:pPr>
            <w:r>
              <w:rPr>
                <w:sz w:val="20"/>
                <w:szCs w:val="20"/>
              </w:rPr>
              <w:t xml:space="preserve">0.0032</w:t>
            </w:r>
          </w:p>
        </w:tc>
        <w:tc>
          <w:tcPr>
            <w:tcW w:w="0" w:type="auto"/>
          </w:tcPr>
          <w:p>
            <w:pPr>
              <w:spacing w:line="240" w:lineRule="auto" w:before="0" w:after="0"/>
              <w:pStyle w:val="Compact"/>
            </w:pPr>
            <w:r>
              <w:rPr>
                <w:sz w:val="20"/>
                <w:szCs w:val="20"/>
              </w:rPr>
              <w:t xml:space="preserve">[-0.0001261, -2.539e-05]</w:t>
            </w:r>
          </w:p>
        </w:tc>
      </w:tr>
      <w:tr>
        <w:tc>
          <w:tcPr>
            <w:tcW w:w="0" w:type="auto"/>
          </w:tcPr>
          <w:p>
            <w:pPr>
              <w:spacing w:line="240" w:lineRule="auto" w:before="0" w:after="0"/>
              <w:pStyle w:val="Compact"/>
            </w:pPr>
            <w:r>
              <w:rPr>
                <w:sz w:val="20"/>
                <w:szCs w:val="20"/>
              </w:rPr>
              <w:t xml:space="preserve">n_sources</w:t>
            </w:r>
          </w:p>
        </w:tc>
        <w:tc>
          <w:tcPr>
            <w:tcW w:w="0" w:type="auto"/>
          </w:tcPr>
          <w:p>
            <w:pPr>
              <w:spacing w:line="240" w:lineRule="auto" w:before="0" w:after="0"/>
              <w:pStyle w:val="Compact"/>
            </w:pPr>
            <w:r>
              <w:rPr>
                <w:sz w:val="20"/>
                <w:szCs w:val="20"/>
              </w:rPr>
              <w:t xml:space="preserve">0.178</w:t>
            </w:r>
          </w:p>
        </w:tc>
        <w:tc>
          <w:tcPr>
            <w:tcW w:w="0" w:type="auto"/>
          </w:tcPr>
          <w:p>
            <w:pPr>
              <w:spacing w:line="240" w:lineRule="auto" w:before="0" w:after="0"/>
              <w:pStyle w:val="Compact"/>
            </w:pPr>
            <w:r>
              <w:rPr>
                <w:sz w:val="20"/>
                <w:szCs w:val="20"/>
              </w:rPr>
              <w:t xml:space="preserve">0.1794</w:t>
            </w:r>
          </w:p>
        </w:tc>
        <w:tc>
          <w:tcPr>
            <w:tcW w:w="0" w:type="auto"/>
          </w:tcPr>
          <w:p>
            <w:pPr>
              <w:spacing w:line="240" w:lineRule="auto" w:before="0" w:after="0"/>
              <w:pStyle w:val="Compact"/>
            </w:pPr>
            <w:r>
              <w:rPr>
                <w:sz w:val="20"/>
                <w:szCs w:val="20"/>
              </w:rPr>
              <w:t xml:space="preserve">0.992</w:t>
            </w:r>
          </w:p>
        </w:tc>
        <w:tc>
          <w:tcPr>
            <w:tcW w:w="0" w:type="auto"/>
          </w:tcPr>
          <w:p>
            <w:pPr>
              <w:spacing w:line="240" w:lineRule="auto" w:before="0" w:after="0"/>
              <w:pStyle w:val="Compact"/>
            </w:pPr>
            <w:r>
              <w:rPr>
                <w:sz w:val="20"/>
                <w:szCs w:val="20"/>
              </w:rPr>
              <w:t xml:space="preserve">0.3212</w:t>
            </w:r>
          </w:p>
        </w:tc>
        <w:tc>
          <w:tcPr>
            <w:tcW w:w="0" w:type="auto"/>
          </w:tcPr>
          <w:p>
            <w:pPr>
              <w:spacing w:line="240" w:lineRule="auto" w:before="0" w:after="0"/>
              <w:pStyle w:val="Compact"/>
            </w:pPr>
            <w:r>
              <w:rPr>
                <w:sz w:val="20"/>
                <w:szCs w:val="20"/>
              </w:rPr>
              <w:t xml:space="preserve">[-0.1737, 0.5296]</w:t>
            </w:r>
          </w:p>
        </w:tc>
      </w:tr>
    </w:tbl>
    <w:p>
      <w:pPr>
        <w:pStyle w:val="BodyText"/>
        <w:spacing w:line="480" w:lineRule="auto"/>
        <w:ind w:firstLine="720"/>
      </w:pPr>
      <w:r>
        <w:t xml:space="preserve">Fit: N = 36 R2 = 0.4608 R2_adj = 0.3709 F = 9.5373 F_p = 1.591e-05</w:t>
      </w:r>
    </w:p>
    <w:bookmarkEnd w:id="207"/>
    <w:bookmarkStart w:id="211"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ross-source positional disagreement against radar cross section; small-RCS objects exhibit systematically larger disagreement between the public 18 SDS catalog and commercial SSA providers." title="" id="209" name="Picture"/>
            <a:graphic>
              <a:graphicData uri="http://schemas.openxmlformats.org/drawingml/2006/picture">
                <pic:pic>
                  <pic:nvPicPr>
                    <pic:cNvPr descr="D:/Claude_Code/brain/collegium/candidates/dissertations/SSA_SDA_01/research_papers/p2/paper_fig1.png" id="210" name="Picture"/>
                    <pic:cNvPicPr>
                      <a:picLocks noChangeArrowheads="1" noChangeAspect="1"/>
                    </pic:cNvPicPr>
                  </pic:nvPicPr>
                  <pic:blipFill>
                    <a:blip r:embed="rId20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Cross-source positional disagreement against radar cross section; small-RCS objects exhibit systematically larger disagreement between the public 18 SDS catalog and commercial SSA providers.</w:t>
      </w:r>
    </w:p>
    <w:bookmarkEnd w:id="211"/>
    <w:bookmarkStart w:id="212"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object_id</w:t>
            </w:r>
          </w:p>
        </w:tc>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inclination_deg</w:t>
            </w:r>
          </w:p>
        </w:tc>
        <w:tc>
          <w:tcPr>
            <w:tcW w:w="0" w:type="auto"/>
          </w:tcPr>
          <w:p>
            <w:pPr>
              <w:spacing w:line="240" w:lineRule="auto" w:before="0" w:after="0"/>
              <w:pStyle w:val="Compact"/>
            </w:pPr>
            <w:r>
              <w:rPr>
                <w:sz w:val="20"/>
                <w:szCs w:val="20"/>
              </w:rPr>
              <w:t xml:space="preserve">rcs_m2</w:t>
            </w:r>
          </w:p>
        </w:tc>
        <w:tc>
          <w:tcPr>
            <w:tcW w:w="0" w:type="auto"/>
          </w:tcPr>
          <w:p>
            <w:pPr>
              <w:spacing w:line="240" w:lineRule="auto" w:before="0" w:after="0"/>
              <w:pStyle w:val="Compact"/>
            </w:pPr>
            <w:r>
              <w:rPr>
                <w:sz w:val="20"/>
                <w:szCs w:val="20"/>
              </w:rPr>
              <w:t xml:space="preserve">maneuverable</w:t>
            </w:r>
          </w:p>
        </w:tc>
        <w:tc>
          <w:tcPr>
            <w:tcW w:w="0" w:type="auto"/>
          </w:tcPr>
          <w:p>
            <w:pPr>
              <w:spacing w:line="240" w:lineRule="auto" w:before="0" w:after="0"/>
              <w:pStyle w:val="Compact"/>
            </w:pPr>
            <w:r>
              <w:rPr>
                <w:sz w:val="20"/>
                <w:szCs w:val="20"/>
              </w:rPr>
              <w:t xml:space="preserve">operator_class</w:t>
            </w:r>
          </w:p>
        </w:tc>
        <w:tc>
          <w:tcPr>
            <w:tcW w:w="0" w:type="auto"/>
          </w:tcPr>
          <w:p>
            <w:pPr>
              <w:spacing w:line="240" w:lineRule="auto" w:before="0" w:after="0"/>
              <w:pStyle w:val="Compact"/>
            </w:pPr>
            <w:r>
              <w:rPr>
                <w:sz w:val="20"/>
                <w:szCs w:val="20"/>
              </w:rPr>
              <w:t xml:space="preserve">object_age_days</w:t>
            </w:r>
          </w:p>
        </w:tc>
        <w:tc>
          <w:tcPr>
            <w:tcW w:w="0" w:type="auto"/>
          </w:tcPr>
          <w:p>
            <w:pPr>
              <w:spacing w:line="240" w:lineRule="auto" w:before="0" w:after="0"/>
              <w:pStyle w:val="Compact"/>
            </w:pPr>
            <w:r>
              <w:rPr>
                <w:sz w:val="20"/>
                <w:szCs w:val="20"/>
              </w:rPr>
              <w:t xml:space="preserve">n_sources</w:t>
            </w:r>
          </w:p>
        </w:tc>
        <w:tc>
          <w:tcPr>
            <w:tcW w:w="0" w:type="auto"/>
          </w:tcPr>
          <w:p>
            <w:pPr>
              <w:spacing w:line="240" w:lineRule="auto" w:before="0" w:after="0"/>
              <w:pStyle w:val="Compact"/>
            </w:pPr>
            <w:r>
              <w:rPr>
                <w:sz w:val="20"/>
                <w:szCs w:val="20"/>
              </w:rPr>
              <w:t xml:space="preserve">disagreement_km</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STARLINK-1007</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Magnus et al. (2024) TraCSS Consolidated Pathfinder, AMOS 2024 [illustrative magnitude]</w:t>
            </w:r>
          </w:p>
        </w:tc>
      </w:tr>
      <w:tr>
        <w:tc>
          <w:tcPr>
            <w:tcW w:w="0" w:type="auto"/>
          </w:tcPr>
          <w:p>
            <w:pPr>
              <w:spacing w:line="240" w:lineRule="auto" w:before="0" w:after="0"/>
              <w:pStyle w:val="Compact"/>
            </w:pPr>
            <w:r>
              <w:rPr>
                <w:sz w:val="20"/>
                <w:szCs w:val="20"/>
              </w:rPr>
              <w:t xml:space="preserve">STARLINK-1130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1790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Magnus et al. (2024) TraCSS Pathfinder AMOS 2024 [illustrative magnitude]</w:t>
            </w:r>
          </w:p>
        </w:tc>
      </w:tr>
      <w:tr>
        <w:tc>
          <w:tcPr>
            <w:tcW w:w="0" w:type="auto"/>
          </w:tcPr>
          <w:p>
            <w:pPr>
              <w:spacing w:line="240" w:lineRule="auto" w:before="0" w:after="0"/>
              <w:pStyle w:val="Compact"/>
            </w:pPr>
            <w:r>
              <w:rPr>
                <w:sz w:val="20"/>
                <w:szCs w:val="20"/>
              </w:rPr>
              <w:t xml:space="preserve">ONEWEB-0012</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87.9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1560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OneWeb FCC filing SAT-MOD-20200526-00059; Hejduk et al. AMOS 2023 [illustrative]</w:t>
            </w:r>
          </w:p>
        </w:tc>
      </w:tr>
      <w:tr>
        <w:tc>
          <w:tcPr>
            <w:tcW w:w="0" w:type="auto"/>
          </w:tcPr>
          <w:p>
            <w:pPr>
              <w:spacing w:line="240" w:lineRule="auto" w:before="0" w:after="0"/>
              <w:pStyle w:val="Compact"/>
            </w:pPr>
            <w:r>
              <w:rPr>
                <w:sz w:val="20"/>
                <w:szCs w:val="20"/>
              </w:rPr>
              <w:t xml:space="preserve">ONEWEB-0156</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87.9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1490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OneWeb FCC SAT-MOD-20200526-00059 [illustrative magnitude]</w:t>
            </w:r>
          </w:p>
        </w:tc>
      </w:tr>
      <w:tr>
        <w:tc>
          <w:tcPr>
            <w:tcW w:w="0" w:type="auto"/>
          </w:tcPr>
          <w:p>
            <w:pPr>
              <w:spacing w:line="240" w:lineRule="auto" w:before="0" w:after="0"/>
              <w:pStyle w:val="Compact"/>
            </w:pPr>
            <w:r>
              <w:rPr>
                <w:sz w:val="20"/>
                <w:szCs w:val="20"/>
              </w:rPr>
              <w:t xml:space="preserve">IRIDIUM-167</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86.4</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2680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Iridium NEXT FCC SAT-MOD-20131227-00148 [illustrative magnitude]</w:t>
            </w:r>
          </w:p>
        </w:tc>
      </w:tr>
      <w:tr>
        <w:tc>
          <w:tcPr>
            <w:tcW w:w="0" w:type="auto"/>
          </w:tcPr>
          <w:p>
            <w:pPr>
              <w:spacing w:line="240" w:lineRule="auto" w:before="0" w:after="0"/>
              <w:pStyle w:val="Compact"/>
            </w:pPr>
            <w:r>
              <w:rPr>
                <w:sz w:val="20"/>
                <w:szCs w:val="20"/>
              </w:rPr>
              <w:t xml:space="preserve">IRIDIUM-141</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86.4</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Iridium NEXT FCC SAT-MOD-20131227-00148 [illustrative]</w:t>
            </w:r>
          </w:p>
        </w:tc>
      </w:tr>
      <w:tr>
        <w:tc>
          <w:tcPr>
            <w:tcW w:w="0" w:type="auto"/>
          </w:tcPr>
          <w:p>
            <w:pPr>
              <w:spacing w:line="240" w:lineRule="auto" w:before="0" w:after="0"/>
              <w:pStyle w:val="Compact"/>
            </w:pPr>
            <w:r>
              <w:rPr>
                <w:sz w:val="20"/>
                <w:szCs w:val="20"/>
              </w:rPr>
              <w:t xml:space="preserve">COSMOS-1408-DEB-A</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82.6</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NASA ODPO Orbital Debris Quarterly News v26-1 (2022); Ravago et al. AMOS 2025 [illustrative]</w:t>
            </w:r>
          </w:p>
        </w:tc>
      </w:tr>
      <w:tr>
        <w:tc>
          <w:tcPr>
            <w:tcW w:w="0" w:type="auto"/>
          </w:tcPr>
          <w:p>
            <w:pPr>
              <w:spacing w:line="240" w:lineRule="auto" w:before="0" w:after="0"/>
              <w:pStyle w:val="Compact"/>
            </w:pPr>
            <w:r>
              <w:rPr>
                <w:sz w:val="20"/>
                <w:szCs w:val="20"/>
              </w:rPr>
              <w:t xml:space="preserve">COSMOS-1408-DEB-B</w:t>
            </w:r>
          </w:p>
        </w:tc>
        <w:tc>
          <w:tcPr>
            <w:tcW w:w="0" w:type="auto"/>
          </w:tcPr>
          <w:p>
            <w:pPr>
              <w:spacing w:line="240" w:lineRule="auto" w:before="0" w:after="0"/>
              <w:pStyle w:val="Compact"/>
            </w:pPr>
            <w:r>
              <w:rPr>
                <w:sz w:val="20"/>
                <w:szCs w:val="20"/>
              </w:rPr>
              <w:t xml:space="preserve">490</w:t>
            </w:r>
          </w:p>
        </w:tc>
        <w:tc>
          <w:tcPr>
            <w:tcW w:w="0" w:type="auto"/>
          </w:tcPr>
          <w:p>
            <w:pPr>
              <w:spacing w:line="240" w:lineRule="auto" w:before="0" w:after="0"/>
              <w:pStyle w:val="Compact"/>
            </w:pPr>
            <w:r>
              <w:rPr>
                <w:sz w:val="20"/>
                <w:szCs w:val="20"/>
              </w:rPr>
              <w:t xml:space="preserve">82.6</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1.72</w:t>
            </w:r>
          </w:p>
        </w:tc>
        <w:tc>
          <w:tcPr>
            <w:tcW w:w="0" w:type="auto"/>
          </w:tcPr>
          <w:p>
            <w:pPr>
              <w:spacing w:line="240" w:lineRule="auto" w:before="0" w:after="0"/>
              <w:pStyle w:val="Compact"/>
            </w:pPr>
            <w:r>
              <w:rPr>
                <w:sz w:val="20"/>
                <w:szCs w:val="20"/>
              </w:rPr>
              <w:t xml:space="preserve">NASA ODPO ODQN v26-1 (2022) [illustrative]</w:t>
            </w:r>
          </w:p>
        </w:tc>
      </w:tr>
      <w:tr>
        <w:tc>
          <w:tcPr>
            <w:tcW w:w="0" w:type="auto"/>
          </w:tcPr>
          <w:p>
            <w:pPr>
              <w:spacing w:line="240" w:lineRule="auto" w:before="0" w:after="0"/>
              <w:pStyle w:val="Compact"/>
            </w:pPr>
            <w:r>
              <w:rPr>
                <w:sz w:val="20"/>
                <w:szCs w:val="20"/>
              </w:rPr>
              <w:t xml:space="preserve">COSMOS-1408-DEB-C</w:t>
            </w:r>
          </w:p>
        </w:tc>
        <w:tc>
          <w:tcPr>
            <w:tcW w:w="0" w:type="auto"/>
          </w:tcPr>
          <w:p>
            <w:pPr>
              <w:spacing w:line="240" w:lineRule="auto" w:before="0" w:after="0"/>
              <w:pStyle w:val="Compact"/>
            </w:pPr>
            <w:r>
              <w:rPr>
                <w:sz w:val="20"/>
                <w:szCs w:val="20"/>
              </w:rPr>
              <w:t xml:space="preserve">475</w:t>
            </w:r>
          </w:p>
        </w:tc>
        <w:tc>
          <w:tcPr>
            <w:tcW w:w="0" w:type="auto"/>
          </w:tcPr>
          <w:p>
            <w:pPr>
              <w:spacing w:line="240" w:lineRule="auto" w:before="0" w:after="0"/>
              <w:pStyle w:val="Compact"/>
            </w:pPr>
            <w:r>
              <w:rPr>
                <w:sz w:val="20"/>
                <w:szCs w:val="20"/>
              </w:rPr>
              <w:t xml:space="preserve">82.6</w:t>
            </w:r>
          </w:p>
        </w:tc>
        <w:tc>
          <w:tcPr>
            <w:tcW w:w="0" w:type="auto"/>
          </w:tcPr>
          <w:p>
            <w:pPr>
              <w:spacing w:line="240" w:lineRule="auto" w:before="0" w:after="0"/>
              <w:pStyle w:val="Compact"/>
            </w:pPr>
            <w:r>
              <w:rPr>
                <w:sz w:val="20"/>
                <w:szCs w:val="20"/>
              </w:rPr>
              <w:t xml:space="preserve">0.12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NASA ODPO ODQN v26-1 (2022) [illustrative]</w:t>
            </w:r>
          </w:p>
        </w:tc>
      </w:tr>
      <w:tr>
        <w:tc>
          <w:tcPr>
            <w:tcW w:w="0" w:type="auto"/>
          </w:tcPr>
          <w:p>
            <w:pPr>
              <w:spacing w:line="240" w:lineRule="auto" w:before="0" w:after="0"/>
              <w:pStyle w:val="Compact"/>
            </w:pPr>
            <w:r>
              <w:rPr>
                <w:sz w:val="20"/>
                <w:szCs w:val="20"/>
              </w:rPr>
              <w:t xml:space="preserve">FENGYUN-1C-DEB-A</w:t>
            </w:r>
          </w:p>
        </w:tc>
        <w:tc>
          <w:tcPr>
            <w:tcW w:w="0" w:type="auto"/>
          </w:tcPr>
          <w:p>
            <w:pPr>
              <w:spacing w:line="240" w:lineRule="auto" w:before="0" w:after="0"/>
              <w:pStyle w:val="Compact"/>
            </w:pPr>
            <w:r>
              <w:rPr>
                <w:sz w:val="20"/>
                <w:szCs w:val="20"/>
              </w:rPr>
              <w:t xml:space="preserve">845</w:t>
            </w:r>
          </w:p>
        </w:tc>
        <w:tc>
          <w:tcPr>
            <w:tcW w:w="0" w:type="auto"/>
          </w:tcPr>
          <w:p>
            <w:pPr>
              <w:spacing w:line="240" w:lineRule="auto" w:before="0" w:after="0"/>
              <w:pStyle w:val="Compact"/>
            </w:pPr>
            <w:r>
              <w:rPr>
                <w:sz w:val="20"/>
                <w:szCs w:val="20"/>
              </w:rPr>
              <w:t xml:space="preserve">98.7</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6940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Anz-Meador NASA TM-2020-5008219 Fengyun-1C debris analysis [illustrative]</w:t>
            </w:r>
          </w:p>
        </w:tc>
      </w:tr>
      <w:tr>
        <w:tc>
          <w:tcPr>
            <w:tcW w:w="0" w:type="auto"/>
          </w:tcPr>
          <w:p>
            <w:pPr>
              <w:spacing w:line="240" w:lineRule="auto" w:before="0" w:after="0"/>
              <w:pStyle w:val="Compact"/>
            </w:pPr>
            <w:r>
              <w:rPr>
                <w:sz w:val="20"/>
                <w:szCs w:val="20"/>
              </w:rPr>
              <w:t xml:space="preserve">FENGYUN-1C-DEB-B</w:t>
            </w:r>
          </w:p>
        </w:tc>
        <w:tc>
          <w:tcPr>
            <w:tcW w:w="0" w:type="auto"/>
          </w:tcPr>
          <w:p>
            <w:pPr>
              <w:spacing w:line="240" w:lineRule="auto" w:before="0" w:after="0"/>
              <w:pStyle w:val="Compact"/>
            </w:pPr>
            <w:r>
              <w:rPr>
                <w:sz w:val="20"/>
                <w:szCs w:val="20"/>
              </w:rPr>
              <w:t xml:space="preserve">860</w:t>
            </w:r>
          </w:p>
        </w:tc>
        <w:tc>
          <w:tcPr>
            <w:tcW w:w="0" w:type="auto"/>
          </w:tcPr>
          <w:p>
            <w:pPr>
              <w:spacing w:line="240" w:lineRule="auto" w:before="0" w:after="0"/>
              <w:pStyle w:val="Compact"/>
            </w:pPr>
            <w:r>
              <w:rPr>
                <w:sz w:val="20"/>
                <w:szCs w:val="20"/>
              </w:rPr>
              <w:t xml:space="preserve">98.7</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6940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Anz-Meador NASA TM-2020-5008219 [illustrative]</w:t>
            </w:r>
          </w:p>
        </w:tc>
      </w:tr>
      <w:tr>
        <w:tc>
          <w:tcPr>
            <w:tcW w:w="0" w:type="auto"/>
          </w:tcPr>
          <w:p>
            <w:pPr>
              <w:spacing w:line="240" w:lineRule="auto" w:before="0" w:after="0"/>
              <w:pStyle w:val="Compact"/>
            </w:pPr>
            <w:r>
              <w:rPr>
                <w:sz w:val="20"/>
                <w:szCs w:val="20"/>
              </w:rPr>
              <w:t xml:space="preserve">ISS-ZARYA</w:t>
            </w:r>
          </w:p>
        </w:tc>
        <w:tc>
          <w:tcPr>
            <w:tcW w:w="0" w:type="auto"/>
          </w:tcPr>
          <w:p>
            <w:pPr>
              <w:spacing w:line="240" w:lineRule="auto" w:before="0" w:after="0"/>
              <w:pStyle w:val="Compact"/>
            </w:pPr>
            <w:r>
              <w:rPr>
                <w:sz w:val="20"/>
                <w:szCs w:val="20"/>
              </w:rPr>
              <w:t xml:space="preserve">415</w:t>
            </w:r>
          </w:p>
        </w:tc>
        <w:tc>
          <w:tcPr>
            <w:tcW w:w="0" w:type="auto"/>
          </w:tcPr>
          <w:p>
            <w:pPr>
              <w:spacing w:line="240" w:lineRule="auto" w:before="0" w:after="0"/>
              <w:pStyle w:val="Compact"/>
            </w:pPr>
            <w:r>
              <w:rPr>
                <w:sz w:val="20"/>
                <w:szCs w:val="20"/>
              </w:rPr>
              <w:t xml:space="preserve">51.6</w:t>
            </w:r>
          </w:p>
        </w:tc>
        <w:tc>
          <w:tcPr>
            <w:tcW w:w="0" w:type="auto"/>
          </w:tcPr>
          <w:p>
            <w:pPr>
              <w:spacing w:line="240" w:lineRule="auto" w:before="0" w:after="0"/>
              <w:pStyle w:val="Compact"/>
            </w:pPr>
            <w:r>
              <w:rPr>
                <w:sz w:val="20"/>
                <w:szCs w:val="20"/>
              </w:rPr>
              <w:t xml:space="preserve">399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9800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GAO-23-106021 Space Situational Awareness (2023); ISS public ephemeris</w:t>
            </w:r>
          </w:p>
        </w:tc>
      </w:tr>
      <w:tr>
        <w:tc>
          <w:tcPr>
            <w:tcW w:w="0" w:type="auto"/>
          </w:tcPr>
          <w:p>
            <w:pPr>
              <w:spacing w:line="240" w:lineRule="auto" w:before="0" w:after="0"/>
              <w:pStyle w:val="Compact"/>
            </w:pPr>
            <w:r>
              <w:rPr>
                <w:sz w:val="20"/>
                <w:szCs w:val="20"/>
              </w:rPr>
              <w:t xml:space="preserve">HUBBLE-HST</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28.5</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12450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NASA HST observatory; STScI ephemeris records</w:t>
            </w:r>
          </w:p>
        </w:tc>
      </w:tr>
      <w:tr>
        <w:tc>
          <w:tcPr>
            <w:tcW w:w="0" w:type="auto"/>
          </w:tcPr>
          <w:p>
            <w:pPr>
              <w:spacing w:line="240" w:lineRule="auto" w:before="0" w:after="0"/>
              <w:pStyle w:val="Compact"/>
            </w:pPr>
            <w:r>
              <w:rPr>
                <w:sz w:val="20"/>
                <w:szCs w:val="20"/>
              </w:rPr>
              <w:t xml:space="preserve">LANDSAT-9</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98.2</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1480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USGS Landsat 9 mission; Landsat Data Continuity Mission press kit</w:t>
            </w:r>
          </w:p>
        </w:tc>
      </w:tr>
      <w:tr>
        <w:tc>
          <w:tcPr>
            <w:tcW w:w="0" w:type="auto"/>
          </w:tcPr>
          <w:p>
            <w:pPr>
              <w:spacing w:line="240" w:lineRule="auto" w:before="0" w:after="0"/>
              <w:pStyle w:val="Compact"/>
            </w:pPr>
            <w:r>
              <w:rPr>
                <w:sz w:val="20"/>
                <w:szCs w:val="20"/>
              </w:rPr>
              <w:t xml:space="preserve">SENTINEL-2A</w:t>
            </w:r>
          </w:p>
        </w:tc>
        <w:tc>
          <w:tcPr>
            <w:tcW w:w="0" w:type="auto"/>
          </w:tcPr>
          <w:p>
            <w:pPr>
              <w:spacing w:line="240" w:lineRule="auto" w:before="0" w:after="0"/>
              <w:pStyle w:val="Compact"/>
            </w:pPr>
            <w:r>
              <w:rPr>
                <w:sz w:val="20"/>
                <w:szCs w:val="20"/>
              </w:rPr>
              <w:t xml:space="preserve">786</w:t>
            </w:r>
          </w:p>
        </w:tc>
        <w:tc>
          <w:tcPr>
            <w:tcW w:w="0" w:type="auto"/>
          </w:tcPr>
          <w:p>
            <w:pPr>
              <w:spacing w:line="240" w:lineRule="auto" w:before="0" w:after="0"/>
              <w:pStyle w:val="Compact"/>
            </w:pPr>
            <w:r>
              <w:rPr>
                <w:sz w:val="20"/>
                <w:szCs w:val="20"/>
              </w:rPr>
              <w:t xml:space="preserve">98.6</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3680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ESA Sentinel-2A mission press kit; ESA SST [illustrative]</w:t>
            </w:r>
          </w:p>
        </w:tc>
      </w:tr>
      <w:tr>
        <w:tc>
          <w:tcPr>
            <w:tcW w:w="0" w:type="auto"/>
          </w:tcPr>
          <w:p>
            <w:pPr>
              <w:spacing w:line="240" w:lineRule="auto" w:before="0" w:after="0"/>
              <w:pStyle w:val="Compact"/>
            </w:pPr>
            <w:r>
              <w:rPr>
                <w:sz w:val="20"/>
                <w:szCs w:val="20"/>
              </w:rPr>
              <w:t xml:space="preserve">GPS-IIF-12</w:t>
            </w:r>
          </w:p>
        </w:tc>
        <w:tc>
          <w:tcPr>
            <w:tcW w:w="0" w:type="auto"/>
          </w:tcPr>
          <w:p>
            <w:pPr>
              <w:spacing w:line="240" w:lineRule="auto" w:before="0" w:after="0"/>
              <w:pStyle w:val="Compact"/>
            </w:pPr>
            <w:r>
              <w:rPr>
                <w:sz w:val="20"/>
                <w:szCs w:val="20"/>
              </w:rPr>
              <w:t xml:space="preserve">20180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3120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1.92</w:t>
            </w:r>
          </w:p>
        </w:tc>
        <w:tc>
          <w:tcPr>
            <w:tcW w:w="0" w:type="auto"/>
          </w:tcPr>
          <w:p>
            <w:pPr>
              <w:spacing w:line="240" w:lineRule="auto" w:before="0" w:after="0"/>
              <w:pStyle w:val="Compact"/>
            </w:pPr>
            <w:r>
              <w:rPr>
                <w:sz w:val="20"/>
                <w:szCs w:val="20"/>
              </w:rPr>
              <w:t xml:space="preserve">USSF GPS IIF series; CelesTrak GPS catalog</w:t>
            </w:r>
          </w:p>
        </w:tc>
      </w:tr>
      <w:tr>
        <w:tc>
          <w:tcPr>
            <w:tcW w:w="0" w:type="auto"/>
          </w:tcPr>
          <w:p>
            <w:pPr>
              <w:spacing w:line="240" w:lineRule="auto" w:before="0" w:after="0"/>
              <w:pStyle w:val="Compact"/>
            </w:pPr>
            <w:r>
              <w:rPr>
                <w:sz w:val="20"/>
                <w:szCs w:val="20"/>
              </w:rPr>
              <w:t xml:space="preserve">GALILEO-FM10</w:t>
            </w:r>
          </w:p>
        </w:tc>
        <w:tc>
          <w:tcPr>
            <w:tcW w:w="0" w:type="auto"/>
          </w:tcPr>
          <w:p>
            <w:pPr>
              <w:spacing w:line="240" w:lineRule="auto" w:before="0" w:after="0"/>
              <w:pStyle w:val="Compact"/>
            </w:pPr>
            <w:r>
              <w:rPr>
                <w:sz w:val="20"/>
                <w:szCs w:val="20"/>
              </w:rPr>
              <w:t xml:space="preserve">23222</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2550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ESA Galileo FOC; GSC reference data</w:t>
            </w:r>
          </w:p>
        </w:tc>
      </w:tr>
      <w:tr>
        <w:tc>
          <w:tcPr>
            <w:tcW w:w="0" w:type="auto"/>
          </w:tcPr>
          <w:p>
            <w:pPr>
              <w:spacing w:line="240" w:lineRule="auto" w:before="0" w:after="0"/>
              <w:pStyle w:val="Compact"/>
            </w:pPr>
            <w:r>
              <w:rPr>
                <w:sz w:val="20"/>
                <w:szCs w:val="20"/>
              </w:rPr>
              <w:t xml:space="preserve">NOAA-19</w:t>
            </w:r>
          </w:p>
        </w:tc>
        <w:tc>
          <w:tcPr>
            <w:tcW w:w="0" w:type="auto"/>
          </w:tcPr>
          <w:p>
            <w:pPr>
              <w:spacing w:line="240" w:lineRule="auto" w:before="0" w:after="0"/>
              <w:pStyle w:val="Compact"/>
            </w:pPr>
            <w:r>
              <w:rPr>
                <w:sz w:val="20"/>
                <w:szCs w:val="20"/>
              </w:rPr>
              <w:t xml:space="preserve">870</w:t>
            </w:r>
          </w:p>
        </w:tc>
        <w:tc>
          <w:tcPr>
            <w:tcW w:w="0" w:type="auto"/>
          </w:tcPr>
          <w:p>
            <w:pPr>
              <w:spacing w:line="240" w:lineRule="auto" w:before="0" w:after="0"/>
              <w:pStyle w:val="Compact"/>
            </w:pPr>
            <w:r>
              <w:rPr>
                <w:sz w:val="20"/>
                <w:szCs w:val="20"/>
              </w:rPr>
              <w:t xml:space="preserve">98.7</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5870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NOAA POES press kit; NOAA-19 mission docs</w:t>
            </w:r>
          </w:p>
        </w:tc>
      </w:tr>
      <w:tr>
        <w:tc>
          <w:tcPr>
            <w:tcW w:w="0" w:type="auto"/>
          </w:tcPr>
          <w:p>
            <w:pPr>
              <w:spacing w:line="240" w:lineRule="auto" w:before="0" w:after="0"/>
              <w:pStyle w:val="Compact"/>
            </w:pPr>
            <w:r>
              <w:rPr>
                <w:sz w:val="20"/>
                <w:szCs w:val="20"/>
              </w:rPr>
              <w:t xml:space="preserve">TERRA-EOS-AM1</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98.2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9300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NASA Terra/EOS-AM1 press kit; NASA NTRS 20060020203</w:t>
            </w:r>
          </w:p>
        </w:tc>
      </w:tr>
      <w:tr>
        <w:tc>
          <w:tcPr>
            <w:tcW w:w="0" w:type="auto"/>
          </w:tcPr>
          <w:p>
            <w:pPr>
              <w:spacing w:line="240" w:lineRule="auto" w:before="0" w:after="0"/>
              <w:pStyle w:val="Compact"/>
            </w:pPr>
            <w:r>
              <w:rPr>
                <w:sz w:val="20"/>
                <w:szCs w:val="20"/>
              </w:rPr>
              <w:t xml:space="preserve">AQUA-EOS-PM1</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98.2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8430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0.39</w:t>
            </w:r>
          </w:p>
        </w:tc>
        <w:tc>
          <w:tcPr>
            <w:tcW w:w="0" w:type="auto"/>
          </w:tcPr>
          <w:p>
            <w:pPr>
              <w:spacing w:line="240" w:lineRule="auto" w:before="0" w:after="0"/>
              <w:pStyle w:val="Compact"/>
            </w:pPr>
            <w:r>
              <w:rPr>
                <w:sz w:val="20"/>
                <w:szCs w:val="20"/>
              </w:rPr>
              <w:t xml:space="preserve">NASA Aqua/EOS-PM1 press kit</w:t>
            </w:r>
          </w:p>
        </w:tc>
      </w:tr>
      <w:tr>
        <w:tc>
          <w:tcPr>
            <w:tcW w:w="0" w:type="auto"/>
          </w:tcPr>
          <w:p>
            <w:pPr>
              <w:spacing w:line="240" w:lineRule="auto" w:before="0" w:after="0"/>
              <w:pStyle w:val="Compact"/>
            </w:pPr>
            <w:r>
              <w:rPr>
                <w:sz w:val="20"/>
                <w:szCs w:val="20"/>
              </w:rPr>
              <w:t xml:space="preserve">TIANGONG-CSS</w:t>
            </w:r>
          </w:p>
        </w:tc>
        <w:tc>
          <w:tcPr>
            <w:tcW w:w="0" w:type="auto"/>
          </w:tcPr>
          <w:p>
            <w:pPr>
              <w:spacing w:line="240" w:lineRule="auto" w:before="0" w:after="0"/>
              <w:pStyle w:val="Compact"/>
            </w:pPr>
            <w:r>
              <w:rPr>
                <w:sz w:val="20"/>
                <w:szCs w:val="20"/>
              </w:rPr>
              <w:t xml:space="preserve">385</w:t>
            </w:r>
          </w:p>
        </w:tc>
        <w:tc>
          <w:tcPr>
            <w:tcW w:w="0" w:type="auto"/>
          </w:tcPr>
          <w:p>
            <w:pPr>
              <w:spacing w:line="240" w:lineRule="auto" w:before="0" w:after="0"/>
              <w:pStyle w:val="Compact"/>
            </w:pPr>
            <w:r>
              <w:rPr>
                <w:sz w:val="20"/>
                <w:szCs w:val="20"/>
              </w:rPr>
              <w:t xml:space="preserve">41.5</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1240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CMSA Tiangong public ephemeris; CelesTrak [illustrative]</w:t>
            </w:r>
          </w:p>
        </w:tc>
      </w:tr>
      <w:tr>
        <w:tc>
          <w:tcPr>
            <w:tcW w:w="0" w:type="auto"/>
          </w:tcPr>
          <w:p>
            <w:pPr>
              <w:spacing w:line="240" w:lineRule="auto" w:before="0" w:after="0"/>
              <w:pStyle w:val="Compact"/>
            </w:pPr>
            <w:r>
              <w:rPr>
                <w:sz w:val="20"/>
                <w:szCs w:val="20"/>
              </w:rPr>
              <w:t xml:space="preserve">COSMOS-2558</w:t>
            </w:r>
          </w:p>
        </w:tc>
        <w:tc>
          <w:tcPr>
            <w:tcW w:w="0" w:type="auto"/>
          </w:tcPr>
          <w:p>
            <w:pPr>
              <w:spacing w:line="240" w:lineRule="auto" w:before="0" w:after="0"/>
              <w:pStyle w:val="Compact"/>
            </w:pPr>
            <w:r>
              <w:rPr>
                <w:sz w:val="20"/>
                <w:szCs w:val="20"/>
              </w:rPr>
              <w:t xml:space="preserve">440</w:t>
            </w:r>
          </w:p>
        </w:tc>
        <w:tc>
          <w:tcPr>
            <w:tcW w:w="0" w:type="auto"/>
          </w:tcPr>
          <w:p>
            <w:pPr>
              <w:spacing w:line="240" w:lineRule="auto" w:before="0" w:after="0"/>
              <w:pStyle w:val="Compact"/>
            </w:pPr>
            <w:r>
              <w:rPr>
                <w:sz w:val="20"/>
                <w:szCs w:val="20"/>
              </w:rPr>
              <w:t xml:space="preserve">97.3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Secure World Foundation Global Counterspace 2024; Russian MoD [illustrative]</w:t>
            </w:r>
          </w:p>
        </w:tc>
      </w:tr>
      <w:tr>
        <w:tc>
          <w:tcPr>
            <w:tcW w:w="0" w:type="auto"/>
          </w:tcPr>
          <w:p>
            <w:pPr>
              <w:spacing w:line="240" w:lineRule="auto" w:before="0" w:after="0"/>
              <w:pStyle w:val="Compact"/>
            </w:pPr>
            <w:r>
              <w:rPr>
                <w:sz w:val="20"/>
                <w:szCs w:val="20"/>
              </w:rPr>
              <w:t xml:space="preserve">USA-318</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97.4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1.48</w:t>
            </w:r>
          </w:p>
        </w:tc>
        <w:tc>
          <w:tcPr>
            <w:tcW w:w="0" w:type="auto"/>
          </w:tcPr>
          <w:p>
            <w:pPr>
              <w:spacing w:line="240" w:lineRule="auto" w:before="0" w:after="0"/>
              <w:pStyle w:val="Compact"/>
            </w:pPr>
            <w:r>
              <w:rPr>
                <w:sz w:val="20"/>
                <w:szCs w:val="20"/>
              </w:rPr>
              <w:t xml:space="preserve">USSF USA-318; CelesTrak NORAD 53466 [illustrative]</w:t>
            </w:r>
          </w:p>
        </w:tc>
      </w:tr>
      <w:tr>
        <w:tc>
          <w:tcPr>
            <w:tcW w:w="0" w:type="auto"/>
          </w:tcPr>
          <w:p>
            <w:pPr>
              <w:spacing w:line="240" w:lineRule="auto" w:before="0" w:after="0"/>
              <w:pStyle w:val="Compact"/>
            </w:pPr>
            <w:r>
              <w:rPr>
                <w:sz w:val="20"/>
                <w:szCs w:val="20"/>
              </w:rPr>
              <w:t xml:space="preserve">PLANETSCOPE-1456</w:t>
            </w:r>
          </w:p>
        </w:tc>
        <w:tc>
          <w:tcPr>
            <w:tcW w:w="0" w:type="auto"/>
          </w:tcPr>
          <w:p>
            <w:pPr>
              <w:spacing w:line="240" w:lineRule="auto" w:before="0" w:after="0"/>
              <w:pStyle w:val="Compact"/>
            </w:pPr>
            <w:r>
              <w:rPr>
                <w:sz w:val="20"/>
                <w:szCs w:val="20"/>
              </w:rPr>
              <w:t xml:space="preserve">475</w:t>
            </w:r>
          </w:p>
        </w:tc>
        <w:tc>
          <w:tcPr>
            <w:tcW w:w="0" w:type="auto"/>
          </w:tcPr>
          <w:p>
            <w:pPr>
              <w:spacing w:line="240" w:lineRule="auto" w:before="0" w:after="0"/>
              <w:pStyle w:val="Compact"/>
            </w:pPr>
            <w:r>
              <w:rPr>
                <w:sz w:val="20"/>
                <w:szCs w:val="20"/>
              </w:rPr>
              <w:t xml:space="preserve">51.6</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Planet Labs FCC SAT-LOA-20151123-00086 [illustrative]</w:t>
            </w:r>
          </w:p>
        </w:tc>
      </w:tr>
      <w:tr>
        <w:tc>
          <w:tcPr>
            <w:tcW w:w="0" w:type="auto"/>
          </w:tcPr>
          <w:p>
            <w:pPr>
              <w:spacing w:line="240" w:lineRule="auto" w:before="0" w:after="0"/>
              <w:pStyle w:val="Compact"/>
            </w:pPr>
            <w:r>
              <w:rPr>
                <w:sz w:val="20"/>
                <w:szCs w:val="20"/>
              </w:rPr>
              <w:t xml:space="preserve">PLANETSCOPE-1488</w:t>
            </w:r>
          </w:p>
        </w:tc>
        <w:tc>
          <w:tcPr>
            <w:tcW w:w="0" w:type="auto"/>
          </w:tcPr>
          <w:p>
            <w:pPr>
              <w:spacing w:line="240" w:lineRule="auto" w:before="0" w:after="0"/>
              <w:pStyle w:val="Compact"/>
            </w:pPr>
            <w:r>
              <w:rPr>
                <w:sz w:val="20"/>
                <w:szCs w:val="20"/>
              </w:rPr>
              <w:t xml:space="preserve">475</w:t>
            </w:r>
          </w:p>
        </w:tc>
        <w:tc>
          <w:tcPr>
            <w:tcW w:w="0" w:type="auto"/>
          </w:tcPr>
          <w:p>
            <w:pPr>
              <w:spacing w:line="240" w:lineRule="auto" w:before="0" w:after="0"/>
              <w:pStyle w:val="Compact"/>
            </w:pPr>
            <w:r>
              <w:rPr>
                <w:sz w:val="20"/>
                <w:szCs w:val="20"/>
              </w:rPr>
              <w:t xml:space="preserve">51.6</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2180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Planet Labs FCC SAT-LOA-20151123-00086 [illustrative]</w:t>
            </w:r>
          </w:p>
        </w:tc>
      </w:tr>
      <w:tr>
        <w:tc>
          <w:tcPr>
            <w:tcW w:w="0" w:type="auto"/>
          </w:tcPr>
          <w:p>
            <w:pPr>
              <w:spacing w:line="240" w:lineRule="auto" w:before="0" w:after="0"/>
              <w:pStyle w:val="Compact"/>
            </w:pPr>
            <w:r>
              <w:rPr>
                <w:sz w:val="20"/>
                <w:szCs w:val="20"/>
              </w:rPr>
              <w:t xml:space="preserve">SPIRE-LEMUR-2-094</w:t>
            </w:r>
          </w:p>
        </w:tc>
        <w:tc>
          <w:tcPr>
            <w:tcW w:w="0" w:type="auto"/>
          </w:tcPr>
          <w:p>
            <w:pPr>
              <w:spacing w:line="240" w:lineRule="auto" w:before="0" w:after="0"/>
              <w:pStyle w:val="Compact"/>
            </w:pPr>
            <w:r>
              <w:rPr>
                <w:sz w:val="20"/>
                <w:szCs w:val="20"/>
              </w:rPr>
              <w:t xml:space="preserve">510</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1840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Spire FCC SAT-LOA-20151123-00087 [illustrative]</w:t>
            </w:r>
          </w:p>
        </w:tc>
      </w:tr>
      <w:tr>
        <w:tc>
          <w:tcPr>
            <w:tcW w:w="0" w:type="auto"/>
          </w:tcPr>
          <w:p>
            <w:pPr>
              <w:spacing w:line="240" w:lineRule="auto" w:before="0" w:after="0"/>
              <w:pStyle w:val="Compact"/>
            </w:pPr>
            <w:r>
              <w:rPr>
                <w:sz w:val="20"/>
                <w:szCs w:val="20"/>
              </w:rPr>
              <w:t xml:space="preserve">ICEYE-X11</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97.5</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ICEYE FCC SAT-LOI-20200109-00003 [illustrative]</w:t>
            </w:r>
          </w:p>
        </w:tc>
      </w:tr>
      <w:tr>
        <w:tc>
          <w:tcPr>
            <w:tcW w:w="0" w:type="auto"/>
          </w:tcPr>
          <w:p>
            <w:pPr>
              <w:spacing w:line="240" w:lineRule="auto" w:before="0" w:after="0"/>
              <w:pStyle w:val="Compact"/>
            </w:pPr>
            <w:r>
              <w:rPr>
                <w:sz w:val="20"/>
                <w:szCs w:val="20"/>
              </w:rPr>
              <w:t xml:space="preserve">CAPELLA-9</w:t>
            </w:r>
          </w:p>
        </w:tc>
        <w:tc>
          <w:tcPr>
            <w:tcW w:w="0" w:type="auto"/>
          </w:tcPr>
          <w:p>
            <w:pPr>
              <w:spacing w:line="240" w:lineRule="auto" w:before="0" w:after="0"/>
              <w:pStyle w:val="Compact"/>
            </w:pPr>
            <w:r>
              <w:rPr>
                <w:sz w:val="20"/>
                <w:szCs w:val="20"/>
              </w:rPr>
              <w:t xml:space="preserve">525</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0.51</w:t>
            </w:r>
          </w:p>
        </w:tc>
        <w:tc>
          <w:tcPr>
            <w:tcW w:w="0" w:type="auto"/>
          </w:tcPr>
          <w:p>
            <w:pPr>
              <w:spacing w:line="240" w:lineRule="auto" w:before="0" w:after="0"/>
              <w:pStyle w:val="Compact"/>
            </w:pPr>
            <w:r>
              <w:rPr>
                <w:sz w:val="20"/>
                <w:szCs w:val="20"/>
              </w:rPr>
              <w:t xml:space="preserve">Capella Space FCC SAT-LOA-20180910-00071 [illustrative]</w:t>
            </w:r>
          </w:p>
        </w:tc>
      </w:tr>
      <w:tr>
        <w:tc>
          <w:tcPr>
            <w:tcW w:w="0" w:type="auto"/>
          </w:tcPr>
          <w:p>
            <w:pPr>
              <w:spacing w:line="240" w:lineRule="auto" w:before="0" w:after="0"/>
              <w:pStyle w:val="Compact"/>
            </w:pPr>
            <w:r>
              <w:rPr>
                <w:sz w:val="20"/>
                <w:szCs w:val="20"/>
              </w:rPr>
              <w:t xml:space="preserve">DELTA-IV-DEB-2018-079B</w:t>
            </w:r>
          </w:p>
        </w:tc>
        <w:tc>
          <w:tcPr>
            <w:tcW w:w="0" w:type="auto"/>
          </w:tcPr>
          <w:p>
            <w:pPr>
              <w:spacing w:line="240" w:lineRule="auto" w:before="0" w:after="0"/>
              <w:pStyle w:val="Compact"/>
            </w:pPr>
            <w:r>
              <w:rPr>
                <w:sz w:val="20"/>
                <w:szCs w:val="20"/>
              </w:rPr>
              <w:t xml:space="preserve">820</w:t>
            </w:r>
          </w:p>
        </w:tc>
        <w:tc>
          <w:tcPr>
            <w:tcW w:w="0" w:type="auto"/>
          </w:tcPr>
          <w:p>
            <w:pPr>
              <w:spacing w:line="240" w:lineRule="auto" w:before="0" w:after="0"/>
              <w:pStyle w:val="Compact"/>
            </w:pPr>
            <w:r>
              <w:rPr>
                <w:sz w:val="20"/>
                <w:szCs w:val="20"/>
              </w:rPr>
              <w:t xml:space="preserve">84.1</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2480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NASA ODPO ODQN; CelesTrak debris analysis [illustrative]</w:t>
            </w:r>
          </w:p>
        </w:tc>
      </w:tr>
      <w:tr>
        <w:tc>
          <w:tcPr>
            <w:tcW w:w="0" w:type="auto"/>
          </w:tcPr>
          <w:p>
            <w:pPr>
              <w:spacing w:line="240" w:lineRule="auto" w:before="0" w:after="0"/>
              <w:pStyle w:val="Compact"/>
            </w:pPr>
            <w:r>
              <w:rPr>
                <w:sz w:val="20"/>
                <w:szCs w:val="20"/>
              </w:rPr>
              <w:t xml:space="preserve">CZ-6A-DEB-2022-151C</w:t>
            </w:r>
          </w:p>
        </w:tc>
        <w:tc>
          <w:tcPr>
            <w:tcW w:w="0" w:type="auto"/>
          </w:tcPr>
          <w:p>
            <w:pPr>
              <w:spacing w:line="240" w:lineRule="auto" w:before="0" w:after="0"/>
              <w:pStyle w:val="Compact"/>
            </w:pPr>
            <w:r>
              <w:rPr>
                <w:sz w:val="20"/>
                <w:szCs w:val="20"/>
              </w:rPr>
              <w:t xml:space="preserve">840</w:t>
            </w:r>
          </w:p>
        </w:tc>
        <w:tc>
          <w:tcPr>
            <w:tcW w:w="0" w:type="auto"/>
          </w:tcPr>
          <w:p>
            <w:pPr>
              <w:spacing w:line="240" w:lineRule="auto" w:before="0" w:after="0"/>
              <w:pStyle w:val="Compact"/>
            </w:pPr>
            <w:r>
              <w:rPr>
                <w:sz w:val="20"/>
                <w:szCs w:val="20"/>
              </w:rPr>
              <w:t xml:space="preserve">98.9</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1280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1.62</w:t>
            </w:r>
          </w:p>
        </w:tc>
        <w:tc>
          <w:tcPr>
            <w:tcW w:w="0" w:type="auto"/>
          </w:tcPr>
          <w:p>
            <w:pPr>
              <w:spacing w:line="240" w:lineRule="auto" w:before="0" w:after="0"/>
              <w:pStyle w:val="Compact"/>
            </w:pPr>
            <w:r>
              <w:rPr>
                <w:sz w:val="20"/>
                <w:szCs w:val="20"/>
              </w:rPr>
              <w:t xml:space="preserve">NASA ODPO ODQN v27-1 (2023) Long March 6A debris event [illustrative]</w:t>
            </w:r>
          </w:p>
        </w:tc>
      </w:tr>
      <w:tr>
        <w:tc>
          <w:tcPr>
            <w:tcW w:w="0" w:type="auto"/>
          </w:tcPr>
          <w:p>
            <w:pPr>
              <w:spacing w:line="240" w:lineRule="auto" w:before="0" w:after="0"/>
              <w:pStyle w:val="Compact"/>
            </w:pPr>
            <w:r>
              <w:rPr>
                <w:sz w:val="20"/>
                <w:szCs w:val="20"/>
              </w:rPr>
              <w:t xml:space="preserve">COSMOS-2535-2542-DEB</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97.7</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1980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Anz-Meador NASA Orbital Debris Quarterly News [illustrative]</w:t>
            </w:r>
          </w:p>
        </w:tc>
      </w:tr>
      <w:tr>
        <w:tc>
          <w:tcPr>
            <w:tcW w:w="0" w:type="auto"/>
          </w:tcPr>
          <w:p>
            <w:pPr>
              <w:spacing w:line="240" w:lineRule="auto" w:before="0" w:after="0"/>
              <w:pStyle w:val="Compact"/>
            </w:pPr>
            <w:r>
              <w:rPr>
                <w:sz w:val="20"/>
                <w:szCs w:val="20"/>
              </w:rPr>
              <w:t xml:space="preserve">INTELSAT-901-MEV1</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Northrop Grumman MEV-1; FCC SAT-LOA-20171109-00148 [illustrative]</w:t>
            </w:r>
          </w:p>
        </w:tc>
      </w:tr>
      <w:tr>
        <w:tc>
          <w:tcPr>
            <w:tcW w:w="0" w:type="auto"/>
          </w:tcPr>
          <w:p>
            <w:pPr>
              <w:spacing w:line="240" w:lineRule="auto" w:before="0" w:after="0"/>
              <w:pStyle w:val="Compact"/>
            </w:pPr>
            <w:r>
              <w:rPr>
                <w:sz w:val="20"/>
                <w:szCs w:val="20"/>
              </w:rPr>
              <w:t xml:space="preserve">SES-12</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2860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SES Networks SES-12 press kit [illustrative]</w:t>
            </w:r>
          </w:p>
        </w:tc>
      </w:tr>
      <w:tr>
        <w:tc>
          <w:tcPr>
            <w:tcW w:w="0" w:type="auto"/>
          </w:tcPr>
          <w:p>
            <w:pPr>
              <w:spacing w:line="240" w:lineRule="auto" w:before="0" w:after="0"/>
              <w:pStyle w:val="Compact"/>
            </w:pPr>
            <w:r>
              <w:rPr>
                <w:sz w:val="20"/>
                <w:szCs w:val="20"/>
              </w:rPr>
              <w:t xml:space="preserve">TURKSAT-5A</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1.21</w:t>
            </w:r>
          </w:p>
        </w:tc>
        <w:tc>
          <w:tcPr>
            <w:tcW w:w="0" w:type="auto"/>
          </w:tcPr>
          <w:p>
            <w:pPr>
              <w:spacing w:line="240" w:lineRule="auto" w:before="0" w:after="0"/>
              <w:pStyle w:val="Compact"/>
            </w:pPr>
            <w:r>
              <w:rPr>
                <w:sz w:val="20"/>
                <w:szCs w:val="20"/>
              </w:rPr>
              <w:t xml:space="preserve">Turksat 5A SpaceX launch kit January 2021 [illustrative]</w:t>
            </w:r>
          </w:p>
        </w:tc>
      </w:tr>
      <w:tr>
        <w:tc>
          <w:tcPr>
            <w:tcW w:w="0" w:type="auto"/>
          </w:tcPr>
          <w:p>
            <w:pPr>
              <w:spacing w:line="240" w:lineRule="auto" w:before="0" w:after="0"/>
              <w:pStyle w:val="Compact"/>
            </w:pPr>
            <w:r>
              <w:rPr>
                <w:sz w:val="20"/>
                <w:szCs w:val="20"/>
              </w:rPr>
              <w:t xml:space="preserve">KOSMOS-2576</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97.3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760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Secure World Foundation Global Counterspace Capabilities 2024 [illustrative]</w:t>
            </w:r>
          </w:p>
        </w:tc>
      </w:tr>
      <w:tr>
        <w:tc>
          <w:tcPr>
            <w:tcW w:w="0" w:type="auto"/>
          </w:tcPr>
          <w:p>
            <w:pPr>
              <w:spacing w:line="240" w:lineRule="auto" w:before="0" w:after="0"/>
              <w:pStyle w:val="Compact"/>
            </w:pPr>
            <w:r>
              <w:rPr>
                <w:sz w:val="20"/>
                <w:szCs w:val="20"/>
              </w:rPr>
              <w:t xml:space="preserve">SAOCOM-1B</w:t>
            </w:r>
          </w:p>
        </w:tc>
        <w:tc>
          <w:tcPr>
            <w:tcW w:w="0" w:type="auto"/>
          </w:tcPr>
          <w:p>
            <w:pPr>
              <w:spacing w:line="240" w:lineRule="auto" w:before="0" w:after="0"/>
              <w:pStyle w:val="Compact"/>
            </w:pPr>
            <w:r>
              <w:rPr>
                <w:sz w:val="20"/>
                <w:szCs w:val="20"/>
              </w:rPr>
              <w:t xml:space="preserve">620</w:t>
            </w:r>
          </w:p>
        </w:tc>
        <w:tc>
          <w:tcPr>
            <w:tcW w:w="0" w:type="auto"/>
          </w:tcPr>
          <w:p>
            <w:pPr>
              <w:spacing w:line="240" w:lineRule="auto" w:before="0" w:after="0"/>
              <w:pStyle w:val="Compact"/>
            </w:pPr>
            <w:r>
              <w:rPr>
                <w:sz w:val="20"/>
                <w:szCs w:val="20"/>
              </w:rPr>
              <w:t xml:space="preserve">97.9</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CONAE SAOCOM-1B mission docs; SpaceX press kit [illustrative]</w:t>
            </w:r>
          </w:p>
        </w:tc>
      </w:tr>
    </w:tbl>
    <w:bookmarkEnd w:id="212"/>
    <w:bookmarkStart w:id="213"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disagreement_km</w:t>
            </w:r>
          </w:p>
        </w:tc>
        <w:tc>
          <w:tcPr>
            <w:tcW w:w="0" w:type="auto"/>
          </w:tcPr>
          <w:p>
            <w:pPr>
              <w:spacing w:line="240" w:lineRule="auto" w:before="0" w:after="0"/>
              <w:pStyle w:val="Compact"/>
            </w:pPr>
            <w:r>
              <w:rPr>
                <w:sz w:val="20"/>
                <w:szCs w:val="20"/>
              </w:rPr>
              <w:t xml:space="preserve">Mean pairwise positional disagreement at epoch across catalogs (km)</w:t>
            </w:r>
          </w:p>
        </w:tc>
        <w:tc>
          <w:tcPr>
            <w:tcW w:w="0" w:type="auto"/>
          </w:tcPr>
          <w:p>
            <w:pPr>
              <w:spacing w:line="240" w:lineRule="auto" w:before="0" w:after="0"/>
              <w:pStyle w:val="Compact"/>
            </w:pPr>
            <w:r>
              <w:rPr>
                <w:sz w:val="20"/>
                <w:szCs w:val="20"/>
              </w:rPr>
              <w:t xml:space="preserve">Computed from 18 SDS public TLE vs commercial ephemerides (LeoLabs, COMSPOC, Slingshot, Kayhan) per Magnus et al. AMOS 2024</w:t>
            </w:r>
          </w:p>
        </w:tc>
      </w:tr>
      <w:tr>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Mean orbital altitude above Earth surface (km)</w:t>
            </w:r>
          </w:p>
        </w:tc>
        <w:tc>
          <w:tcPr>
            <w:tcW w:w="0" w:type="auto"/>
          </w:tcPr>
          <w:p>
            <w:pPr>
              <w:spacing w:line="240" w:lineRule="auto" w:before="0" w:after="0"/>
              <w:pStyle w:val="Compact"/>
            </w:pPr>
            <w:r>
              <w:rPr>
                <w:sz w:val="20"/>
                <w:szCs w:val="20"/>
              </w:rPr>
              <w:t xml:space="preserve">Operator filings (FCC) and CelesTrak SATCAT mean motion conversion</w:t>
            </w:r>
          </w:p>
        </w:tc>
      </w:tr>
      <w:tr>
        <w:tc>
          <w:tcPr>
            <w:tcW w:w="0" w:type="auto"/>
          </w:tcPr>
          <w:p>
            <w:pPr>
              <w:spacing w:line="240" w:lineRule="auto" w:before="0" w:after="0"/>
              <w:pStyle w:val="Compact"/>
            </w:pPr>
            <w:r>
              <w:rPr>
                <w:sz w:val="20"/>
                <w:szCs w:val="20"/>
              </w:rPr>
              <w:t xml:space="preserve">rcs_m2</w:t>
            </w:r>
          </w:p>
        </w:tc>
        <w:tc>
          <w:tcPr>
            <w:tcW w:w="0" w:type="auto"/>
          </w:tcPr>
          <w:p>
            <w:pPr>
              <w:spacing w:line="240" w:lineRule="auto" w:before="0" w:after="0"/>
              <w:pStyle w:val="Compact"/>
            </w:pPr>
            <w:r>
              <w:rPr>
                <w:sz w:val="20"/>
                <w:szCs w:val="20"/>
              </w:rPr>
              <w:t xml:space="preserve">Radar cross section (square meters)</w:t>
            </w:r>
          </w:p>
        </w:tc>
        <w:tc>
          <w:tcPr>
            <w:tcW w:w="0" w:type="auto"/>
          </w:tcPr>
          <w:p>
            <w:pPr>
              <w:spacing w:line="240" w:lineRule="auto" w:before="0" w:after="0"/>
              <w:pStyle w:val="Compact"/>
            </w:pPr>
            <w:r>
              <w:rPr>
                <w:sz w:val="20"/>
                <w:szCs w:val="20"/>
              </w:rPr>
              <w:t xml:space="preserve">18 SDS SATCAT RCS field; NASA ODPO size estimation for debris</w:t>
            </w:r>
          </w:p>
        </w:tc>
      </w:tr>
      <w:tr>
        <w:tc>
          <w:tcPr>
            <w:tcW w:w="0" w:type="auto"/>
          </w:tcPr>
          <w:p>
            <w:pPr>
              <w:spacing w:line="240" w:lineRule="auto" w:before="0" w:after="0"/>
              <w:pStyle w:val="Compact"/>
            </w:pPr>
            <w:r>
              <w:rPr>
                <w:sz w:val="20"/>
                <w:szCs w:val="20"/>
              </w:rPr>
              <w:t xml:space="preserve">maneuverable</w:t>
            </w:r>
          </w:p>
        </w:tc>
        <w:tc>
          <w:tcPr>
            <w:tcW w:w="0" w:type="auto"/>
          </w:tcPr>
          <w:p>
            <w:pPr>
              <w:spacing w:line="240" w:lineRule="auto" w:before="0" w:after="0"/>
              <w:pStyle w:val="Compact"/>
            </w:pPr>
            <w:r>
              <w:rPr>
                <w:sz w:val="20"/>
                <w:szCs w:val="20"/>
              </w:rPr>
              <w:t xml:space="preserve">Indicator: 1 if object is an active operational satellite, 0 otherwise</w:t>
            </w:r>
          </w:p>
        </w:tc>
        <w:tc>
          <w:tcPr>
            <w:tcW w:w="0" w:type="auto"/>
          </w:tcPr>
          <w:p>
            <w:pPr>
              <w:spacing w:line="240" w:lineRule="auto" w:before="0" w:after="0"/>
              <w:pStyle w:val="Compact"/>
            </w:pPr>
            <w:r>
              <w:rPr>
                <w:sz w:val="20"/>
                <w:szCs w:val="20"/>
              </w:rPr>
              <w:t xml:space="preserve">FCC and operator status records</w:t>
            </w:r>
          </w:p>
        </w:tc>
      </w:tr>
      <w:tr>
        <w:tc>
          <w:tcPr>
            <w:tcW w:w="0" w:type="auto"/>
          </w:tcPr>
          <w:p>
            <w:pPr>
              <w:spacing w:line="240" w:lineRule="auto" w:before="0" w:after="0"/>
              <w:pStyle w:val="Compact"/>
            </w:pPr>
            <w:r>
              <w:rPr>
                <w:sz w:val="20"/>
                <w:szCs w:val="20"/>
              </w:rPr>
              <w:t xml:space="preserve">operator_class</w:t>
            </w:r>
          </w:p>
        </w:tc>
        <w:tc>
          <w:tcPr>
            <w:tcW w:w="0" w:type="auto"/>
          </w:tcPr>
          <w:p>
            <w:pPr>
              <w:spacing w:line="240" w:lineRule="auto" w:before="0" w:after="0"/>
              <w:pStyle w:val="Compact"/>
            </w:pPr>
            <w:r>
              <w:rPr>
                <w:sz w:val="20"/>
                <w:szCs w:val="20"/>
              </w:rPr>
              <w:t xml:space="preserve">Class: 0 debris, 1 commercial, 2 civil-government, 3 military-government</w:t>
            </w:r>
          </w:p>
        </w:tc>
        <w:tc>
          <w:tcPr>
            <w:tcW w:w="0" w:type="auto"/>
          </w:tcPr>
          <w:p>
            <w:pPr>
              <w:spacing w:line="240" w:lineRule="auto" w:before="0" w:after="0"/>
              <w:pStyle w:val="Compact"/>
            </w:pPr>
            <w:r>
              <w:rPr>
                <w:sz w:val="20"/>
                <w:szCs w:val="20"/>
              </w:rPr>
              <w:t xml:space="preserve">FCC/operator/SWF classification</w:t>
            </w:r>
          </w:p>
        </w:tc>
      </w:tr>
      <w:tr>
        <w:tc>
          <w:tcPr>
            <w:tcW w:w="0" w:type="auto"/>
          </w:tcPr>
          <w:p>
            <w:pPr>
              <w:spacing w:line="240" w:lineRule="auto" w:before="0" w:after="0"/>
              <w:pStyle w:val="Compact"/>
            </w:pPr>
            <w:r>
              <w:rPr>
                <w:sz w:val="20"/>
                <w:szCs w:val="20"/>
              </w:rPr>
              <w:t xml:space="preserve">object_age_days</w:t>
            </w:r>
          </w:p>
        </w:tc>
        <w:tc>
          <w:tcPr>
            <w:tcW w:w="0" w:type="auto"/>
          </w:tcPr>
          <w:p>
            <w:pPr>
              <w:spacing w:line="240" w:lineRule="auto" w:before="0" w:after="0"/>
              <w:pStyle w:val="Compact"/>
            </w:pPr>
            <w:r>
              <w:rPr>
                <w:sz w:val="20"/>
                <w:szCs w:val="20"/>
              </w:rPr>
              <w:t xml:space="preserve">Days since launch</w:t>
            </w:r>
          </w:p>
        </w:tc>
        <w:tc>
          <w:tcPr>
            <w:tcW w:w="0" w:type="auto"/>
          </w:tcPr>
          <w:p>
            <w:pPr>
              <w:spacing w:line="240" w:lineRule="auto" w:before="0" w:after="0"/>
              <w:pStyle w:val="Compact"/>
            </w:pPr>
            <w:r>
              <w:rPr>
                <w:sz w:val="20"/>
                <w:szCs w:val="20"/>
              </w:rPr>
              <w:t xml:space="preserve">CelesTrak SATCAT launch date</w:t>
            </w:r>
          </w:p>
        </w:tc>
      </w:tr>
      <w:tr>
        <w:tc>
          <w:tcPr>
            <w:tcW w:w="0" w:type="auto"/>
          </w:tcPr>
          <w:p>
            <w:pPr>
              <w:spacing w:line="240" w:lineRule="auto" w:before="0" w:after="0"/>
              <w:pStyle w:val="Compact"/>
            </w:pPr>
            <w:r>
              <w:rPr>
                <w:sz w:val="20"/>
                <w:szCs w:val="20"/>
              </w:rPr>
              <w:t xml:space="preserve">n_sources</w:t>
            </w:r>
          </w:p>
        </w:tc>
        <w:tc>
          <w:tcPr>
            <w:tcW w:w="0" w:type="auto"/>
          </w:tcPr>
          <w:p>
            <w:pPr>
              <w:spacing w:line="240" w:lineRule="auto" w:before="0" w:after="0"/>
              <w:pStyle w:val="Compact"/>
            </w:pPr>
            <w:r>
              <w:rPr>
                <w:sz w:val="20"/>
                <w:szCs w:val="20"/>
              </w:rPr>
              <w:t xml:space="preserve">Count of independent catalogs reporting state for the object</w:t>
            </w:r>
          </w:p>
        </w:tc>
        <w:tc>
          <w:tcPr>
            <w:tcW w:w="0" w:type="auto"/>
          </w:tcPr>
          <w:p>
            <w:pPr>
              <w:spacing w:line="240" w:lineRule="auto" w:before="0" w:after="0"/>
              <w:pStyle w:val="Compact"/>
            </w:pPr>
            <w:r>
              <w:rPr>
                <w:sz w:val="20"/>
                <w:szCs w:val="20"/>
              </w:rPr>
              <w:t xml:space="preserve">Magnus et al. AMOS 2024 Pathfinder participant set</w:t>
            </w:r>
          </w:p>
        </w:tc>
      </w:tr>
    </w:tbl>
    <w:bookmarkEnd w:id="213"/>
    <w:bookmarkEnd w:id="214"/>
    <w:bookmarkEnd w:id="21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00" Type="http://schemas.openxmlformats.org/officeDocument/2006/relationships/image" Target="media/rId200.png"/><Relationship Id="rId208" Type="http://schemas.openxmlformats.org/officeDocument/2006/relationships/image" Target="media/rId208.png"/><Relationship Id="rId192" Type="http://schemas.openxmlformats.org/officeDocument/2006/relationships/hyperlink" Target="https://doi.org/10.1016/j.actaastro.2017.10.003" TargetMode="External"/><Relationship Id="rId159" Type="http://schemas.openxmlformats.org/officeDocument/2006/relationships/hyperlink" Target="https://doi.org/10.1016/j.actaastro.2019.05.014" TargetMode="External"/><Relationship Id="rId194" Type="http://schemas.openxmlformats.org/officeDocument/2006/relationships/hyperlink" Target="https://doi.org/10.1016/j.actaastro.2021.06.023" TargetMode="External"/><Relationship Id="rId155" Type="http://schemas.openxmlformats.org/officeDocument/2006/relationships/hyperlink" Target="https://doi.org/10.1016/j.actaastro.2023.12.016" TargetMode="External"/><Relationship Id="rId157" Type="http://schemas.openxmlformats.org/officeDocument/2006/relationships/hyperlink" Target="https://doi.org/10.1016/j.actaastro.2024.06.015" TargetMode="External"/><Relationship Id="rId190" Type="http://schemas.openxmlformats.org/officeDocument/2006/relationships/hyperlink" Target="https://doi.org/10.1016/j.actaastro.2025.05.049" TargetMode="External"/><Relationship Id="rId184" Type="http://schemas.openxmlformats.org/officeDocument/2006/relationships/hyperlink" Target="https://doi.org/10.1016/j.actaastro.2025.08.024" TargetMode="External"/><Relationship Id="rId188" Type="http://schemas.openxmlformats.org/officeDocument/2006/relationships/hyperlink" Target="https://doi.org/10.1016/j.actaastro.2025.12.053" TargetMode="External"/><Relationship Id="rId196" Type="http://schemas.openxmlformats.org/officeDocument/2006/relationships/hyperlink" Target="https://doi.org/10.1016/j.actaastro.2025.12.055" TargetMode="External"/><Relationship Id="rId182" Type="http://schemas.openxmlformats.org/officeDocument/2006/relationships/hyperlink" Target="https://doi.org/10.1016/j.actaastro.2026.05.058" TargetMode="External"/><Relationship Id="rId186" Type="http://schemas.openxmlformats.org/officeDocument/2006/relationships/hyperlink" Target="https://doi.org/10.1016/j.actaastro.2026.05.064" TargetMode="External"/><Relationship Id="rId141" Type="http://schemas.openxmlformats.org/officeDocument/2006/relationships/hyperlink" Target="https://doi.org/10.64861/BAJJ5826" TargetMode="External"/><Relationship Id="rId173" Type="http://schemas.openxmlformats.org/officeDocument/2006/relationships/hyperlink" Target="https://doi.org/10.64861/MVHC2799" TargetMode="External"/><Relationship Id="rId164" Type="http://schemas.openxmlformats.org/officeDocument/2006/relationships/hyperlink" Target="https://doi.org/10.64861/PAEO6437" TargetMode="External"/><Relationship Id="rId177" Type="http://schemas.openxmlformats.org/officeDocument/2006/relationships/hyperlink" Target="https://doi.org/10.64861/QYAX9070" TargetMode="External"/><Relationship Id="rId170" Type="http://schemas.openxmlformats.org/officeDocument/2006/relationships/hyperlink" Target="https://doi.org/10.64861/TUTU2866" TargetMode="External"/><Relationship Id="rId179" Type="http://schemas.openxmlformats.org/officeDocument/2006/relationships/hyperlink" Target="https://doi.org/10.64861/VEWW9997" TargetMode="External"/><Relationship Id="rId139" Type="http://schemas.openxmlformats.org/officeDocument/2006/relationships/hyperlink" Target="https://doi.org/10.64861/XWVP8211" TargetMode="External"/></Relationships>
</file>

<file path=word/_rels/footnotes.xml.rels><?xml version='1.0' encoding='UTF-8' standalone='yes'?>
<Relationships xmlns="http://schemas.openxmlformats.org/package/2006/relationships"><Relationship Id="rId192" Type="http://schemas.openxmlformats.org/officeDocument/2006/relationships/hyperlink" Target="https://doi.org/10.1016/j.actaastro.2017.10.003" TargetMode="External"/><Relationship Id="rId159" Type="http://schemas.openxmlformats.org/officeDocument/2006/relationships/hyperlink" Target="https://doi.org/10.1016/j.actaastro.2019.05.014" TargetMode="External"/><Relationship Id="rId194" Type="http://schemas.openxmlformats.org/officeDocument/2006/relationships/hyperlink" Target="https://doi.org/10.1016/j.actaastro.2021.06.023" TargetMode="External"/><Relationship Id="rId155" Type="http://schemas.openxmlformats.org/officeDocument/2006/relationships/hyperlink" Target="https://doi.org/10.1016/j.actaastro.2023.12.016" TargetMode="External"/><Relationship Id="rId157" Type="http://schemas.openxmlformats.org/officeDocument/2006/relationships/hyperlink" Target="https://doi.org/10.1016/j.actaastro.2024.06.015" TargetMode="External"/><Relationship Id="rId190" Type="http://schemas.openxmlformats.org/officeDocument/2006/relationships/hyperlink" Target="https://doi.org/10.1016/j.actaastro.2025.05.049" TargetMode="External"/><Relationship Id="rId184" Type="http://schemas.openxmlformats.org/officeDocument/2006/relationships/hyperlink" Target="https://doi.org/10.1016/j.actaastro.2025.08.024" TargetMode="External"/><Relationship Id="rId188" Type="http://schemas.openxmlformats.org/officeDocument/2006/relationships/hyperlink" Target="https://doi.org/10.1016/j.actaastro.2025.12.053" TargetMode="External"/><Relationship Id="rId196" Type="http://schemas.openxmlformats.org/officeDocument/2006/relationships/hyperlink" Target="https://doi.org/10.1016/j.actaastro.2025.12.055" TargetMode="External"/><Relationship Id="rId182" Type="http://schemas.openxmlformats.org/officeDocument/2006/relationships/hyperlink" Target="https://doi.org/10.1016/j.actaastro.2026.05.058" TargetMode="External"/><Relationship Id="rId186" Type="http://schemas.openxmlformats.org/officeDocument/2006/relationships/hyperlink" Target="https://doi.org/10.1016/j.actaastro.2026.05.064" TargetMode="External"/><Relationship Id="rId141" Type="http://schemas.openxmlformats.org/officeDocument/2006/relationships/hyperlink" Target="https://doi.org/10.64861/BAJJ5826" TargetMode="External"/><Relationship Id="rId173" Type="http://schemas.openxmlformats.org/officeDocument/2006/relationships/hyperlink" Target="https://doi.org/10.64861/MVHC2799" TargetMode="External"/><Relationship Id="rId164" Type="http://schemas.openxmlformats.org/officeDocument/2006/relationships/hyperlink" Target="https://doi.org/10.64861/PAEO6437" TargetMode="External"/><Relationship Id="rId177" Type="http://schemas.openxmlformats.org/officeDocument/2006/relationships/hyperlink" Target="https://doi.org/10.64861/QYAX9070" TargetMode="External"/><Relationship Id="rId170" Type="http://schemas.openxmlformats.org/officeDocument/2006/relationships/hyperlink" Target="https://doi.org/10.64861/TUTU2866" TargetMode="External"/><Relationship Id="rId179" Type="http://schemas.openxmlformats.org/officeDocument/2006/relationships/hyperlink" Target="https://doi.org/10.64861/VEWW9997" TargetMode="External"/><Relationship Id="rId139" Type="http://schemas.openxmlformats.org/officeDocument/2006/relationships/hyperlink" Target="https://doi.org/10.64861/XWVP82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Catalog Discrepancy as a Trust Signal: Cross-Source Disagreement Between the Public Catalog and Commercial Providers</dc:title>
  <dc:creator>Priya Wren (1B-SDA-090)</dc:creator>
  <cp:keywords/>
  <dcterms:created xsi:type="dcterms:W3CDTF">2026-07-02T17:43:48Z</dcterms:created>
  <dcterms:modified xsi:type="dcterms:W3CDTF">2026-07-02T17:43:48Z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