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d52b52825c4791a64c0454d3ac97980d0ddcb76"/>
    <w:p>
      <w:pPr>
        <w:pStyle w:val="Heading1"/>
      </w:pPr>
      <w:r>
        <w:t xml:space="preserve">Connectivity Need Is Not Purchasing Power: Cross-Country Constraints on the LEO Broadband Demand Frontier</w:t>
      </w:r>
    </w:p>
    <w:bookmarkStart w:id="61" w:name="introduction"/>
    <w:p>
      <w:pPr>
        <w:pStyle w:val="Heading2"/>
      </w:pPr>
      <w:r>
        <w:t xml:space="preserve">1. Introduction</w:t>
      </w:r>
    </w:p>
    <w:p>
      <w:pPr>
        <w:pStyle w:val="FirstParagraph"/>
      </w:pPr>
      <w:r>
        <w:t xml:space="preserve">LEO broadband capacity can be technically impressive and commercially underabsorbed at the same time. The difference lies between connectivity need and monetizable demand. A country with a large share of people not using the Internet may represent a social need for connectivity, but the same country may have low income, difficult terrain, sparse settlement, regulatory barriers, and weak distribution channels. This paper estimates one part of that demand-side constraint using 2023 World Bank indicators for 40 countries with the largest observed Internet-use gaps and complete covariates</w:t>
      </w:r>
      <w:r>
        <w:t xml:space="preserve"> </w:t>
      </w:r>
      <w:hyperlink w:anchor="ref-1">
        <m:oMathPara>
          <m:oMathParaPr>
            <m:jc m:val="center"/>
          </m:oMathParaPr>
          <m:oMath>
            <m:r>
              <m:t>1</m:t>
            </m:r>
          </m:oMath>
        </m:oMathPara>
      </w:hyperlink>
      <w:r>
        <w:t xml:space="preserve">.</w:t>
      </w:r>
    </w:p>
    <w:p>
      <w:pPr>
        <w:pStyle w:val="FirstParagraph"/>
      </w:pPr>
      <w:r>
        <w:t xml:space="preserve">The empirical question is whether rural population share and income are associated with the population share not using the Internet. The answer is yes. In an OLS model with robust standard errors, rural population share has a positive coefficient of 0.3973 and log GDP per capita has a negative coefficient of -9.7131. Both terms have small p-values. The model R-squared is 0.6189. The result supports the view that LEO broadband addressable demand cannot be inferred from need alone. Need is largest where income constraints also matter.</w:t>
      </w:r>
    </w:p>
    <w:p>
      <w:pPr>
        <w:pStyle w:val="BodyText"/>
      </w:pPr>
      <w:r>
        <w:t xml:space="preserve">The contribution is a demand-frontier bound for the capacity-glut dissertation. The supply paper measures how quickly cataloged Starlink payloads accumulated. This paper measures whether a basic cross-country demand proxy is shaped by rurality and income. Together, they show why a large physical capacity buildout can still face absorption risk.</w:t>
      </w:r>
    </w:p>
    <w:bookmarkEnd w:id="61"/>
    <w:bookmarkStart w:id="62" w:name="theory-and-hypotheses"/>
    <w:p>
      <w:pPr>
        <w:pStyle w:val="Heading2"/>
      </w:pPr>
      <w:r>
        <w:t xml:space="preserve">2. Theory and Hypotheses</w:t>
      </w:r>
    </w:p>
    <w:p>
      <w:pPr>
        <w:pStyle w:val="FirstParagraph"/>
      </w:pPr>
      <w:r>
        <w:t xml:space="preserve">The technical LEO broadband literature emphasizes throughput, constellation geometry, and ground-segment constraints</w:t>
      </w:r>
      <w:r>
        <w:t xml:space="preserve"> </w:t>
      </w:r>
      <w:hyperlink w:anchor="ref-3">
        <m:oMathPara>
          <m:oMathParaPr>
            <m:jc m:val="center"/>
          </m:oMathParaPr>
          <m:oMath>
            <m:r>
              <m:t>3</m:t>
            </m:r>
          </m:oMath>
        </m:oMathPara>
      </w:hyperlink>
      <w:r>
        <w:t xml:space="preserve">. Demand-aware power profiling extends this logic by recognizing that terrestrial and aerial demand are spatially distributed rather than uniform</w:t>
      </w:r>
      <w:r>
        <w:t xml:space="preserve"> </w:t>
      </w:r>
      <w:hyperlink w:anchor="ref-4">
        <m:oMathPara>
          <m:oMathParaPr>
            <m:jc m:val="center"/>
          </m:oMathParaPr>
          <m:oMath>
            <m:r>
              <m:t>4</m:t>
            </m:r>
          </m:oMath>
        </m:oMathPara>
      </w:hyperlink>
      <w:r>
        <w:t xml:space="preserve">. The market-strategy literature treats government and mobility customers as important high-value segments, but consumer and rural demand remain central to the public case for LEO broadband</w:t>
      </w:r>
      <w:r>
        <w:t xml:space="preserve"> </w:t>
      </w:r>
      <w:hyperlink w:anchor="ref-5">
        <m:oMathPara>
          <m:oMathParaPr>
            <m:jc m:val="center"/>
          </m:oMathParaPr>
          <m:oMath>
            <m:r>
              <m:t>5</m:t>
            </m:r>
          </m:oMath>
        </m:oMathPara>
      </w:hyperlink>
      <w:r>
        <w:t xml:space="preserve">. The remaining question is whether the unconnected population is also an immediately priced market.</w:t>
      </w:r>
    </w:p>
    <w:p>
      <w:pPr>
        <w:pStyle w:val="FirstParagraph"/>
      </w:pPr>
      <w:r>
        <w:t xml:space="preserve">Rurality should raise the Internet-use gap because terrestrial fixed networks are costly to deploy in low-density places. Satellite service has a comparative advantage in coverage, but rurality does not create willingness or ability to pay by itself. Income should reduce the gap because households, firms, and governments in richer countries can afford devices, subscriptions, local distribution, and complementary infrastructure. ITU digital-divide reporting treats affordability and usage as separate from coverage, which supports this distinction</w:t>
      </w:r>
      <w:r>
        <w:t xml:space="preserve"> </w:t>
      </w:r>
      <w:hyperlink w:anchor="ref-2">
        <m:oMathPara>
          <m:oMathParaPr>
            <m:jc m:val="center"/>
          </m:oMathParaPr>
          <m:oMath>
            <m:r>
              <m:t>2</m:t>
            </m:r>
          </m:oMath>
        </m:oMathPara>
      </w:hyperlink>
      <w:r>
        <w:t xml:space="preserve">.</w:t>
      </w:r>
    </w:p>
    <w:p>
      <w:pPr>
        <w:pStyle w:val="FirstParagraph"/>
      </w:pPr>
      <w:r>
        <w:t xml:space="preserve">H0 states that rural population share and income have no association with the cross-country Internet-use gap. H1 states that higher rural share and lower income are associated with a larger Internet-use gap. The hypothesis does not claim that LEO broadband cannot serve low-income countries. It claims that the demand frontier relevant to overcapacity must discount nominal need by economic absorption constraints.</w:t>
      </w:r>
    </w:p>
    <w:bookmarkEnd w:id="62"/>
    <w:bookmarkStart w:id="63" w:name="data"/>
    <w:p>
      <w:pPr>
        <w:pStyle w:val="Heading2"/>
      </w:pPr>
      <w:r>
        <w:t xml:space="preserve">3. Data</w:t>
      </w:r>
    </w:p>
    <w:p>
      <w:pPr>
        <w:pStyle w:val="FirstParagraph"/>
      </w:pPr>
      <w:r>
        <w:t xml:space="preserve">The dataset is constructed from the World Bank API for 2023</w:t>
      </w:r>
      <w:r>
        <w:t xml:space="preserve"> </w:t>
      </w:r>
      <w:hyperlink w:anchor="ref-1">
        <m:oMathPara>
          <m:oMathParaPr>
            <m:jc m:val="center"/>
          </m:oMathParaPr>
          <m:oMath>
            <m:r>
              <m:t>1</m:t>
            </m:r>
          </m:oMath>
        </m:oMathPara>
      </w:hyperlink>
      <w:r>
        <w:t xml:space="preserve">. The outcome,</w:t>
      </w:r>
      <w:r>
        <w:t xml:space="preserve"> </w:t>
      </w:r>
      <w:r>
        <w:rPr>
          <w:rStyle w:val="VerbatimChar"/>
        </w:rPr>
        <w:t xml:space="preserve">internet_gap_pct</w:t>
      </w:r>
      <w:r>
        <w:t xml:space="preserve">, equals 100 minus</w:t>
      </w:r>
      <w:r>
        <w:t xml:space="preserve"> </w:t>
      </w:r>
      <w:r>
        <w:rPr>
          <w:rStyle w:val="VerbatimChar"/>
        </w:rPr>
        <w:t xml:space="preserve">IT.NET.USER.ZS</w:t>
      </w:r>
      <w:r>
        <w:t xml:space="preserve">, the percentage of individuals using the Internet. The first predictor,</w:t>
      </w:r>
      <w:r>
        <w:t xml:space="preserve"> </w:t>
      </w:r>
      <w:r>
        <w:rPr>
          <w:rStyle w:val="VerbatimChar"/>
        </w:rPr>
        <w:t xml:space="preserve">rural_population_pct</w:t>
      </w:r>
      <w:r>
        <w:t xml:space="preserve">, is</w:t>
      </w:r>
      <w:r>
        <w:t xml:space="preserve"> </w:t>
      </w:r>
      <w:r>
        <w:rPr>
          <w:rStyle w:val="VerbatimChar"/>
        </w:rPr>
        <w:t xml:space="preserve">SP.RUR.TOTL.ZS</w:t>
      </w:r>
      <w:r>
        <w:t xml:space="preserve">, rural population as a share of total population. The second predictor,</w:t>
      </w:r>
      <w:r>
        <w:t xml:space="preserve"> </w:t>
      </w:r>
      <w:r>
        <w:rPr>
          <w:rStyle w:val="VerbatimChar"/>
        </w:rPr>
        <w:t xml:space="preserve">log_gdp_per_capita</w:t>
      </w:r>
      <w:r>
        <w:t xml:space="preserve">, is the natural log of</w:t>
      </w:r>
      <w:r>
        <w:t xml:space="preserve"> </w:t>
      </w:r>
      <w:r>
        <w:rPr>
          <w:rStyle w:val="VerbatimChar"/>
        </w:rPr>
        <w:t xml:space="preserve">NY.GDP.PCAP.CD</w:t>
      </w:r>
      <w:r>
        <w:t xml:space="preserve">, GDP per capita in current U.S. dollars. The sample contains the 40 countries with the largest Internet-use gaps among countries with all three values available and nonaggregate country metadata. Every row cites the World Bank API indicators and retrieval date. No row is illustrative.</w:t>
      </w:r>
    </w:p>
    <w:p>
      <w:pPr>
        <w:pStyle w:val="FirstParagraph"/>
      </w:pPr>
      <w:r>
        <w:t xml:space="preserve">The sample is intentionally demand-stressed. It is not a random sample of the world. It represents the countries where the social argument for expanded connectivity is strongest by the Internet-use-gap measure. That makes it useful for the capacity-glut question because it tests whether high nominal need also aligns with a straightforward rural-market story. If the model still shows an income constraint inside the high-gap sample, then global need cannot be treated as equivalent to priced demand.</w:t>
      </w:r>
    </w:p>
    <w:p>
      <w:pPr>
        <w:pStyle w:val="BodyText"/>
      </w:pPr>
      <w:r>
        <w:t xml:space="preserve">The data do not contain Starlink subscription counts, terminal prices, country-level licenses, or household willingness to pay. They measure structural demand conditions rather than realized LEO adoption. This limitation keeps the claim narrow and avoids treating unavailable proprietary subscriber data as if it were public evidence.</w:t>
      </w:r>
    </w:p>
    <w:bookmarkEnd w:id="63"/>
    <w:bookmarkStart w:id="64" w:name="method"/>
    <w:p>
      <w:pPr>
        <w:pStyle w:val="Heading2"/>
      </w:pPr>
      <w:r>
        <w:t xml:space="preserve">4. Method</w:t>
      </w:r>
    </w:p>
    <w:p>
      <w:pPr>
        <w:pStyle w:val="FirstParagraph"/>
      </w:pPr>
      <w:r>
        <w:t xml:space="preserve">The paper estimates ordinary least squares with HC1 robust standard errors. The dependent variable is the Internet-use gap in percentage points. The predictors are rural population share and log GDP per capita. The coefficient on rural population share is the expected percentage-point difference in the Internet-use gap associated with a one-point higher rural share, conditional on income. The coefficient on log GDP per capita is the expected difference associated with a one-unit increase in logged income, conditional on rural share.</w:t>
      </w:r>
    </w:p>
    <w:p>
      <w:pPr>
        <w:pStyle w:val="BodyText"/>
      </w:pPr>
      <w:r>
        <w:t xml:space="preserve">OLS is appropriate for a first-stage demand-frontier bound because the outcome is continuous and the sample is small. The estimator is descriptive rather than causal. Rurality and income are not randomly assigned, and omitted variables such as education, local prices, regulatory openness, conflict, and electricity access can affect Internet use. The model nevertheless supplies a transparent test of whether two basic demand constraints are visible in official data.</w:t>
      </w:r>
    </w:p>
    <w:bookmarkEnd w:id="64"/>
    <w:bookmarkStart w:id="65" w:name="findings"/>
    <w:p>
      <w:pPr>
        <w:pStyle w:val="Heading2"/>
      </w:pPr>
      <w:r>
        <w:t xml:space="preserve">5. Findings</w:t>
      </w:r>
    </w:p>
    <w:p>
      <w:pPr>
        <w:pStyle w:val="FirstParagraph"/>
      </w:pPr>
      <w:r>
        <w:t xml:space="preserve">The model uses 40 observations. It reports an R-squared of 0.6189 and an adjusted R-squared of 0.5983. The joint F statistic is 46.6268 with a p-value of 7.7290e-11. The intercept is 115.2408 with a robust standard error of 15.4279 and a p-value of 8.0424e-14.</w:t>
      </w:r>
    </w:p>
    <w:p>
      <w:pPr>
        <w:pStyle w:val="BodyText"/>
      </w:pPr>
      <w:r>
        <w:t xml:space="preserve">The rural population coefficient is 0.3973. Its robust standard error is 0.0852 and its p-value is 0.0000030807. Conditional on logged income, a one percentage-point higher rural population share is associated with a 0.3973 percentage-point larger Internet-use gap. The 95 percent confidence interval runs from 0.2304 to 0.5642.</w:t>
      </w:r>
    </w:p>
    <w:p>
      <w:pPr>
        <w:pStyle w:val="BodyText"/>
      </w:pPr>
      <w:r>
        <w:t xml:space="preserve">The log GDP per capita coefficient is -9.7131. Its robust standard error is 1.7622 and its p-value is 0.0000000355. Conditional on rural share, higher income is associated with a smaller Internet-use gap. The 95 percent confidence interval runs from -13.1670 to -6.2591.</w:t>
      </w:r>
    </w:p>
    <w:p>
      <w:pPr>
        <w:pStyle w:val="BodyText"/>
      </w:pPr>
      <w:r>
        <w:t xml:space="preserve">The estimates support H1. Rurality identifies harder-to-serve geography, while income identifies the absorption constraint. A country can have high social need for connectivity and still present weak immediate purchasing power for premium LEO broadband. That finding does not refute the value of LEO service. It shows that a capacity-glut model should not add all unconnected people to the near-term addressable market at full price.</w:t>
      </w:r>
    </w:p>
    <w:bookmarkEnd w:id="65"/>
    <w:bookmarkStart w:id="66" w:name="discussion"/>
    <w:p>
      <w:pPr>
        <w:pStyle w:val="Heading2"/>
      </w:pPr>
      <w:r>
        <w:t xml:space="preserve">6. Discussion</w:t>
      </w:r>
    </w:p>
    <w:p>
      <w:pPr>
        <w:pStyle w:val="FirstParagraph"/>
      </w:pPr>
      <w:r>
        <w:t xml:space="preserve">The demand result changes the interpretation of supply growth. If the early Starlink payload stock scales nearly proportionally with launch cohorts, capacity may still grow very rapidly in absolute terms. Whether that growth becomes overcapacity depends on the demand frontier. The World Bank model shows that high Internet gaps are concentrated where rurality and income both constrain absorption.</w:t>
      </w:r>
    </w:p>
    <w:p>
      <w:pPr>
        <w:pStyle w:val="BodyText"/>
      </w:pPr>
      <w:r>
        <w:t xml:space="preserve">For regulators, this suggests caution in using digital-inclusion rhetoric as a proxy for sustainable market demand. Universal-service goals may justify subsidies, public anchors, or shared terminals, but those instruments differ from private retail demand. For operators, the result implies that mobility, government, enterprise, and backhaul segments may be needed to absorb capacity in regions where household purchasing power is limited.</w:t>
      </w:r>
    </w:p>
    <w:p>
      <w:pPr>
        <w:pStyle w:val="BodyText"/>
      </w:pPr>
      <w:r>
        <w:t xml:space="preserve">The limitations are substantial. The model does not include prices, terminal availability, competition from terrestrial mobile broadband, or country-specific licensing. It also examines 2023 indicators, while the prospectus question reaches 2030. The result is therefore a structural bound rather than a forecast. It provides evidence that the demand side of the capacity-glut question must be modeled with income and geography, not just with the count of people who remain offline.</w:t>
      </w:r>
    </w:p>
    <w:p>
      <w:pPr>
        <w:pStyle w:val="BodyText"/>
      </w:pPr>
      <w:r>
        <w:t xml:space="preserve">The result also clarifies the difference between social value and commercial demand. A high Internet-use gap may identify places where connectivity would produce large welfare gains, but it does not identify the price at which households or governments can purchase service. LEO broadband can still be valuable in those markets through schools, clinics, disaster response, community terminals, universal-service funds, or defense and mobility anchors. Those channels are real, but they convert need into demand through institutions and budgets. A private retail demand model that treats every offline person as an immediate subscriber would therefore overstate absorption.</w:t>
      </w:r>
    </w:p>
    <w:p>
      <w:pPr>
        <w:pStyle w:val="BodyText"/>
      </w:pPr>
      <w:r>
        <w:t xml:space="preserve">This distinction matters for the 2030 capacity question. If operators build capacity for a global addressable market while much of the unconnected population faces income and rural-distribution constraints, then the commercial market may be thinner than the technical coverage map suggests. The regression does not estimate willingness to pay directly, but it shows that the countries with the largest Internet-use gaps are not simply uncovered rich markets. They are places where geography and income move together in ways that make demand conversion difficult.</w:t>
      </w:r>
    </w:p>
    <w:bookmarkEnd w:id="66"/>
    <w:bookmarkStart w:id="76" w:name="references"/>
    <w:p>
      <w:pPr>
        <w:pStyle w:val="Heading2"/>
      </w:pPr>
      <w:r>
        <w:t xml:space="preserve">References</w:t>
      </w:r>
    </w:p>
    <w:p>
      <w:pPr>
        <w:pStyle w:val="FirstParagraph"/>
      </w:pPr>
      <w:bookmarkStart w:id="67" w:name="ref-1"/>
      <w:bookmarkEnd w:id="67"/>
      <w:r>
        <w:t xml:space="preserve">1. World Bank,</w:t>
      </w:r>
      <w:r>
        <w:t xml:space="preserve"> </w:t>
      </w:r>
      <w:r>
        <w:t xml:space="preserve">“World Development Indicators,”</w:t>
      </w:r>
      <w:r>
        <w:t xml:space="preserve"> </w:t>
      </w:r>
      <w:r>
        <w:t xml:space="preserve">API records for IT.NET.USER.ZS, SP.RUR.TOTL.ZS, and NY.GDP.PCAP.CD, 2023, retrieved June 27, 2026.</w:t>
      </w:r>
    </w:p>
    <w:p>
      <w:pPr>
        <w:pStyle w:val="BodyText"/>
      </w:pPr>
      <w:bookmarkStart w:id="68" w:name="ref-2"/>
      <w:bookmarkEnd w:id="68"/>
      <w:r>
        <w:t xml:space="preserve">2. International Telecommunication Union,</w:t>
      </w:r>
      <w:r>
        <w:t xml:space="preserve"> </w:t>
      </w:r>
      <w:r>
        <w:t xml:space="preserve">“Facts and Figures 2023,”</w:t>
      </w:r>
      <w:r>
        <w:t xml:space="preserve"> </w:t>
      </w:r>
      <w:r>
        <w:t xml:space="preserve">Geneva: ITU, 2023.</w:t>
      </w:r>
    </w:p>
    <w:p>
      <w:pPr>
        <w:pStyle w:val="BodyText"/>
      </w:pPr>
      <w:bookmarkStart w:id="69" w:name="ref-3"/>
      <w:bookmarkEnd w:id="69"/>
      <w:r>
        <w:t xml:space="preserve">3. I. del Portillo, B. Cameron, and E. F. Crawley,</w:t>
      </w:r>
      <w:r>
        <w:t xml:space="preserve"> </w:t>
      </w:r>
      <w:r>
        <w:t xml:space="preserve">“A technical comparison of three low earth orbit satellite constellation systems to provide global broadband,”</w:t>
      </w:r>
      <w:r>
        <w:t xml:space="preserve"> </w:t>
      </w:r>
      <w:r>
        <w:t xml:space="preserve">Acta Astronautica, vol. 159, 2019. doi:</w:t>
      </w:r>
      <w:r>
        <w:t xml:space="preserve"> </w:t>
      </w:r>
      <w:hyperlink r:id="rId70">
        <w:r>
          <w:rPr>
            <w:rStyle w:val="Hyperlink"/>
          </w:rPr>
          <w:t xml:space="preserve">10.1016/j.actaastro.2019.03.040</w:t>
        </w:r>
      </w:hyperlink>
    </w:p>
    <w:p>
      <w:pPr>
        <w:pStyle w:val="BodyText"/>
      </w:pPr>
      <w:bookmarkStart w:id="71" w:name="ref-4"/>
      <w:bookmarkEnd w:id="71"/>
      <w:r>
        <w:t xml:space="preserve">4. S. Martinez Zamacola, S. Martin Marco, and R. Martinez Rodriguez-Osorio,</w:t>
      </w:r>
      <w:r>
        <w:t xml:space="preserve"> </w:t>
      </w:r>
      <w:r>
        <w:t xml:space="preserve">“Profiling the transmit power of LEO satellite constellations for broadband communication services considering terrestrial and aerial demand,”</w:t>
      </w:r>
      <w:r>
        <w:t xml:space="preserve"> </w:t>
      </w:r>
      <w:r>
        <w:t xml:space="preserve">Acta Astronautica, vol. 236, 2025. doi:</w:t>
      </w:r>
      <w:r>
        <w:t xml:space="preserve"> </w:t>
      </w:r>
      <w:hyperlink r:id="rId72">
        <w:r>
          <w:rPr>
            <w:rStyle w:val="Hyperlink"/>
          </w:rPr>
          <w:t xml:space="preserve">10.1016/j.actaastro.2025.06.068</w:t>
        </w:r>
      </w:hyperlink>
    </w:p>
    <w:p>
      <w:pPr>
        <w:pStyle w:val="BodyText"/>
      </w:pPr>
      <w:bookmarkStart w:id="73" w:name="ref-5"/>
      <w:bookmarkEnd w:id="73"/>
      <w:r>
        <w:t xml:space="preserve">5. M. Young and A. Thadani,</w:t>
      </w:r>
      <w:r>
        <w:t xml:space="preserve"> </w:t>
      </w:r>
      <w:r>
        <w:t xml:space="preserve">“Low-Orbit, High Stakes: Winning the LEO Broadband Competition,”</w:t>
      </w:r>
      <w:r>
        <w:t xml:space="preserve"> </w:t>
      </w:r>
      <w:r>
        <w:t xml:space="preserve">Proc. Advanced Maui Optical and Space Surveillance Technologies Conference, 2022.</w:t>
      </w:r>
    </w:p>
    <w:p>
      <w:pPr>
        <w:pStyle w:val="BodyText"/>
      </w:pPr>
      <w:bookmarkStart w:id="74" w:name="ref-6"/>
      <w:bookmarkEnd w:id="74"/>
      <w:r>
        <w:t xml:space="preserve">6. J. F. Anderson, M. A. Cardin, and P. T. Grogan,</w:t>
      </w:r>
      <w:r>
        <w:t xml:space="preserve"> </w:t>
      </w:r>
      <w:r>
        <w:t xml:space="preserve">“Design and analysis of flexible multi-layer staged deployment for satellite mega-constellations under demand uncertainty,”</w:t>
      </w:r>
      <w:r>
        <w:t xml:space="preserve"> </w:t>
      </w:r>
      <w:r>
        <w:t xml:space="preserve">Acta Astronautica, vol. 198, 2022. doi:</w:t>
      </w:r>
      <w:r>
        <w:t xml:space="preserve"> </w:t>
      </w:r>
      <w:hyperlink r:id="rId75">
        <w:r>
          <w:rPr>
            <w:rStyle w:val="Hyperlink"/>
          </w:rPr>
          <w:t xml:space="preserve">10.1016/j.actaastro.2022.05.022</w:t>
        </w:r>
      </w:hyperlink>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InternetGap</m:t>
              </m:r>
            </m:e>
            <m:sub>
              <m:r>
                <m:t>i</m:t>
              </m:r>
            </m:sub>
          </m:sSub>
          <m:r>
            <m:rPr>
              <m:sty m:val="p"/>
            </m:rPr>
            <m:t>=</m:t>
          </m:r>
          <m:r>
            <m:t>α</m:t>
          </m:r>
          <m:r>
            <m:rPr>
              <m:sty m:val="p"/>
            </m:rPr>
            <m:t>+</m:t>
          </m:r>
          <m:sSub>
            <m:e>
              <m:r>
                <m:t>β</m:t>
              </m:r>
            </m:e>
            <m:sub>
              <m:r>
                <m:t>1</m:t>
              </m:r>
            </m:sub>
          </m:sSub>
          <m:sSub>
            <m:e>
              <m:r>
                <m:rPr>
                  <m:nor/>
                  <m:sty m:val="p"/>
                </m:rPr>
                <m:t>RuralShare</m:t>
              </m:r>
            </m:e>
            <m:sub>
              <m:r>
                <m:t>i</m:t>
              </m:r>
            </m:sub>
          </m:sSub>
          <m:r>
            <m:rPr>
              <m:sty m:val="p"/>
            </m:rPr>
            <m:t>+</m:t>
          </m:r>
          <m:sSub>
            <m:e>
              <m:r>
                <m:t>β</m:t>
              </m:r>
            </m:e>
            <m:sub>
              <m:r>
                <m:t>2</m:t>
              </m:r>
            </m:sub>
          </m:sSub>
          <m:r>
            <m:rPr>
              <m:sty m:val="p"/>
            </m:rPr>
            <m:t>log</m:t>
          </m:r>
          <m:r>
            <m:rPr>
              <m:sty m:val="p"/>
            </m:rPr>
            <m:t>(</m:t>
          </m:r>
          <m:sSub>
            <m:e>
              <m:r>
                <m:rPr>
                  <m:nor/>
                  <m:sty m:val="p"/>
                </m:rPr>
                <m:t>GDPpc</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115.2408</w:t>
            </w:r>
          </w:p>
        </w:tc>
        <w:tc>
          <w:tcPr>
            <w:tcW w:w="0" w:type="auto"/>
          </w:tcPr>
          <w:p>
            <w:pPr>
              <w:spacing w:line="240" w:lineRule="auto" w:before="0" w:after="0"/>
              <w:pStyle w:val="Compact"/>
            </w:pPr>
            <w:r>
              <w:rPr>
                <w:sz w:val="20"/>
                <w:szCs w:val="20"/>
              </w:rPr>
              <w:t xml:space="preserve">15.4279</w:t>
            </w:r>
          </w:p>
        </w:tc>
        <w:tc>
          <w:tcPr>
            <w:tcW w:w="0" w:type="auto"/>
          </w:tcPr>
          <w:p>
            <w:pPr>
              <w:spacing w:line="240" w:lineRule="auto" w:before="0" w:after="0"/>
              <w:pStyle w:val="Compact"/>
            </w:pPr>
            <w:r>
              <w:rPr>
                <w:sz w:val="20"/>
                <w:szCs w:val="20"/>
              </w:rPr>
              <w:t xml:space="preserve">7.4696</w:t>
            </w:r>
          </w:p>
        </w:tc>
        <w:tc>
          <w:tcPr>
            <w:tcW w:w="0" w:type="auto"/>
          </w:tcPr>
          <w:p>
            <w:pPr>
              <w:spacing w:line="240" w:lineRule="auto" w:before="0" w:after="0"/>
              <w:pStyle w:val="Compact"/>
            </w:pPr>
            <w:r>
              <w:rPr>
                <w:sz w:val="20"/>
                <w:szCs w:val="20"/>
              </w:rPr>
              <w:t xml:space="preserve">8.042e-14</w:t>
            </w:r>
          </w:p>
        </w:tc>
        <w:tc>
          <w:tcPr>
            <w:tcW w:w="0" w:type="auto"/>
          </w:tcPr>
          <w:p>
            <w:pPr>
              <w:spacing w:line="240" w:lineRule="auto" w:before="0" w:after="0"/>
              <w:pStyle w:val="Compact"/>
            </w:pPr>
            <w:r>
              <w:rPr>
                <w:sz w:val="20"/>
                <w:szCs w:val="20"/>
              </w:rPr>
              <w:t xml:space="preserve">[85.0026, 145.479]</w:t>
            </w:r>
          </w:p>
        </w:tc>
      </w:tr>
      <w:tr>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4.6654</w:t>
            </w:r>
          </w:p>
        </w:tc>
        <w:tc>
          <w:tcPr>
            <w:tcW w:w="0" w:type="auto"/>
          </w:tcPr>
          <w:p>
            <w:pPr>
              <w:spacing w:line="240" w:lineRule="auto" w:before="0" w:after="0"/>
              <w:pStyle w:val="Compact"/>
            </w:pPr>
            <w:r>
              <w:rPr>
                <w:sz w:val="20"/>
                <w:szCs w:val="20"/>
              </w:rPr>
              <w:t xml:space="preserve">3.081e-06</w:t>
            </w:r>
          </w:p>
        </w:tc>
        <w:tc>
          <w:tcPr>
            <w:tcW w:w="0" w:type="auto"/>
          </w:tcPr>
          <w:p>
            <w:pPr>
              <w:spacing w:line="240" w:lineRule="auto" w:before="0" w:after="0"/>
              <w:pStyle w:val="Compact"/>
            </w:pPr>
            <w:r>
              <w:rPr>
                <w:sz w:val="20"/>
                <w:szCs w:val="20"/>
              </w:rPr>
              <w:t xml:space="preserve">[0.2304, 0.5642]</w:t>
            </w:r>
          </w:p>
        </w:tc>
      </w:tr>
      <w:tr>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-9.7131</w:t>
            </w:r>
          </w:p>
        </w:tc>
        <w:tc>
          <w:tcPr>
            <w:tcW w:w="0" w:type="auto"/>
          </w:tcPr>
          <w:p>
            <w:pPr>
              <w:spacing w:line="240" w:lineRule="auto" w:before="0" w:after="0"/>
              <w:pStyle w:val="Compact"/>
            </w:pPr>
            <w:r>
              <w:rPr>
                <w:sz w:val="20"/>
                <w:szCs w:val="20"/>
              </w:rPr>
              <w:t xml:space="preserve">1.7622</w:t>
            </w:r>
          </w:p>
        </w:tc>
        <w:tc>
          <w:tcPr>
            <w:tcW w:w="0" w:type="auto"/>
          </w:tcPr>
          <w:p>
            <w:pPr>
              <w:spacing w:line="240" w:lineRule="auto" w:before="0" w:after="0"/>
              <w:pStyle w:val="Compact"/>
            </w:pPr>
            <w:r>
              <w:rPr>
                <w:sz w:val="20"/>
                <w:szCs w:val="20"/>
              </w:rPr>
              <w:t xml:space="preserve">-5.5118</w:t>
            </w:r>
          </w:p>
        </w:tc>
        <w:tc>
          <w:tcPr>
            <w:tcW w:w="0" w:type="auto"/>
          </w:tcPr>
          <w:p>
            <w:pPr>
              <w:spacing w:line="240" w:lineRule="auto" w:before="0" w:after="0"/>
              <w:pStyle w:val="Compact"/>
            </w:pPr>
            <w:r>
              <w:rPr>
                <w:sz w:val="20"/>
                <w:szCs w:val="20"/>
              </w:rPr>
              <w:t xml:space="preserve">3.552e-08</w:t>
            </w:r>
          </w:p>
        </w:tc>
        <w:tc>
          <w:tcPr>
            <w:tcW w:w="0" w:type="auto"/>
          </w:tcPr>
          <w:p>
            <w:pPr>
              <w:spacing w:line="240" w:lineRule="auto" w:before="0" w:after="0"/>
              <w:pStyle w:val="Compact"/>
            </w:pPr>
            <w:r>
              <w:rPr>
                <w:sz w:val="20"/>
                <w:szCs w:val="20"/>
              </w:rPr>
              <w:t xml:space="preserve">[-13.167, -6.2591]</w:t>
            </w:r>
          </w:p>
        </w:tc>
      </w:tr>
    </w:tbl>
    <w:p>
      <w:pPr>
        <w:pStyle w:val="BodyText"/>
      </w:pPr>
      <w:r>
        <w:t xml:space="preserve">Fit: N = 40 R2 = 0.6189 R2_adj = 0.5983 F = 46.6268 F_p = 7.729e-11</w:t>
      </w:r>
    </w:p>
    <w:p>
      <w:pPr>
        <w:pStyle w:val="CaptionedFigure"/>
      </w:pPr>
      <w:r>
        <w:drawing>
          <wp:inline>
            <wp:extent cx="5669280" cy="3657600"/>
            <wp:effectExtent b="0" l="0" r="0" t="0"/>
            <wp:docPr descr="Figure 1. Figure 1. Rural population share and Internet-use gap across 40 countries in the 2023 World Bank indicators." title="" id="79" name="Picture"/>
            <a:graphic>
              <a:graphicData uri="http://schemas.openxmlformats.org/drawingml/2006/picture">
                <pic:pic>
                  <pic:nvPicPr>
                    <pic:cNvPr descr="dissertations\SPECTRUM_PNT_13\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Rural population share and Internet-use gap across 40 countries in the 2023 World Bank indicators.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iso3</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income_group</w:t>
            </w:r>
          </w:p>
        </w:tc>
        <w:tc>
          <w:tcPr>
            <w:tcW w:w="0" w:type="auto"/>
          </w:tcPr>
          <w:p>
            <w:pPr>
              <w:spacing w:line="240" w:lineRule="auto" w:before="0" w:after="0"/>
              <w:pStyle w:val="Compact"/>
            </w:pPr>
            <w:r>
              <w:rPr>
                <w:sz w:val="20"/>
                <w:szCs w:val="20"/>
              </w:rPr>
              <w:t xml:space="preserve">internet_use_pct</w:t>
            </w:r>
          </w:p>
        </w:tc>
        <w:tc>
          <w:tcPr>
            <w:tcW w:w="0" w:type="auto"/>
          </w:tcPr>
          <w:p>
            <w:pPr>
              <w:spacing w:line="240" w:lineRule="auto" w:before="0" w:after="0"/>
              <w:pStyle w:val="Compact"/>
            </w:pPr>
            <w:r>
              <w:rPr>
                <w:sz w:val="20"/>
                <w:szCs w:val="20"/>
              </w:rPr>
              <w:t xml:space="preserve">internet_gap_pct</w:t>
            </w:r>
          </w:p>
        </w:tc>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gdp_per_capita_usd</w:t>
            </w:r>
          </w:p>
        </w:tc>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7.1723</w:t>
            </w:r>
          </w:p>
        </w:tc>
        <w:tc>
          <w:tcPr>
            <w:tcW w:w="0" w:type="auto"/>
          </w:tcPr>
          <w:p>
            <w:pPr>
              <w:spacing w:line="240" w:lineRule="auto" w:before="0" w:after="0"/>
              <w:pStyle w:val="Compact"/>
            </w:pPr>
            <w:r>
              <w:rPr>
                <w:sz w:val="20"/>
                <w:szCs w:val="20"/>
              </w:rPr>
              <w:t xml:space="preserve">92.8277</w:t>
            </w:r>
          </w:p>
        </w:tc>
        <w:tc>
          <w:tcPr>
            <w:tcW w:w="0" w:type="auto"/>
          </w:tcPr>
          <w:p>
            <w:pPr>
              <w:spacing w:line="240" w:lineRule="auto" w:before="0" w:after="0"/>
              <w:pStyle w:val="Compact"/>
            </w:pPr>
            <w:r>
              <w:rPr>
                <w:sz w:val="20"/>
                <w:szCs w:val="20"/>
              </w:rPr>
              <w:t xml:space="preserve">76.4465</w:t>
            </w:r>
          </w:p>
        </w:tc>
        <w:tc>
          <w:tcPr>
            <w:tcW w:w="0" w:type="auto"/>
          </w:tcPr>
          <w:p>
            <w:pPr>
              <w:spacing w:line="240" w:lineRule="auto" w:before="0" w:after="0"/>
              <w:pStyle w:val="Compact"/>
            </w:pPr>
            <w:r>
              <w:rPr>
                <w:sz w:val="20"/>
                <w:szCs w:val="20"/>
              </w:rPr>
              <w:t xml:space="preserve">250.6273</w:t>
            </w:r>
          </w:p>
        </w:tc>
        <w:tc>
          <w:tcPr>
            <w:tcW w:w="0" w:type="auto"/>
          </w:tcPr>
          <w:p>
            <w:pPr>
              <w:spacing w:line="240" w:lineRule="auto" w:before="0" w:after="0"/>
              <w:pStyle w:val="Compact"/>
            </w:pPr>
            <w:r>
              <w:rPr>
                <w:sz w:val="20"/>
                <w:szCs w:val="20"/>
              </w:rPr>
              <w:t xml:space="preserve">5.524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9.287</w:t>
            </w:r>
          </w:p>
        </w:tc>
        <w:tc>
          <w:tcPr>
            <w:tcW w:w="0" w:type="auto"/>
          </w:tcPr>
          <w:p>
            <w:pPr>
              <w:spacing w:line="240" w:lineRule="auto" w:before="0" w:after="0"/>
              <w:pStyle w:val="Compact"/>
            </w:pPr>
            <w:r>
              <w:rPr>
                <w:sz w:val="20"/>
                <w:szCs w:val="20"/>
              </w:rPr>
              <w:t xml:space="preserve">90.713</w:t>
            </w:r>
          </w:p>
        </w:tc>
        <w:tc>
          <w:tcPr>
            <w:tcW w:w="0" w:type="auto"/>
          </w:tcPr>
          <w:p>
            <w:pPr>
              <w:spacing w:line="240" w:lineRule="auto" w:before="0" w:after="0"/>
              <w:pStyle w:val="Compact"/>
            </w:pPr>
            <w:r>
              <w:rPr>
                <w:sz w:val="20"/>
                <w:szCs w:val="20"/>
              </w:rPr>
              <w:t xml:space="preserve">69.3941</w:t>
            </w:r>
          </w:p>
        </w:tc>
        <w:tc>
          <w:tcPr>
            <w:tcW w:w="0" w:type="auto"/>
          </w:tcPr>
          <w:p>
            <w:pPr>
              <w:spacing w:line="240" w:lineRule="auto" w:before="0" w:after="0"/>
              <w:pStyle w:val="Compact"/>
            </w:pPr>
            <w:r>
              <w:rPr>
                <w:sz w:val="20"/>
                <w:szCs w:val="20"/>
              </w:rPr>
              <w:t xml:space="preserve">1002.3091</w:t>
            </w:r>
          </w:p>
        </w:tc>
        <w:tc>
          <w:tcPr>
            <w:tcW w:w="0" w:type="auto"/>
          </w:tcPr>
          <w:p>
            <w:pPr>
              <w:spacing w:line="240" w:lineRule="auto" w:before="0" w:after="0"/>
              <w:pStyle w:val="Compact"/>
            </w:pPr>
            <w:r>
              <w:rPr>
                <w:sz w:val="20"/>
                <w:szCs w:val="20"/>
              </w:rPr>
              <w:t xml:space="preserve">6.9101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12.0359</w:t>
            </w:r>
          </w:p>
        </w:tc>
        <w:tc>
          <w:tcPr>
            <w:tcW w:w="0" w:type="auto"/>
          </w:tcPr>
          <w:p>
            <w:pPr>
              <w:spacing w:line="240" w:lineRule="auto" w:before="0" w:after="0"/>
              <w:pStyle w:val="Compact"/>
            </w:pPr>
            <w:r>
              <w:rPr>
                <w:sz w:val="20"/>
                <w:szCs w:val="20"/>
              </w:rPr>
              <w:t xml:space="preserve">87.9641</w:t>
            </w:r>
          </w:p>
        </w:tc>
        <w:tc>
          <w:tcPr>
            <w:tcW w:w="0" w:type="auto"/>
          </w:tcPr>
          <w:p>
            <w:pPr>
              <w:spacing w:line="240" w:lineRule="auto" w:before="0" w:after="0"/>
              <w:pStyle w:val="Compact"/>
            </w:pPr>
            <w:r>
              <w:rPr>
                <w:sz w:val="20"/>
                <w:szCs w:val="20"/>
              </w:rPr>
              <w:t xml:space="preserve">73.6695</w:t>
            </w:r>
          </w:p>
        </w:tc>
        <w:tc>
          <w:tcPr>
            <w:tcW w:w="0" w:type="auto"/>
          </w:tcPr>
          <w:p>
            <w:pPr>
              <w:spacing w:line="240" w:lineRule="auto" w:before="0" w:after="0"/>
              <w:pStyle w:val="Compact"/>
            </w:pPr>
            <w:r>
              <w:rPr>
                <w:sz w:val="20"/>
                <w:szCs w:val="20"/>
              </w:rPr>
              <w:t xml:space="preserve">949.3335</w:t>
            </w:r>
          </w:p>
        </w:tc>
        <w:tc>
          <w:tcPr>
            <w:tcW w:w="0" w:type="auto"/>
          </w:tcPr>
          <w:p>
            <w:pPr>
              <w:spacing w:line="240" w:lineRule="auto" w:before="0" w:after="0"/>
              <w:pStyle w:val="Compact"/>
            </w:pPr>
            <w:r>
              <w:rPr>
                <w:sz w:val="20"/>
                <w:szCs w:val="20"/>
              </w:rPr>
              <w:t xml:space="preserve">6.8558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12.9808</w:t>
            </w:r>
          </w:p>
        </w:tc>
        <w:tc>
          <w:tcPr>
            <w:tcW w:w="0" w:type="auto"/>
          </w:tcPr>
          <w:p>
            <w:pPr>
              <w:spacing w:line="240" w:lineRule="auto" w:before="0" w:after="0"/>
              <w:pStyle w:val="Compact"/>
            </w:pPr>
            <w:r>
              <w:rPr>
                <w:sz w:val="20"/>
                <w:szCs w:val="20"/>
              </w:rPr>
              <w:t xml:space="preserve">87.0192</w:t>
            </w:r>
          </w:p>
        </w:tc>
        <w:tc>
          <w:tcPr>
            <w:tcW w:w="0" w:type="auto"/>
          </w:tcPr>
          <w:p>
            <w:pPr>
              <w:spacing w:line="240" w:lineRule="auto" w:before="0" w:after="0"/>
              <w:pStyle w:val="Compact"/>
            </w:pPr>
            <w:r>
              <w:rPr>
                <w:sz w:val="20"/>
                <w:szCs w:val="20"/>
              </w:rPr>
              <w:t xml:space="preserve">82.2493</w:t>
            </w:r>
          </w:p>
        </w:tc>
        <w:tc>
          <w:tcPr>
            <w:tcW w:w="0" w:type="auto"/>
          </w:tcPr>
          <w:p>
            <w:pPr>
              <w:spacing w:line="240" w:lineRule="auto" w:before="0" w:after="0"/>
              <w:pStyle w:val="Compact"/>
            </w:pPr>
            <w:r>
              <w:rPr>
                <w:sz w:val="20"/>
                <w:szCs w:val="20"/>
              </w:rPr>
              <w:t xml:space="preserve">638.3361</w:t>
            </w:r>
          </w:p>
        </w:tc>
        <w:tc>
          <w:tcPr>
            <w:tcW w:w="0" w:type="auto"/>
          </w:tcPr>
          <w:p>
            <w:pPr>
              <w:spacing w:line="240" w:lineRule="auto" w:before="0" w:after="0"/>
              <w:pStyle w:val="Compact"/>
            </w:pPr>
            <w:r>
              <w:rPr>
                <w:sz w:val="20"/>
                <w:szCs w:val="20"/>
              </w:rPr>
              <w:t xml:space="preserve">6.4589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13.8417</w:t>
            </w:r>
          </w:p>
        </w:tc>
        <w:tc>
          <w:tcPr>
            <w:tcW w:w="0" w:type="auto"/>
          </w:tcPr>
          <w:p>
            <w:pPr>
              <w:spacing w:line="240" w:lineRule="auto" w:before="0" w:after="0"/>
              <w:pStyle w:val="Compact"/>
            </w:pPr>
            <w:r>
              <w:rPr>
                <w:sz w:val="20"/>
                <w:szCs w:val="20"/>
              </w:rPr>
              <w:t xml:space="preserve">86.1583</w:t>
            </w:r>
          </w:p>
        </w:tc>
        <w:tc>
          <w:tcPr>
            <w:tcW w:w="0" w:type="auto"/>
          </w:tcPr>
          <w:p>
            <w:pPr>
              <w:spacing w:line="240" w:lineRule="auto" w:before="0" w:after="0"/>
              <w:pStyle w:val="Compact"/>
            </w:pPr>
            <w:r>
              <w:rPr>
                <w:sz w:val="20"/>
                <w:szCs w:val="20"/>
              </w:rPr>
              <w:t xml:space="preserve">56.3016</w:t>
            </w:r>
          </w:p>
        </w:tc>
        <w:tc>
          <w:tcPr>
            <w:tcW w:w="0" w:type="auto"/>
          </w:tcPr>
          <w:p>
            <w:pPr>
              <w:spacing w:line="240" w:lineRule="auto" w:before="0" w:after="0"/>
              <w:pStyle w:val="Compact"/>
            </w:pPr>
            <w:r>
              <w:rPr>
                <w:sz w:val="20"/>
                <w:szCs w:val="20"/>
              </w:rPr>
              <w:t xml:space="preserve">495.9789</w:t>
            </w:r>
          </w:p>
        </w:tc>
        <w:tc>
          <w:tcPr>
            <w:tcW w:w="0" w:type="auto"/>
          </w:tcPr>
          <w:p>
            <w:pPr>
              <w:spacing w:line="240" w:lineRule="auto" w:before="0" w:after="0"/>
              <w:pStyle w:val="Compact"/>
            </w:pPr>
            <w:r>
              <w:rPr>
                <w:sz w:val="20"/>
                <w:szCs w:val="20"/>
              </w:rPr>
              <w:t xml:space="preserve">6.2065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Middle East, North Africa, Afghanistan &amp; Pakistan</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15.9284</w:t>
            </w:r>
          </w:p>
        </w:tc>
        <w:tc>
          <w:tcPr>
            <w:tcW w:w="0" w:type="auto"/>
          </w:tcPr>
          <w:p>
            <w:pPr>
              <w:spacing w:line="240" w:lineRule="auto" w:before="0" w:after="0"/>
              <w:pStyle w:val="Compact"/>
            </w:pPr>
            <w:r>
              <w:rPr>
                <w:sz w:val="20"/>
                <w:szCs w:val="20"/>
              </w:rPr>
              <w:t xml:space="preserve">84.0716</w:t>
            </w:r>
          </w:p>
        </w:tc>
        <w:tc>
          <w:tcPr>
            <w:tcW w:w="0" w:type="auto"/>
          </w:tcPr>
          <w:p>
            <w:pPr>
              <w:spacing w:line="240" w:lineRule="auto" w:before="0" w:after="0"/>
              <w:pStyle w:val="Compact"/>
            </w:pPr>
            <w:r>
              <w:rPr>
                <w:sz w:val="20"/>
                <w:szCs w:val="20"/>
              </w:rPr>
              <w:t xml:space="preserve">74.5269</w:t>
            </w:r>
          </w:p>
        </w:tc>
        <w:tc>
          <w:tcPr>
            <w:tcW w:w="0" w:type="auto"/>
          </w:tcPr>
          <w:p>
            <w:pPr>
              <w:spacing w:line="240" w:lineRule="auto" w:before="0" w:after="0"/>
              <w:pStyle w:val="Compact"/>
            </w:pPr>
            <w:r>
              <w:rPr>
                <w:sz w:val="20"/>
                <w:szCs w:val="20"/>
              </w:rPr>
              <w:t xml:space="preserve">413.7579</w:t>
            </w:r>
          </w:p>
        </w:tc>
        <w:tc>
          <w:tcPr>
            <w:tcW w:w="0" w:type="auto"/>
          </w:tcPr>
          <w:p>
            <w:pPr>
              <w:spacing w:line="240" w:lineRule="auto" w:before="0" w:after="0"/>
              <w:pStyle w:val="Compact"/>
            </w:pPr>
            <w:r>
              <w:rPr>
                <w:sz w:val="20"/>
                <w:szCs w:val="20"/>
              </w:rPr>
              <w:t xml:space="preserve">6.0253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16.4507</w:t>
            </w:r>
          </w:p>
        </w:tc>
        <w:tc>
          <w:tcPr>
            <w:tcW w:w="0" w:type="auto"/>
          </w:tcPr>
          <w:p>
            <w:pPr>
              <w:spacing w:line="240" w:lineRule="auto" w:before="0" w:after="0"/>
              <w:pStyle w:val="Compact"/>
            </w:pPr>
            <w:r>
              <w:rPr>
                <w:sz w:val="20"/>
                <w:szCs w:val="20"/>
              </w:rPr>
              <w:t xml:space="preserve">83.5493</w:t>
            </w:r>
          </w:p>
        </w:tc>
        <w:tc>
          <w:tcPr>
            <w:tcW w:w="0" w:type="auto"/>
          </w:tcPr>
          <w:p>
            <w:pPr>
              <w:spacing w:line="240" w:lineRule="auto" w:before="0" w:after="0"/>
              <w:pStyle w:val="Compact"/>
            </w:pPr>
            <w:r>
              <w:rPr>
                <w:sz w:val="20"/>
                <w:szCs w:val="20"/>
              </w:rPr>
              <w:t xml:space="preserve">54.9714</w:t>
            </w:r>
          </w:p>
        </w:tc>
        <w:tc>
          <w:tcPr>
            <w:tcW w:w="0" w:type="auto"/>
          </w:tcPr>
          <w:p>
            <w:pPr>
              <w:spacing w:line="240" w:lineRule="auto" w:before="0" w:after="0"/>
              <w:pStyle w:val="Compact"/>
            </w:pPr>
            <w:r>
              <w:rPr>
                <w:sz w:val="20"/>
                <w:szCs w:val="20"/>
              </w:rPr>
              <w:t xml:space="preserve">1330.7278</w:t>
            </w:r>
          </w:p>
        </w:tc>
        <w:tc>
          <w:tcPr>
            <w:tcW w:w="0" w:type="auto"/>
          </w:tcPr>
          <w:p>
            <w:pPr>
              <w:spacing w:line="240" w:lineRule="auto" w:before="0" w:after="0"/>
              <w:pStyle w:val="Compact"/>
            </w:pPr>
            <w:r>
              <w:rPr>
                <w:sz w:val="20"/>
                <w:szCs w:val="20"/>
              </w:rPr>
              <w:t xml:space="preserve">7.1935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17.9881</w:t>
            </w:r>
          </w:p>
        </w:tc>
        <w:tc>
          <w:tcPr>
            <w:tcW w:w="0" w:type="auto"/>
          </w:tcPr>
          <w:p>
            <w:pPr>
              <w:spacing w:line="240" w:lineRule="auto" w:before="0" w:after="0"/>
              <w:pStyle w:val="Compact"/>
            </w:pPr>
            <w:r>
              <w:rPr>
                <w:sz w:val="20"/>
                <w:szCs w:val="20"/>
              </w:rPr>
              <w:t xml:space="preserve">82.0119</w:t>
            </w:r>
          </w:p>
        </w:tc>
        <w:tc>
          <w:tcPr>
            <w:tcW w:w="0" w:type="auto"/>
          </w:tcPr>
          <w:p>
            <w:pPr>
              <w:spacing w:line="240" w:lineRule="auto" w:before="0" w:after="0"/>
              <w:pStyle w:val="Compact"/>
            </w:pPr>
            <w:r>
              <w:rPr>
                <w:sz w:val="20"/>
                <w:szCs w:val="20"/>
              </w:rPr>
              <w:t xml:space="preserve">83.0251</w:t>
            </w:r>
          </w:p>
        </w:tc>
        <w:tc>
          <w:tcPr>
            <w:tcW w:w="0" w:type="auto"/>
          </w:tcPr>
          <w:p>
            <w:pPr>
              <w:spacing w:line="240" w:lineRule="auto" w:before="0" w:after="0"/>
              <w:pStyle w:val="Compact"/>
            </w:pPr>
            <w:r>
              <w:rPr>
                <w:sz w:val="20"/>
                <w:szCs w:val="20"/>
              </w:rPr>
              <w:t xml:space="preserve">633.2148</w:t>
            </w:r>
          </w:p>
        </w:tc>
        <w:tc>
          <w:tcPr>
            <w:tcW w:w="0" w:type="auto"/>
          </w:tcPr>
          <w:p>
            <w:pPr>
              <w:spacing w:line="240" w:lineRule="auto" w:before="0" w:after="0"/>
              <w:pStyle w:val="Compact"/>
            </w:pPr>
            <w:r>
              <w:rPr>
                <w:sz w:val="20"/>
                <w:szCs w:val="20"/>
              </w:rPr>
              <w:t xml:space="preserve">6.4508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18.2408</w:t>
            </w:r>
          </w:p>
        </w:tc>
        <w:tc>
          <w:tcPr>
            <w:tcW w:w="0" w:type="auto"/>
          </w:tcPr>
          <w:p>
            <w:pPr>
              <w:spacing w:line="240" w:lineRule="auto" w:before="0" w:after="0"/>
              <w:pStyle w:val="Compact"/>
            </w:pPr>
            <w:r>
              <w:rPr>
                <w:sz w:val="20"/>
                <w:szCs w:val="20"/>
              </w:rPr>
              <w:t xml:space="preserve">81.7592</w:t>
            </w:r>
          </w:p>
        </w:tc>
        <w:tc>
          <w:tcPr>
            <w:tcW w:w="0" w:type="auto"/>
          </w:tcPr>
          <w:p>
            <w:pPr>
              <w:spacing w:line="240" w:lineRule="auto" w:before="0" w:after="0"/>
              <w:pStyle w:val="Compact"/>
            </w:pPr>
            <w:r>
              <w:rPr>
                <w:sz w:val="20"/>
                <w:szCs w:val="20"/>
              </w:rPr>
              <w:t xml:space="preserve">68.0201</w:t>
            </w:r>
          </w:p>
        </w:tc>
        <w:tc>
          <w:tcPr>
            <w:tcW w:w="0" w:type="auto"/>
          </w:tcPr>
          <w:p>
            <w:pPr>
              <w:spacing w:line="240" w:lineRule="auto" w:before="0" w:after="0"/>
              <w:pStyle w:val="Compact"/>
            </w:pPr>
            <w:r>
              <w:rPr>
                <w:sz w:val="20"/>
                <w:szCs w:val="20"/>
              </w:rPr>
              <w:t xml:space="preserve">508.7184</w:t>
            </w:r>
          </w:p>
        </w:tc>
        <w:tc>
          <w:tcPr>
            <w:tcW w:w="0" w:type="auto"/>
          </w:tcPr>
          <w:p>
            <w:pPr>
              <w:spacing w:line="240" w:lineRule="auto" w:before="0" w:after="0"/>
              <w:pStyle w:val="Compact"/>
            </w:pPr>
            <w:r>
              <w:rPr>
                <w:sz w:val="20"/>
                <w:szCs w:val="20"/>
              </w:rPr>
              <w:t xml:space="preserve">6.2319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18.5613</w:t>
            </w:r>
          </w:p>
        </w:tc>
        <w:tc>
          <w:tcPr>
            <w:tcW w:w="0" w:type="auto"/>
          </w:tcPr>
          <w:p>
            <w:pPr>
              <w:spacing w:line="240" w:lineRule="auto" w:before="0" w:after="0"/>
              <w:pStyle w:val="Compact"/>
            </w:pPr>
            <w:r>
              <w:rPr>
                <w:sz w:val="20"/>
                <w:szCs w:val="20"/>
              </w:rPr>
              <w:t xml:space="preserve">81.4387</w:t>
            </w:r>
          </w:p>
        </w:tc>
        <w:tc>
          <w:tcPr>
            <w:tcW w:w="0" w:type="auto"/>
          </w:tcPr>
          <w:p>
            <w:pPr>
              <w:spacing w:line="240" w:lineRule="auto" w:before="0" w:after="0"/>
              <w:pStyle w:val="Compact"/>
            </w:pPr>
            <w:r>
              <w:rPr>
                <w:sz w:val="20"/>
                <w:szCs w:val="20"/>
              </w:rPr>
              <w:t xml:space="preserve">84.9419</w:t>
            </w:r>
          </w:p>
        </w:tc>
        <w:tc>
          <w:tcPr>
            <w:tcW w:w="0" w:type="auto"/>
          </w:tcPr>
          <w:p>
            <w:pPr>
              <w:spacing w:line="240" w:lineRule="auto" w:before="0" w:after="0"/>
              <w:pStyle w:val="Compact"/>
            </w:pPr>
            <w:r>
              <w:rPr>
                <w:sz w:val="20"/>
                <w:szCs w:val="20"/>
              </w:rPr>
              <w:t xml:space="preserve">2966.0683</w:t>
            </w:r>
          </w:p>
        </w:tc>
        <w:tc>
          <w:tcPr>
            <w:tcW w:w="0" w:type="auto"/>
          </w:tcPr>
          <w:p>
            <w:pPr>
              <w:spacing w:line="240" w:lineRule="auto" w:before="0" w:after="0"/>
              <w:pStyle w:val="Compact"/>
            </w:pPr>
            <w:r>
              <w:rPr>
                <w:sz w:val="20"/>
                <w:szCs w:val="20"/>
              </w:rPr>
              <w:t xml:space="preserve">7.995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Congo, Dem. Rep.</w:t>
            </w:r>
          </w:p>
        </w:tc>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18.9679</w:t>
            </w:r>
          </w:p>
        </w:tc>
        <w:tc>
          <w:tcPr>
            <w:tcW w:w="0" w:type="auto"/>
          </w:tcPr>
          <w:p>
            <w:pPr>
              <w:spacing w:line="240" w:lineRule="auto" w:before="0" w:after="0"/>
              <w:pStyle w:val="Compact"/>
            </w:pPr>
            <w:r>
              <w:rPr>
                <w:sz w:val="20"/>
                <w:szCs w:val="20"/>
              </w:rPr>
              <w:t xml:space="preserve">81.0321</w:t>
            </w:r>
          </w:p>
        </w:tc>
        <w:tc>
          <w:tcPr>
            <w:tcW w:w="0" w:type="auto"/>
          </w:tcPr>
          <w:p>
            <w:pPr>
              <w:spacing w:line="240" w:lineRule="auto" w:before="0" w:after="0"/>
              <w:pStyle w:val="Compact"/>
            </w:pPr>
            <w:r>
              <w:rPr>
                <w:sz w:val="20"/>
                <w:szCs w:val="20"/>
              </w:rPr>
              <w:t xml:space="preserve">55.6245</w:t>
            </w:r>
          </w:p>
        </w:tc>
        <w:tc>
          <w:tcPr>
            <w:tcW w:w="0" w:type="auto"/>
          </w:tcPr>
          <w:p>
            <w:pPr>
              <w:spacing w:line="240" w:lineRule="auto" w:before="0" w:after="0"/>
              <w:pStyle w:val="Compact"/>
            </w:pPr>
            <w:r>
              <w:rPr>
                <w:sz w:val="20"/>
                <w:szCs w:val="20"/>
              </w:rPr>
              <w:t xml:space="preserve">660.2121</w:t>
            </w:r>
          </w:p>
        </w:tc>
        <w:tc>
          <w:tcPr>
            <w:tcW w:w="0" w:type="auto"/>
          </w:tcPr>
          <w:p>
            <w:pPr>
              <w:spacing w:line="240" w:lineRule="auto" w:before="0" w:after="0"/>
              <w:pStyle w:val="Compact"/>
            </w:pPr>
            <w:r>
              <w:rPr>
                <w:sz w:val="20"/>
                <w:szCs w:val="20"/>
              </w:rPr>
              <w:t xml:space="preserve">6.4926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19.9456</w:t>
            </w:r>
          </w:p>
        </w:tc>
        <w:tc>
          <w:tcPr>
            <w:tcW w:w="0" w:type="auto"/>
          </w:tcPr>
          <w:p>
            <w:pPr>
              <w:spacing w:line="240" w:lineRule="auto" w:before="0" w:after="0"/>
              <w:pStyle w:val="Compact"/>
            </w:pPr>
            <w:r>
              <w:rPr>
                <w:sz w:val="20"/>
                <w:szCs w:val="20"/>
              </w:rPr>
              <w:t xml:space="preserve">80.0544</w:t>
            </w:r>
          </w:p>
        </w:tc>
        <w:tc>
          <w:tcPr>
            <w:tcW w:w="0" w:type="auto"/>
          </w:tcPr>
          <w:p>
            <w:pPr>
              <w:spacing w:line="240" w:lineRule="auto" w:before="0" w:after="0"/>
              <w:pStyle w:val="Compact"/>
            </w:pPr>
            <w:r>
              <w:rPr>
                <w:sz w:val="20"/>
                <w:szCs w:val="20"/>
              </w:rPr>
              <w:t xml:space="preserve">64.285</w:t>
            </w:r>
          </w:p>
        </w:tc>
        <w:tc>
          <w:tcPr>
            <w:tcW w:w="0" w:type="auto"/>
          </w:tcPr>
          <w:p>
            <w:pPr>
              <w:spacing w:line="240" w:lineRule="auto" w:before="0" w:after="0"/>
              <w:pStyle w:val="Compact"/>
            </w:pPr>
            <w:r>
              <w:rPr>
                <w:sz w:val="20"/>
                <w:szCs w:val="20"/>
              </w:rPr>
              <w:t xml:space="preserve">622.0003</w:t>
            </w:r>
          </w:p>
        </w:tc>
        <w:tc>
          <w:tcPr>
            <w:tcW w:w="0" w:type="auto"/>
          </w:tcPr>
          <w:p>
            <w:pPr>
              <w:spacing w:line="240" w:lineRule="auto" w:before="0" w:after="0"/>
              <w:pStyle w:val="Compact"/>
            </w:pPr>
            <w:r>
              <w:rPr>
                <w:sz w:val="20"/>
                <w:szCs w:val="20"/>
              </w:rPr>
              <w:t xml:space="preserve">6.4329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Not classified</w:t>
            </w:r>
          </w:p>
        </w:tc>
        <w:tc>
          <w:tcPr>
            <w:tcW w:w="0" w:type="auto"/>
          </w:tcPr>
          <w:p>
            <w:pPr>
              <w:spacing w:line="240" w:lineRule="auto" w:before="0" w:after="0"/>
              <w:pStyle w:val="Compact"/>
            </w:pPr>
            <w:r>
              <w:rPr>
                <w:sz w:val="20"/>
                <w:szCs w:val="20"/>
              </w:rPr>
              <w:t xml:space="preserve">20.3375</w:t>
            </w:r>
          </w:p>
        </w:tc>
        <w:tc>
          <w:tcPr>
            <w:tcW w:w="0" w:type="auto"/>
          </w:tcPr>
          <w:p>
            <w:pPr>
              <w:spacing w:line="240" w:lineRule="auto" w:before="0" w:after="0"/>
              <w:pStyle w:val="Compact"/>
            </w:pPr>
            <w:r>
              <w:rPr>
                <w:sz w:val="20"/>
                <w:szCs w:val="20"/>
              </w:rPr>
              <w:t xml:space="preserve">79.6625</w:t>
            </w:r>
          </w:p>
        </w:tc>
        <w:tc>
          <w:tcPr>
            <w:tcW w:w="0" w:type="auto"/>
          </w:tcPr>
          <w:p>
            <w:pPr>
              <w:spacing w:line="240" w:lineRule="auto" w:before="0" w:after="0"/>
              <w:pStyle w:val="Compact"/>
            </w:pPr>
            <w:r>
              <w:rPr>
                <w:sz w:val="20"/>
                <w:szCs w:val="20"/>
              </w:rPr>
              <w:t xml:space="preserve">76.9414</w:t>
            </w:r>
          </w:p>
        </w:tc>
        <w:tc>
          <w:tcPr>
            <w:tcW w:w="0" w:type="auto"/>
          </w:tcPr>
          <w:p>
            <w:pPr>
              <w:spacing w:line="240" w:lineRule="auto" w:before="0" w:after="0"/>
              <w:pStyle w:val="Compact"/>
            </w:pPr>
            <w:r>
              <w:rPr>
                <w:sz w:val="20"/>
                <w:szCs w:val="20"/>
              </w:rPr>
              <w:t xml:space="preserve">1055.8109</w:t>
            </w:r>
          </w:p>
        </w:tc>
        <w:tc>
          <w:tcPr>
            <w:tcW w:w="0" w:type="auto"/>
          </w:tcPr>
          <w:p>
            <w:pPr>
              <w:spacing w:line="240" w:lineRule="auto" w:before="0" w:after="0"/>
              <w:pStyle w:val="Compact"/>
            </w:pPr>
            <w:r>
              <w:rPr>
                <w:sz w:val="20"/>
                <w:szCs w:val="20"/>
              </w:rPr>
              <w:t xml:space="preserve">6.9621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23.7136</w:t>
            </w:r>
          </w:p>
        </w:tc>
        <w:tc>
          <w:tcPr>
            <w:tcW w:w="0" w:type="auto"/>
          </w:tcPr>
          <w:p>
            <w:pPr>
              <w:spacing w:line="240" w:lineRule="auto" w:before="0" w:after="0"/>
              <w:pStyle w:val="Compact"/>
            </w:pPr>
            <w:r>
              <w:rPr>
                <w:sz w:val="20"/>
                <w:szCs w:val="20"/>
              </w:rPr>
              <w:t xml:space="preserve">76.2864</w:t>
            </w:r>
          </w:p>
        </w:tc>
        <w:tc>
          <w:tcPr>
            <w:tcW w:w="0" w:type="auto"/>
          </w:tcPr>
          <w:p>
            <w:pPr>
              <w:spacing w:line="240" w:lineRule="auto" w:before="0" w:after="0"/>
              <w:pStyle w:val="Compact"/>
            </w:pPr>
            <w:r>
              <w:rPr>
                <w:sz w:val="20"/>
                <w:szCs w:val="20"/>
              </w:rPr>
              <w:t xml:space="preserve">55.1907</w:t>
            </w:r>
          </w:p>
        </w:tc>
        <w:tc>
          <w:tcPr>
            <w:tcW w:w="0" w:type="auto"/>
          </w:tcPr>
          <w:p>
            <w:pPr>
              <w:spacing w:line="240" w:lineRule="auto" w:before="0" w:after="0"/>
              <w:pStyle w:val="Compact"/>
            </w:pPr>
            <w:r>
              <w:rPr>
                <w:sz w:val="20"/>
                <w:szCs w:val="20"/>
              </w:rPr>
              <w:t xml:space="preserve">758.3291</w:t>
            </w:r>
          </w:p>
        </w:tc>
        <w:tc>
          <w:tcPr>
            <w:tcW w:w="0" w:type="auto"/>
          </w:tcPr>
          <w:p>
            <w:pPr>
              <w:spacing w:line="240" w:lineRule="auto" w:before="0" w:after="0"/>
              <w:pStyle w:val="Compact"/>
            </w:pPr>
            <w:r>
              <w:rPr>
                <w:sz w:val="20"/>
                <w:szCs w:val="20"/>
              </w:rPr>
              <w:t xml:space="preserve">6.6311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25.3612</w:t>
            </w:r>
          </w:p>
        </w:tc>
        <w:tc>
          <w:tcPr>
            <w:tcW w:w="0" w:type="auto"/>
          </w:tcPr>
          <w:p>
            <w:pPr>
              <w:spacing w:line="240" w:lineRule="auto" w:before="0" w:after="0"/>
              <w:pStyle w:val="Compact"/>
            </w:pPr>
            <w:r>
              <w:rPr>
                <w:sz w:val="20"/>
                <w:szCs w:val="20"/>
              </w:rPr>
              <w:t xml:space="preserve">74.6388</w:t>
            </w:r>
          </w:p>
        </w:tc>
        <w:tc>
          <w:tcPr>
            <w:tcW w:w="0" w:type="auto"/>
          </w:tcPr>
          <w:p>
            <w:pPr>
              <w:spacing w:line="240" w:lineRule="auto" w:before="0" w:after="0"/>
              <w:pStyle w:val="Compact"/>
            </w:pPr>
            <w:r>
              <w:rPr>
                <w:sz w:val="20"/>
                <w:szCs w:val="20"/>
              </w:rPr>
              <w:t xml:space="preserve">72.2128</w:t>
            </w:r>
          </w:p>
        </w:tc>
        <w:tc>
          <w:tcPr>
            <w:tcW w:w="0" w:type="auto"/>
          </w:tcPr>
          <w:p>
            <w:pPr>
              <w:spacing w:line="240" w:lineRule="auto" w:before="0" w:after="0"/>
              <w:pStyle w:val="Compact"/>
            </w:pPr>
            <w:r>
              <w:rPr>
                <w:sz w:val="20"/>
                <w:szCs w:val="20"/>
              </w:rPr>
              <w:t xml:space="preserve">873.4826</w:t>
            </w:r>
          </w:p>
        </w:tc>
        <w:tc>
          <w:tcPr>
            <w:tcW w:w="0" w:type="auto"/>
          </w:tcPr>
          <w:p>
            <w:pPr>
              <w:spacing w:line="240" w:lineRule="auto" w:before="0" w:after="0"/>
              <w:pStyle w:val="Compact"/>
            </w:pPr>
            <w:r>
              <w:rPr>
                <w:sz w:val="20"/>
                <w:szCs w:val="20"/>
              </w:rPr>
              <w:t xml:space="preserve">6.7725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Somalia, Fed. Rep.</w:t>
            </w:r>
          </w:p>
        </w:tc>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26.1201</w:t>
            </w:r>
          </w:p>
        </w:tc>
        <w:tc>
          <w:tcPr>
            <w:tcW w:w="0" w:type="auto"/>
          </w:tcPr>
          <w:p>
            <w:pPr>
              <w:spacing w:line="240" w:lineRule="auto" w:before="0" w:after="0"/>
              <w:pStyle w:val="Compact"/>
            </w:pPr>
            <w:r>
              <w:rPr>
                <w:sz w:val="20"/>
                <w:szCs w:val="20"/>
              </w:rPr>
              <w:t xml:space="preserve">73.8799</w:t>
            </w:r>
          </w:p>
        </w:tc>
        <w:tc>
          <w:tcPr>
            <w:tcW w:w="0" w:type="auto"/>
          </w:tcPr>
          <w:p>
            <w:pPr>
              <w:spacing w:line="240" w:lineRule="auto" w:before="0" w:after="0"/>
              <w:pStyle w:val="Compact"/>
            </w:pPr>
            <w:r>
              <w:rPr>
                <w:sz w:val="20"/>
                <w:szCs w:val="20"/>
              </w:rPr>
              <w:t xml:space="preserve">45.9286</w:t>
            </w:r>
          </w:p>
        </w:tc>
        <w:tc>
          <w:tcPr>
            <w:tcW w:w="0" w:type="auto"/>
          </w:tcPr>
          <w:p>
            <w:pPr>
              <w:spacing w:line="240" w:lineRule="auto" w:before="0" w:after="0"/>
              <w:pStyle w:val="Compact"/>
            </w:pPr>
            <w:r>
              <w:rPr>
                <w:sz w:val="20"/>
                <w:szCs w:val="20"/>
              </w:rPr>
              <w:t xml:space="preserve">596.886</w:t>
            </w:r>
          </w:p>
        </w:tc>
        <w:tc>
          <w:tcPr>
            <w:tcW w:w="0" w:type="auto"/>
          </w:tcPr>
          <w:p>
            <w:pPr>
              <w:spacing w:line="240" w:lineRule="auto" w:before="0" w:after="0"/>
              <w:pStyle w:val="Compact"/>
            </w:pPr>
            <w:r>
              <w:rPr>
                <w:sz w:val="20"/>
                <w:szCs w:val="20"/>
              </w:rPr>
              <w:t xml:space="preserve">6.3917</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28.4319</w:t>
            </w:r>
          </w:p>
        </w:tc>
        <w:tc>
          <w:tcPr>
            <w:tcW w:w="0" w:type="auto"/>
          </w:tcPr>
          <w:p>
            <w:pPr>
              <w:spacing w:line="240" w:lineRule="auto" w:before="0" w:after="0"/>
              <w:pStyle w:val="Compact"/>
            </w:pPr>
            <w:r>
              <w:rPr>
                <w:sz w:val="20"/>
                <w:szCs w:val="20"/>
              </w:rPr>
              <w:t xml:space="preserve">71.5681</w:t>
            </w:r>
          </w:p>
        </w:tc>
        <w:tc>
          <w:tcPr>
            <w:tcW w:w="0" w:type="auto"/>
          </w:tcPr>
          <w:p>
            <w:pPr>
              <w:spacing w:line="240" w:lineRule="auto" w:before="0" w:after="0"/>
              <w:pStyle w:val="Compact"/>
            </w:pPr>
            <w:r>
              <w:rPr>
                <w:sz w:val="20"/>
                <w:szCs w:val="20"/>
              </w:rPr>
              <w:t xml:space="preserve">64.5252</w:t>
            </w:r>
          </w:p>
        </w:tc>
        <w:tc>
          <w:tcPr>
            <w:tcW w:w="0" w:type="auto"/>
          </w:tcPr>
          <w:p>
            <w:pPr>
              <w:spacing w:line="240" w:lineRule="auto" w:before="0" w:after="0"/>
              <w:pStyle w:val="Compact"/>
            </w:pPr>
            <w:r>
              <w:rPr>
                <w:sz w:val="20"/>
                <w:szCs w:val="20"/>
              </w:rPr>
              <w:t xml:space="preserve">1224.0022</w:t>
            </w:r>
          </w:p>
        </w:tc>
        <w:tc>
          <w:tcPr>
            <w:tcW w:w="0" w:type="auto"/>
          </w:tcPr>
          <w:p>
            <w:pPr>
              <w:spacing w:line="240" w:lineRule="auto" w:before="0" w:after="0"/>
              <w:pStyle w:val="Compact"/>
            </w:pPr>
            <w:r>
              <w:rPr>
                <w:sz w:val="20"/>
                <w:szCs w:val="20"/>
              </w:rPr>
              <w:t xml:space="preserve">7.1099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28.6724</w:t>
            </w:r>
          </w:p>
        </w:tc>
        <w:tc>
          <w:tcPr>
            <w:tcW w:w="0" w:type="auto"/>
          </w:tcPr>
          <w:p>
            <w:pPr>
              <w:spacing w:line="240" w:lineRule="auto" w:before="0" w:after="0"/>
              <w:pStyle w:val="Compact"/>
            </w:pPr>
            <w:r>
              <w:rPr>
                <w:sz w:val="20"/>
                <w:szCs w:val="20"/>
              </w:rPr>
              <w:t xml:space="preserve">71.3276</w:t>
            </w:r>
          </w:p>
        </w:tc>
        <w:tc>
          <w:tcPr>
            <w:tcW w:w="0" w:type="auto"/>
          </w:tcPr>
          <w:p>
            <w:pPr>
              <w:spacing w:line="240" w:lineRule="auto" w:before="0" w:after="0"/>
              <w:pStyle w:val="Compact"/>
            </w:pPr>
            <w:r>
              <w:rPr>
                <w:sz w:val="20"/>
                <w:szCs w:val="20"/>
              </w:rPr>
              <w:t xml:space="preserve">69.9911</w:t>
            </w:r>
          </w:p>
        </w:tc>
        <w:tc>
          <w:tcPr>
            <w:tcW w:w="0" w:type="auto"/>
          </w:tcPr>
          <w:p>
            <w:pPr>
              <w:spacing w:line="240" w:lineRule="auto" w:before="0" w:after="0"/>
              <w:pStyle w:val="Compact"/>
            </w:pPr>
            <w:r>
              <w:rPr>
                <w:sz w:val="20"/>
                <w:szCs w:val="20"/>
              </w:rPr>
              <w:t xml:space="preserve">1882.6439</w:t>
            </w:r>
          </w:p>
        </w:tc>
        <w:tc>
          <w:tcPr>
            <w:tcW w:w="0" w:type="auto"/>
          </w:tcPr>
          <w:p>
            <w:pPr>
              <w:spacing w:line="240" w:lineRule="auto" w:before="0" w:after="0"/>
              <w:pStyle w:val="Compact"/>
            </w:pPr>
            <w:r>
              <w:rPr>
                <w:sz w:val="20"/>
                <w:szCs w:val="20"/>
              </w:rPr>
              <w:t xml:space="preserve">7.5404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28.7124</w:t>
            </w:r>
          </w:p>
        </w:tc>
        <w:tc>
          <w:tcPr>
            <w:tcW w:w="0" w:type="auto"/>
          </w:tcPr>
          <w:p>
            <w:pPr>
              <w:spacing w:line="240" w:lineRule="auto" w:before="0" w:after="0"/>
              <w:pStyle w:val="Compact"/>
            </w:pPr>
            <w:r>
              <w:rPr>
                <w:sz w:val="20"/>
                <w:szCs w:val="20"/>
              </w:rPr>
              <w:t xml:space="preserve">71.2876</w:t>
            </w:r>
          </w:p>
        </w:tc>
        <w:tc>
          <w:tcPr>
            <w:tcW w:w="0" w:type="auto"/>
          </w:tcPr>
          <w:p>
            <w:pPr>
              <w:spacing w:line="240" w:lineRule="auto" w:before="0" w:after="0"/>
              <w:pStyle w:val="Compact"/>
            </w:pPr>
            <w:r>
              <w:rPr>
                <w:sz w:val="20"/>
                <w:szCs w:val="20"/>
              </w:rPr>
              <w:t xml:space="preserve">54.4076</w:t>
            </w:r>
          </w:p>
        </w:tc>
        <w:tc>
          <w:tcPr>
            <w:tcW w:w="0" w:type="auto"/>
          </w:tcPr>
          <w:p>
            <w:pPr>
              <w:spacing w:line="240" w:lineRule="auto" w:before="0" w:after="0"/>
              <w:pStyle w:val="Compact"/>
            </w:pPr>
            <w:r>
              <w:rPr>
                <w:sz w:val="20"/>
                <w:szCs w:val="20"/>
              </w:rPr>
              <w:t xml:space="preserve">988.0879</w:t>
            </w:r>
          </w:p>
        </w:tc>
        <w:tc>
          <w:tcPr>
            <w:tcW w:w="0" w:type="auto"/>
          </w:tcPr>
          <w:p>
            <w:pPr>
              <w:spacing w:line="240" w:lineRule="auto" w:before="0" w:after="0"/>
              <w:pStyle w:val="Compact"/>
            </w:pPr>
            <w:r>
              <w:rPr>
                <w:sz w:val="20"/>
                <w:szCs w:val="20"/>
              </w:rPr>
              <w:t xml:space="preserve">6.8958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28.8058</w:t>
            </w:r>
          </w:p>
        </w:tc>
        <w:tc>
          <w:tcPr>
            <w:tcW w:w="0" w:type="auto"/>
          </w:tcPr>
          <w:p>
            <w:pPr>
              <w:spacing w:line="240" w:lineRule="auto" w:before="0" w:after="0"/>
              <w:pStyle w:val="Compact"/>
            </w:pPr>
            <w:r>
              <w:rPr>
                <w:sz w:val="20"/>
                <w:szCs w:val="20"/>
              </w:rPr>
              <w:t xml:space="preserve">71.1942</w:t>
            </w:r>
          </w:p>
        </w:tc>
        <w:tc>
          <w:tcPr>
            <w:tcW w:w="0" w:type="auto"/>
          </w:tcPr>
          <w:p>
            <w:pPr>
              <w:spacing w:line="240" w:lineRule="auto" w:before="0" w:after="0"/>
              <w:pStyle w:val="Compact"/>
            </w:pPr>
            <w:r>
              <w:rPr>
                <w:sz w:val="20"/>
                <w:szCs w:val="20"/>
              </w:rPr>
              <w:t xml:space="preserve">71.1445</w:t>
            </w:r>
          </w:p>
        </w:tc>
        <w:tc>
          <w:tcPr>
            <w:tcW w:w="0" w:type="auto"/>
          </w:tcPr>
          <w:p>
            <w:pPr>
              <w:spacing w:line="240" w:lineRule="auto" w:before="0" w:after="0"/>
              <w:pStyle w:val="Compact"/>
            </w:pPr>
            <w:r>
              <w:rPr>
                <w:sz w:val="20"/>
                <w:szCs w:val="20"/>
              </w:rPr>
              <w:t xml:space="preserve">1027.0345</w:t>
            </w:r>
          </w:p>
        </w:tc>
        <w:tc>
          <w:tcPr>
            <w:tcW w:w="0" w:type="auto"/>
          </w:tcPr>
          <w:p>
            <w:pPr>
              <w:spacing w:line="240" w:lineRule="auto" w:before="0" w:after="0"/>
              <w:pStyle w:val="Compact"/>
            </w:pPr>
            <w:r>
              <w:rPr>
                <w:sz w:val="20"/>
                <w:szCs w:val="20"/>
              </w:rPr>
              <w:t xml:space="preserve">6.9344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31.2241</w:t>
            </w:r>
          </w:p>
        </w:tc>
        <w:tc>
          <w:tcPr>
            <w:tcW w:w="0" w:type="auto"/>
          </w:tcPr>
          <w:p>
            <w:pPr>
              <w:spacing w:line="240" w:lineRule="auto" w:before="0" w:after="0"/>
              <w:pStyle w:val="Compact"/>
            </w:pPr>
            <w:r>
              <w:rPr>
                <w:sz w:val="20"/>
                <w:szCs w:val="20"/>
              </w:rPr>
              <w:t xml:space="preserve">68.7759</w:t>
            </w:r>
          </w:p>
        </w:tc>
        <w:tc>
          <w:tcPr>
            <w:tcW w:w="0" w:type="auto"/>
          </w:tcPr>
          <w:p>
            <w:pPr>
              <w:spacing w:line="240" w:lineRule="auto" w:before="0" w:after="0"/>
              <w:pStyle w:val="Compact"/>
            </w:pPr>
            <w:r>
              <w:rPr>
                <w:sz w:val="20"/>
                <w:szCs w:val="20"/>
              </w:rPr>
              <w:t xml:space="preserve">45.0021</w:t>
            </w:r>
          </w:p>
        </w:tc>
        <w:tc>
          <w:tcPr>
            <w:tcW w:w="0" w:type="auto"/>
          </w:tcPr>
          <w:p>
            <w:pPr>
              <w:spacing w:line="240" w:lineRule="auto" w:before="0" w:after="0"/>
              <w:pStyle w:val="Compact"/>
            </w:pPr>
            <w:r>
              <w:rPr>
                <w:sz w:val="20"/>
                <w:szCs w:val="20"/>
              </w:rPr>
              <w:t xml:space="preserve">799.1945</w:t>
            </w:r>
          </w:p>
        </w:tc>
        <w:tc>
          <w:tcPr>
            <w:tcW w:w="0" w:type="auto"/>
          </w:tcPr>
          <w:p>
            <w:pPr>
              <w:spacing w:line="240" w:lineRule="auto" w:before="0" w:after="0"/>
              <w:pStyle w:val="Compact"/>
            </w:pPr>
            <w:r>
              <w:rPr>
                <w:sz w:val="20"/>
                <w:szCs w:val="20"/>
              </w:rPr>
              <w:t xml:space="preserve">6.6836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31.9275</w:t>
            </w:r>
          </w:p>
        </w:tc>
        <w:tc>
          <w:tcPr>
            <w:tcW w:w="0" w:type="auto"/>
          </w:tcPr>
          <w:p>
            <w:pPr>
              <w:spacing w:line="240" w:lineRule="auto" w:before="0" w:after="0"/>
              <w:pStyle w:val="Compact"/>
            </w:pPr>
            <w:r>
              <w:rPr>
                <w:sz w:val="20"/>
                <w:szCs w:val="20"/>
              </w:rPr>
              <w:t xml:space="preserve">68.0725</w:t>
            </w:r>
          </w:p>
        </w:tc>
        <w:tc>
          <w:tcPr>
            <w:tcW w:w="0" w:type="auto"/>
          </w:tcPr>
          <w:p>
            <w:pPr>
              <w:spacing w:line="240" w:lineRule="auto" w:before="0" w:after="0"/>
              <w:pStyle w:val="Compact"/>
            </w:pPr>
            <w:r>
              <w:rPr>
                <w:sz w:val="20"/>
                <w:szCs w:val="20"/>
              </w:rPr>
              <w:t xml:space="preserve">66.8498</w:t>
            </w:r>
          </w:p>
        </w:tc>
        <w:tc>
          <w:tcPr>
            <w:tcW w:w="0" w:type="auto"/>
          </w:tcPr>
          <w:p>
            <w:pPr>
              <w:spacing w:line="240" w:lineRule="auto" w:before="0" w:after="0"/>
              <w:pStyle w:val="Compact"/>
            </w:pPr>
            <w:r>
              <w:rPr>
                <w:sz w:val="20"/>
                <w:szCs w:val="20"/>
              </w:rPr>
              <w:t xml:space="preserve">1560.2738</w:t>
            </w:r>
          </w:p>
        </w:tc>
        <w:tc>
          <w:tcPr>
            <w:tcW w:w="0" w:type="auto"/>
          </w:tcPr>
          <w:p>
            <w:pPr>
              <w:spacing w:line="240" w:lineRule="auto" w:before="0" w:after="0"/>
              <w:pStyle w:val="Compact"/>
            </w:pPr>
            <w:r>
              <w:rPr>
                <w:sz w:val="20"/>
                <w:szCs w:val="20"/>
              </w:rPr>
              <w:t xml:space="preserve">7.3526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32.0704</w:t>
            </w:r>
          </w:p>
        </w:tc>
        <w:tc>
          <w:tcPr>
            <w:tcW w:w="0" w:type="auto"/>
          </w:tcPr>
          <w:p>
            <w:pPr>
              <w:spacing w:line="240" w:lineRule="auto" w:before="0" w:after="0"/>
              <w:pStyle w:val="Compact"/>
            </w:pPr>
            <w:r>
              <w:rPr>
                <w:sz w:val="20"/>
                <w:szCs w:val="20"/>
              </w:rPr>
              <w:t xml:space="preserve">67.9296</w:t>
            </w:r>
          </w:p>
        </w:tc>
        <w:tc>
          <w:tcPr>
            <w:tcW w:w="0" w:type="auto"/>
          </w:tcPr>
          <w:p>
            <w:pPr>
              <w:spacing w:line="240" w:lineRule="auto" w:before="0" w:after="0"/>
              <w:pStyle w:val="Compact"/>
            </w:pPr>
            <w:r>
              <w:rPr>
                <w:sz w:val="20"/>
                <w:szCs w:val="20"/>
              </w:rPr>
              <w:t xml:space="preserve">68.367</w:t>
            </w:r>
          </w:p>
        </w:tc>
        <w:tc>
          <w:tcPr>
            <w:tcW w:w="0" w:type="auto"/>
          </w:tcPr>
          <w:p>
            <w:pPr>
              <w:spacing w:line="240" w:lineRule="auto" w:before="0" w:after="0"/>
              <w:pStyle w:val="Compact"/>
            </w:pPr>
            <w:r>
              <w:rPr>
                <w:sz w:val="20"/>
                <w:szCs w:val="20"/>
              </w:rPr>
              <w:t xml:space="preserve">1942.588</w:t>
            </w:r>
          </w:p>
        </w:tc>
        <w:tc>
          <w:tcPr>
            <w:tcW w:w="0" w:type="auto"/>
          </w:tcPr>
          <w:p>
            <w:pPr>
              <w:spacing w:line="240" w:lineRule="auto" w:before="0" w:after="0"/>
              <w:pStyle w:val="Compact"/>
            </w:pPr>
            <w:r>
              <w:rPr>
                <w:sz w:val="20"/>
                <w:szCs w:val="20"/>
              </w:rPr>
              <w:t xml:space="preserve">7.5718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32.3156</w:t>
            </w:r>
          </w:p>
        </w:tc>
        <w:tc>
          <w:tcPr>
            <w:tcW w:w="0" w:type="auto"/>
          </w:tcPr>
          <w:p>
            <w:pPr>
              <w:spacing w:line="240" w:lineRule="auto" w:before="0" w:after="0"/>
              <w:pStyle w:val="Compact"/>
            </w:pPr>
            <w:r>
              <w:rPr>
                <w:sz w:val="20"/>
                <w:szCs w:val="20"/>
              </w:rPr>
              <w:t xml:space="preserve">67.6844</w:t>
            </w:r>
          </w:p>
        </w:tc>
        <w:tc>
          <w:tcPr>
            <w:tcW w:w="0" w:type="auto"/>
          </w:tcPr>
          <w:p>
            <w:pPr>
              <w:spacing w:line="240" w:lineRule="auto" w:before="0" w:after="0"/>
              <w:pStyle w:val="Compact"/>
            </w:pPr>
            <w:r>
              <w:rPr>
                <w:sz w:val="20"/>
                <w:szCs w:val="20"/>
              </w:rPr>
              <w:t xml:space="preserve">62.3546</w:t>
            </w:r>
          </w:p>
        </w:tc>
        <w:tc>
          <w:tcPr>
            <w:tcW w:w="0" w:type="auto"/>
          </w:tcPr>
          <w:p>
            <w:pPr>
              <w:spacing w:line="240" w:lineRule="auto" w:before="0" w:after="0"/>
              <w:pStyle w:val="Compact"/>
            </w:pPr>
            <w:r>
              <w:rPr>
                <w:sz w:val="20"/>
                <w:szCs w:val="20"/>
              </w:rPr>
              <w:t xml:space="preserve">1555.4938</w:t>
            </w:r>
          </w:p>
        </w:tc>
        <w:tc>
          <w:tcPr>
            <w:tcW w:w="0" w:type="auto"/>
          </w:tcPr>
          <w:p>
            <w:pPr>
              <w:spacing w:line="240" w:lineRule="auto" w:before="0" w:after="0"/>
              <w:pStyle w:val="Compact"/>
            </w:pPr>
            <w:r>
              <w:rPr>
                <w:sz w:val="20"/>
                <w:szCs w:val="20"/>
              </w:rPr>
              <w:t xml:space="preserve">7.3495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32.394</w:t>
            </w:r>
          </w:p>
        </w:tc>
        <w:tc>
          <w:tcPr>
            <w:tcW w:w="0" w:type="auto"/>
          </w:tcPr>
          <w:p>
            <w:pPr>
              <w:spacing w:line="240" w:lineRule="auto" w:before="0" w:after="0"/>
              <w:pStyle w:val="Compact"/>
            </w:pPr>
            <w:r>
              <w:rPr>
                <w:sz w:val="20"/>
                <w:szCs w:val="20"/>
              </w:rPr>
              <w:t xml:space="preserve">67.606</w:t>
            </w:r>
          </w:p>
        </w:tc>
        <w:tc>
          <w:tcPr>
            <w:tcW w:w="0" w:type="auto"/>
          </w:tcPr>
          <w:p>
            <w:pPr>
              <w:spacing w:line="240" w:lineRule="auto" w:before="0" w:after="0"/>
              <w:pStyle w:val="Compact"/>
            </w:pPr>
            <w:r>
              <w:rPr>
                <w:sz w:val="20"/>
                <w:szCs w:val="20"/>
              </w:rPr>
              <w:t xml:space="preserve">48.2542</w:t>
            </w:r>
          </w:p>
        </w:tc>
        <w:tc>
          <w:tcPr>
            <w:tcW w:w="0" w:type="auto"/>
          </w:tcPr>
          <w:p>
            <w:pPr>
              <w:spacing w:line="240" w:lineRule="auto" w:before="0" w:after="0"/>
              <w:pStyle w:val="Compact"/>
            </w:pPr>
            <w:r>
              <w:rPr>
                <w:sz w:val="20"/>
                <w:szCs w:val="20"/>
              </w:rPr>
              <w:t xml:space="preserve">1394.1778</w:t>
            </w:r>
          </w:p>
        </w:tc>
        <w:tc>
          <w:tcPr>
            <w:tcW w:w="0" w:type="auto"/>
          </w:tcPr>
          <w:p>
            <w:pPr>
              <w:spacing w:line="240" w:lineRule="auto" w:before="0" w:after="0"/>
              <w:pStyle w:val="Compact"/>
            </w:pPr>
            <w:r>
              <w:rPr>
                <w:sz w:val="20"/>
                <w:szCs w:val="20"/>
              </w:rPr>
              <w:t xml:space="preserve">7.2401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36.0388</w:t>
            </w:r>
          </w:p>
        </w:tc>
        <w:tc>
          <w:tcPr>
            <w:tcW w:w="0" w:type="auto"/>
          </w:tcPr>
          <w:p>
            <w:pPr>
              <w:spacing w:line="240" w:lineRule="auto" w:before="0" w:after="0"/>
              <w:pStyle w:val="Compact"/>
            </w:pPr>
            <w:r>
              <w:rPr>
                <w:sz w:val="20"/>
                <w:szCs w:val="20"/>
              </w:rPr>
              <w:t xml:space="preserve">63.9612</w:t>
            </w:r>
          </w:p>
        </w:tc>
        <w:tc>
          <w:tcPr>
            <w:tcW w:w="0" w:type="auto"/>
          </w:tcPr>
          <w:p>
            <w:pPr>
              <w:spacing w:line="240" w:lineRule="auto" w:before="0" w:after="0"/>
              <w:pStyle w:val="Compact"/>
            </w:pPr>
            <w:r>
              <w:rPr>
                <w:sz w:val="20"/>
                <w:szCs w:val="20"/>
              </w:rPr>
              <w:t xml:space="preserve">68.9968</w:t>
            </w:r>
          </w:p>
        </w:tc>
        <w:tc>
          <w:tcPr>
            <w:tcW w:w="0" w:type="auto"/>
          </w:tcPr>
          <w:p>
            <w:pPr>
              <w:spacing w:line="240" w:lineRule="auto" w:before="0" w:after="0"/>
              <w:pStyle w:val="Compact"/>
            </w:pPr>
            <w:r>
              <w:rPr>
                <w:sz w:val="20"/>
                <w:szCs w:val="20"/>
              </w:rPr>
              <w:t xml:space="preserve">1043.9534</w:t>
            </w:r>
          </w:p>
        </w:tc>
        <w:tc>
          <w:tcPr>
            <w:tcW w:w="0" w:type="auto"/>
          </w:tcPr>
          <w:p>
            <w:pPr>
              <w:spacing w:line="240" w:lineRule="auto" w:before="0" w:after="0"/>
              <w:pStyle w:val="Compact"/>
            </w:pPr>
            <w:r>
              <w:rPr>
                <w:sz w:val="20"/>
                <w:szCs w:val="20"/>
              </w:rPr>
              <w:t xml:space="preserve">6.9508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37.5702</w:t>
            </w:r>
          </w:p>
        </w:tc>
        <w:tc>
          <w:tcPr>
            <w:tcW w:w="0" w:type="auto"/>
          </w:tcPr>
          <w:p>
            <w:pPr>
              <w:spacing w:line="240" w:lineRule="auto" w:before="0" w:after="0"/>
              <w:pStyle w:val="Compact"/>
            </w:pPr>
            <w:r>
              <w:rPr>
                <w:sz w:val="20"/>
                <w:szCs w:val="20"/>
              </w:rPr>
              <w:t xml:space="preserve">62.4298</w:t>
            </w:r>
          </w:p>
        </w:tc>
        <w:tc>
          <w:tcPr>
            <w:tcW w:w="0" w:type="auto"/>
          </w:tcPr>
          <w:p>
            <w:pPr>
              <w:spacing w:line="240" w:lineRule="auto" w:before="0" w:after="0"/>
              <w:pStyle w:val="Compact"/>
            </w:pPr>
            <w:r>
              <w:rPr>
                <w:sz w:val="20"/>
                <w:szCs w:val="20"/>
              </w:rPr>
              <w:t xml:space="preserve">56.7503</w:t>
            </w:r>
          </w:p>
        </w:tc>
        <w:tc>
          <w:tcPr>
            <w:tcW w:w="0" w:type="auto"/>
          </w:tcPr>
          <w:p>
            <w:pPr>
              <w:spacing w:line="240" w:lineRule="auto" w:before="0" w:after="0"/>
              <w:pStyle w:val="Compact"/>
            </w:pPr>
            <w:r>
              <w:rPr>
                <w:sz w:val="20"/>
                <w:szCs w:val="20"/>
              </w:rPr>
              <w:t xml:space="preserve">1055.0173</w:t>
            </w:r>
          </w:p>
        </w:tc>
        <w:tc>
          <w:tcPr>
            <w:tcW w:w="0" w:type="auto"/>
          </w:tcPr>
          <w:p>
            <w:pPr>
              <w:spacing w:line="240" w:lineRule="auto" w:before="0" w:after="0"/>
              <w:pStyle w:val="Compact"/>
            </w:pPr>
            <w:r>
              <w:rPr>
                <w:sz w:val="20"/>
                <w:szCs w:val="20"/>
              </w:rPr>
              <w:t xml:space="preserve">6.9613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37.8859</w:t>
            </w:r>
          </w:p>
        </w:tc>
        <w:tc>
          <w:tcPr>
            <w:tcW w:w="0" w:type="auto"/>
          </w:tcPr>
          <w:p>
            <w:pPr>
              <w:spacing w:line="240" w:lineRule="auto" w:before="0" w:after="0"/>
              <w:pStyle w:val="Compact"/>
            </w:pPr>
            <w:r>
              <w:rPr>
                <w:sz w:val="20"/>
                <w:szCs w:val="20"/>
              </w:rPr>
              <w:t xml:space="preserve">62.1141</w:t>
            </w:r>
          </w:p>
        </w:tc>
        <w:tc>
          <w:tcPr>
            <w:tcW w:w="0" w:type="auto"/>
          </w:tcPr>
          <w:p>
            <w:pPr>
              <w:spacing w:line="240" w:lineRule="auto" w:before="0" w:after="0"/>
              <w:pStyle w:val="Compact"/>
            </w:pPr>
            <w:r>
              <w:rPr>
                <w:sz w:val="20"/>
                <w:szCs w:val="20"/>
              </w:rPr>
              <w:t xml:space="preserve">30.1485</w:t>
            </w:r>
          </w:p>
        </w:tc>
        <w:tc>
          <w:tcPr>
            <w:tcW w:w="0" w:type="auto"/>
          </w:tcPr>
          <w:p>
            <w:pPr>
              <w:spacing w:line="240" w:lineRule="auto" w:before="0" w:after="0"/>
              <w:pStyle w:val="Compact"/>
            </w:pPr>
            <w:r>
              <w:rPr>
                <w:sz w:val="20"/>
                <w:szCs w:val="20"/>
              </w:rPr>
              <w:t xml:space="preserve">2916.1366</w:t>
            </w:r>
          </w:p>
        </w:tc>
        <w:tc>
          <w:tcPr>
            <w:tcW w:w="0" w:type="auto"/>
          </w:tcPr>
          <w:p>
            <w:pPr>
              <w:spacing w:line="240" w:lineRule="auto" w:before="0" w:after="0"/>
              <w:pStyle w:val="Compact"/>
            </w:pPr>
            <w:r>
              <w:rPr>
                <w:sz w:val="20"/>
                <w:szCs w:val="20"/>
              </w:rPr>
              <w:t xml:space="preserve">7.978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38.6748</w:t>
            </w:r>
          </w:p>
        </w:tc>
        <w:tc>
          <w:tcPr>
            <w:tcW w:w="0" w:type="auto"/>
          </w:tcPr>
          <w:p>
            <w:pPr>
              <w:spacing w:line="240" w:lineRule="auto" w:before="0" w:after="0"/>
              <w:pStyle w:val="Compact"/>
            </w:pPr>
            <w:r>
              <w:rPr>
                <w:sz w:val="20"/>
                <w:szCs w:val="20"/>
              </w:rPr>
              <w:t xml:space="preserve">61.3252</w:t>
            </w:r>
          </w:p>
        </w:tc>
        <w:tc>
          <w:tcPr>
            <w:tcW w:w="0" w:type="auto"/>
          </w:tcPr>
          <w:p>
            <w:pPr>
              <w:spacing w:line="240" w:lineRule="auto" w:before="0" w:after="0"/>
              <w:pStyle w:val="Compact"/>
            </w:pPr>
            <w:r>
              <w:rPr>
                <w:sz w:val="20"/>
                <w:szCs w:val="20"/>
              </w:rPr>
              <w:t xml:space="preserve">60.7081</w:t>
            </w:r>
          </w:p>
        </w:tc>
        <w:tc>
          <w:tcPr>
            <w:tcW w:w="0" w:type="auto"/>
          </w:tcPr>
          <w:p>
            <w:pPr>
              <w:spacing w:line="240" w:lineRule="auto" w:before="0" w:after="0"/>
              <w:pStyle w:val="Compact"/>
            </w:pPr>
            <w:r>
              <w:rPr>
                <w:sz w:val="20"/>
                <w:szCs w:val="20"/>
              </w:rPr>
              <w:t xml:space="preserve">2195.2249</w:t>
            </w:r>
          </w:p>
        </w:tc>
        <w:tc>
          <w:tcPr>
            <w:tcW w:w="0" w:type="auto"/>
          </w:tcPr>
          <w:p>
            <w:pPr>
              <w:spacing w:line="240" w:lineRule="auto" w:before="0" w:after="0"/>
              <w:pStyle w:val="Compact"/>
            </w:pPr>
            <w:r>
              <w:rPr>
                <w:sz w:val="20"/>
                <w:szCs w:val="20"/>
              </w:rPr>
              <w:t xml:space="preserve">7.694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Micronesia, Fed. Sts.</w:t>
            </w:r>
          </w:p>
        </w:tc>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39.3989</w:t>
            </w:r>
          </w:p>
        </w:tc>
        <w:tc>
          <w:tcPr>
            <w:tcW w:w="0" w:type="auto"/>
          </w:tcPr>
          <w:p>
            <w:pPr>
              <w:spacing w:line="240" w:lineRule="auto" w:before="0" w:after="0"/>
              <w:pStyle w:val="Compact"/>
            </w:pPr>
            <w:r>
              <w:rPr>
                <w:sz w:val="20"/>
                <w:szCs w:val="20"/>
              </w:rPr>
              <w:t xml:space="preserve">60.6011</w:t>
            </w:r>
          </w:p>
        </w:tc>
        <w:tc>
          <w:tcPr>
            <w:tcW w:w="0" w:type="auto"/>
          </w:tcPr>
          <w:p>
            <w:pPr>
              <w:spacing w:line="240" w:lineRule="auto" w:before="0" w:after="0"/>
              <w:pStyle w:val="Compact"/>
            </w:pPr>
            <w:r>
              <w:rPr>
                <w:sz w:val="20"/>
                <w:szCs w:val="20"/>
              </w:rPr>
              <w:t xml:space="preserve">77.5666</w:t>
            </w:r>
          </w:p>
        </w:tc>
        <w:tc>
          <w:tcPr>
            <w:tcW w:w="0" w:type="auto"/>
          </w:tcPr>
          <w:p>
            <w:pPr>
              <w:spacing w:line="240" w:lineRule="auto" w:before="0" w:after="0"/>
              <w:pStyle w:val="Compact"/>
            </w:pPr>
            <w:r>
              <w:rPr>
                <w:sz w:val="20"/>
                <w:szCs w:val="20"/>
              </w:rPr>
              <w:t xml:space="preserve">3919.6431</w:t>
            </w:r>
          </w:p>
        </w:tc>
        <w:tc>
          <w:tcPr>
            <w:tcW w:w="0" w:type="auto"/>
          </w:tcPr>
          <w:p>
            <w:pPr>
              <w:spacing w:line="240" w:lineRule="auto" w:before="0" w:after="0"/>
              <w:pStyle w:val="Compact"/>
            </w:pPr>
            <w:r>
              <w:rPr>
                <w:sz w:val="20"/>
                <w:szCs w:val="20"/>
              </w:rPr>
              <w:t xml:space="preserve">8.2738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40.064</w:t>
            </w:r>
          </w:p>
        </w:tc>
        <w:tc>
          <w:tcPr>
            <w:tcW w:w="0" w:type="auto"/>
          </w:tcPr>
          <w:p>
            <w:pPr>
              <w:spacing w:line="240" w:lineRule="auto" w:before="0" w:after="0"/>
              <w:pStyle w:val="Compact"/>
            </w:pPr>
            <w:r>
              <w:rPr>
                <w:sz w:val="20"/>
                <w:szCs w:val="20"/>
              </w:rPr>
              <w:t xml:space="preserve">59.936</w:t>
            </w:r>
          </w:p>
        </w:tc>
        <w:tc>
          <w:tcPr>
            <w:tcW w:w="0" w:type="auto"/>
          </w:tcPr>
          <w:p>
            <w:pPr>
              <w:spacing w:line="240" w:lineRule="auto" w:before="0" w:after="0"/>
              <w:pStyle w:val="Compact"/>
            </w:pPr>
            <w:r>
              <w:rPr>
                <w:sz w:val="20"/>
                <w:szCs w:val="20"/>
              </w:rPr>
              <w:t xml:space="preserve">37.8253</w:t>
            </w:r>
          </w:p>
        </w:tc>
        <w:tc>
          <w:tcPr>
            <w:tcW w:w="0" w:type="auto"/>
          </w:tcPr>
          <w:p>
            <w:pPr>
              <w:spacing w:line="240" w:lineRule="auto" w:before="0" w:after="0"/>
              <w:pStyle w:val="Compact"/>
            </w:pPr>
            <w:r>
              <w:rPr>
                <w:sz w:val="20"/>
                <w:szCs w:val="20"/>
              </w:rPr>
              <w:t xml:space="preserve">2138.7638</w:t>
            </w:r>
          </w:p>
        </w:tc>
        <w:tc>
          <w:tcPr>
            <w:tcW w:w="0" w:type="auto"/>
          </w:tcPr>
          <w:p>
            <w:pPr>
              <w:spacing w:line="240" w:lineRule="auto" w:before="0" w:after="0"/>
              <w:pStyle w:val="Compact"/>
            </w:pPr>
            <w:r>
              <w:rPr>
                <w:sz w:val="20"/>
                <w:szCs w:val="20"/>
              </w:rPr>
              <w:t xml:space="preserve">7.668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Cote d’Ivoire</w:t>
            </w:r>
          </w:p>
        </w:tc>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40.6528</w:t>
            </w:r>
          </w:p>
        </w:tc>
        <w:tc>
          <w:tcPr>
            <w:tcW w:w="0" w:type="auto"/>
          </w:tcPr>
          <w:p>
            <w:pPr>
              <w:spacing w:line="240" w:lineRule="auto" w:before="0" w:after="0"/>
              <w:pStyle w:val="Compact"/>
            </w:pPr>
            <w:r>
              <w:rPr>
                <w:sz w:val="20"/>
                <w:szCs w:val="20"/>
              </w:rPr>
              <w:t xml:space="preserve">59.3472</w:t>
            </w:r>
          </w:p>
        </w:tc>
        <w:tc>
          <w:tcPr>
            <w:tcW w:w="0" w:type="auto"/>
          </w:tcPr>
          <w:p>
            <w:pPr>
              <w:spacing w:line="240" w:lineRule="auto" w:before="0" w:after="0"/>
              <w:pStyle w:val="Compact"/>
            </w:pPr>
            <w:r>
              <w:rPr>
                <w:sz w:val="20"/>
                <w:szCs w:val="20"/>
              </w:rPr>
              <w:t xml:space="preserve">46.5925</w:t>
            </w:r>
          </w:p>
        </w:tc>
        <w:tc>
          <w:tcPr>
            <w:tcW w:w="0" w:type="auto"/>
          </w:tcPr>
          <w:p>
            <w:pPr>
              <w:spacing w:line="240" w:lineRule="auto" w:before="0" w:after="0"/>
              <w:pStyle w:val="Compact"/>
            </w:pPr>
            <w:r>
              <w:rPr>
                <w:sz w:val="20"/>
                <w:szCs w:val="20"/>
              </w:rPr>
              <w:t xml:space="preserve">2591.9659</w:t>
            </w:r>
          </w:p>
        </w:tc>
        <w:tc>
          <w:tcPr>
            <w:tcW w:w="0" w:type="auto"/>
          </w:tcPr>
          <w:p>
            <w:pPr>
              <w:spacing w:line="240" w:lineRule="auto" w:before="0" w:after="0"/>
              <w:pStyle w:val="Compact"/>
            </w:pPr>
            <w:r>
              <w:rPr>
                <w:sz w:val="20"/>
                <w:szCs w:val="20"/>
              </w:rPr>
              <w:t xml:space="preserve">7.8602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42.2438</w:t>
            </w:r>
          </w:p>
        </w:tc>
        <w:tc>
          <w:tcPr>
            <w:tcW w:w="0" w:type="auto"/>
          </w:tcPr>
          <w:p>
            <w:pPr>
              <w:spacing w:line="240" w:lineRule="auto" w:before="0" w:after="0"/>
              <w:pStyle w:val="Compact"/>
            </w:pPr>
            <w:r>
              <w:rPr>
                <w:sz w:val="20"/>
                <w:szCs w:val="20"/>
              </w:rPr>
              <w:t xml:space="preserve">57.7562</w:t>
            </w:r>
          </w:p>
        </w:tc>
        <w:tc>
          <w:tcPr>
            <w:tcW w:w="0" w:type="auto"/>
          </w:tcPr>
          <w:p>
            <w:pPr>
              <w:spacing w:line="240" w:lineRule="auto" w:before="0" w:after="0"/>
              <w:pStyle w:val="Compact"/>
            </w:pPr>
            <w:r>
              <w:rPr>
                <w:sz w:val="20"/>
                <w:szCs w:val="20"/>
              </w:rPr>
              <w:t xml:space="preserve">44.8713</w:t>
            </w:r>
          </w:p>
        </w:tc>
        <w:tc>
          <w:tcPr>
            <w:tcW w:w="0" w:type="auto"/>
          </w:tcPr>
          <w:p>
            <w:pPr>
              <w:spacing w:line="240" w:lineRule="auto" w:before="0" w:after="0"/>
              <w:pStyle w:val="Compact"/>
            </w:pPr>
            <w:r>
              <w:rPr>
                <w:sz w:val="20"/>
                <w:szCs w:val="20"/>
              </w:rPr>
              <w:t xml:space="preserve">1720.4751</w:t>
            </w:r>
          </w:p>
        </w:tc>
        <w:tc>
          <w:tcPr>
            <w:tcW w:w="0" w:type="auto"/>
          </w:tcPr>
          <w:p>
            <w:pPr>
              <w:spacing w:line="240" w:lineRule="auto" w:before="0" w:after="0"/>
              <w:pStyle w:val="Compact"/>
            </w:pPr>
            <w:r>
              <w:rPr>
                <w:sz w:val="20"/>
                <w:szCs w:val="20"/>
              </w:rPr>
              <w:t xml:space="preserve">7.4504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Congo, Rep.</w:t>
            </w:r>
          </w:p>
        </w:tc>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43.1504</w:t>
            </w:r>
          </w:p>
        </w:tc>
        <w:tc>
          <w:tcPr>
            <w:tcW w:w="0" w:type="auto"/>
          </w:tcPr>
          <w:p>
            <w:pPr>
              <w:spacing w:line="240" w:lineRule="auto" w:before="0" w:after="0"/>
              <w:pStyle w:val="Compact"/>
            </w:pPr>
            <w:r>
              <w:rPr>
                <w:sz w:val="20"/>
                <w:szCs w:val="20"/>
              </w:rPr>
              <w:t xml:space="preserve">56.8496</w:t>
            </w:r>
          </w:p>
        </w:tc>
        <w:tc>
          <w:tcPr>
            <w:tcW w:w="0" w:type="auto"/>
          </w:tcPr>
          <w:p>
            <w:pPr>
              <w:spacing w:line="240" w:lineRule="auto" w:before="0" w:after="0"/>
              <w:pStyle w:val="Compact"/>
            </w:pPr>
            <w:r>
              <w:rPr>
                <w:sz w:val="20"/>
                <w:szCs w:val="20"/>
              </w:rPr>
              <w:t xml:space="preserve">36.3373</w:t>
            </w:r>
          </w:p>
        </w:tc>
        <w:tc>
          <w:tcPr>
            <w:tcW w:w="0" w:type="auto"/>
          </w:tcPr>
          <w:p>
            <w:pPr>
              <w:spacing w:line="240" w:lineRule="auto" w:before="0" w:after="0"/>
              <w:pStyle w:val="Compact"/>
            </w:pPr>
            <w:r>
              <w:rPr>
                <w:sz w:val="20"/>
                <w:szCs w:val="20"/>
              </w:rPr>
              <w:t xml:space="preserve">2477.9785</w:t>
            </w:r>
          </w:p>
        </w:tc>
        <w:tc>
          <w:tcPr>
            <w:tcW w:w="0" w:type="auto"/>
          </w:tcPr>
          <w:p>
            <w:pPr>
              <w:spacing w:line="240" w:lineRule="auto" w:before="0" w:after="0"/>
              <w:pStyle w:val="Compact"/>
            </w:pPr>
            <w:r>
              <w:rPr>
                <w:sz w:val="20"/>
                <w:szCs w:val="20"/>
              </w:rPr>
              <w:t xml:space="preserve">7.8152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South Asia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44.5027</w:t>
            </w:r>
          </w:p>
        </w:tc>
        <w:tc>
          <w:tcPr>
            <w:tcW w:w="0" w:type="auto"/>
          </w:tcPr>
          <w:p>
            <w:pPr>
              <w:spacing w:line="240" w:lineRule="auto" w:before="0" w:after="0"/>
              <w:pStyle w:val="Compact"/>
            </w:pPr>
            <w:r>
              <w:rPr>
                <w:sz w:val="20"/>
                <w:szCs w:val="20"/>
              </w:rPr>
              <w:t xml:space="preserve">55.4973</w:t>
            </w:r>
          </w:p>
        </w:tc>
        <w:tc>
          <w:tcPr>
            <w:tcW w:w="0" w:type="auto"/>
          </w:tcPr>
          <w:p>
            <w:pPr>
              <w:spacing w:line="240" w:lineRule="auto" w:before="0" w:after="0"/>
              <w:pStyle w:val="Compact"/>
            </w:pPr>
            <w:r>
              <w:rPr>
                <w:sz w:val="20"/>
                <w:szCs w:val="20"/>
              </w:rPr>
              <w:t xml:space="preserve">67.8422</w:t>
            </w:r>
          </w:p>
        </w:tc>
        <w:tc>
          <w:tcPr>
            <w:tcW w:w="0" w:type="auto"/>
          </w:tcPr>
          <w:p>
            <w:pPr>
              <w:spacing w:line="240" w:lineRule="auto" w:before="0" w:after="0"/>
              <w:pStyle w:val="Compact"/>
            </w:pPr>
            <w:r>
              <w:rPr>
                <w:sz w:val="20"/>
                <w:szCs w:val="20"/>
              </w:rPr>
              <w:t xml:space="preserve">2551.0177</w:t>
            </w:r>
          </w:p>
        </w:tc>
        <w:tc>
          <w:tcPr>
            <w:tcW w:w="0" w:type="auto"/>
          </w:tcPr>
          <w:p>
            <w:pPr>
              <w:spacing w:line="240" w:lineRule="auto" w:before="0" w:after="0"/>
              <w:pStyle w:val="Compact"/>
            </w:pPr>
            <w:r>
              <w:rPr>
                <w:sz w:val="20"/>
                <w:szCs w:val="20"/>
              </w:rPr>
              <w:t xml:space="preserve">7.8442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44.9563</w:t>
            </w:r>
          </w:p>
        </w:tc>
        <w:tc>
          <w:tcPr>
            <w:tcW w:w="0" w:type="auto"/>
          </w:tcPr>
          <w:p>
            <w:pPr>
              <w:spacing w:line="240" w:lineRule="auto" w:before="0" w:after="0"/>
              <w:pStyle w:val="Compact"/>
            </w:pPr>
            <w:r>
              <w:rPr>
                <w:sz w:val="20"/>
                <w:szCs w:val="20"/>
              </w:rPr>
              <w:t xml:space="preserve">55.0437</w:t>
            </w:r>
          </w:p>
        </w:tc>
        <w:tc>
          <w:tcPr>
            <w:tcW w:w="0" w:type="auto"/>
          </w:tcPr>
          <w:p>
            <w:pPr>
              <w:spacing w:line="240" w:lineRule="auto" w:before="0" w:after="0"/>
              <w:pStyle w:val="Compact"/>
            </w:pPr>
            <w:r>
              <w:rPr>
                <w:sz w:val="20"/>
                <w:szCs w:val="20"/>
              </w:rPr>
              <w:t xml:space="preserve">40.2858</w:t>
            </w:r>
          </w:p>
        </w:tc>
        <w:tc>
          <w:tcPr>
            <w:tcW w:w="0" w:type="auto"/>
          </w:tcPr>
          <w:p>
            <w:pPr>
              <w:spacing w:line="240" w:lineRule="auto" w:before="0" w:after="0"/>
              <w:pStyle w:val="Compact"/>
            </w:pPr>
            <w:r>
              <w:rPr>
                <w:sz w:val="20"/>
                <w:szCs w:val="20"/>
              </w:rPr>
              <w:t xml:space="preserve">2135.7819</w:t>
            </w:r>
          </w:p>
        </w:tc>
        <w:tc>
          <w:tcPr>
            <w:tcW w:w="0" w:type="auto"/>
          </w:tcPr>
          <w:p>
            <w:pPr>
              <w:spacing w:line="240" w:lineRule="auto" w:before="0" w:after="0"/>
              <w:pStyle w:val="Compact"/>
            </w:pPr>
            <w:r>
              <w:rPr>
                <w:sz w:val="20"/>
                <w:szCs w:val="20"/>
              </w:rPr>
              <w:t xml:space="preserve">7.6666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South Asia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45.8068</w:t>
            </w:r>
          </w:p>
        </w:tc>
        <w:tc>
          <w:tcPr>
            <w:tcW w:w="0" w:type="auto"/>
          </w:tcPr>
          <w:p>
            <w:pPr>
              <w:spacing w:line="240" w:lineRule="auto" w:before="0" w:after="0"/>
              <w:pStyle w:val="Compact"/>
            </w:pPr>
            <w:r>
              <w:rPr>
                <w:sz w:val="20"/>
                <w:szCs w:val="20"/>
              </w:rPr>
              <w:t xml:space="preserve">54.1932</w:t>
            </w:r>
          </w:p>
        </w:tc>
        <w:tc>
          <w:tcPr>
            <w:tcW w:w="0" w:type="auto"/>
          </w:tcPr>
          <w:p>
            <w:pPr>
              <w:spacing w:line="240" w:lineRule="auto" w:before="0" w:after="0"/>
              <w:pStyle w:val="Compact"/>
            </w:pPr>
            <w:r>
              <w:rPr>
                <w:sz w:val="20"/>
                <w:szCs w:val="20"/>
              </w:rPr>
              <w:t xml:space="preserve">33.4567</w:t>
            </w:r>
          </w:p>
        </w:tc>
        <w:tc>
          <w:tcPr>
            <w:tcW w:w="0" w:type="auto"/>
          </w:tcPr>
          <w:p>
            <w:pPr>
              <w:spacing w:line="240" w:lineRule="auto" w:before="0" w:after="0"/>
              <w:pStyle w:val="Compact"/>
            </w:pPr>
            <w:r>
              <w:rPr>
                <w:sz w:val="20"/>
                <w:szCs w:val="20"/>
              </w:rPr>
              <w:t xml:space="preserve">1382.3306</w:t>
            </w:r>
          </w:p>
        </w:tc>
        <w:tc>
          <w:tcPr>
            <w:tcW w:w="0" w:type="auto"/>
          </w:tcPr>
          <w:p>
            <w:pPr>
              <w:spacing w:line="240" w:lineRule="auto" w:before="0" w:after="0"/>
              <w:pStyle w:val="Compact"/>
            </w:pPr>
            <w:r>
              <w:rPr>
                <w:sz w:val="20"/>
                <w:szCs w:val="20"/>
              </w:rPr>
              <w:t xml:space="preserve">7.2315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Latin America &amp; Caribbean</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47.9927</w:t>
            </w:r>
          </w:p>
        </w:tc>
        <w:tc>
          <w:tcPr>
            <w:tcW w:w="0" w:type="auto"/>
          </w:tcPr>
          <w:p>
            <w:pPr>
              <w:spacing w:line="240" w:lineRule="auto" w:before="0" w:after="0"/>
              <w:pStyle w:val="Compact"/>
            </w:pPr>
            <w:r>
              <w:rPr>
                <w:sz w:val="20"/>
                <w:szCs w:val="20"/>
              </w:rPr>
              <w:t xml:space="preserve">52.0073</w:t>
            </w:r>
          </w:p>
        </w:tc>
        <w:tc>
          <w:tcPr>
            <w:tcW w:w="0" w:type="auto"/>
          </w:tcPr>
          <w:p>
            <w:pPr>
              <w:spacing w:line="240" w:lineRule="auto" w:before="0" w:after="0"/>
              <w:pStyle w:val="Compact"/>
            </w:pPr>
            <w:r>
              <w:rPr>
                <w:sz w:val="20"/>
                <w:szCs w:val="20"/>
              </w:rPr>
              <w:t xml:space="preserve">45.5503</w:t>
            </w:r>
          </w:p>
        </w:tc>
        <w:tc>
          <w:tcPr>
            <w:tcW w:w="0" w:type="auto"/>
          </w:tcPr>
          <w:p>
            <w:pPr>
              <w:spacing w:line="240" w:lineRule="auto" w:before="0" w:after="0"/>
              <w:pStyle w:val="Compact"/>
            </w:pPr>
            <w:r>
              <w:rPr>
                <w:sz w:val="20"/>
                <w:szCs w:val="20"/>
              </w:rPr>
              <w:t xml:space="preserve">1705.7581</w:t>
            </w:r>
          </w:p>
        </w:tc>
        <w:tc>
          <w:tcPr>
            <w:tcW w:w="0" w:type="auto"/>
          </w:tcPr>
          <w:p>
            <w:pPr>
              <w:spacing w:line="240" w:lineRule="auto" w:before="0" w:after="0"/>
              <w:pStyle w:val="Compact"/>
            </w:pPr>
            <w:r>
              <w:rPr>
                <w:sz w:val="20"/>
                <w:szCs w:val="20"/>
              </w:rPr>
              <w:t xml:space="preserve">7.4418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Gambia, The</w:t>
            </w:r>
          </w:p>
        </w:tc>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48.7283</w:t>
            </w:r>
          </w:p>
        </w:tc>
        <w:tc>
          <w:tcPr>
            <w:tcW w:w="0" w:type="auto"/>
          </w:tcPr>
          <w:p>
            <w:pPr>
              <w:spacing w:line="240" w:lineRule="auto" w:before="0" w:after="0"/>
              <w:pStyle w:val="Compact"/>
            </w:pPr>
            <w:r>
              <w:rPr>
                <w:sz w:val="20"/>
                <w:szCs w:val="20"/>
              </w:rPr>
              <w:t xml:space="preserve">51.2717</w:t>
            </w:r>
          </w:p>
        </w:tc>
        <w:tc>
          <w:tcPr>
            <w:tcW w:w="0" w:type="auto"/>
          </w:tcPr>
          <w:p>
            <w:pPr>
              <w:spacing w:line="240" w:lineRule="auto" w:before="0" w:after="0"/>
              <w:pStyle w:val="Compact"/>
            </w:pPr>
            <w:r>
              <w:rPr>
                <w:sz w:val="20"/>
                <w:szCs w:val="20"/>
              </w:rPr>
              <w:t xml:space="preserve">36.198</w:t>
            </w:r>
          </w:p>
        </w:tc>
        <w:tc>
          <w:tcPr>
            <w:tcW w:w="0" w:type="auto"/>
          </w:tcPr>
          <w:p>
            <w:pPr>
              <w:spacing w:line="240" w:lineRule="auto" w:before="0" w:after="0"/>
              <w:pStyle w:val="Compact"/>
            </w:pPr>
            <w:r>
              <w:rPr>
                <w:sz w:val="20"/>
                <w:szCs w:val="20"/>
              </w:rPr>
              <w:t xml:space="preserve">883.0241</w:t>
            </w:r>
          </w:p>
        </w:tc>
        <w:tc>
          <w:tcPr>
            <w:tcW w:w="0" w:type="auto"/>
          </w:tcPr>
          <w:p>
            <w:pPr>
              <w:spacing w:line="240" w:lineRule="auto" w:before="0" w:after="0"/>
              <w:pStyle w:val="Compact"/>
            </w:pPr>
            <w:r>
              <w:rPr>
                <w:sz w:val="20"/>
                <w:szCs w:val="20"/>
              </w:rPr>
              <w:t xml:space="preserve">6.7834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48.9859</w:t>
            </w:r>
          </w:p>
        </w:tc>
        <w:tc>
          <w:tcPr>
            <w:tcW w:w="0" w:type="auto"/>
          </w:tcPr>
          <w:p>
            <w:pPr>
              <w:spacing w:line="240" w:lineRule="auto" w:before="0" w:after="0"/>
              <w:pStyle w:val="Compact"/>
            </w:pPr>
            <w:r>
              <w:rPr>
                <w:sz w:val="20"/>
                <w:szCs w:val="20"/>
              </w:rPr>
              <w:t xml:space="preserve">51.0141</w:t>
            </w:r>
          </w:p>
        </w:tc>
        <w:tc>
          <w:tcPr>
            <w:tcW w:w="0" w:type="auto"/>
          </w:tcPr>
          <w:p>
            <w:pPr>
              <w:spacing w:line="240" w:lineRule="auto" w:before="0" w:after="0"/>
              <w:pStyle w:val="Compact"/>
            </w:pPr>
            <w:r>
              <w:rPr>
                <w:sz w:val="20"/>
                <w:szCs w:val="20"/>
              </w:rPr>
              <w:t xml:space="preserve">57.3218</w:t>
            </w:r>
          </w:p>
        </w:tc>
        <w:tc>
          <w:tcPr>
            <w:tcW w:w="0" w:type="auto"/>
          </w:tcPr>
          <w:p>
            <w:pPr>
              <w:spacing w:line="240" w:lineRule="auto" w:before="0" w:after="0"/>
              <w:pStyle w:val="Compact"/>
            </w:pPr>
            <w:r>
              <w:rPr>
                <w:sz w:val="20"/>
                <w:szCs w:val="20"/>
              </w:rPr>
              <w:t xml:space="preserve">916.283</w:t>
            </w:r>
          </w:p>
        </w:tc>
        <w:tc>
          <w:tcPr>
            <w:tcW w:w="0" w:type="auto"/>
          </w:tcPr>
          <w:p>
            <w:pPr>
              <w:spacing w:line="240" w:lineRule="auto" w:before="0" w:after="0"/>
              <w:pStyle w:val="Compact"/>
            </w:pPr>
            <w:r>
              <w:rPr>
                <w:sz w:val="20"/>
                <w:szCs w:val="20"/>
              </w:rPr>
              <w:t xml:space="preserve">6.8203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internet_gap_pct</w:t>
            </w:r>
          </w:p>
        </w:tc>
        <w:tc>
          <w:tcPr>
            <w:tcW w:w="0" w:type="auto"/>
          </w:tcPr>
          <w:p>
            <w:pPr>
              <w:spacing w:line="240" w:lineRule="auto" w:before="0" w:after="0"/>
              <w:pStyle w:val="Compact"/>
            </w:pPr>
            <w:r>
              <w:rPr>
                <w:sz w:val="20"/>
                <w:szCs w:val="20"/>
              </w:rPr>
              <w:t xml:space="preserve">Population share not using the Internet in 2023</w:t>
            </w:r>
          </w:p>
        </w:tc>
        <w:tc>
          <w:tcPr>
            <w:tcW w:w="0" w:type="auto"/>
          </w:tcPr>
          <w:p>
            <w:pPr>
              <w:spacing w:line="240" w:lineRule="auto" w:before="0" w:after="0"/>
              <w:pStyle w:val="Compact"/>
            </w:pPr>
            <w:r>
              <w:rPr>
                <w:sz w:val="20"/>
                <w:szCs w:val="20"/>
              </w:rPr>
              <w:t xml:space="preserve">100 minus World Bank IT.NET.USER.ZS</w:t>
            </w:r>
          </w:p>
        </w:tc>
      </w:tr>
      <w:tr>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Rural population as percent of total population in 2023</w:t>
            </w:r>
          </w:p>
        </w:tc>
        <w:tc>
          <w:tcPr>
            <w:tcW w:w="0" w:type="auto"/>
          </w:tcPr>
          <w:p>
            <w:pPr>
              <w:spacing w:line="240" w:lineRule="auto" w:before="0" w:after="0"/>
              <w:pStyle w:val="Compact"/>
            </w:pPr>
            <w:r>
              <w:rPr>
                <w:sz w:val="20"/>
                <w:szCs w:val="20"/>
              </w:rPr>
              <w:t xml:space="preserve">World Bank SP.RUR.TOTL.ZS</w:t>
            </w:r>
          </w:p>
        </w:tc>
      </w:tr>
      <w:tr>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Natural log of GDP per capita in current U.S. dollars in 2023</w:t>
            </w:r>
          </w:p>
        </w:tc>
        <w:tc>
          <w:tcPr>
            <w:tcW w:w="0" w:type="auto"/>
          </w:tcPr>
          <w:p>
            <w:pPr>
              <w:spacing w:line="240" w:lineRule="auto" w:before="0" w:after="0"/>
              <w:pStyle w:val="Compact"/>
            </w:pPr>
            <w:r>
              <w:rPr>
                <w:sz w:val="20"/>
                <w:szCs w:val="20"/>
              </w:rPr>
              <w:t xml:space="preserve">World Bank NY.GDP.PCAP.CD</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115.2408</w:t>
            </w:r>
          </w:p>
        </w:tc>
        <w:tc>
          <w:tcPr>
            <w:tcW w:w="0" w:type="auto"/>
          </w:tcPr>
          <w:p>
            <w:pPr>
              <w:spacing w:line="240" w:lineRule="auto" w:before="0" w:after="0"/>
              <w:pStyle w:val="Compact"/>
            </w:pPr>
            <w:r>
              <w:rPr>
                <w:sz w:val="20"/>
                <w:szCs w:val="20"/>
              </w:rPr>
              <w:t xml:space="preserve">15.4279</w:t>
            </w:r>
          </w:p>
        </w:tc>
        <w:tc>
          <w:tcPr>
            <w:tcW w:w="0" w:type="auto"/>
          </w:tcPr>
          <w:p>
            <w:pPr>
              <w:spacing w:line="240" w:lineRule="auto" w:before="0" w:after="0"/>
              <w:pStyle w:val="Compact"/>
            </w:pPr>
            <w:r>
              <w:rPr>
                <w:sz w:val="20"/>
                <w:szCs w:val="20"/>
              </w:rPr>
              <w:t xml:space="preserve">7.4696</w:t>
            </w:r>
          </w:p>
        </w:tc>
        <w:tc>
          <w:tcPr>
            <w:tcW w:w="0" w:type="auto"/>
          </w:tcPr>
          <w:p>
            <w:pPr>
              <w:spacing w:line="240" w:lineRule="auto" w:before="0" w:after="0"/>
              <w:pStyle w:val="Compact"/>
            </w:pPr>
            <w:r>
              <w:rPr>
                <w:sz w:val="20"/>
                <w:szCs w:val="20"/>
              </w:rPr>
              <w:t xml:space="preserve">8.042e-14</w:t>
            </w:r>
          </w:p>
        </w:tc>
        <w:tc>
          <w:tcPr>
            <w:tcW w:w="0" w:type="auto"/>
          </w:tcPr>
          <w:p>
            <w:pPr>
              <w:spacing w:line="240" w:lineRule="auto" w:before="0" w:after="0"/>
              <w:pStyle w:val="Compact"/>
            </w:pPr>
            <w:r>
              <w:rPr>
                <w:sz w:val="20"/>
                <w:szCs w:val="20"/>
              </w:rPr>
              <w:t xml:space="preserve">[85.0026, 145.479]</w:t>
            </w:r>
          </w:p>
        </w:tc>
      </w:tr>
      <w:tr>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4.6654</w:t>
            </w:r>
          </w:p>
        </w:tc>
        <w:tc>
          <w:tcPr>
            <w:tcW w:w="0" w:type="auto"/>
          </w:tcPr>
          <w:p>
            <w:pPr>
              <w:spacing w:line="240" w:lineRule="auto" w:before="0" w:after="0"/>
              <w:pStyle w:val="Compact"/>
            </w:pPr>
            <w:r>
              <w:rPr>
                <w:sz w:val="20"/>
                <w:szCs w:val="20"/>
              </w:rPr>
              <w:t xml:space="preserve">3.081e-06</w:t>
            </w:r>
          </w:p>
        </w:tc>
        <w:tc>
          <w:tcPr>
            <w:tcW w:w="0" w:type="auto"/>
          </w:tcPr>
          <w:p>
            <w:pPr>
              <w:spacing w:line="240" w:lineRule="auto" w:before="0" w:after="0"/>
              <w:pStyle w:val="Compact"/>
            </w:pPr>
            <w:r>
              <w:rPr>
                <w:sz w:val="20"/>
                <w:szCs w:val="20"/>
              </w:rPr>
              <w:t xml:space="preserve">[0.2304, 0.5642]</w:t>
            </w:r>
          </w:p>
        </w:tc>
      </w:tr>
      <w:tr>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-9.7131</w:t>
            </w:r>
          </w:p>
        </w:tc>
        <w:tc>
          <w:tcPr>
            <w:tcW w:w="0" w:type="auto"/>
          </w:tcPr>
          <w:p>
            <w:pPr>
              <w:spacing w:line="240" w:lineRule="auto" w:before="0" w:after="0"/>
              <w:pStyle w:val="Compact"/>
            </w:pPr>
            <w:r>
              <w:rPr>
                <w:sz w:val="20"/>
                <w:szCs w:val="20"/>
              </w:rPr>
              <w:t xml:space="preserve">1.7622</w:t>
            </w:r>
          </w:p>
        </w:tc>
        <w:tc>
          <w:tcPr>
            <w:tcW w:w="0" w:type="auto"/>
          </w:tcPr>
          <w:p>
            <w:pPr>
              <w:spacing w:line="240" w:lineRule="auto" w:before="0" w:after="0"/>
              <w:pStyle w:val="Compact"/>
            </w:pPr>
            <w:r>
              <w:rPr>
                <w:sz w:val="20"/>
                <w:szCs w:val="20"/>
              </w:rPr>
              <w:t xml:space="preserve">-5.5118</w:t>
            </w:r>
          </w:p>
        </w:tc>
        <w:tc>
          <w:tcPr>
            <w:tcW w:w="0" w:type="auto"/>
          </w:tcPr>
          <w:p>
            <w:pPr>
              <w:spacing w:line="240" w:lineRule="auto" w:before="0" w:after="0"/>
              <w:pStyle w:val="Compact"/>
            </w:pPr>
            <w:r>
              <w:rPr>
                <w:sz w:val="20"/>
                <w:szCs w:val="20"/>
              </w:rPr>
              <w:t xml:space="preserve">3.552e-08</w:t>
            </w:r>
          </w:p>
        </w:tc>
        <w:tc>
          <w:tcPr>
            <w:tcW w:w="0" w:type="auto"/>
          </w:tcPr>
          <w:p>
            <w:pPr>
              <w:spacing w:line="240" w:lineRule="auto" w:before="0" w:after="0"/>
              <w:pStyle w:val="Compact"/>
            </w:pPr>
            <w:r>
              <w:rPr>
                <w:sz w:val="20"/>
                <w:szCs w:val="20"/>
              </w:rPr>
              <w:t xml:space="preserve">[-13.167, -6.2591]</w:t>
            </w:r>
          </w:p>
        </w:tc>
      </w:tr>
    </w:tbl>
    <w:p>
      <w:pPr>
        <w:pStyle w:val="BodyText"/>
      </w:pPr>
      <w:r>
        <w:t xml:space="preserve">Fit: N = 40 R2 = 0.6189 R2_adj = 0.5983 F = 46.6268 F_p = 7.729e-11</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1016/j.actaastro.2019.03.040" TargetMode="External" /><Relationship Type="http://schemas.openxmlformats.org/officeDocument/2006/relationships/hyperlink" Id="rId75" Target="https://doi.org/10.1016/j.actaastro.2022.05.022" TargetMode="External" /><Relationship Type="http://schemas.openxmlformats.org/officeDocument/2006/relationships/hyperlink" Id="rId72" Target="https://doi.org/10.1016/j.actaastro.2025.06.06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3.040" TargetMode="External" /><Relationship Type="http://schemas.openxmlformats.org/officeDocument/2006/relationships/hyperlink" Id="rId75" Target="https://doi.org/10.1016/j.actaastro.2022.05.022" TargetMode="External" /><Relationship Type="http://schemas.openxmlformats.org/officeDocument/2006/relationships/hyperlink" Id="rId72" Target="https://doi.org/10.1016/j.actaastro.2025.06.06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2026-06-27T21:24:26Z</dcterms:created>
  <dcterms:modified xsi:type="dcterms:W3CDTF">2026-06-27T21:24:26Z</dcterms:modified>
</cp:coreProperties>
</file>

<file path=docProps/custom.xml><?xml version="1.0" encoding="utf-8"?>
<Properties xmlns="http://schemas.openxmlformats.org/officeDocument/2006/custom-properties" xmlns:vt="http://schemas.openxmlformats.org/officeDocument/2006/docPropsVTypes"/>
</file>