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0d4a2ec748b016b3af587c25f35cb17f8c7b9b8"/>
    <w:p>
      <w:pPr>
        <w:pStyle w:val="Heading1"/>
      </w:pPr>
      <w:r>
        <w:t xml:space="preserve">How Fast Did the Starlink Supply Frontier Scale? A Launch-Cohort Learning Curve from CelesTrak SATCAT Records</w:t>
      </w:r>
    </w:p>
    <w:bookmarkStart w:id="61" w:name="introduction"/>
    <w:p>
      <w:pPr>
        <w:pStyle w:val="Heading2"/>
      </w:pPr>
      <w:r>
        <w:t xml:space="preserve">1. Introduction</w:t>
      </w:r>
    </w:p>
    <w:p>
      <w:pPr>
        <w:pStyle w:val="FirstParagraph"/>
      </w:pPr>
      <w:r>
        <w:t xml:space="preserve">The capacity-glut question begins with supply. LEO broadband operators can announce aggregate constellation designs, but usable supply is produced cohort by cohort through launches, cataloged payloads, ground integration, spectrum rights, and service activation. This paper tests the first part of that sequence: the rate at which the Starlink payload stock scaled during early deployment. The evidence comes from CelesTrak SATCAT records for Starlink payloads, grouped by launch date into the first 40 launch cohorts</w:t>
      </w:r>
      <w:r>
        <w:t xml:space="preserve"> </w:t>
      </w:r>
      <w:hyperlink w:anchor="ref-1">
        <m:oMathPara>
          <m:oMathParaPr>
            <m:jc m:val="center"/>
          </m:oMathParaPr>
          <m:oMath>
            <m:r>
              <m:t>1</m:t>
            </m:r>
          </m:oMath>
        </m:oMathPara>
      </w:hyperlink>
      <w:r>
        <w:t xml:space="preserve">.</w:t>
      </w:r>
    </w:p>
    <w:p>
      <w:pPr>
        <w:pStyle w:val="FirstParagraph"/>
      </w:pPr>
      <w:r>
        <w:t xml:space="preserve">The paper estimates a log-log learning-curve model in which cumulative cataloged payloads are regressed on launch-cohort sequence. This is not a consumer-demand model. It is a supply-frontier test that asks whether the deployed payload stock grew faster than linearly with the number of launch cohorts. If cumulative payloads scale superlinearly, then supply pressure can rise faster than the count of launches alone implies. If the elasticity is close to one or below one, the launch process expands the stock at a nearly proportional pace.</w:t>
      </w:r>
    </w:p>
    <w:p>
      <w:pPr>
        <w:pStyle w:val="BodyText"/>
      </w:pPr>
      <w:r>
        <w:t xml:space="preserve">The result is precise and bounded. The estimated elasticity is 0.9699 with a robust standard error of 0.0056. The repository estimator reports a p-value of 0.0 for the slope. The doubling multiplier is 1.9587. The estimate is below one, so the evidence does not support the stated alternative of superlinear cumulative scaling. Instead, the first 40 Starlink launch cohorts produced a nearly proportional cumulative supply curve, with a doubling of launch-cohort count associated with 1.9587 times as many cataloged payloads.</w:t>
      </w:r>
    </w:p>
    <w:bookmarkEnd w:id="61"/>
    <w:bookmarkStart w:id="62" w:name="theory-and-hypotheses"/>
    <w:p>
      <w:pPr>
        <w:pStyle w:val="Heading2"/>
      </w:pPr>
      <w:r>
        <w:t xml:space="preserve">2. Theory and Hypotheses</w:t>
      </w:r>
    </w:p>
    <w:p>
      <w:pPr>
        <w:pStyle w:val="FirstParagraph"/>
      </w:pPr>
      <w:r>
        <w:t xml:space="preserve">The literature on LEO broadband distinguishes technical capacity from market absorption. Del Portillo, Cameron, and Crawley show that constellation throughput depends on satellite architecture, orbital design, ground segment, and spectrum choices</w:t>
      </w:r>
      <w:r>
        <w:t xml:space="preserve"> </w:t>
      </w:r>
      <w:hyperlink w:anchor="ref-2">
        <m:oMathPara>
          <m:oMathParaPr>
            <m:jc m:val="center"/>
          </m:oMathParaPr>
          <m:oMath>
            <m:r>
              <m:t>2</m:t>
            </m:r>
          </m:oMath>
        </m:oMathPara>
      </w:hyperlink>
      <w:r>
        <w:t xml:space="preserve">. Anderson, Cardin, and Grogan treat staged deployment under demand uncertainty as a flexibility problem, not simply a race to fill shells</w:t>
      </w:r>
      <w:r>
        <w:t xml:space="preserve"> </w:t>
      </w:r>
      <w:hyperlink w:anchor="ref-3">
        <m:oMathPara>
          <m:oMathParaPr>
            <m:jc m:val="center"/>
          </m:oMathParaPr>
          <m:oMath>
            <m:r>
              <m:t>3</m:t>
            </m:r>
          </m:oMath>
        </m:oMathPara>
      </w:hyperlink>
      <w:r>
        <w:t xml:space="preserve">. Young and Thadani describe LEO broadband competition as strategically shaped by first-mover advantage, government demand, and control of industrial tempo</w:t>
      </w:r>
      <w:r>
        <w:t xml:space="preserve"> </w:t>
      </w:r>
      <w:hyperlink w:anchor="ref-4">
        <m:oMathPara>
          <m:oMathParaPr>
            <m:jc m:val="center"/>
          </m:oMathParaPr>
          <m:oMath>
            <m:r>
              <m:t>4</m:t>
            </m:r>
          </m:oMath>
        </m:oMathPara>
      </w:hyperlink>
      <w:r>
        <w:t xml:space="preserve">. These accounts imply that launch cadence is a core variable, but none treats the count of launches as identical to effective service demand.</w:t>
      </w:r>
    </w:p>
    <w:p>
      <w:pPr>
        <w:pStyle w:val="FirstParagraph"/>
      </w:pPr>
      <w:r>
        <w:t xml:space="preserve">A learning-curve framing is useful because the early Starlink deployment moved from demonstration to repeated operational cadence. Larger and steadier cohorts would produce a cumulative payload curve that rises faster than the cohort sequence. A constant payload-per-launch regime would produce nearly linear cumulative scaling. Interruptions, attrition, or smaller batches would push the elasticity below one. The hypothesis therefore compares the estimated elasticity with one.</w:t>
      </w:r>
    </w:p>
    <w:p>
      <w:pPr>
        <w:pStyle w:val="BodyText"/>
      </w:pPr>
      <w:r>
        <w:t xml:space="preserve">H0 states that cumulative Starlink payloads scale linearly or less with launch-cohort sequence, b &lt;= 1. H1 states that cumulative payloads scale superlinearly with launch-cohort sequence, b &gt; 1. The test is deliberately narrow. It does not estimate satellite capacity in Gbps, gateway throughput, or revenue. It measures whether the physical payload stock in the public catalog accelerated in a way that would make capacity-glut risk grow faster than launch counts alone.</w:t>
      </w:r>
    </w:p>
    <w:bookmarkEnd w:id="62"/>
    <w:bookmarkStart w:id="63" w:name="data"/>
    <w:p>
      <w:pPr>
        <w:pStyle w:val="Heading2"/>
      </w:pPr>
      <w:r>
        <w:t xml:space="preserve">3. Data</w:t>
      </w:r>
    </w:p>
    <w:p>
      <w:pPr>
        <w:pStyle w:val="FirstParagraph"/>
      </w:pPr>
      <w:r>
        <w:t xml:space="preserve">The dataset uses CelesTrak SATCAT Starlink payload records retrieved on June 27, 2026</w:t>
      </w:r>
      <w:r>
        <w:t xml:space="preserve"> </w:t>
      </w:r>
      <w:hyperlink w:anchor="ref-1">
        <m:oMathPara>
          <m:oMathParaPr>
            <m:jc m:val="center"/>
          </m:oMathParaPr>
          <m:oMath>
            <m:r>
              <m:t>1</m:t>
            </m:r>
          </m:oMath>
        </m:oMathPara>
      </w:hyperlink>
      <w:r>
        <w:t xml:space="preserve">. The query returns records with object name, object identifier, NORAD catalog identifier, object type, owner, launch date, launch site, decay date, orbit fields, and status codes. The analytic file keeps payload records and groups them by</w:t>
      </w:r>
      <w:r>
        <w:t xml:space="preserve"> </w:t>
      </w:r>
      <w:r>
        <w:rPr>
          <w:rStyle w:val="VerbatimChar"/>
        </w:rPr>
        <w:t xml:space="preserve">LAUNCH_DATE</w:t>
      </w:r>
      <w:r>
        <w:t xml:space="preserve">. The unit of analysis is the launch cohort, not the individual satellite.</w:t>
      </w:r>
    </w:p>
    <w:p>
      <w:pPr>
        <w:pStyle w:val="FirstParagraph"/>
      </w:pPr>
      <w:r>
        <w:t xml:space="preserve">The first 40 launch cohorts are retained. For each cohort, the data record the cohort sequence, launch date, payload count, cumulative payloads through that cohort, surviving payloads without a recorded decay date, decayed payloads with a recorded decay date, and decay share. The dependent variable for the estimator is cumulative payloads. The predictor is the positive ordinal launch-cohort sequence. Every row carries the same source string pointing to the CelesTrak query and the grouping rule. No row is illustrative.</w:t>
      </w:r>
    </w:p>
    <w:p>
      <w:pPr>
        <w:pStyle w:val="BodyText"/>
      </w:pPr>
      <w:r>
        <w:t xml:space="preserve">This construction has limits. SATCAT records provide cataloged payload counts, not activated service capacity. The cumulative count also does not subtract gateway bottlenecks, spectrum sharing constraints, terminal availability, or country-level licensing. Those omissions are intentional because this paper isolates the payload-stock component of the supply frontier. Later chapters connect it to demand-side evidence.</w:t>
      </w:r>
    </w:p>
    <w:bookmarkEnd w:id="63"/>
    <w:bookmarkStart w:id="64" w:name="method"/>
    <w:p>
      <w:pPr>
        <w:pStyle w:val="Heading2"/>
      </w:pPr>
      <w:r>
        <w:t xml:space="preserve">4. Method</w:t>
      </w:r>
    </w:p>
    <w:p>
      <w:pPr>
        <w:pStyle w:val="FirstParagraph"/>
      </w:pPr>
      <w:r>
        <w:t xml:space="preserve">The repository’s learning-curve method estimates ordinary least squares after natural-log transformation of the positive outcome and the first positive predictor. The model is log cumulative payloads on log launch-cohort sequence. The slope is an elasticity. A slope of one would mean that cumulative payloads double when the number of launch cohorts doubles. A slope above one would indicate superlinear scaling. A slope below one would indicate less-than-proportional scaling.</w:t>
      </w:r>
    </w:p>
    <w:p>
      <w:pPr>
        <w:pStyle w:val="BodyText"/>
      </w:pPr>
      <w:r>
        <w:t xml:space="preserve">The estimator also reports two raised to the slope coefficient. In this paper that value is interpreted as the cumulative payload multiplier associated with a doubling of launch-cohort sequence. The model uses 40 observations and HC1 robust standard errors. Because cumulative payloads are mechanically related to cohort sequence, the purpose is not causal identification. The purpose is to measure the early supply curve with a transparent and reproducible elasticity.</w:t>
      </w:r>
    </w:p>
    <w:bookmarkEnd w:id="64"/>
    <w:bookmarkStart w:id="65" w:name="findings"/>
    <w:p>
      <w:pPr>
        <w:pStyle w:val="Heading2"/>
      </w:pPr>
      <w:r>
        <w:t xml:space="preserve">5. Findings</w:t>
      </w:r>
    </w:p>
    <w:p>
      <w:pPr>
        <w:pStyle w:val="FirstParagraph"/>
      </w:pPr>
      <w:r>
        <w:t xml:space="preserve">The model uses all 40 launch cohorts. It reports an R-squared of 0.9994. The intercept is 4.1405, with a robust standard error of 0.0159 and a p-value reported as 0.0. The elasticity coefficient is 0.9699, with a robust standard error of 0.0056 and a p-value reported as 0.0. The 95 percent confidence interval for the slope runs from 0.9590 to 0.9809.</w:t>
      </w:r>
    </w:p>
    <w:p>
      <w:pPr>
        <w:pStyle w:val="BodyText"/>
      </w:pPr>
      <w:r>
        <w:t xml:space="preserve">The estimate is extremely precise and below one. The evidence therefore does not support H1. Instead, the first 40 Starlink launch cohorts scaled cumulative cataloged payloads almost proportionally with cohort count. The doubling multiplier is 1.9587, which is close to, but below, a twofold increase. In practical terms, a doubling of launch cohorts was associated with slightly less than a doubling of cumulative cataloged payloads.</w:t>
      </w:r>
    </w:p>
    <w:p>
      <w:pPr>
        <w:pStyle w:val="BodyText"/>
      </w:pPr>
      <w:r>
        <w:t xml:space="preserve">This result should not be overread. A nearly linear cumulative payload curve can still produce rapid absolute supply growth when launch cadence is high. The failure to find superlinear cumulative scaling does not remove capacity-glut risk. It narrows the mechanism. The early supply frontier in this record appears to have grown through repeatable large batches rather than through a strong upward trend in payloads per cohort.</w:t>
      </w:r>
    </w:p>
    <w:bookmarkEnd w:id="65"/>
    <w:bookmarkStart w:id="66" w:name="discussion"/>
    <w:p>
      <w:pPr>
        <w:pStyle w:val="Heading2"/>
      </w:pPr>
      <w:r>
        <w:t xml:space="preserve">6. Discussion</w:t>
      </w:r>
    </w:p>
    <w:p>
      <w:pPr>
        <w:pStyle w:val="FirstParagraph"/>
      </w:pPr>
      <w:r>
        <w:t xml:space="preserve">The finding contributes to the capacity-glut question by replacing a qualitative claim of acceleration with a measured elasticity. The physical Starlink stock rose rapidly, but its relationship to launch-cohort sequence was nearly proportional in the first 40 cohorts. That matters because investors and regulators often hear planned constellation size as a single future number. The empirical sequence shows the buildout as an accumulation process.</w:t>
      </w:r>
    </w:p>
    <w:p>
      <w:pPr>
        <w:pStyle w:val="BodyText"/>
      </w:pPr>
      <w:r>
        <w:t xml:space="preserve">For policy, the result supports monitoring launch cohorts, not only authorized satellites. Spectrum and orbital authorizations create a legal ceiling. Launch cohorts reveal the realized path toward that ceiling. When paired with demand evidence, cohort-level supply measures can identify when provisioned capacity is likely to outrun monetizable demand. The demand-side paper addresses that second half of the question.</w:t>
      </w:r>
    </w:p>
    <w:p>
      <w:pPr>
        <w:pStyle w:val="BodyText"/>
      </w:pPr>
      <w:r>
        <w:t xml:space="preserve">The chief limitation is that a cataloged payload is not a delivered broadband gigabit. Del Portillo and colleagues show that throughput depends on architecture and ground segment</w:t>
      </w:r>
      <w:r>
        <w:t xml:space="preserve"> </w:t>
      </w:r>
      <w:hyperlink w:anchor="ref-2">
        <m:oMathPara>
          <m:oMathParaPr>
            <m:jc m:val="center"/>
          </m:oMathParaPr>
          <m:oMath>
            <m:r>
              <m:t>2</m:t>
            </m:r>
          </m:oMath>
        </m:oMathPara>
      </w:hyperlink>
      <w:r>
        <w:t xml:space="preserve">. Demand-aware power profiling further shows that terrestrial and aerial demand distributions matter for system operation</w:t>
      </w:r>
      <w:r>
        <w:t xml:space="preserve"> </w:t>
      </w:r>
      <w:hyperlink w:anchor="ref-5">
        <m:oMathPara>
          <m:oMathParaPr>
            <m:jc m:val="center"/>
          </m:oMathParaPr>
          <m:oMath>
            <m:r>
              <m:t>5</m:t>
            </m:r>
          </m:oMath>
        </m:oMathPara>
      </w:hyperlink>
      <w:r>
        <w:t xml:space="preserve">. This paper therefore estimates the payload-stock learning curve only. A complete overcapacity index must join it to gateway, spectrum, terminal, and country-level demand records.</w:t>
      </w:r>
    </w:p>
    <w:p>
      <w:pPr>
        <w:pStyle w:val="FirstParagraph"/>
      </w:pPr>
      <w:r>
        <w:t xml:space="preserve">The result also defines what the supply paper cannot claim. The elasticity is calculated on cataloged payloads, not on throughput, not on active beams, and not on licensed country service. A launch cohort can add physical assets while terrestrial gateways, user terminals, and regulatory permissions determine whether those assets become revenue-producing capacity. That distinction is central to the dissertation. Capacity glut is not caused by payload growth alone. It appears when a fast physical supply path meets a slower demand-conversion path. The near-proportional curve estimated here supplies the physical path, while the second paper supplies a demand-side constraint.</w:t>
      </w:r>
    </w:p>
    <w:p>
      <w:pPr>
        <w:pStyle w:val="BodyText"/>
      </w:pPr>
      <w:r>
        <w:t xml:space="preserve">A further implication concerns forecasting practice. Public debate often moves from authorized constellation size to presumed market capacity in one step. The launch-cohort record permits a more disciplined intermediate step. It shows how a planned system becomes a cataloged system over time and allows analysts to update supply assumptions as cohorts are actually launched. For a regulator, this means that license grants, launch cohorts, and active service authorizations should be tracked as separate layers of the supply frontier. For an operator, it means that capacity planning should distinguish the stock of payloads from the locations where capacity can be sold.</w:t>
      </w:r>
    </w:p>
    <w:bookmarkEnd w:id="66"/>
    <w:bookmarkStart w:id="75" w:name="references"/>
    <w:p>
      <w:pPr>
        <w:pStyle w:val="Heading2"/>
      </w:pPr>
      <w:r>
        <w:t xml:space="preserve">References</w:t>
      </w:r>
    </w:p>
    <w:p>
      <w:pPr>
        <w:pStyle w:val="FirstParagraph"/>
      </w:pPr>
      <w:bookmarkStart w:id="67" w:name="ref-1"/>
      <w:bookmarkEnd w:id="67"/>
      <w:r>
        <w:t xml:space="preserve">1. CelesTrak,</w:t>
      </w:r>
      <w:r>
        <w:t xml:space="preserve"> </w:t>
      </w:r>
      <w:r>
        <w:t xml:space="preserve">“SATCAT Records,”</w:t>
      </w:r>
      <w:r>
        <w:t xml:space="preserve"> </w:t>
      </w:r>
      <w:r>
        <w:t xml:space="preserve">Starlink payload query, https://celestrak.org/satcat/records.php?NAME=STARLINK&amp;FORMAT=CSV&amp;PAYLOADS=1, retrieved June 27, 2026.</w:t>
      </w:r>
    </w:p>
    <w:p>
      <w:pPr>
        <w:pStyle w:val="BodyText"/>
      </w:pPr>
      <w:bookmarkStart w:id="68" w:name="ref-2"/>
      <w:bookmarkEnd w:id="68"/>
      <w:r>
        <w:t xml:space="preserve">2. I. del Portillo, B. Cameron, and E. F. Crawley,</w:t>
      </w:r>
      <w:r>
        <w:t xml:space="preserve"> </w:t>
      </w:r>
      <w:r>
        <w:t xml:space="preserve">“A technical comparison of three low earth orbit satellite constellation systems to provide global broadband,”</w:t>
      </w:r>
      <w:r>
        <w:t xml:space="preserve"> </w:t>
      </w:r>
      <w:r>
        <w:t xml:space="preserve">Acta Astronautica, vol. 159, 2019. doi:</w:t>
      </w:r>
      <w:r>
        <w:t xml:space="preserve"> </w:t>
      </w:r>
      <w:hyperlink r:id="rId69">
        <w:r>
          <w:rPr>
            <w:rStyle w:val="Hyperlink"/>
          </w:rPr>
          <w:t xml:space="preserve">10.1016/j.actaastro.2019.03.040</w:t>
        </w:r>
      </w:hyperlink>
    </w:p>
    <w:p>
      <w:pPr>
        <w:pStyle w:val="BodyText"/>
      </w:pPr>
      <w:bookmarkStart w:id="70" w:name="ref-3"/>
      <w:bookmarkEnd w:id="70"/>
      <w:r>
        <w:t xml:space="preserve">3. J. F. Anderson, M. A. Cardin, and P. T. Grogan,</w:t>
      </w:r>
      <w:r>
        <w:t xml:space="preserve"> </w:t>
      </w:r>
      <w:r>
        <w:t xml:space="preserve">“Design and analysis of flexible multi-layer staged deployment for satellite mega-constellations under demand uncertainty,”</w:t>
      </w:r>
      <w:r>
        <w:t xml:space="preserve"> </w:t>
      </w:r>
      <w:r>
        <w:t xml:space="preserve">Acta Astronautica, vol. 198, 2022. doi:</w:t>
      </w:r>
      <w:r>
        <w:t xml:space="preserve"> </w:t>
      </w:r>
      <w:hyperlink r:id="rId71">
        <w:r>
          <w:rPr>
            <w:rStyle w:val="Hyperlink"/>
          </w:rPr>
          <w:t xml:space="preserve">10.1016/j.actaastro.2022.05.022</w:t>
        </w:r>
      </w:hyperlink>
    </w:p>
    <w:p>
      <w:pPr>
        <w:pStyle w:val="BodyText"/>
      </w:pPr>
      <w:bookmarkStart w:id="72" w:name="ref-4"/>
      <w:bookmarkEnd w:id="72"/>
      <w:r>
        <w:t xml:space="preserve">4. M. Young and A. Thadani,</w:t>
      </w:r>
      <w:r>
        <w:t xml:space="preserve"> </w:t>
      </w:r>
      <w:r>
        <w:t xml:space="preserve">“Low-Orbit, High Stakes: Winning the LEO Broadband Competition,”</w:t>
      </w:r>
      <w:r>
        <w:t xml:space="preserve"> </w:t>
      </w:r>
      <w:r>
        <w:t xml:space="preserve">Proc. Advanced Maui Optical and Space Surveillance Technologies Conference, 2022.</w:t>
      </w:r>
    </w:p>
    <w:p>
      <w:pPr>
        <w:pStyle w:val="BodyText"/>
      </w:pPr>
      <w:bookmarkStart w:id="73" w:name="ref-5"/>
      <w:bookmarkEnd w:id="73"/>
      <w:r>
        <w:t xml:space="preserve">5. S. Martinez Zamacola, S. Martin Marco, and R. Martinez Rodriguez-Osorio,</w:t>
      </w:r>
      <w:r>
        <w:t xml:space="preserve"> </w:t>
      </w:r>
      <w:r>
        <w:t xml:space="preserve">“Profiling the transmit power of LEO satellite constellations for broadband communication services considering terrestrial and aerial demand,”</w:t>
      </w:r>
      <w:r>
        <w:t xml:space="preserve"> </w:t>
      </w:r>
      <w:r>
        <w:t xml:space="preserve">Acta Astronautica, vol. 236, 2025. doi:</w:t>
      </w:r>
      <w:r>
        <w:t xml:space="preserve"> </w:t>
      </w:r>
      <w:hyperlink r:id="rId74">
        <w:r>
          <w:rPr>
            <w:rStyle w:val="Hyperlink"/>
          </w:rPr>
          <w:t xml:space="preserve">10.1016/j.actaastro.2025.06.068</w:t>
        </w:r>
      </w:hyperlink>
    </w:p>
    <w:bookmarkEnd w:id="75"/>
    <w:bookmarkStart w:id="76" w:name="specification"/>
    <w:p>
      <w:pPr>
        <w:pStyle w:val="Heading2"/>
      </w:pPr>
      <w:r>
        <w:t xml:space="preserve">Specification</w:t>
      </w:r>
    </w:p>
    <w:p>
      <w:pPr>
        <w:pStyle w:val="FirstParagraph"/>
      </w:pPr>
      <m:oMathPara>
        <m:oMathParaPr>
          <m:jc m:val="center"/>
        </m:oMathParaPr>
        <m:oMath>
          <m:r>
            <m:rPr>
              <m:sty m:val="p"/>
            </m:rPr>
            <m:t>log</m:t>
          </m:r>
          <m:r>
            <m:rPr>
              <m:sty m:val="p"/>
            </m:rPr>
            <m:t>(</m:t>
          </m:r>
          <m:sSub>
            <m:e>
              <m:r>
                <m:rPr>
                  <m:nor/>
                  <m:sty m:val="p"/>
                </m:rPr>
                <m:t>CumulativePayloads</m:t>
              </m:r>
            </m:e>
            <m:sub>
              <m:r>
                <m:t>t</m:t>
              </m:r>
            </m:sub>
          </m:sSub>
          <m:r>
            <m:rPr>
              <m:sty m:val="p"/>
            </m:rPr>
            <m:t>)</m:t>
          </m:r>
          <m:r>
            <m:rPr>
              <m:sty m:val="p"/>
            </m:rPr>
            <m:t>=</m:t>
          </m:r>
          <m:r>
            <m:t>α</m:t>
          </m:r>
          <m:r>
            <m:rPr>
              <m:sty m:val="p"/>
            </m:rPr>
            <m:t>+</m:t>
          </m:r>
          <m:r>
            <m:t>b</m:t>
          </m:r>
          <m:r>
            <m:rPr>
              <m:sty m:val="p"/>
            </m:rPr>
            <m:t>log</m:t>
          </m:r>
          <m:r>
            <m:rPr>
              <m:sty m:val="p"/>
            </m:rPr>
            <m:t>(</m:t>
          </m:r>
          <m:sSub>
            <m:e>
              <m:r>
                <m:rPr>
                  <m:nor/>
                  <m:sty m:val="p"/>
                </m:rPr>
                <m:t>CohortSequence</m:t>
              </m:r>
            </m:e>
            <m:sub>
              <m:r>
                <m:t>t</m:t>
              </m:r>
            </m:sub>
          </m:sSub>
          <m:r>
            <m:rPr>
              <m:sty m:val="p"/>
            </m:rPr>
            <m:t>)</m:t>
          </m:r>
          <m:r>
            <m:rPr>
              <m:sty m:val="p"/>
            </m:rPr>
            <m:t>+</m:t>
          </m:r>
          <m:sSub>
            <m:e>
              <m:r>
                <m:t>ε</m:t>
              </m:r>
            </m:e>
            <m:sub>
              <m:r>
                <m:t>t</m:t>
              </m:r>
            </m:sub>
          </m:sSub>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4.1405</w:t>
            </w:r>
          </w:p>
        </w:tc>
        <w:tc>
          <w:tcPr>
            <w:tcW w:w="0" w:type="auto"/>
          </w:tcPr>
          <w:p>
            <w:pPr>
              <w:spacing w:line="240" w:lineRule="auto" w:before="0" w:after="0"/>
              <w:pStyle w:val="Compact"/>
            </w:pPr>
            <w:r>
              <w:rPr>
                <w:sz w:val="20"/>
                <w:szCs w:val="20"/>
              </w:rPr>
              <w:t xml:space="preserve">0.0159</w:t>
            </w:r>
          </w:p>
        </w:tc>
        <w:tc>
          <w:tcPr>
            <w:tcW w:w="0" w:type="auto"/>
          </w:tcPr>
          <w:p>
            <w:pPr>
              <w:spacing w:line="240" w:lineRule="auto" w:before="0" w:after="0"/>
              <w:pStyle w:val="Compact"/>
            </w:pPr>
            <w:r>
              <w:rPr>
                <w:sz w:val="20"/>
                <w:szCs w:val="20"/>
              </w:rPr>
              <w:t xml:space="preserve">260.1496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[4.1093, 4.1717]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0.9699</w:t>
            </w:r>
          </w:p>
        </w:tc>
        <w:tc>
          <w:tcPr>
            <w:tcW w:w="0" w:type="auto"/>
          </w:tcPr>
          <w:p>
            <w:pPr>
              <w:spacing w:line="240" w:lineRule="auto" w:before="0" w:after="0"/>
              <w:pStyle w:val="Compact"/>
            </w:pPr>
            <w:r>
              <w:rPr>
                <w:sz w:val="20"/>
                <w:szCs w:val="20"/>
              </w:rPr>
              <w:t xml:space="preserve">0.0056</w:t>
            </w:r>
          </w:p>
        </w:tc>
        <w:tc>
          <w:tcPr>
            <w:tcW w:w="0" w:type="auto"/>
          </w:tcPr>
          <w:p>
            <w:pPr>
              <w:spacing w:line="240" w:lineRule="auto" w:before="0" w:after="0"/>
              <w:pStyle w:val="Compact"/>
            </w:pPr>
            <w:r>
              <w:rPr>
                <w:sz w:val="20"/>
                <w:szCs w:val="20"/>
              </w:rPr>
              <w:t xml:space="preserve">173.8516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[0.959, 0.9809]</w:t>
            </w:r>
          </w:p>
        </w:tc>
      </w:tr>
    </w:tbl>
    <w:p>
      <w:pPr>
        <w:pStyle w:val="BodyText"/>
      </w:pPr>
      <w:r>
        <w:t xml:space="preserve">Fit: N = 40 R2 = 0.9994 elasticity_b = 0.9699 progress_ratio_2^b = 1.9587</w:t>
      </w:r>
    </w:p>
    <w:p>
      <w:pPr>
        <w:pStyle w:val="CaptionedFigure"/>
      </w:pPr>
      <w:r>
        <w:drawing>
          <wp:inline>
            <wp:extent cx="5669280" cy="3657600"/>
            <wp:effectExtent b="0" l="0" r="0" t="0"/>
            <wp:docPr descr="Figure 1. Figure 1. Starlink cumulative payload deployment by launch cohort in CelesTrak SATCAT records." title="" id="78" name="Picture"/>
            <a:graphic>
              <a:graphicData uri="http://schemas.openxmlformats.org/drawingml/2006/picture">
                <pic:pic>
                  <pic:nvPicPr>
                    <pic:cNvPr descr="dissertations\SPECTRUM_PNT_13\research_papers\p1\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Starlink cumulative payload deployment by launch cohort in CelesTrak SATCAT records.</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cohort_sequence</w:t>
            </w:r>
          </w:p>
        </w:tc>
        <w:tc>
          <w:tcPr>
            <w:tcW w:w="0" w:type="auto"/>
          </w:tcPr>
          <w:p>
            <w:pPr>
              <w:spacing w:line="240" w:lineRule="auto" w:before="0" w:after="0"/>
              <w:pStyle w:val="Compact"/>
            </w:pPr>
            <w:r>
              <w:rPr>
                <w:sz w:val="20"/>
                <w:szCs w:val="20"/>
              </w:rPr>
              <w:t xml:space="preserve">launch_date</w:t>
            </w:r>
          </w:p>
        </w:tc>
        <w:tc>
          <w:tcPr>
            <w:tcW w:w="0" w:type="auto"/>
          </w:tcPr>
          <w:p>
            <w:pPr>
              <w:spacing w:line="240" w:lineRule="auto" w:before="0" w:after="0"/>
              <w:pStyle w:val="Compact"/>
            </w:pPr>
            <w:r>
              <w:rPr>
                <w:sz w:val="20"/>
                <w:szCs w:val="20"/>
              </w:rPr>
              <w:t xml:space="preserve">payload_count</w:t>
            </w:r>
          </w:p>
        </w:tc>
        <w:tc>
          <w:tcPr>
            <w:tcW w:w="0" w:type="auto"/>
          </w:tcPr>
          <w:p>
            <w:pPr>
              <w:spacing w:line="240" w:lineRule="auto" w:before="0" w:after="0"/>
              <w:pStyle w:val="Compact"/>
            </w:pPr>
            <w:r>
              <w:rPr>
                <w:sz w:val="20"/>
                <w:szCs w:val="20"/>
              </w:rPr>
              <w:t xml:space="preserve">cumulative_payloads</w:t>
            </w:r>
          </w:p>
        </w:tc>
        <w:tc>
          <w:tcPr>
            <w:tcW w:w="0" w:type="auto"/>
          </w:tcPr>
          <w:p>
            <w:pPr>
              <w:spacing w:line="240" w:lineRule="auto" w:before="0" w:after="0"/>
              <w:pStyle w:val="Compact"/>
            </w:pPr>
            <w:r>
              <w:rPr>
                <w:sz w:val="20"/>
                <w:szCs w:val="20"/>
              </w:rPr>
              <w:t xml:space="preserve">surviving_payloads</w:t>
            </w:r>
          </w:p>
        </w:tc>
        <w:tc>
          <w:tcPr>
            <w:tcW w:w="0" w:type="auto"/>
          </w:tcPr>
          <w:p>
            <w:pPr>
              <w:spacing w:line="240" w:lineRule="auto" w:before="0" w:after="0"/>
              <w:pStyle w:val="Compact"/>
            </w:pPr>
            <w:r>
              <w:rPr>
                <w:sz w:val="20"/>
                <w:szCs w:val="20"/>
              </w:rPr>
              <w:t xml:space="preserve">decayed_payloads</w:t>
            </w:r>
          </w:p>
        </w:tc>
        <w:tc>
          <w:tcPr>
            <w:tcW w:w="0" w:type="auto"/>
          </w:tcPr>
          <w:p>
            <w:pPr>
              <w:spacing w:line="240" w:lineRule="auto" w:before="0" w:after="0"/>
              <w:pStyle w:val="Compact"/>
            </w:pPr>
            <w:r>
              <w:rPr>
                <w:sz w:val="20"/>
                <w:szCs w:val="20"/>
              </w:rPr>
              <w:t xml:space="preserve">decay_share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2019-05-24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2019-11-11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0.7667</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2020-01-07</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2020-01-29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2020-02-17</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2020-03-18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0.4833</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2020-04-22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0.6333</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2020-06-04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480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0.5833</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2020-06-13</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538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0.7414</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2020-08-07</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595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0.386</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2020-08-18</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653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0.7414</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2020-09-03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713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2020-10-06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773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2020-10-18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833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2020-10-24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893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0.8667</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2020-11-25</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953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0.8333</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2021-01-20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1013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0.3167</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2021-01-24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2021-02-04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1083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0.8333</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2021-02-16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1143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0.7167</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2021-03-04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1203</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0.5333</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2021-03-11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1263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0.2167</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2021-03-14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1323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2021-03-24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1383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0.8167</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2021-04-07</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1443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0.2167</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2021-04-29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1503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2021-05-04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1563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0.2333</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2021-05-09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1623</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0.2833</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2021-05-15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1675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0.3269</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2021-05-26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1735</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0.2167</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2021-06-30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2021-09-14</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1789</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0.2549</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2021-11-13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1842</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0.1132</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2021-12-02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1890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0.0625</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2021-12-18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1942</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0.2885</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2022-01-06</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0.2041</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2022-01-19</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2040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0.1224</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2022-02-03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2057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0.4706</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2022-02-21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2103</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0.0652</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r>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2022-02-25</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2153</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CelesTrak SATCAT Starlink payload records, records.php?NAME=STARLINK&amp;FORMAT=CSV&amp;PAYLOADS=1, retrieved 2026-06-27; grouped by LAUNCH_DATE</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cumulative_payloads</w:t>
            </w:r>
          </w:p>
        </w:tc>
        <w:tc>
          <w:tcPr>
            <w:tcW w:w="0" w:type="auto"/>
          </w:tcPr>
          <w:p>
            <w:pPr>
              <w:spacing w:line="240" w:lineRule="auto" w:before="0" w:after="0"/>
              <w:pStyle w:val="Compact"/>
            </w:pPr>
            <w:r>
              <w:rPr>
                <w:sz w:val="20"/>
                <w:szCs w:val="20"/>
              </w:rPr>
              <w:t xml:space="preserve">Cumulative Starlink payloads cataloged through each launch cohort</w:t>
            </w:r>
          </w:p>
        </w:tc>
        <w:tc>
          <w:tcPr>
            <w:tcW w:w="0" w:type="auto"/>
          </w:tcPr>
          <w:p>
            <w:pPr>
              <w:spacing w:line="240" w:lineRule="auto" w:before="0" w:after="0"/>
              <w:pStyle w:val="Compact"/>
            </w:pPr>
            <w:r>
              <w:rPr>
                <w:sz w:val="20"/>
                <w:szCs w:val="20"/>
              </w:rPr>
              <w:t xml:space="preserve">CelesTrak SATCAT Starlink payload records grouped by launch date</w:t>
            </w:r>
          </w:p>
        </w:tc>
      </w:tr>
      <w:tr>
        <w:tc>
          <w:tcPr>
            <w:tcW w:w="0" w:type="auto"/>
          </w:tcPr>
          <w:p>
            <w:pPr>
              <w:spacing w:line="240" w:lineRule="auto" w:before="0" w:after="0"/>
              <w:pStyle w:val="Compact"/>
            </w:pPr>
            <w:r>
              <w:rPr>
                <w:sz w:val="20"/>
                <w:szCs w:val="20"/>
              </w:rPr>
              <w:t xml:space="preserve">cohort_sequence</w:t>
            </w:r>
          </w:p>
        </w:tc>
        <w:tc>
          <w:tcPr>
            <w:tcW w:w="0" w:type="auto"/>
          </w:tcPr>
          <w:p>
            <w:pPr>
              <w:spacing w:line="240" w:lineRule="auto" w:before="0" w:after="0"/>
              <w:pStyle w:val="Compact"/>
            </w:pPr>
            <w:r>
              <w:rPr>
                <w:sz w:val="20"/>
                <w:szCs w:val="20"/>
              </w:rPr>
              <w:t xml:space="preserve">Ordinal launch-cohort count beginning with the first Starlink payload cohort in the SATCAT extract</w:t>
            </w:r>
          </w:p>
        </w:tc>
        <w:tc>
          <w:tcPr>
            <w:tcW w:w="0" w:type="auto"/>
          </w:tcPr>
          <w:p>
            <w:pPr>
              <w:spacing w:line="240" w:lineRule="auto" w:before="0" w:after="0"/>
              <w:pStyle w:val="Compact"/>
            </w:pPr>
            <w:r>
              <w:rPr>
                <w:sz w:val="20"/>
                <w:szCs w:val="20"/>
              </w:rPr>
              <w:t xml:space="preserve">Constructed from CelesTrak launch dates</w:t>
            </w:r>
          </w:p>
        </w:tc>
      </w:tr>
      <w:tr>
        <w:tc>
          <w:tcPr>
            <w:tcW w:w="0" w:type="auto"/>
          </w:tcPr>
          <w:p>
            <w:pPr>
              <w:spacing w:line="240" w:lineRule="auto" w:before="0" w:after="0"/>
              <w:pStyle w:val="Compact"/>
            </w:pPr>
            <w:r>
              <w:rPr>
                <w:sz w:val="20"/>
                <w:szCs w:val="20"/>
              </w:rPr>
              <w:t xml:space="preserve">payload_count</w:t>
            </w:r>
          </w:p>
        </w:tc>
        <w:tc>
          <w:tcPr>
            <w:tcW w:w="0" w:type="auto"/>
          </w:tcPr>
          <w:p>
            <w:pPr>
              <w:spacing w:line="240" w:lineRule="auto" w:before="0" w:after="0"/>
              <w:pStyle w:val="Compact"/>
            </w:pPr>
            <w:r>
              <w:rPr>
                <w:sz w:val="20"/>
                <w:szCs w:val="20"/>
              </w:rPr>
              <w:t xml:space="preserve">Number of Starlink payloads cataloged in the launch cohort</w:t>
            </w:r>
          </w:p>
        </w:tc>
        <w:tc>
          <w:tcPr>
            <w:tcW w:w="0" w:type="auto"/>
          </w:tcPr>
          <w:p>
            <w:pPr>
              <w:spacing w:line="240" w:lineRule="auto" w:before="0" w:after="0"/>
              <w:pStyle w:val="Compact"/>
            </w:pPr>
            <w:r>
              <w:rPr>
                <w:sz w:val="20"/>
                <w:szCs w:val="20"/>
              </w:rPr>
              <w:t xml:space="preserve">Count of CelesTrak PAY records by launch date</w:t>
            </w:r>
          </w:p>
        </w:tc>
      </w:tr>
      <w:tr>
        <w:tc>
          <w:tcPr>
            <w:tcW w:w="0" w:type="auto"/>
          </w:tcPr>
          <w:p>
            <w:pPr>
              <w:spacing w:line="240" w:lineRule="auto" w:before="0" w:after="0"/>
              <w:pStyle w:val="Compact"/>
            </w:pPr>
            <w:r>
              <w:rPr>
                <w:sz w:val="20"/>
                <w:szCs w:val="20"/>
              </w:rPr>
              <w:t xml:space="preserve">decay_share</w:t>
            </w:r>
          </w:p>
        </w:tc>
        <w:tc>
          <w:tcPr>
            <w:tcW w:w="0" w:type="auto"/>
          </w:tcPr>
          <w:p>
            <w:pPr>
              <w:spacing w:line="240" w:lineRule="auto" w:before="0" w:after="0"/>
              <w:pStyle w:val="Compact"/>
            </w:pPr>
            <w:r>
              <w:rPr>
                <w:sz w:val="20"/>
                <w:szCs w:val="20"/>
              </w:rPr>
              <w:t xml:space="preserve">Share of the launch cohort with a recorded decay date by retrieval date</w:t>
            </w:r>
          </w:p>
        </w:tc>
        <w:tc>
          <w:tcPr>
            <w:tcW w:w="0" w:type="auto"/>
          </w:tcPr>
          <w:p>
            <w:pPr>
              <w:spacing w:line="240" w:lineRule="auto" w:before="0" w:after="0"/>
              <w:pStyle w:val="Compact"/>
            </w:pPr>
            <w:r>
              <w:rPr>
                <w:sz w:val="20"/>
                <w:szCs w:val="20"/>
              </w:rPr>
              <w:t xml:space="preserve">CelesTrak DECAY_DATE field</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4.1405</w:t>
            </w:r>
          </w:p>
        </w:tc>
        <w:tc>
          <w:tcPr>
            <w:tcW w:w="0" w:type="auto"/>
          </w:tcPr>
          <w:p>
            <w:pPr>
              <w:spacing w:line="240" w:lineRule="auto" w:before="0" w:after="0"/>
              <w:pStyle w:val="Compact"/>
            </w:pPr>
            <w:r>
              <w:rPr>
                <w:sz w:val="20"/>
                <w:szCs w:val="20"/>
              </w:rPr>
              <w:t xml:space="preserve">0.0159</w:t>
            </w:r>
          </w:p>
        </w:tc>
        <w:tc>
          <w:tcPr>
            <w:tcW w:w="0" w:type="auto"/>
          </w:tcPr>
          <w:p>
            <w:pPr>
              <w:spacing w:line="240" w:lineRule="auto" w:before="0" w:after="0"/>
              <w:pStyle w:val="Compact"/>
            </w:pPr>
            <w:r>
              <w:rPr>
                <w:sz w:val="20"/>
                <w:szCs w:val="20"/>
              </w:rPr>
              <w:t xml:space="preserve">260.1496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[4.1093, 4.1717]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0.9699</w:t>
            </w:r>
          </w:p>
        </w:tc>
        <w:tc>
          <w:tcPr>
            <w:tcW w:w="0" w:type="auto"/>
          </w:tcPr>
          <w:p>
            <w:pPr>
              <w:spacing w:line="240" w:lineRule="auto" w:before="0" w:after="0"/>
              <w:pStyle w:val="Compact"/>
            </w:pPr>
            <w:r>
              <w:rPr>
                <w:sz w:val="20"/>
                <w:szCs w:val="20"/>
              </w:rPr>
              <w:t xml:space="preserve">0.0056</w:t>
            </w:r>
          </w:p>
        </w:tc>
        <w:tc>
          <w:tcPr>
            <w:tcW w:w="0" w:type="auto"/>
          </w:tcPr>
          <w:p>
            <w:pPr>
              <w:spacing w:line="240" w:lineRule="auto" w:before="0" w:after="0"/>
              <w:pStyle w:val="Compact"/>
            </w:pPr>
            <w:r>
              <w:rPr>
                <w:sz w:val="20"/>
                <w:szCs w:val="20"/>
              </w:rPr>
              <w:t xml:space="preserve">173.8516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[0.959, 0.9809]</w:t>
            </w:r>
          </w:p>
        </w:tc>
      </w:tr>
    </w:tbl>
    <w:p>
      <w:pPr>
        <w:pStyle w:val="BodyText"/>
      </w:pPr>
      <w:r>
        <w:t xml:space="preserve">Fit: N = 40 R2 = 0.9994 elasticity_b = 0.9699 progress_ratio_2^b = 1.9587</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 Type="http://schemas.openxmlformats.org/officeDocument/2006/relationships/hyperlink" Id="rId69" Target="https://doi.org/10.1016/j.actaastro.2019.03.040" TargetMode="External" /><Relationship Type="http://schemas.openxmlformats.org/officeDocument/2006/relationships/hyperlink" Id="rId71" Target="https://doi.org/10.1016/j.actaastro.2022.05.022" TargetMode="External" /><Relationship Type="http://schemas.openxmlformats.org/officeDocument/2006/relationships/hyperlink" Id="rId74" Target="https://doi.org/10.1016/j.actaastro.2025.06.068" TargetMode="External" /></Relationships>
</file>

<file path=word/_rels/footnotes.xml.rels><?xml version="1.0" encoding="UTF-8"?><Relationships xmlns="http://schemas.openxmlformats.org/package/2006/relationships"><Relationship Type="http://schemas.openxmlformats.org/officeDocument/2006/relationships/hyperlink" Id="rId69" Target="https://doi.org/10.1016/j.actaastro.2019.03.040" TargetMode="External" /><Relationship Type="http://schemas.openxmlformats.org/officeDocument/2006/relationships/hyperlink" Id="rId71" Target="https://doi.org/10.1016/j.actaastro.2022.05.022" TargetMode="External" /><Relationship Type="http://schemas.openxmlformats.org/officeDocument/2006/relationships/hyperlink" Id="rId74" Target="https://doi.org/10.1016/j.actaastro.2025.06.06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2026-06-27T21:24:25Z</dcterms:created>
  <dcterms:modified xsi:type="dcterms:W3CDTF">2026-06-27T21:24:25Z</dcterms:modified>
</cp:coreProperties>
</file>

<file path=docProps/custom.xml><?xml version="1.0" encoding="utf-8"?>
<Properties xmlns="http://schemas.openxmlformats.org/officeDocument/2006/custom-properties" xmlns:vt="http://schemas.openxmlformats.org/officeDocument/2006/docPropsVTypes"/>
</file>