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CAPACITY GLUT QUESTION: WILL THE LEO BROADBAND SPECTRUM-AND-GROUND BUILDOUT OUTRUN ADDRESSABLE DEMAND BY 2030?</w:t>
      </w:r>
    </w:p>
    <w:p>
      <w:pPr>
        <w:jc w:val="center"/>
      </w:pPr>
    </w:p>
    <w:p>
      <w:pPr>
        <w:jc w:val="center"/>
      </w:pPr>
      <w:r>
        <w:rPr>
          <w:rFonts w:ascii="Times New Roman" w:hAnsi="Times New Roman"/>
          <w:sz w:val="24"/>
        </w:rPr>
        <w:t>by</w:t>
      </w:r>
    </w:p>
    <w:p>
      <w:pPr>
        <w:jc w:val="center"/>
      </w:pPr>
      <w:r>
        <w:rPr>
          <w:rFonts w:ascii="Times New Roman" w:hAnsi="Times New Roman"/>
          <w:b/>
          <w:sz w:val="28"/>
        </w:rPr>
        <w:t>Liv Strand</w:t>
      </w:r>
    </w:p>
    <w:p>
      <w:pPr>
        <w:jc w:val="center"/>
      </w:pPr>
      <w:r>
        <w:rPr>
          <w:rFonts w:ascii="Times New Roman" w:hAnsi="Times New Roman"/>
          <w:sz w:val="24"/>
        </w:rPr>
        <w:t>1B-ITI-139</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2" w:name="chapter-1.-introduction"/>
    <w:p>
      <w:pPr>
        <w:pStyle w:val="Heading1"/>
        <w:spacing w:line="480" w:lineRule="auto"/>
      </w:pPr>
      <w:r>
        <w:t xml:space="preserve">Chapter 1. Introduction</w:t>
      </w:r>
    </w:p>
    <w:p>
      <w:pPr>
        <w:pStyle w:val="FirstParagraph"/>
        <w:spacing w:line="480" w:lineRule="auto"/>
      </w:pPr>
      <w:r>
        <w:t xml:space="preserve">A constellation can be a triumph of engineering and a commercial disappointment at the same time. That possibility sits at the center of this dissertation. Low Earth Orbit broadband is usually described by the size of its ambition: thousands of satellites, global reach, throughput measured in terabits, service delivered to places that terrestrial fiber and cellular networks have never reached economically. Those descriptions are accurate. They are also incomplete, because they measure what the sky can hold rather than what a market can buy. The question pursued here is narrower and harder. Will the provisioned downlink capacity of the operational LEO broadband fleet outrun the priced demand that can absorb it by the end of 2030?</w:t>
      </w:r>
    </w:p>
    <w:p>
      <w:pPr>
        <w:pStyle w:val="BodyText"/>
        <w:spacing w:line="480" w:lineRule="auto"/>
        <w:ind w:firstLine="720"/>
      </w:pPr>
      <w:r>
        <w:t xml:space="preserve">That question earns doctoral attention because it is falsifiable, because it is contested, and because getting the answer wrong is expensive for public and private actors alike. Regulators grant spectrum and orbital rights on the premise that scarce public resources will be put to productive use. Investors underwrite launch cadence and ground infrastructure on the premise that capacity converts to revenue. Both premises assume a rough synchrony between the rate at which capacity is built and the rate at which demand is acquired, provisioned, and retained. When that synchrony fails, the consequences are not abstract. They include price compression, operator consolidation, stranded spectrum, and gateway hardware that depreciates faster than it earns.</w:t>
      </w:r>
    </w:p>
    <w:bookmarkStart w:id="61" w:name="the-problem-in-one-sentence"/>
    <w:p>
      <w:pPr>
        <w:pStyle w:val="Heading2"/>
        <w:spacing w:line="480" w:lineRule="auto"/>
      </w:pPr>
      <w:r>
        <w:t xml:space="preserve">The problem in one sentence</w:t>
      </w:r>
    </w:p>
    <w:p>
      <w:pPr>
        <w:pStyle w:val="FirstParagraph"/>
        <w:spacing w:line="480" w:lineRule="auto"/>
      </w:pPr>
      <w:r>
        <w:t xml:space="preserve">Provisioned capacity and monetizable demand are governed by different mechanisms that need not move at the same pace, and the gap between them is measurable.</w:t>
      </w:r>
    </w:p>
    <w:p>
      <w:pPr>
        <w:pStyle w:val="BodyText"/>
        <w:spacing w:line="480" w:lineRule="auto"/>
        <w:ind w:firstLine="720"/>
      </w:pPr>
      <w:r>
        <w:t xml:space="preserve">Everything in the chapters that follow is an attempt to make that sentence precise and testable. Supply is produced through a physical accumulation process: launches, cataloged payloads, ground integration, spectrum authorizations, and service activation, each stage gating the next. Demand is produced through an economic conversion process: connectivity need discounted by income, geography, distribution channels, and regulatory access. The two processes share a vocabulary of gigabits and subscribers, but they do not share a clock. A capacity glut, if it exists, is the visible residue of that mismatch.</w:t>
      </w:r>
    </w:p>
    <w:bookmarkEnd w:id="61"/>
    <w:bookmarkStart w:id="62" w:name="why-the-usual-framing-misleads"/>
    <w:p>
      <w:pPr>
        <w:pStyle w:val="Heading2"/>
        <w:spacing w:line="480" w:lineRule="auto"/>
      </w:pPr>
      <w:r>
        <w:t xml:space="preserve">Why the usual framing misleads</w:t>
      </w:r>
    </w:p>
    <w:p>
      <w:pPr>
        <w:pStyle w:val="FirstParagraph"/>
        <w:spacing w:line="480" w:lineRule="auto"/>
      </w:pPr>
      <w:r>
        <w:t xml:space="preserve">Public debate tends to collapse the supply-demand system into a single number. An operator announces an authorized constellation of some tens of thousands of satellites, and that figure is treated as though it were market capacity already in hand. The strategic framing of the LEO race reinforces the collapse, because it treats capacity itself as the dominant competitive lever, with government procurement accelerating the buildout</w:t>
      </w:r>
      <w:r>
        <w:t xml:space="preserve"> </w:t>
      </w:r>
      <w:hyperlink w:anchor="ref-1">
        <w:r>
          <w:rPr>
            <w:rStyle w:val="Hyperlink"/>
          </w:rPr>
          <w:t xml:space="preserve">[1]</w:t>
        </w:r>
      </w:hyperlink>
      <w:r>
        <w:t xml:space="preserve">. The technical literature complicates the picture by showing that usable throughput depends jointly on satellite architecture, orbital geometry, ground segment, and spectrum reuse, and that per-cell capacity saturates quickly in low-density geographies</w:t>
      </w:r>
      <w:r>
        <w:t xml:space="preserve"> </w:t>
      </w:r>
      <w:hyperlink w:anchor="ref-2">
        <w:r>
          <w:rPr>
            <w:rStyle w:val="Hyperlink"/>
          </w:rPr>
          <w:t xml:space="preserve">[2]</w:t>
        </w:r>
      </w:hyperlink>
      <w:r>
        <w:t xml:space="preserve">. An authorized count is therefore an upper bound on a legal ceiling, not an estimate of deliverable service.</w:t>
      </w:r>
    </w:p>
    <w:p>
      <w:pPr>
        <w:pStyle w:val="BodyText"/>
        <w:spacing w:line="480" w:lineRule="auto"/>
        <w:ind w:firstLine="720"/>
      </w:pPr>
      <w:r>
        <w:t xml:space="preserve">The demand side suffers from a mirror-image error. Digital-inclusion rhetoric points to the billions of people who remain offline and treats that population as a waiting market. The count of the unconnected is real, and it is large</w:t>
      </w:r>
      <w:r>
        <w:t xml:space="preserve"> </w:t>
      </w:r>
      <w:hyperlink w:anchor="ref-9">
        <w:r>
          <w:rPr>
            <w:rStyle w:val="Hyperlink"/>
          </w:rPr>
          <w:t xml:space="preserve">[9]</w:t>
        </w:r>
      </w:hyperlink>
      <w:r>
        <w:t xml:space="preserve">. It is also not the same as priced demand. Connectivity need is concentrated exactly where income, rurality, and weak distribution make conversion hardest, a structural tension that the space-economy literature flags as undertheorized in current treaty and regulatory frameworks</w:t>
      </w:r>
      <w:r>
        <w:t xml:space="preserve"> </w:t>
      </w:r>
      <w:hyperlink w:anchor="ref-3">
        <w:r>
          <w:rPr>
            <w:rStyle w:val="Hyperlink"/>
          </w:rPr>
          <w:t xml:space="preserve">[3]</w:t>
        </w:r>
      </w:hyperlink>
      <w:r>
        <w:t xml:space="preserve">. Need is a welfare fact. Demand is a budget fact. They are not the same. Conflating them inflates the addressable market and hides the very risk this dissertation exists to test.</w:t>
      </w:r>
    </w:p>
    <w:bookmarkEnd w:id="62"/>
    <w:bookmarkStart w:id="63" w:name="the-single-falsifiable-contribution"/>
    <w:p>
      <w:pPr>
        <w:pStyle w:val="Heading2"/>
        <w:spacing w:line="480" w:lineRule="auto"/>
      </w:pPr>
      <w:r>
        <w:t xml:space="preserve">The single falsifiable contribution</w:t>
      </w:r>
    </w:p>
    <w:p>
      <w:pPr>
        <w:pStyle w:val="FirstParagraph"/>
        <w:spacing w:line="480" w:lineRule="auto"/>
      </w:pPr>
      <w:r>
        <w:t xml:space="preserve">This work advances one testable claim and builds the apparatus to evaluate it. Stated at the level of the dissertation, the claim is that provisioned LEO broadband capacity, conditioned on gateway and spectrum availability in served geographies, will exceed priced addressable demand by a statistically significant margin by year-end 2030. The null is that the buildout remains demand-matched within current uncertainty. The alternative is a structural overcapacity condition. The contribution is not a slogan about a glut. It is the construction of a supply-and-demand identification model that separates the capacity frontier from the demand frontier, quantifies each with real data, and returns a ratio with calibrated uncertainty.</w:t>
      </w:r>
    </w:p>
    <w:p>
      <w:pPr>
        <w:pStyle w:val="BodyText"/>
        <w:spacing w:line="480" w:lineRule="auto"/>
        <w:ind w:firstLine="720"/>
      </w:pPr>
      <w:r>
        <w:t xml:space="preserve">Two empirical papers form the spine. The first estimates a Starlink launch-cohort learning curve from public CelesTrak catalog records, measuring how fast the physical payload stock scaled during early deployment</w:t>
      </w:r>
      <w:r>
        <w:t xml:space="preserve"> </w:t>
      </w:r>
      <w:hyperlink w:anchor="ref-5">
        <w:r>
          <w:rPr>
            <w:rStyle w:val="Hyperlink"/>
          </w:rPr>
          <w:t xml:space="preserve">[5]</w:t>
        </w:r>
      </w:hyperlink>
      <w:r>
        <w:t xml:space="preserve">. The second estimates cross-country demand constraints from World Bank indicators, measuring whether the population that remains offline is shaped by rurality and income in ways that separate need from purchasing power</w:t>
      </w:r>
      <w:r>
        <w:t xml:space="preserve"> </w:t>
      </w:r>
      <w:hyperlink w:anchor="ref-8">
        <w:r>
          <w:rPr>
            <w:rStyle w:val="Hyperlink"/>
          </w:rPr>
          <w:t xml:space="preserve">[8]</w:t>
        </w:r>
      </w:hyperlink>
      <w:r>
        <w:t xml:space="preserve">. One paper measures the supply path. The other measures why the demand path is slower than the coverage map implies. Neither alone resolves the 2030 question. Together they bound it and, more usefully, they identify which missing observations would tighten the bound most.</w:t>
      </w:r>
    </w:p>
    <w:bookmarkEnd w:id="63"/>
    <w:bookmarkStart w:id="64" w:name="what-the-two-papers-actually-find"/>
    <w:p>
      <w:pPr>
        <w:pStyle w:val="Heading2"/>
        <w:spacing w:line="480" w:lineRule="auto"/>
      </w:pPr>
      <w:r>
        <w:t xml:space="preserve">What the two papers actually find</w:t>
      </w:r>
    </w:p>
    <w:p>
      <w:pPr>
        <w:pStyle w:val="FirstParagraph"/>
        <w:spacing w:line="480" w:lineRule="auto"/>
      </w:pPr>
      <w:r>
        <w:t xml:space="preserve">Consider the supply side first. That paper returns a precise and slightly deflationary result. Across the first forty Starlink launch cohorts, cumulative cataloged payloads scale with cohort sequence at an elasticity of 0.9699, with a robust standard error of 0.0056, and the estimator reports a slope p-value of essentially zero. The elasticity sits just below one. The physical stock therefore grew almost proportionally with the number of launch cohorts rather than superlinearly, which means the early supply frontier expanded through repeatable large batches, not through an accelerating trend in payloads per launch. Absolute growth was still fast. The mechanism, though, is accumulation rather than acceleration, and that distinction shapes how overcapacity risk should be monitored.</w:t>
      </w:r>
    </w:p>
    <w:p>
      <w:pPr>
        <w:pStyle w:val="BodyText"/>
        <w:spacing w:line="480" w:lineRule="auto"/>
        <w:ind w:firstLine="720"/>
      </w:pPr>
      <w:r>
        <w:t xml:space="preserve">Now the demand side. That paper returns a result that constrains any optimistic reading of supply. In an ordinary least squares model over the forty countries with the largest Internet-use gaps, rural population share carries a positive coefficient of 0.3973 and log GDP per capita carries a negative coefficient of -9.7131, with an R-squared of 0.6189 and small p-values on both terms</w:t>
      </w:r>
      <w:r>
        <w:t xml:space="preserve"> </w:t>
      </w:r>
      <w:hyperlink w:anchor="ref-8">
        <w:r>
          <w:rPr>
            <w:rStyle w:val="Hyperlink"/>
          </w:rPr>
          <w:t xml:space="preserve">[8]</w:t>
        </w:r>
      </w:hyperlink>
      <w:r>
        <w:t xml:space="preserve">. Higher rurality and lower income go together with a wider gap between the connected and the offline. Even inside a sample selected for maximal social need, the income constraint is unmistakable. The countries where the humanitarian case for connectivity is strongest are not simply uncovered rich markets waiting for a signal. They are places where geography and poverty move together and make demand conversion difficult.</w:t>
      </w:r>
    </w:p>
    <w:bookmarkEnd w:id="64"/>
    <w:bookmarkStart w:id="65" w:name="how-the-ratio-follows"/>
    <w:p>
      <w:pPr>
        <w:pStyle w:val="Heading2"/>
        <w:spacing w:line="480" w:lineRule="auto"/>
      </w:pPr>
      <w:r>
        <w:t xml:space="preserve">How the ratio follows</w:t>
      </w:r>
    </w:p>
    <w:p>
      <w:pPr>
        <w:pStyle w:val="FirstParagraph"/>
        <w:spacing w:line="480" w:lineRule="auto"/>
      </w:pPr>
      <w:r>
        <w:t xml:space="preserve">Put the two findings beside each other and the logic of a possible glut becomes concrete. A supply path that accumulates rapidly, even proportionally, can pile up deliverable gigabits at a pace set by launch cadence and manufacturing throughput. A demand path throttled by income and rural distribution converts slowly, and it converts through institutions such as universal-service funds, schools, clinics, and government anchors rather than through instantaneous retail uptake. The ratio of the two is the object of interest. When a fast physical supply path meets a slow demand-conversion path, the numerator can outrun the denominator well before the constellation is even complete. That is the overcapacity condition in mechanical terms, and it is why the ratio, not either frontier alone, is the falsifiable quantity.</w:t>
      </w:r>
    </w:p>
    <w:bookmarkEnd w:id="65"/>
    <w:bookmarkStart w:id="66" w:name="stakes-for-policy-and-capital"/>
    <w:p>
      <w:pPr>
        <w:pStyle w:val="Heading2"/>
        <w:spacing w:line="480" w:lineRule="auto"/>
      </w:pPr>
      <w:r>
        <w:t xml:space="preserve">Stakes for policy and capital</w:t>
      </w:r>
    </w:p>
    <w:p>
      <w:pPr>
        <w:pStyle w:val="FirstParagraph"/>
        <w:spacing w:line="480" w:lineRule="auto"/>
      </w:pPr>
      <w:r>
        <w:t xml:space="preserve">Consider who is exposed if the ratio tips. Spectrum is a public trust administered through national regulators and coordinated at the International Telecommunication Union, and a large allocation that goes underused is a social cost that competitors and future entrants also bear. Boeing’s account of the WRC-19 milestones shows how much regulatory design work went into enabling sustainable LEO operation, which raises the stakes if that enabling framework provisions capacity the market cannot monetize</w:t>
      </w:r>
      <w:r>
        <w:t xml:space="preserve"> </w:t>
      </w:r>
      <w:hyperlink w:anchor="ref-10">
        <w:r>
          <w:rPr>
            <w:rStyle w:val="Hyperlink"/>
          </w:rPr>
          <w:t xml:space="preserve">[10]</w:t>
        </w:r>
      </w:hyperlink>
      <w:r>
        <w:t xml:space="preserve">. Capital markets are exposed differently. Staged-deployment analysis treats the constellation as a sequence of options exercised under demand uncertainty, precisely because committing the full fleet before demand is proven can strand billions</w:t>
      </w:r>
      <w:r>
        <w:t xml:space="preserve"> </w:t>
      </w:r>
      <w:hyperlink w:anchor="ref-6">
        <w:r>
          <w:rPr>
            <w:rStyle w:val="Hyperlink"/>
          </w:rPr>
          <w:t xml:space="preserve">[6]</w:t>
        </w:r>
      </w:hyperlink>
      <w:r>
        <w:t xml:space="preserve">. A rigorous overcapacity test is therefore not an academic curiosity. It informs whether the next tranche of satellites, gateways, and spectrum filings is a prudent exercise of an option or a sunk bet against a market that will not arrive on schedule.</w:t>
      </w:r>
    </w:p>
    <w:bookmarkEnd w:id="66"/>
    <w:bookmarkStart w:id="67" w:name="Xc2ec91a864815925df334b8f1d149c6d3c97709"/>
    <w:p>
      <w:pPr>
        <w:pStyle w:val="Heading2"/>
        <w:spacing w:line="480" w:lineRule="auto"/>
      </w:pPr>
      <w:r>
        <w:t xml:space="preserve">The scale of the buildout in concrete terms</w:t>
      </w:r>
    </w:p>
    <w:p>
      <w:pPr>
        <w:pStyle w:val="FirstParagraph"/>
        <w:spacing w:line="480" w:lineRule="auto"/>
      </w:pPr>
      <w:r>
        <w:t xml:space="preserve">An abstraction becomes urgent when it is given numbers. Consider the market as it actually stands. Three operational and two near-operational mega-constellations now contend for the same Ku, Ka, and V-band allocations and for the same high-value customer segments. The public catalog records the physical reality of one of them in unambiguous terms: across the first forty Starlink launch cohorts alone, the cumulative cataloged payload stock rose from sixty satellites to more than two thousand, and that was merely the early deployment of a single operator whose authorized constellation runs into the tens of thousands</w:t>
      </w:r>
      <w:r>
        <w:t xml:space="preserve"> </w:t>
      </w:r>
      <w:hyperlink w:anchor="ref-5">
        <w:r>
          <w:rPr>
            <w:rStyle w:val="Hyperlink"/>
          </w:rPr>
          <w:t xml:space="preserve">[5]</w:t>
        </w:r>
      </w:hyperlink>
      <w:r>
        <w:t xml:space="preserve">. Set beside that supply figure the demand figure that motivates the whole enterprise. The International Telecommunication Union documents that roughly a third of humanity remains offline, a gap that the industry routinely reads as its addressable market</w:t>
      </w:r>
      <w:r>
        <w:t xml:space="preserve"> </w:t>
      </w:r>
      <w:hyperlink w:anchor="ref-9">
        <w:r>
          <w:rPr>
            <w:rStyle w:val="Hyperlink"/>
          </w:rPr>
          <w:t xml:space="preserve">[9]</w:t>
        </w:r>
      </w:hyperlink>
      <w:r>
        <w:t xml:space="preserve">. The tension between those two figures, a physical supply that accumulates by the thousand and a nominal demand counted in the billions, is what makes the glut question look, at first glance, absurd. How could supply possibly outrun a demand that large?</w:t>
      </w:r>
    </w:p>
    <w:p>
      <w:pPr>
        <w:pStyle w:val="BodyText"/>
        <w:spacing w:line="480" w:lineRule="auto"/>
        <w:ind w:firstLine="720"/>
      </w:pPr>
      <w:r>
        <w:t xml:space="preserve">The answer, developed across this dissertation, is that the billions who are offline and the customers who can pay premium rates for satellite broadband are not the same population, and the gap between them is exactly where overcapacity risk hides. A satellite over a low-income, high-rurality region contributes to the orbital count and to the coverage map, yet contributes nothing to priced demand until income, distribution, and institutional purchasing convert need into revenue. The demand paper measures that conversion gap directly, and it finds it large and systematic</w:t>
      </w:r>
      <w:r>
        <w:t xml:space="preserve"> </w:t>
      </w:r>
      <w:hyperlink w:anchor="ref-8">
        <w:r>
          <w:rPr>
            <w:rStyle w:val="Hyperlink"/>
          </w:rPr>
          <w:t xml:space="preserve">[8]</w:t>
        </w:r>
      </w:hyperlink>
      <w:r>
        <w:t xml:space="preserve">. The supply paper measures how fast the physical stock accumulates against that gap, and it finds the accumulation steady and rapid</w:t>
      </w:r>
      <w:r>
        <w:t xml:space="preserve"> </w:t>
      </w:r>
      <w:hyperlink w:anchor="ref-5">
        <w:r>
          <w:rPr>
            <w:rStyle w:val="Hyperlink"/>
          </w:rPr>
          <w:t xml:space="preserve">[5]</w:t>
        </w:r>
      </w:hyperlink>
      <w:r>
        <w:t xml:space="preserve">. The absurdity dissolves once need and demand are separated, which is the first analytical move the dissertation makes and the one everything else rests upon.</w:t>
      </w:r>
    </w:p>
    <w:bookmarkEnd w:id="67"/>
    <w:bookmarkStart w:id="68" w:name="the-cost-of-getting-the-answer-wrong"/>
    <w:p>
      <w:pPr>
        <w:pStyle w:val="Heading2"/>
        <w:spacing w:line="480" w:lineRule="auto"/>
      </w:pPr>
      <w:r>
        <w:t xml:space="preserve">The cost of getting the answer wrong</w:t>
      </w:r>
    </w:p>
    <w:p>
      <w:pPr>
        <w:pStyle w:val="FirstParagraph"/>
        <w:spacing w:line="480" w:lineRule="auto"/>
      </w:pPr>
      <w:r>
        <w:t xml:space="preserve">Overcapacity is not a neutral outcome that markets absorb costlessly. Its consequences fall unevenly and they compound. For operators, a supply frontier that outruns priced demand means price compression as competitors chase a market thinner than their coverage maps suggest, followed by consolidation as weaker balance sheets fail and stronger ones absorb them. For regulators, it means stranded spectrum: frequency allocations granted on the premise of productive use that instead sit underutilized, a cost borne not only by the holder but by every competitor and future entrant denied access to a scarce public resource</w:t>
      </w:r>
      <w:r>
        <w:t xml:space="preserve"> </w:t>
      </w:r>
      <w:hyperlink w:anchor="ref-3">
        <w:r>
          <w:rPr>
            <w:rStyle w:val="Hyperlink"/>
          </w:rPr>
          <w:t xml:space="preserve">[3]</w:t>
        </w:r>
      </w:hyperlink>
      <w:r>
        <w:t xml:space="preserve">. For the orbital environment, it means physical objects placed in shells that carry collision and debris externalities whether or not they ever earn revenue, a concern the space-capacity-management literature treats as inseparable from traffic management</w:t>
      </w:r>
      <w:r>
        <w:t xml:space="preserve"> </w:t>
      </w:r>
      <w:hyperlink w:anchor="ref-24">
        <w:r>
          <w:rPr>
            <w:rStyle w:val="Hyperlink"/>
          </w:rPr>
          <w:t xml:space="preserve">[24]</w:t>
        </w:r>
      </w:hyperlink>
      <w:r>
        <w:t xml:space="preserve">. Getting the answer wrong in the optimistic direction, building for a market that does not arrive, is therefore expensive across three distinct ledgers at once, which is why a rigorous and auditable test of the thesis is worth the effort it demands.</w:t>
      </w:r>
    </w:p>
    <w:bookmarkEnd w:id="68"/>
    <w:bookmarkStart w:id="69" w:name="roadmap"/>
    <w:p>
      <w:pPr>
        <w:pStyle w:val="Heading2"/>
        <w:spacing w:line="480" w:lineRule="auto"/>
      </w:pPr>
      <w:r>
        <w:t xml:space="preserve">Roadmap</w:t>
      </w:r>
    </w:p>
    <w:p>
      <w:pPr>
        <w:pStyle w:val="FirstParagraph"/>
        <w:spacing w:line="480" w:lineRule="auto"/>
      </w:pPr>
      <w:r>
        <w:t xml:space="preserve">The chapters proceed from motivation to evidence to interpretation. Chapter 2 situates the argument against prior work, drawing the supply, strategy, demand, and governance literatures into one frame and locating the gap that the joint model fills. Chapter 3 develops the theory: the two-mechanism account of supply accumulation and demand conversion, the gateway-conditioning constraint that separates authorized from deliverable capacity, and the testable predictions that follow. Chapter 4 sets out the methodology and identification, explaining the learning-curve estimator, the cross-country regression, and why each recovers the quantity it claims to recover. Chapter 5 documents the data and measurement: the CelesTrak catalog extract, the World Bank indicators, variable construction, provenance, and sample sizes. Chapter 6 reports the estimator output exactly as the analysis produced it and interprets the signs and magnitudes. Chapter 7 discusses what the findings mean and, with equal care, what they cannot show, cataloging the threats to validity. Chapter 8 draws conclusions, connects them to governance and program relevance, and lays out the further observations that would convert a bound into a forecast.</w:t>
      </w:r>
    </w:p>
    <w:bookmarkEnd w:id="69"/>
    <w:bookmarkStart w:id="70" w:name="X5a26c26c9f6ef5dcda2981ab40f42f0a034dc5b"/>
    <w:p>
      <w:pPr>
        <w:pStyle w:val="Heading2"/>
        <w:spacing w:line="480" w:lineRule="auto"/>
      </w:pPr>
      <w:r>
        <w:t xml:space="preserve">Why a candidate in information-technology infrastructure asks this</w:t>
      </w:r>
    </w:p>
    <w:p>
      <w:pPr>
        <w:pStyle w:val="FirstParagraph"/>
        <w:spacing w:line="480" w:lineRule="auto"/>
      </w:pPr>
      <w:r>
        <w:t xml:space="preserve">The question belongs to information-technology infrastructure rather than to astronomy or to pure economics, and the placement matters for how it is answered. Satellite broadband is, at bottom, an infrastructure-provisioning problem: a capital-intensive network is being built ahead of the demand it hopes to serve, exactly as terrestrial fiber, cellular towers, and data centers have been built ahead of their demand in earlier cycles. Infrastructure economics has a long memory of overbuild. Rail booms, fiber gluts, and telecom-capacity crashes all followed the same arc, in which a technically impressive network outran the priced demand available at sustainable rates and corrected through failures and consolidation. The LEO buildout invites the same analysis, and the discipline of this dissertation is to bring infrastructure-provisioning logic to bear on a space asset rather than to treat space as a domain exempt from ordinary capacity economics</w:t>
      </w:r>
      <w:r>
        <w:t xml:space="preserve"> </w:t>
      </w:r>
      <w:hyperlink w:anchor="ref-4">
        <w:r>
          <w:rPr>
            <w:rStyle w:val="Hyperlink"/>
          </w:rPr>
          <w:t xml:space="preserve">[4]</w:t>
        </w:r>
      </w:hyperlink>
      <w:r>
        <w:t xml:space="preserve">.</w:t>
      </w:r>
    </w:p>
    <w:p>
      <w:pPr>
        <w:pStyle w:val="BodyText"/>
        <w:spacing w:line="480" w:lineRule="auto"/>
        <w:ind w:firstLine="720"/>
      </w:pPr>
      <w:r>
        <w:t xml:space="preserve">That framing carries an obligation. If LEO broadband is infrastructure, then the standard questions of infrastructure apply: what is the provisioning rate, what is the absorption rate, and what is the ratio between them over the relevant horizon. The engineering literature has answered the first question well, characterizing throughput as a function of architecture and ground segment</w:t>
      </w:r>
      <w:r>
        <w:t xml:space="preserve"> </w:t>
      </w:r>
      <w:hyperlink w:anchor="ref-2">
        <w:r>
          <w:rPr>
            <w:rStyle w:val="Hyperlink"/>
          </w:rPr>
          <w:t xml:space="preserve">[2]</w:t>
        </w:r>
      </w:hyperlink>
      <w:r>
        <w:t xml:space="preserve">. The development literature has the tools to answer the second, characterizing demand as a function of income, geography, and institutions</w:t>
      </w:r>
      <w:r>
        <w:t xml:space="preserve"> </w:t>
      </w:r>
      <w:hyperlink w:anchor="ref-9">
        <w:r>
          <w:rPr>
            <w:rStyle w:val="Hyperlink"/>
          </w:rPr>
          <w:t xml:space="preserve">[9]</w:t>
        </w:r>
      </w:hyperlink>
      <w:r>
        <w:t xml:space="preserve">. What has been missing is a treatment that holds both in the same hand, and the reason it has been missing is disciplinary: the people who model satellite throughput and the people who model connectivity demand publish in different venues and rarely read one another. This dissertation is written from the infrastructure vantage precisely so that the provisioning rate and the absorption rate can be estimated in one coherent argument.</w:t>
      </w:r>
    </w:p>
    <w:bookmarkEnd w:id="70"/>
    <w:bookmarkStart w:id="71" w:name="X407d4f1dc1975b17f570d628c5c7d8d4b287b91"/>
    <w:p>
      <w:pPr>
        <w:pStyle w:val="Heading2"/>
        <w:spacing w:line="480" w:lineRule="auto"/>
      </w:pPr>
      <w:r>
        <w:t xml:space="preserve">The shape of the evidence and its honest limits</w:t>
      </w:r>
    </w:p>
    <w:p>
      <w:pPr>
        <w:pStyle w:val="FirstParagraph"/>
        <w:spacing w:line="480" w:lineRule="auto"/>
      </w:pPr>
      <w:r>
        <w:t xml:space="preserve">It is worth being explicit, at the outset, about the character of the evidence so that no reader mistakes its ambition. The two papers do not measure the 2030 ratio. They measure two of its determinants: the shape of the early supply curve for one operator, and the cross-country conditioning of connectivity need by income and geography at one point in time. These are determinants, not the outcome, and the distinction is maintained rigorously throughout. The supply elasticity is a descriptive measurement of an accumulation, not a causal effect and not a forecast</w:t>
      </w:r>
      <w:r>
        <w:t xml:space="preserve"> </w:t>
      </w:r>
      <w:hyperlink w:anchor="ref-5">
        <w:r>
          <w:rPr>
            <w:rStyle w:val="Hyperlink"/>
          </w:rPr>
          <w:t xml:space="preserve">[5]</w:t>
        </w:r>
      </w:hyperlink>
      <w:r>
        <w:t xml:space="preserve">. The demand coefficients are associations within official data, adversarially sampled to give the optimistic hypothesis its best case, not isolated causal effects and not willingness-to-pay estimates</w:t>
      </w:r>
      <w:r>
        <w:t xml:space="preserve"> </w:t>
      </w:r>
      <w:hyperlink w:anchor="ref-8">
        <w:r>
          <w:rPr>
            <w:rStyle w:val="Hyperlink"/>
          </w:rPr>
          <w:t xml:space="preserve">[8]</w:t>
        </w:r>
      </w:hyperlink>
      <w:r>
        <w:t xml:space="preserve">. The frame that connects them is theoretical, and the join that would produce the actual 2030 ratio depends on data, gateway coverage by geography and spectrum rights by country, that are not yet public. Naming that missing join, rather than papering over it with assumptions, is part of the contribution and a standing commitment of the chapters that follow.</w:t>
      </w:r>
    </w:p>
    <w:p>
      <w:pPr>
        <w:pStyle w:val="BodyText"/>
        <w:spacing w:line="480" w:lineRule="auto"/>
        <w:ind w:firstLine="720"/>
      </w:pPr>
      <w:r>
        <w:t xml:space="preserve">A word on discipline is owed at the outset. This dissertation does not claim to have measured the 2030 outcome. It has measured two of its determinants with public data and honest uncertainty, and it has built the frame into which the remaining determinants can be placed. The value of that frame is that it refuses to let announced capacity stand in for realized capacity, and it refuses to let counted need stand in for priced demand. Those two refusals are the whole methodological posture of the work. Everything else is the evidence that makes them operational, and the reasoning that turns two modest regressions into a falsifiable statement about whether the sky is being filled faster than the market can pay for it.</w:t>
      </w:r>
    </w:p>
    <w:bookmarkEnd w:id="71"/>
    <w:bookmarkEnd w:id="72"/>
    <w:bookmarkStart w:id="84" w:name="chapter-2.-literature-review"/>
    <w:p>
      <w:pPr>
        <w:pStyle w:val="Heading1"/>
        <w:spacing w:line="480" w:lineRule="auto"/>
      </w:pPr>
      <w:r>
        <w:t xml:space="preserve">Chapter 2. Literature Review</w:t>
      </w:r>
    </w:p>
    <w:p>
      <w:pPr>
        <w:pStyle w:val="FirstParagraph"/>
        <w:spacing w:line="480" w:lineRule="auto"/>
      </w:pPr>
      <w:r>
        <w:t xml:space="preserve">The scholarship that bears on the capacity-glut question was never written to answer it. It sits in five distinct conversations that rarely cite one another: the engineering literature on constellation throughput, the systems literature on staged deployment under uncertainty, the strategic literature on competitive positioning, the governance literature on spectrum and orbital sustainability, and the development-economics literature on the digital divide. Each conversation illuminates one face of the problem and is silent on the others. This chapter reads them together, not to summarize each in turn, but to show where their boundaries meet and where none of them reaches. That meeting point is the gap this dissertation fills.</w:t>
      </w:r>
    </w:p>
    <w:bookmarkStart w:id="73" w:name="Xa2cfb4616b7c4f977134f1a9e6c74befa51fc01"/>
    <w:p>
      <w:pPr>
        <w:pStyle w:val="Heading2"/>
        <w:spacing w:line="480" w:lineRule="auto"/>
      </w:pPr>
      <w:r>
        <w:t xml:space="preserve">Reading five literatures against one question</w:t>
      </w:r>
    </w:p>
    <w:p>
      <w:pPr>
        <w:pStyle w:val="FirstParagraph"/>
        <w:spacing w:line="480" w:lineRule="auto"/>
      </w:pPr>
      <w:r>
        <w:t xml:space="preserve">Before entering the individual conversations, it helps to say why they are treated as five and not one. Each developed its own vocabulary, its own venues, and its own implicit model of what a satellite constellation is. The engineer sees a throughput system. The systems analyst sees a staged investment. The strategist sees a positional contest. The governance scholar sees a commons under pressure. The development economist sees a demand distribution shaped by poverty and place. None of these is wrong, and none is complete. The capacity-glut question sits precisely at their intersection, because it asks whether a throughput system, built as a staged investment, driven by positional motives, straining a commons, will find a demand distribution able to pay for it. A review organized literature by literature would leave that intersection empty. This chapter is organized instead to walk each conversation toward the intersection and to mark exactly where it stops short</w:t>
      </w:r>
      <w:r>
        <w:t xml:space="preserve"> </w:t>
      </w:r>
      <w:hyperlink w:anchor="ref-4">
        <w:r>
          <w:rPr>
            <w:rStyle w:val="Hyperlink"/>
          </w:rPr>
          <w:t xml:space="preserve">[4]</w:t>
        </w:r>
      </w:hyperlink>
      <w:r>
        <w:t xml:space="preserve">.</w:t>
      </w:r>
    </w:p>
    <w:bookmarkEnd w:id="73"/>
    <w:bookmarkStart w:id="74" w:name="X35aeb9de44e9d2fe6e1e2445d9201fabb7b5209"/>
    <w:p>
      <w:pPr>
        <w:pStyle w:val="Heading2"/>
        <w:spacing w:line="480" w:lineRule="auto"/>
      </w:pPr>
      <w:r>
        <w:t xml:space="preserve">The supply frontier as an engineering object</w:t>
      </w:r>
    </w:p>
    <w:p>
      <w:pPr>
        <w:pStyle w:val="FirstParagraph"/>
        <w:spacing w:line="480" w:lineRule="auto"/>
      </w:pPr>
      <w:r>
        <w:t xml:space="preserve">Start with the physics. The most rigorous account of what a LEO constellation can actually deliver comes from del Portillo, Cameron, and Crawley, whose comparative analysis of three large systems established the technical envelope for the field</w:t>
      </w:r>
      <w:r>
        <w:t xml:space="preserve"> </w:t>
      </w:r>
      <w:hyperlink w:anchor="ref-2">
        <w:r>
          <w:rPr>
            <w:rStyle w:val="Hyperlink"/>
          </w:rPr>
          <w:t xml:space="preserve">[2]</w:t>
        </w:r>
      </w:hyperlink>
      <w:r>
        <w:t xml:space="preserve">. Their contribution is to show that system-level downlink capacity is not a free parameter set by satellite count. It is a coupled function of orbital architecture, inter-satellite links, ground-segment throughput, and spectrum reuse, and it saturates against local demand density, which punishes uniform coverage assumptions. A constellation optimized for one traffic geography underperforms in another. The lesson for a glut analysis is that capacity is spatially lumpy: aggregate provisioned gigabits overstate deliverable service wherever demand is thin, which is precisely where LEO is often marketed as indispensable.</w:t>
      </w:r>
    </w:p>
    <w:p>
      <w:pPr>
        <w:pStyle w:val="BodyText"/>
        <w:spacing w:line="480" w:lineRule="auto"/>
        <w:ind w:firstLine="720"/>
      </w:pPr>
      <w:r>
        <w:t xml:space="preserve">Sturza, Dankberg, and Blount sharpen this into a sustainability argument, modeling LEO capacity with an eye to design trades that keep systems economically and orbitally viable rather than maximally large</w:t>
      </w:r>
      <w:r>
        <w:t xml:space="preserve"> </w:t>
      </w:r>
      <w:hyperlink w:anchor="ref-14">
        <w:r>
          <w:rPr>
            <w:rStyle w:val="Hyperlink"/>
          </w:rPr>
          <w:t xml:space="preserve">[14]</w:t>
        </w:r>
      </w:hyperlink>
      <w:r>
        <w:t xml:space="preserve">. Their earlier design-trades work with Saura Carretero frames the same tension environmentally, treating restraint in constellation sizing as a first-class engineering goal rather than a constraint to be evaded</w:t>
      </w:r>
      <w:r>
        <w:t xml:space="preserve"> </w:t>
      </w:r>
      <w:hyperlink w:anchor="ref-12">
        <w:r>
          <w:rPr>
            <w:rStyle w:val="Hyperlink"/>
          </w:rPr>
          <w:t xml:space="preserve">[12]</w:t>
        </w:r>
      </w:hyperlink>
      <w:r>
        <w:t xml:space="preserve">. Read against the glut question, this strand supplies a crucial premise: the engineers who model these systems most carefully do not assume that bigger is automatically better, and they build capacity ceilings that are already conditioned on what the physics and the economics will bear.</w:t>
      </w:r>
    </w:p>
    <w:p>
      <w:pPr>
        <w:pStyle w:val="BodyText"/>
        <w:spacing w:line="480" w:lineRule="auto"/>
        <w:ind w:firstLine="720"/>
      </w:pPr>
      <w:r>
        <w:t xml:space="preserve">The demand-aware extension of the throughput literature is the most recent and the most directly relevant. Martinez Zamacola, Martin Marco, and Martinez Rodriguez-Osorio profile the transmit power of LEO constellations while explicitly modeling terrestrial and aerial demand as spatially non-uniform</w:t>
      </w:r>
      <w:r>
        <w:t xml:space="preserve"> </w:t>
      </w:r>
      <w:hyperlink w:anchor="ref-7">
        <w:r>
          <w:rPr>
            <w:rStyle w:val="Hyperlink"/>
          </w:rPr>
          <w:t xml:space="preserve">[7]</w:t>
        </w:r>
      </w:hyperlink>
      <w:r>
        <w:t xml:space="preserve">. Their companion treatment of the same problem reinforces the point that demand distribution, not just coverage, governs how a constellation must operate and how much of its nominal capacity is usable at any moment</w:t>
      </w:r>
      <w:r>
        <w:t xml:space="preserve"> </w:t>
      </w:r>
      <w:hyperlink w:anchor="ref-19">
        <w:r>
          <w:rPr>
            <w:rStyle w:val="Hyperlink"/>
          </w:rPr>
          <w:t xml:space="preserve">[19]</w:t>
        </w:r>
      </w:hyperlink>
      <w:r>
        <w:t xml:space="preserve">. This is the closest the engineering literature comes to admitting a demand frontier into its models, and it does so as a physical-layer constraint rather than as an economic one. The economic conversion remains outside the frame.</w:t>
      </w:r>
    </w:p>
    <w:bookmarkEnd w:id="74"/>
    <w:bookmarkStart w:id="75" w:name="deployment-as-a-sequence-of-options"/>
    <w:p>
      <w:pPr>
        <w:pStyle w:val="Heading2"/>
        <w:spacing w:line="480" w:lineRule="auto"/>
      </w:pPr>
      <w:r>
        <w:t xml:space="preserve">Deployment as a sequence of options</w:t>
      </w:r>
    </w:p>
    <w:p>
      <w:pPr>
        <w:pStyle w:val="FirstParagraph"/>
        <w:spacing w:line="480" w:lineRule="auto"/>
      </w:pPr>
      <w:r>
        <w:t xml:space="preserve">A second conversation treats the constellation not as a static design but as a staged commitment made under demand uncertainty. Anderson, Cardin, and Grogan analyze flexible multi-layer staged deployment for mega-constellations and show that the value of building in stages comes precisely from the option to stop, slow, or reshape the fleet as demand information arrives</w:t>
      </w:r>
      <w:r>
        <w:t xml:space="preserve"> </w:t>
      </w:r>
      <w:hyperlink w:anchor="ref-6">
        <w:r>
          <w:rPr>
            <w:rStyle w:val="Hyperlink"/>
          </w:rPr>
          <w:t xml:space="preserve">[6]</w:t>
        </w:r>
      </w:hyperlink>
      <w:r>
        <w:t xml:space="preserve">. Their framing matters because it names uncertainty as the central design variable rather than an afterthought. If demand were known, the optimal constellation could be built in one pass. Because demand is not known, the rational operator preserves flexibility, which implies that operators themselves treat the possibility of overbuild as a live risk worth paying to hedge.</w:t>
      </w:r>
    </w:p>
    <w:p>
      <w:pPr>
        <w:pStyle w:val="BodyText"/>
        <w:spacing w:line="480" w:lineRule="auto"/>
        <w:ind w:firstLine="720"/>
      </w:pPr>
      <w:r>
        <w:t xml:space="preserve">This literature is analytically adjacent to the present work but stops short of it in one specific way. It models the operator’s optimal response to demand uncertainty; it does not estimate the demand frontier itself. The staged-deployment framework takes the demand distribution as an input and reasons about decisions given that input. The capacity-glut question asks whether the aggregate of those decisions, summed across competing operators, produces a supply frontier that exceeds a demand frontier that must itself be measured. Staged deployment is thus a theory of prudent building. It is not a test of whether the industry, in aggregate, is building prudently.</w:t>
      </w:r>
    </w:p>
    <w:bookmarkEnd w:id="75"/>
    <w:bookmarkStart w:id="76" w:name="the-strategic-race-and-its-blind-spot"/>
    <w:p>
      <w:pPr>
        <w:pStyle w:val="Heading2"/>
        <w:spacing w:line="480" w:lineRule="auto"/>
      </w:pPr>
      <w:r>
        <w:t xml:space="preserve">The strategic race and its blind spot</w:t>
      </w:r>
    </w:p>
    <w:p>
      <w:pPr>
        <w:pStyle w:val="FirstParagraph"/>
        <w:spacing w:line="480" w:lineRule="auto"/>
      </w:pPr>
      <w:r>
        <w:t xml:space="preserve">Strategy tells a different story. Here the LEO buildout reads as a competition for durable advantage. Young and Thadani, in the account that anchors this framing, describe the contest as shaped by first-mover advantage, government demand, and control of industrial tempo, with capacity treated as the dominant lever</w:t>
      </w:r>
      <w:r>
        <w:t xml:space="preserve"> </w:t>
      </w:r>
      <w:hyperlink w:anchor="ref-1">
        <w:r>
          <w:rPr>
            <w:rStyle w:val="Hyperlink"/>
          </w:rPr>
          <w:t xml:space="preserve">[1]</w:t>
        </w:r>
      </w:hyperlink>
      <w:r>
        <w:t xml:space="preserve"> </w:t>
      </w:r>
      <w:hyperlink w:anchor="ref-11">
        <w:r>
          <w:rPr>
            <w:rStyle w:val="Hyperlink"/>
          </w:rPr>
          <w:t xml:space="preserve">[11]</w:t>
        </w:r>
      </w:hyperlink>
      <w:r>
        <w:t xml:space="preserve">. Their analysis is persuasive on why operators build fast. It is less concerned with whether the fast building matches a demand curve, because in a strategic frame the point of capacity is partly to deny it to rivals and to capture anchor customers, especially in defense and mobility, before competitors can. Reis extends the security-strategic reading to the European context, treating space and ground systems as assets to be defended against hybrid threats, which further loads the strategic case with reasons to build that are orthogonal to retail demand</w:t>
      </w:r>
      <w:r>
        <w:t xml:space="preserve"> </w:t>
      </w:r>
      <w:hyperlink w:anchor="ref-25">
        <w:r>
          <w:rPr>
            <w:rStyle w:val="Hyperlink"/>
          </w:rPr>
          <w:t xml:space="preserve">[25]</w:t>
        </w:r>
      </w:hyperlink>
      <w:r>
        <w:t xml:space="preserve">.</w:t>
      </w:r>
    </w:p>
    <w:p>
      <w:pPr>
        <w:pStyle w:val="BodyText"/>
        <w:spacing w:line="480" w:lineRule="auto"/>
        <w:ind w:firstLine="720"/>
      </w:pPr>
      <w:r>
        <w:t xml:space="preserve">The blind spot is deliberate and instructive. Strategic accounts explain a buildout that may be economically irrational at the level of the retail market yet strategically rational at the level of the state and the incumbent. That divergence is itself a source of glut risk. When capacity is built for positional and governmental reasons, the resulting supply frontier is decoupled from priced consumer and enterprise demand by construction. A test of the glut thesis must therefore hold the strategic motivation constant and ask the separate empirical question of whether demand, priced and addressable, can absorb what strategy has produced.</w:t>
      </w:r>
    </w:p>
    <w:bookmarkEnd w:id="76"/>
    <w:bookmarkStart w:id="77" w:name="X589e889c988e6af01ffe20ce892cc88dda5d35c"/>
    <w:p>
      <w:pPr>
        <w:pStyle w:val="Heading2"/>
        <w:spacing w:line="480" w:lineRule="auto"/>
      </w:pPr>
      <w:r>
        <w:t xml:space="preserve">Governance, spectrum, and the sustainability of the commons</w:t>
      </w:r>
    </w:p>
    <w:p>
      <w:pPr>
        <w:pStyle w:val="FirstParagraph"/>
        <w:spacing w:line="480" w:lineRule="auto"/>
      </w:pPr>
      <w:r>
        <w:t xml:space="preserve">Governance supplies the institutional container. Allison’s account of WRC-19 documents the new space law that made sustainable LEO operation possible, tracing how spectrum-sharing rules and milestone requirements were negotiated to keep the orbital and frequency commons usable</w:t>
      </w:r>
      <w:r>
        <w:t xml:space="preserve"> </w:t>
      </w:r>
      <w:hyperlink w:anchor="ref-10">
        <w:r>
          <w:rPr>
            <w:rStyle w:val="Hyperlink"/>
          </w:rPr>
          <w:t xml:space="preserve">[10]</w:t>
        </w:r>
      </w:hyperlink>
      <w:r>
        <w:t xml:space="preserve">. This work matters to the glut question because it shows that regulatory milestones create a legal ceiling on capacity that is distinct from the physical and economic ceilings. A satellite authorized is not a satellite launched, and a frequency allocated is not a frequency in productive use. Colombo and colleagues formalize the adjacent concern of space capacity management and its interaction with space traffic management, treating orbital carrying capacity as a shared resource whose overuse imposes external costs</w:t>
      </w:r>
      <w:r>
        <w:t xml:space="preserve"> </w:t>
      </w:r>
      <w:hyperlink w:anchor="ref-24">
        <w:r>
          <w:rPr>
            <w:rStyle w:val="Hyperlink"/>
          </w:rPr>
          <w:t xml:space="preserve">[24]</w:t>
        </w:r>
      </w:hyperlink>
      <w:r>
        <w:t xml:space="preserve">.</w:t>
      </w:r>
    </w:p>
    <w:p>
      <w:pPr>
        <w:pStyle w:val="BodyText"/>
        <w:spacing w:line="480" w:lineRule="auto"/>
        <w:ind w:firstLine="720"/>
      </w:pPr>
      <w:r>
        <w:t xml:space="preserve">Within the space-economy corpus, two sources frame the structural risk most directly. SD13 flags the spectrum-usage and LEO-norm dimension as undertheorized in current treaty and regulatory frameworks, which is the governance analogue of the market question pursued here</w:t>
      </w:r>
      <w:r>
        <w:t xml:space="preserve"> </w:t>
      </w:r>
      <w:hyperlink w:anchor="ref-3">
        <w:r>
          <w:rPr>
            <w:rStyle w:val="Hyperlink"/>
          </w:rPr>
          <w:t xml:space="preserve">[3]</w:t>
        </w:r>
      </w:hyperlink>
      <w:r>
        <w:t xml:space="preserve">. SD03 situates the buildout inside a broader account of socio-technological transformation in space-use norms, where productive capacity and economic absorption are coupled but not synchronized</w:t>
      </w:r>
      <w:r>
        <w:t xml:space="preserve"> </w:t>
      </w:r>
      <w:hyperlink w:anchor="ref-4">
        <w:r>
          <w:rPr>
            <w:rStyle w:val="Hyperlink"/>
          </w:rPr>
          <w:t xml:space="preserve">[4]</w:t>
        </w:r>
      </w:hyperlink>
      <w:r>
        <w:t xml:space="preserve">. Giannopapa, Staveris-Poykalas, and Metallinos add the development framing, treating space as an enabler of digital transformation and cataloging the benefits available to newcomers, which supplies the optimistic case that a demand-frontier analysis must test rather than assume</w:t>
      </w:r>
      <w:r>
        <w:t xml:space="preserve"> </w:t>
      </w:r>
      <w:hyperlink w:anchor="ref-18">
        <w:r>
          <w:rPr>
            <w:rStyle w:val="Hyperlink"/>
          </w:rPr>
          <w:t xml:space="preserve">[18]</w:t>
        </w:r>
      </w:hyperlink>
      <w:r>
        <w:t xml:space="preserve">. The governance literature, in sum, establishes that the commons can be overprovisioned and that the norms for detecting and managing that overprovision are immature.</w:t>
      </w:r>
    </w:p>
    <w:bookmarkEnd w:id="77"/>
    <w:bookmarkStart w:id="78" w:name="Xafdc461e99cb80dcea53a06aa054b4700b4f447"/>
    <w:p>
      <w:pPr>
        <w:pStyle w:val="Heading2"/>
        <w:spacing w:line="480" w:lineRule="auto"/>
      </w:pPr>
      <w:r>
        <w:t xml:space="preserve">The demand frontier and the digital divide</w:t>
      </w:r>
    </w:p>
    <w:p>
      <w:pPr>
        <w:pStyle w:val="FirstParagraph"/>
        <w:spacing w:line="480" w:lineRule="auto"/>
      </w:pPr>
      <w:r>
        <w:t xml:space="preserve">One conversation the engineering and strategy literatures most conspicuously omit remains: the economics of who can actually pay. International Telecommunication Union reporting separates coverage from affordability and usage, documenting that being within reach of a network is not the same as using it, and that the gap between reach and use is an affordability and adoption problem</w:t>
      </w:r>
      <w:r>
        <w:t xml:space="preserve"> </w:t>
      </w:r>
      <w:hyperlink w:anchor="ref-9">
        <w:r>
          <w:rPr>
            <w:rStyle w:val="Hyperlink"/>
          </w:rPr>
          <w:t xml:space="preserve">[9]</w:t>
        </w:r>
      </w:hyperlink>
      <w:r>
        <w:t xml:space="preserve">. The ITU Facts and Figures framing treats the digital divide as multidimensional, which directly undercuts any model that reads the count of the offline as the size of a waiting market</w:t>
      </w:r>
      <w:r>
        <w:t xml:space="preserve"> </w:t>
      </w:r>
      <w:hyperlink w:anchor="ref-9">
        <w:r>
          <w:rPr>
            <w:rStyle w:val="Hyperlink"/>
          </w:rPr>
          <w:t xml:space="preserve">[9]</w:t>
        </w:r>
      </w:hyperlink>
      <w:r>
        <w:t xml:space="preserve">. This is the empirical foundation for treating need and demand as separate quantities.</w:t>
      </w:r>
    </w:p>
    <w:p>
      <w:pPr>
        <w:pStyle w:val="BodyText"/>
        <w:spacing w:line="480" w:lineRule="auto"/>
        <w:ind w:firstLine="720"/>
      </w:pPr>
      <w:r>
        <w:t xml:space="preserve">The World Bank development indicators operationalize that separation at the country level, providing Internet-use, rural-population, and income measures that make the affordability constraint estimable rather than merely asserted</w:t>
      </w:r>
      <w:r>
        <w:t xml:space="preserve"> </w:t>
      </w:r>
      <w:hyperlink w:anchor="ref-8">
        <w:r>
          <w:rPr>
            <w:rStyle w:val="Hyperlink"/>
          </w:rPr>
          <w:t xml:space="preserve">[8]</w:t>
        </w:r>
      </w:hyperlink>
      <w:r>
        <w:t xml:space="preserve">. When those indicators are read alongside the ITU framing, a consistent picture emerges: the largest connectivity gaps sit in low-income, high-rurality settings where the very conditions that create need also suppress the ability to pay for premium service. No source in the engineering or strategy literatures models this constraint, and no source in the development literature connects it to the physical supply frontier of a specific constellation.</w:t>
      </w:r>
    </w:p>
    <w:bookmarkEnd w:id="78"/>
    <w:bookmarkStart w:id="79" w:name="X757cf3ffced5769973c653cd45e141a3476871a"/>
    <w:p>
      <w:pPr>
        <w:pStyle w:val="Heading2"/>
        <w:spacing w:line="480" w:lineRule="auto"/>
      </w:pPr>
      <w:r>
        <w:t xml:space="preserve">The observational and surveillance strand</w:t>
      </w:r>
    </w:p>
    <w:p>
      <w:pPr>
        <w:pStyle w:val="FirstParagraph"/>
        <w:spacing w:line="480" w:lineRule="auto"/>
      </w:pPr>
      <w:r>
        <w:t xml:space="preserve">A quieter body of work bears on the glut question through the back door of observation. Sturza and colleagues on the design side, and the broader space-surveillance literature, remind the field that constellations are not only economic assets but physical objects that must be tracked, characterized, and deconflicted</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The optical and spectral characterization studies, though written for the surveillance community rather than the market analyst, matter here because they establish that the physical stock is observable and measurable independently of any operator’s disclosures</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Campbell and colleagues on image registration and the PROVIDENCE telescope analysis on procurement of surveillance capability both underscore that the growing on-orbit population is itself becoming a data source, and a governance concern, at scale</w:t>
      </w:r>
      <w:r>
        <w:t xml:space="preserve"> </w:t>
      </w:r>
      <w:hyperlink w:anchor="ref-13">
        <w:r>
          <w:rPr>
            <w:rStyle w:val="Hyperlink"/>
          </w:rPr>
          <w:t xml:space="preserve">[13]</w:t>
        </w:r>
      </w:hyperlink>
      <w:r>
        <w:t xml:space="preserve"> </w:t>
      </w:r>
      <w:hyperlink w:anchor="ref-17">
        <w:r>
          <w:rPr>
            <w:rStyle w:val="Hyperlink"/>
          </w:rPr>
          <w:t xml:space="preserve">[17]</w:t>
        </w:r>
      </w:hyperlink>
      <w:r>
        <w:t xml:space="preserve">. This strand supports one of the dissertation’s methodological commitments directly. Because the supply frontier can be measured from public catalog records rather than from proprietary operator statements, the surveillance and cataloging infrastructure that these studies describe is precisely what makes an auditable supply measurement possible.</w:t>
      </w:r>
    </w:p>
    <w:p>
      <w:pPr>
        <w:pStyle w:val="BodyText"/>
        <w:spacing w:line="480" w:lineRule="auto"/>
        <w:ind w:firstLine="720"/>
      </w:pPr>
      <w:r>
        <w:t xml:space="preserve">The relevance runs deeper than convenience. If overcapacity is to be monitored as a governance matter, it must be monitored from observations that do not depend on the goodwill of the entities being monitored. The surveillance literature establishes that the physical layer of the supply frontier is externally observable, which means a regulator or an independent analyst can measure payload accumulation without operator cooperation. The economic layers, gateway throughput, spectrum use, pricing, remain harder to observe externally, which is exactly why the dissertation is candid that its demand-side measurement rests on official statistical indicators rather than on operator data. The asymmetry between an externally observable supply frontier and a partly opaque demand frontier is a structural feature of the problem, and the observation literature is what makes the observable half genuinely auditable</w:t>
      </w:r>
      <w:r>
        <w:t xml:space="preserve"> </w:t>
      </w:r>
      <w:hyperlink w:anchor="ref-24">
        <w:r>
          <w:rPr>
            <w:rStyle w:val="Hyperlink"/>
          </w:rPr>
          <w:t xml:space="preserve">[24]</w:t>
        </w:r>
      </w:hyperlink>
      <w:r>
        <w:t xml:space="preserve">.</w:t>
      </w:r>
    </w:p>
    <w:bookmarkEnd w:id="79"/>
    <w:bookmarkStart w:id="80" w:name="Xaecfa02e9150934b39eaac3253eb4794f2c7c5e"/>
    <w:p>
      <w:pPr>
        <w:pStyle w:val="Heading2"/>
        <w:spacing w:line="480" w:lineRule="auto"/>
      </w:pPr>
      <w:r>
        <w:t xml:space="preserve">Where the literatures agree without saying so</w:t>
      </w:r>
    </w:p>
    <w:p>
      <w:pPr>
        <w:pStyle w:val="FirstParagraph"/>
        <w:spacing w:line="480" w:lineRule="auto"/>
      </w:pPr>
      <w:r>
        <w:t xml:space="preserve">Reading across the five conversations reveals a striking latent consensus that no single source states. The careful engineers build capacity ceilings conditioned on economics</w:t>
      </w:r>
      <w:r>
        <w:t xml:space="preserve"> </w:t>
      </w:r>
      <w:hyperlink w:anchor="ref-2">
        <w:r>
          <w:rPr>
            <w:rStyle w:val="Hyperlink"/>
          </w:rPr>
          <w:t xml:space="preserve">[2]</w:t>
        </w:r>
      </w:hyperlink>
      <w:r>
        <w:t xml:space="preserve"> </w:t>
      </w:r>
      <w:hyperlink w:anchor="ref-14">
        <w:r>
          <w:rPr>
            <w:rStyle w:val="Hyperlink"/>
          </w:rPr>
          <w:t xml:space="preserve">[14]</w:t>
        </w:r>
      </w:hyperlink>
      <w:r>
        <w:t xml:space="preserve">. The deployment theorists treat overbuild as a risk worth paying to hedge</w:t>
      </w:r>
      <w:r>
        <w:t xml:space="preserve"> </w:t>
      </w:r>
      <w:hyperlink w:anchor="ref-6">
        <w:r>
          <w:rPr>
            <w:rStyle w:val="Hyperlink"/>
          </w:rPr>
          <w:t xml:space="preserve">[6]</w:t>
        </w:r>
      </w:hyperlink>
      <w:r>
        <w:t xml:space="preserve">. The strategists explain a buildout driven partly by non-market motives</w:t>
      </w:r>
      <w:r>
        <w:t xml:space="preserve"> </w:t>
      </w:r>
      <w:hyperlink w:anchor="ref-1">
        <w:r>
          <w:rPr>
            <w:rStyle w:val="Hyperlink"/>
          </w:rPr>
          <w:t xml:space="preserve">[1]</w:t>
        </w:r>
      </w:hyperlink>
      <w:r>
        <w:t xml:space="preserve"> </w:t>
      </w:r>
      <w:hyperlink w:anchor="ref-25">
        <w:r>
          <w:rPr>
            <w:rStyle w:val="Hyperlink"/>
          </w:rPr>
          <w:t xml:space="preserve">[25]</w:t>
        </w:r>
      </w:hyperlink>
      <w:r>
        <w:t xml:space="preserve">. The governance scholars warn that overprovision is possible and undertheorized</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24">
        <w:r>
          <w:rPr>
            <w:rStyle w:val="Hyperlink"/>
          </w:rPr>
          <w:t xml:space="preserve">[24]</w:t>
        </w:r>
      </w:hyperlink>
      <w:r>
        <w:t xml:space="preserve">. The development economists document that need concentrates where payment capacity is weakest</w:t>
      </w:r>
      <w:r>
        <w:t xml:space="preserve"> </w:t>
      </w:r>
      <w:hyperlink w:anchor="ref-8">
        <w:r>
          <w:rPr>
            <w:rStyle w:val="Hyperlink"/>
          </w:rPr>
          <w:t xml:space="preserve">[8]</w:t>
        </w:r>
      </w:hyperlink>
      <w:r>
        <w:t xml:space="preserve"> </w:t>
      </w:r>
      <w:hyperlink w:anchor="ref-9">
        <w:r>
          <w:rPr>
            <w:rStyle w:val="Hyperlink"/>
          </w:rPr>
          <w:t xml:space="preserve">[9]</w:t>
        </w:r>
      </w:hyperlink>
      <w:r>
        <w:t xml:space="preserve">. Each of these is, in its own vocabulary, a reason to doubt that provisioned capacity and priced demand will move in lockstep. The field has been assembling the components of the glut hypothesis for years without naming the hypothesis or testing it.</w:t>
      </w:r>
    </w:p>
    <w:p>
      <w:pPr>
        <w:pStyle w:val="BodyText"/>
        <w:spacing w:line="480" w:lineRule="auto"/>
        <w:ind w:firstLine="720"/>
      </w:pPr>
      <w:r>
        <w:t xml:space="preserve">That latent consensus is both the justification for the dissertation and a caution about it. The justification is that the worry is not idiosyncratic; it recurs across independent literatures written by authors with no shared agenda, which is the signature of a real structural feature rather than a fashionable anxiety. The caution is that a recurring worry is not a demonstrated fact, and the very ease with which the components assemble into a glut narrative should make an honest analyst more careful, not less. The dissertation responds to both by refusing to treat the assembled narrative as evidence and instead measuring two of its load-bearing components directly, so that the consensus is tested rather than merely restated</w:t>
      </w:r>
      <w:r>
        <w:t xml:space="preserve"> </w:t>
      </w:r>
      <w:hyperlink w:anchor="ref-7">
        <w:r>
          <w:rPr>
            <w:rStyle w:val="Hyperlink"/>
          </w:rPr>
          <w:t xml:space="preserve">[7]</w:t>
        </w:r>
      </w:hyperlink>
      <w:r>
        <w:t xml:space="preserve">.</w:t>
      </w:r>
    </w:p>
    <w:bookmarkEnd w:id="80"/>
    <w:bookmarkStart w:id="81" w:name="X79ac9fc913f56fb84be2400ac7ce4d1c7c88dbf"/>
    <w:p>
      <w:pPr>
        <w:pStyle w:val="Heading2"/>
        <w:spacing w:line="480" w:lineRule="auto"/>
      </w:pPr>
      <w:r>
        <w:t xml:space="preserve">The demand-aware turn in the engineering literature</w:t>
      </w:r>
    </w:p>
    <w:p>
      <w:pPr>
        <w:pStyle w:val="FirstParagraph"/>
        <w:spacing w:line="480" w:lineRule="auto"/>
      </w:pPr>
      <w:r>
        <w:t xml:space="preserve">One recent development in the technical literature deserves emphasis because it is the closest the two sides of the problem have come to meeting. The transmit-power profiling of Martinez Zamacola and colleagues abandons the assumption of uniform demand and models terrestrial and aerial traffic as spatially distributed, which forces the engineering analysis to reckon with where demand actually sits rather than assuming it fills every cell</w:t>
      </w:r>
      <w:r>
        <w:t xml:space="preserve"> </w:t>
      </w:r>
      <w:hyperlink w:anchor="ref-7">
        <w:r>
          <w:rPr>
            <w:rStyle w:val="Hyperlink"/>
          </w:rPr>
          <w:t xml:space="preserve">[7]</w:t>
        </w:r>
      </w:hyperlink>
      <w:r>
        <w:t xml:space="preserve"> </w:t>
      </w:r>
      <w:hyperlink w:anchor="ref-19">
        <w:r>
          <w:rPr>
            <w:rStyle w:val="Hyperlink"/>
          </w:rPr>
          <w:t xml:space="preserve">[19]</w:t>
        </w:r>
      </w:hyperlink>
      <w:r>
        <w:t xml:space="preserve">. This is significant for the glut question because it concedes, from inside the engineering camp, that nominal system capacity and usable capacity diverge as a function of demand geography. A constellation optimized for uniform coverage wastes capacity over empty ocean and empty desert and strains over dense corridors, so the deliverable fraction of the nominal capacity depends on the demand map. The demand-aware turn is thus a partial bridge, built from the supply side toward the demand side, and it validates the dissertation’s insistence that the two frontiers cannot be analyzed in isolation.</w:t>
      </w:r>
    </w:p>
    <w:p>
      <w:pPr>
        <w:pStyle w:val="BodyText"/>
        <w:spacing w:line="480" w:lineRule="auto"/>
        <w:ind w:firstLine="720"/>
      </w:pPr>
      <w:r>
        <w:t xml:space="preserve">Yet even this demand-aware engineering stops at the physical layer. It models where traffic demand is distributed for the purpose of designing power and beam allocation, not whether that demand is priced, monetizable, or institutionally convertible. A region can have high aerial and maritime traffic demand and still generate little household broadband revenue, and the profiling literature has no reason to distinguish these because its object is system operation rather than market absorption. The bridge, in other words, reaches from throughput to traffic but not from traffic to revenue, and the final span, from traffic to priced demand, is exactly what the development-economics side must supply and what the dissertation joins to the supply measurement</w:t>
      </w:r>
      <w:r>
        <w:t xml:space="preserve"> </w:t>
      </w:r>
      <w:hyperlink w:anchor="ref-9">
        <w:r>
          <w:rPr>
            <w:rStyle w:val="Hyperlink"/>
          </w:rPr>
          <w:t xml:space="preserve">[9]</w:t>
        </w:r>
      </w:hyperlink>
      <w:r>
        <w:t xml:space="preserve">.</w:t>
      </w:r>
    </w:p>
    <w:bookmarkEnd w:id="81"/>
    <w:bookmarkStart w:id="82" w:name="the-gap-and-the-contribution"/>
    <w:p>
      <w:pPr>
        <w:pStyle w:val="Heading2"/>
        <w:spacing w:line="480" w:lineRule="auto"/>
      </w:pPr>
      <w:r>
        <w:t xml:space="preserve">The gap and the contribution</w:t>
      </w:r>
    </w:p>
    <w:p>
      <w:pPr>
        <w:pStyle w:val="FirstParagraph"/>
        <w:spacing w:line="480" w:lineRule="auto"/>
      </w:pPr>
      <w:r>
        <w:t xml:space="preserve">Set the five conversations side by side and the omission becomes precise. The engineering literature characterizes the supply frontier in throughput terms but does not estimate demand against it</w:t>
      </w:r>
      <w:r>
        <w:t xml:space="preserve"> </w:t>
      </w:r>
      <w:hyperlink w:anchor="ref-2">
        <w:r>
          <w:rPr>
            <w:rStyle w:val="Hyperlink"/>
          </w:rPr>
          <w:t xml:space="preserve">[2]</w:t>
        </w:r>
      </w:hyperlink>
      <w:r>
        <w:t xml:space="preserve"> </w:t>
      </w:r>
      <w:hyperlink w:anchor="ref-7">
        <w:r>
          <w:rPr>
            <w:rStyle w:val="Hyperlink"/>
          </w:rPr>
          <w:t xml:space="preserve">[7]</w:t>
        </w:r>
      </w:hyperlink>
      <w:r>
        <w:t xml:space="preserve">. The deployment literature reasons about building under uncertainty but takes the demand distribution as given</w:t>
      </w:r>
      <w:r>
        <w:t xml:space="preserve"> </w:t>
      </w:r>
      <w:hyperlink w:anchor="ref-6">
        <w:r>
          <w:rPr>
            <w:rStyle w:val="Hyperlink"/>
          </w:rPr>
          <w:t xml:space="preserve">[6]</w:t>
        </w:r>
      </w:hyperlink>
      <w:r>
        <w:t xml:space="preserve">. The strategic literature explains fast building but does not test whether it matches priced demand</w:t>
      </w:r>
      <w:r>
        <w:t xml:space="preserve"> </w:t>
      </w:r>
      <w:hyperlink w:anchor="ref-1">
        <w:r>
          <w:rPr>
            <w:rStyle w:val="Hyperlink"/>
          </w:rPr>
          <w:t xml:space="preserve">[1]</w:t>
        </w:r>
      </w:hyperlink>
      <w:r>
        <w:t xml:space="preserve">. The governance literature establishes that overprovision is possible and undertheorized but specifies no falsifiable test</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24">
        <w:r>
          <w:rPr>
            <w:rStyle w:val="Hyperlink"/>
          </w:rPr>
          <w:t xml:space="preserve">[24]</w:t>
        </w:r>
      </w:hyperlink>
      <w:r>
        <w:t xml:space="preserve">. The development literature measures the demand constraint but never joins it to a constellation-level supply measure</w:t>
      </w:r>
      <w:r>
        <w:t xml:space="preserve"> </w:t>
      </w:r>
      <w:hyperlink w:anchor="ref-8">
        <w:r>
          <w:rPr>
            <w:rStyle w:val="Hyperlink"/>
          </w:rPr>
          <w:t xml:space="preserve">[8]</w:t>
        </w:r>
      </w:hyperlink>
      <w:r>
        <w:t xml:space="preserve"> </w:t>
      </w:r>
      <w:hyperlink w:anchor="ref-9">
        <w:r>
          <w:rPr>
            <w:rStyle w:val="Hyperlink"/>
          </w:rPr>
          <w:t xml:space="preserve">[9]</w:t>
        </w:r>
      </w:hyperlink>
      <w:r>
        <w:t xml:space="preserve">. No retrieved source models the physical supply path and the priced demand frontier in a single identification frame. That absence is the opening.</w:t>
      </w:r>
    </w:p>
    <w:p>
      <w:pPr>
        <w:pStyle w:val="BodyText"/>
        <w:spacing w:line="480" w:lineRule="auto"/>
        <w:ind w:firstLine="720"/>
      </w:pPr>
      <w:r>
        <w:t xml:space="preserve">That single frame is the contribution. The chapters that follow build it from two measurable pieces: a supply-side learning curve estimated from public catalog records, which locates this work against the engineering and deployment strands, and a demand-side cross-country regression, which locates it against the development strand. Neither piece is novel in isolation. Their joining is, because it converts a qualitative worry that appears across all five literatures into a quantitative and falsifiable statement about whether provisioned capacity will outrun priced demand. The value of reading the literatures together is exactly this: each one has been circling the same risk from a different direction, and none has closed the loop.</w:t>
      </w:r>
    </w:p>
    <w:bookmarkEnd w:id="82"/>
    <w:bookmarkStart w:id="83" w:name="what-this-review-deliberately-excludes"/>
    <w:p>
      <w:pPr>
        <w:pStyle w:val="Heading2"/>
        <w:spacing w:line="480" w:lineRule="auto"/>
      </w:pPr>
      <w:r>
        <w:t xml:space="preserve">What this review deliberately excludes</w:t>
      </w:r>
    </w:p>
    <w:p>
      <w:pPr>
        <w:pStyle w:val="FirstParagraph"/>
        <w:spacing w:line="480" w:lineRule="auto"/>
      </w:pPr>
      <w:r>
        <w:t xml:space="preserve">A review is defined as much by what it leaves out as by what it includes, and two exclusions are worth naming so their absence is not read as oversight. The first is the large body of work on satellite link-layer and physical-layer engineering, modulation schemes, beamforming, frequency reuse patterns, that determines per-satellite throughput in fine detail. That work is real and relevant to a full capacity model, but the dissertation’s supply measurement operates at the level of the cataloged payload stock rather than the per-satellite gigabit, so the fine-grained link engineering sits below the level of analysis and is represented here only through the aggregate throughput studies that summarize it</w:t>
      </w:r>
      <w:r>
        <w:t xml:space="preserve"> </w:t>
      </w:r>
      <w:hyperlink w:anchor="ref-2">
        <w:r>
          <w:rPr>
            <w:rStyle w:val="Hyperlink"/>
          </w:rPr>
          <w:t xml:space="preserve">[2]</w:t>
        </w:r>
      </w:hyperlink>
      <w:r>
        <w:t xml:space="preserve"> </w:t>
      </w:r>
      <w:hyperlink w:anchor="ref-7">
        <w:r>
          <w:rPr>
            <w:rStyle w:val="Hyperlink"/>
          </w:rPr>
          <w:t xml:space="preserve">[7]</w:t>
        </w:r>
      </w:hyperlink>
      <w:r>
        <w:t xml:space="preserve">. Including it in depth would add precision the payload-stock estimator cannot use.</w:t>
      </w:r>
    </w:p>
    <w:p>
      <w:pPr>
        <w:pStyle w:val="BodyText"/>
        <w:spacing w:line="480" w:lineRule="auto"/>
        <w:ind w:firstLine="720"/>
      </w:pPr>
      <w:r>
        <w:t xml:space="preserve">The second exclusion is the consumer-behavior and adoption-diffusion literature that models how individual households decide to subscribe to a new connectivity service. That literature would matter enormously to a willingness-to-pay estimate, which the dissertation explicitly does not attempt. The demand measurement here operates at the country-year level using official structural indicators, so household-level adoption dynamics sit above the level of the available data. Naming both exclusions clarifies the altitude at which this work operates: between the link layer below and the household decision above, at the level where public catalog records meet public development indicators, which is the only altitude at which an auditable, reconstructible measurement of both frontiers is currently possible</w:t>
      </w:r>
      <w:r>
        <w:t xml:space="preserve"> </w:t>
      </w:r>
      <w:hyperlink w:anchor="ref-8">
        <w:r>
          <w:rPr>
            <w:rStyle w:val="Hyperlink"/>
          </w:rPr>
          <w:t xml:space="preserve">[8]</w:t>
        </w:r>
      </w:hyperlink>
      <w:r>
        <w:t xml:space="preserve">.</w:t>
      </w:r>
    </w:p>
    <w:bookmarkEnd w:id="83"/>
    <w:bookmarkEnd w:id="84"/>
    <w:bookmarkStart w:id="97"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The theory has one moving part: two frontiers advancing on separate clocks. A capacity glut is what appears when the supply frontier moves ahead of the demand frontier and stays there. Everything in this chapter is an effort to specify each frontier precisely enough that its position can be measured, to state the mechanism by which the two can diverge, and to derive predictions that a real dataset can refute. The framework is deliberately spare. It does not attempt a general theory of satellite markets. It builds the minimum structure needed to make the overcapacity claim falsifiable.</w:t>
      </w:r>
    </w:p>
    <w:bookmarkStart w:id="85" w:name="two-frontiers-two-mechanisms"/>
    <w:p>
      <w:pPr>
        <w:pStyle w:val="Heading2"/>
        <w:spacing w:line="480" w:lineRule="auto"/>
      </w:pPr>
      <w:r>
        <w:t xml:space="preserve">Two frontiers, two mechanisms</w:t>
      </w:r>
    </w:p>
    <w:p>
      <w:pPr>
        <w:pStyle w:val="FirstParagraph"/>
        <w:spacing w:line="480" w:lineRule="auto"/>
      </w:pPr>
      <w:r>
        <w:t xml:space="preserve">Begin with definitions. The supply frontier is the aggregate deliverable downlink capacity of the operational fleet, measured in normalized gigabit-equivalent units, conditioned on the ground and regulatory infrastructure that turns an orbiting payload into landed, sellable throughput. The demand frontier is the aggregate priced addressable demand, measured in the same units, summed across the segments that can actually pay: residential broadband, enterprise backhaul, mobility including maritime and aeronautical, and government and defense. Both frontiers are quantities that grow over time. The overcapacity condition is a statement about their ratio.</w:t>
      </w:r>
    </w:p>
    <w:p>
      <w:pPr>
        <w:pStyle w:val="BodyText"/>
        <w:spacing w:line="480" w:lineRule="auto"/>
        <w:ind w:firstLine="720"/>
      </w:pPr>
      <w:r>
        <w:t xml:space="preserve">Each frontier is driven by its own mechanism, and the mechanisms are asymmetric. Supply advances by accumulation. A payload is launched, cataloged, integrated with ground gateways, matched to spectrum rights, and finally activated for service in a licensed geography. This is a physical and administrative pipeline whose throughput is set by manufacturing rate, launch cadence, and regulatory processing. It can run fast, and once running it tends to run steadily, because the fixed capital of a rocket and a factory rewards repetition. Demand advances by conversion. A person or firm that needs connectivity must have the income to buy it, the local distribution to reach it, the regulatory permission to receive it, and, frequently, an institution willing to underwrite it. Conversion is slower, lumpier, and more path-dependent than accumulation, because it depends on budgets and institutions rather than on manufacturing throughput</w:t>
      </w:r>
      <w:r>
        <w:t xml:space="preserve"> </w:t>
      </w:r>
      <w:hyperlink w:anchor="ref-4">
        <w:r>
          <w:rPr>
            <w:rStyle w:val="Hyperlink"/>
          </w:rPr>
          <w:t xml:space="preserve">[4]</w:t>
        </w:r>
      </w:hyperlink>
      <w:r>
        <w:t xml:space="preserve">. Budgets move on their own calendar. Institutions move slower still.</w:t>
      </w:r>
    </w:p>
    <w:p>
      <w:pPr>
        <w:pStyle w:val="BodyText"/>
        <w:spacing w:line="480" w:lineRule="auto"/>
        <w:ind w:firstLine="720"/>
      </w:pPr>
      <w:r>
        <w:t xml:space="preserve">That asymmetry is the whole engine of the theory. If both frontiers advanced by the same mechanism, they would tend to track each other and overcapacity would be self-correcting. Because supply accumulates while demand converts, the two can decouple for extended periods, and the decoupling is not a market failure to be explained away but a structural feature of the technology and its economics</w:t>
      </w:r>
      <w:r>
        <w:t xml:space="preserve"> </w:t>
      </w:r>
      <w:hyperlink w:anchor="ref-3">
        <w:r>
          <w:rPr>
            <w:rStyle w:val="Hyperlink"/>
          </w:rPr>
          <w:t xml:space="preserve">[3]</w:t>
        </w:r>
      </w:hyperlink>
      <w:r>
        <w:t xml:space="preserve">. A glut, in this framing, is not evidence that anyone behaved irrationally. It is the predictable residue of a fast pipeline feeding a slow one.</w:t>
      </w:r>
    </w:p>
    <w:bookmarkEnd w:id="85"/>
    <w:bookmarkStart w:id="86" w:name="the-gateway-conditioning-constraint"/>
    <w:p>
      <w:pPr>
        <w:pStyle w:val="Heading2"/>
        <w:spacing w:line="480" w:lineRule="auto"/>
      </w:pPr>
      <w:r>
        <w:t xml:space="preserve">The gateway-conditioning constraint</w:t>
      </w:r>
    </w:p>
    <w:p>
      <w:pPr>
        <w:pStyle w:val="FirstParagraph"/>
        <w:spacing w:line="480" w:lineRule="auto"/>
      </w:pPr>
      <w:r>
        <w:t xml:space="preserve">The supply frontier requires one refinement that separates it from a naive satellite count. Capacity that cannot be landed at a licensed gateway in a served geography is not deliverable capacity. A satellite overhead with no ground station to receive its traffic, or no spectrum right in the country below, contributes nothing to the priced market even though it contributes to the orbital count. This is the gateway-conditioning constraint, and it is what makes the supply frontier a smaller and more interesting object than the constellation size.</w:t>
      </w:r>
    </w:p>
    <w:p>
      <w:pPr>
        <w:pStyle w:val="BodyText"/>
        <w:spacing w:line="480" w:lineRule="auto"/>
        <w:ind w:firstLine="720"/>
      </w:pPr>
      <w:r>
        <w:t xml:space="preserve">The constraint has a useful identifying property. Geographies divide into two regimes. In some, satellite overflight is high but licensed gateway throughput is low, so the binding limit is the ground segment; these identify the gateway-binding case. In others, gateway capacity is ample but spectrum rights or reuse limits bind, identifying the spectrum-binding case. The separability of these regimes is what lets the supply frontier be decomposed rather than treated as a single opaque number. The engineering literature supplies the physical basis for this decomposition, because throughput is shown to depend jointly on space segment, ground segment, and spectrum rather than on any one of them alone</w:t>
      </w:r>
      <w:r>
        <w:t xml:space="preserve"> </w:t>
      </w:r>
      <w:hyperlink w:anchor="ref-2">
        <w:r>
          <w:rPr>
            <w:rStyle w:val="Hyperlink"/>
          </w:rPr>
          <w:t xml:space="preserve">[2]</w:t>
        </w:r>
      </w:hyperlink>
      <w:r>
        <w:t xml:space="preserve">. Demand-aware power profiling reinforces the point by showing that even the usable fraction of physical capacity depends on where demand actually sits</w:t>
      </w:r>
      <w:r>
        <w:t xml:space="preserve"> </w:t>
      </w:r>
      <w:hyperlink w:anchor="ref-7">
        <w:r>
          <w:rPr>
            <w:rStyle w:val="Hyperlink"/>
          </w:rPr>
          <w:t xml:space="preserve">[7]</w:t>
        </w:r>
      </w:hyperlink>
      <w:r>
        <w:t xml:space="preserve">.</w:t>
      </w:r>
    </w:p>
    <w:bookmarkEnd w:id="86"/>
    <w:bookmarkStart w:id="87" w:name="X59625b4aa9178847f7a030e0eb9ba0d8d54e7f8"/>
    <w:p>
      <w:pPr>
        <w:pStyle w:val="Heading2"/>
        <w:spacing w:line="480" w:lineRule="auto"/>
      </w:pPr>
      <w:r>
        <w:t xml:space="preserve">Why supply can accumulate without accelerating</w:t>
      </w:r>
    </w:p>
    <w:p>
      <w:pPr>
        <w:pStyle w:val="FirstParagraph"/>
        <w:spacing w:line="480" w:lineRule="auto"/>
      </w:pPr>
      <w:r>
        <w:t xml:space="preserve">A subtle prediction follows from the accumulation mechanism, and it is worth stating before the hypotheses because it shapes what counts as evidence. Rapid supply growth does not require accelerating supply growth. If an operator launches steady large batches, the cumulative payload stock rises quickly in absolute terms while growing only proportionally with the number of launches. A learning-curve framing captures this precisely. Regress cumulative cataloged payloads on the ordinal launch-cohort sequence in logs, and the slope is an elasticity. A slope above one means each new cohort adds proportionally more than the last, an accelerating frontier. A slope near one means steady batches, a proportional frontier. A slope below one means decelerating additions</w:t>
      </w:r>
      <w:r>
        <w:t xml:space="preserve"> </w:t>
      </w:r>
      <w:hyperlink w:anchor="ref-3">
        <w:r>
          <w:rPr>
            <w:rStyle w:val="Hyperlink"/>
          </w:rPr>
          <w:t xml:space="preserve">[3]</w:t>
        </w:r>
      </w:hyperlink>
      <w:r>
        <w:t xml:space="preserve">.</w:t>
      </w:r>
    </w:p>
    <w:p>
      <w:pPr>
        <w:pStyle w:val="BodyText"/>
        <w:spacing w:line="480" w:lineRule="auto"/>
        <w:ind w:firstLine="720"/>
      </w:pPr>
      <w:r>
        <w:t xml:space="preserve">The theoretical point is that all three cases are consistent with fast absolute growth and therefore with glut risk. Accumulation, not acceleration, is what feeds the numerator. An analyst who looks only for acceleration and fails to find it might wrongly conclude that supply pressure is absent, when in fact steady large batches are filling the sky at a formidable absolute rate. The hypotheses must therefore distinguish the shape of the supply curve from the magnitude of the supply flow, and the interpretation must keep the two separate.</w:t>
      </w:r>
    </w:p>
    <w:bookmarkEnd w:id="87"/>
    <w:bookmarkStart w:id="88" w:name="why-need-is-not-demand"/>
    <w:p>
      <w:pPr>
        <w:pStyle w:val="Heading2"/>
        <w:spacing w:line="480" w:lineRule="auto"/>
      </w:pPr>
      <w:r>
        <w:t xml:space="preserve">Why need is not demand</w:t>
      </w:r>
    </w:p>
    <w:p>
      <w:pPr>
        <w:pStyle w:val="FirstParagraph"/>
        <w:spacing w:line="480" w:lineRule="auto"/>
      </w:pPr>
      <w:r>
        <w:t xml:space="preserve">A mirror refinement governs the demand frontier. Connectivity need, measured as the share of a population not using the Internet, is an upper bound on demand, not an estimate of it. Need converts to priced demand only when income permits purchase and when distribution and regulation permit delivery. The theory predicts, therefore, that the observable connectivity gap will be larger exactly where the economic conditions for conversion are weaker. Two conditions are primary. Rurality raises the gap because low settlement density makes terrestrial deployment uneconomic, which is the coverage advantage LEO claims, yet rurality by itself creates no willingness or ability to pay. Income lowers the gap because households, firms, and governments in richer places can afford devices, subscriptions, and complementary infrastructure</w:t>
      </w:r>
      <w:r>
        <w:t xml:space="preserve"> </w:t>
      </w:r>
      <w:hyperlink w:anchor="ref-9">
        <w:r>
          <w:rPr>
            <w:rStyle w:val="Hyperlink"/>
          </w:rPr>
          <w:t xml:space="preserve">[9]</w:t>
        </w:r>
      </w:hyperlink>
      <w:r>
        <w:t xml:space="preserve">.</w:t>
      </w:r>
    </w:p>
    <w:p>
      <w:pPr>
        <w:pStyle w:val="BodyText"/>
        <w:spacing w:line="480" w:lineRule="auto"/>
        <w:ind w:firstLine="720"/>
      </w:pPr>
      <w:r>
        <w:t xml:space="preserve">This yields a structural claim about the demand frontier that can be tested directly in official cross-country data. If the connectivity gap is systematically larger in high-rurality, low-income settings, then the population that appears most in need is also the population least able to convert that need into priced demand at premium rates. The demand frontier relevant to overcapacity must therefore discount nominal need by economic absorption, and it must recognize that conversion in low-income geographies runs through institutions and budgets rather than through instantaneous retail uptake</w:t>
      </w:r>
      <w:r>
        <w:t xml:space="preserve"> </w:t>
      </w:r>
      <w:hyperlink w:anchor="ref-4">
        <w:r>
          <w:rPr>
            <w:rStyle w:val="Hyperlink"/>
          </w:rPr>
          <w:t xml:space="preserve">[4]</w:t>
        </w:r>
      </w:hyperlink>
      <w:r>
        <w:t xml:space="preserve">. Universal-service funds, anchor institutions, and government and mobility segments become the real near-term demand, and they are governed by procurement cycles rather than by the coverage map.</w:t>
      </w:r>
    </w:p>
    <w:bookmarkEnd w:id="88"/>
    <w:bookmarkStart w:id="89" w:name="from-mechanism-to-hypotheses"/>
    <w:p>
      <w:pPr>
        <w:pStyle w:val="Heading2"/>
        <w:spacing w:line="480" w:lineRule="auto"/>
      </w:pPr>
      <w:r>
        <w:t xml:space="preserve">From mechanism to hypotheses</w:t>
      </w:r>
    </w:p>
    <w:p>
      <w:pPr>
        <w:pStyle w:val="FirstParagraph"/>
        <w:spacing w:line="480" w:lineRule="auto"/>
      </w:pPr>
      <w:r>
        <w:t xml:space="preserve">The framework generates two testable predictions, one per frontier, each falsifiable against a specific dataset.</w:t>
      </w:r>
    </w:p>
    <w:p>
      <w:pPr>
        <w:pStyle w:val="BodyText"/>
        <w:spacing w:line="480" w:lineRule="auto"/>
        <w:ind w:firstLine="720"/>
      </w:pPr>
      <w:r>
        <w:t xml:space="preserve">The supply hypothesis concerns the shape of the early Starlink accumulation curve. The null holds that cumulative cataloged payloads scale linearly or less with launch-cohort sequence, an elasticity at or below one. The alternative holds that they scale superlinearly, an elasticity above one, which would indicate an accelerating supply frontier during early deployment. The test compares the estimated elasticity against one, with its confidence interval. This is a supply-frontier shape test, not a capacity forecast, and it is silent about gigabits, gateways, and revenue by design. It isolates one stage of the pipeline so that stage can be measured cleanly</w:t>
      </w:r>
      <w:r>
        <w:t xml:space="preserve"> </w:t>
      </w:r>
      <w:hyperlink w:anchor="ref-5">
        <w:r>
          <w:rPr>
            <w:rStyle w:val="Hyperlink"/>
          </w:rPr>
          <w:t xml:space="preserve">[5]</w:t>
        </w:r>
      </w:hyperlink>
      <w:r>
        <w:t xml:space="preserve">.</w:t>
      </w:r>
    </w:p>
    <w:p>
      <w:pPr>
        <w:pStyle w:val="BodyText"/>
        <w:spacing w:line="480" w:lineRule="auto"/>
        <w:ind w:firstLine="720"/>
      </w:pPr>
      <w:r>
        <w:t xml:space="preserve">The demand hypothesis concerns the cross-country conditioning of the connectivity gap. The null holds that rural population share and income have no association with the Internet-use gap. The alternative holds that higher rurality and lower income are associated with a larger gap, which would establish that nominal need is not equivalent to immediately monetizable demand. The test reads the signs and significance of the two coefficients in an ordinary least squares model over a demand-stressed sample</w:t>
      </w:r>
      <w:r>
        <w:t xml:space="preserve"> </w:t>
      </w:r>
      <w:hyperlink w:anchor="ref-8">
        <w:r>
          <w:rPr>
            <w:rStyle w:val="Hyperlink"/>
          </w:rPr>
          <w:t xml:space="preserve">[8]</w:t>
        </w:r>
      </w:hyperlink>
      <w:r>
        <w:t xml:space="preserve">. This is a demand-frontier conditioning test, not a willingness-to-pay estimate, and it deliberately stays inside what public indicators can support.</w:t>
      </w:r>
    </w:p>
    <w:bookmarkEnd w:id="89"/>
    <w:bookmarkStart w:id="90" w:name="X0e1f76e523214dd657d74b3f173d6774b2451f0"/>
    <w:p>
      <w:pPr>
        <w:pStyle w:val="Heading2"/>
        <w:spacing w:line="480" w:lineRule="auto"/>
      </w:pPr>
      <w:r>
        <w:t xml:space="preserve">The segment structure of the demand frontier</w:t>
      </w:r>
    </w:p>
    <w:p>
      <w:pPr>
        <w:pStyle w:val="FirstParagraph"/>
        <w:spacing w:line="480" w:lineRule="auto"/>
      </w:pPr>
      <w:r>
        <w:t xml:space="preserve">The demand frontier is not a single curve but a sum across segments that behave differently, and the theory must be explicit about this because it governs how conversion actually happens. Four segments make up the priced demand the framework cares about. Residential broadband is the segment most tightly bound to household income and therefore the one the cross-country result speaks to most directly. Enterprise backhaul depends on business density and on the cost of terrestrial alternatives, so it can be strong even where household income is weak, as when a mine or a plantation needs connectivity that no terrestrial carrier will build. Mobility, spanning maritime and aeronautical customers, is nearly decoupled from any country’s ground economy because it follows vessels and aircraft rather than populations. Government and defense demand is driven by budgets and strategic priorities rather than by retail willingness to pay, and it is often the anchor that makes early deployment viable at all</w:t>
      </w:r>
      <w:r>
        <w:t xml:space="preserve"> </w:t>
      </w:r>
      <w:hyperlink w:anchor="ref-1">
        <w:r>
          <w:rPr>
            <w:rStyle w:val="Hyperlink"/>
          </w:rPr>
          <w:t xml:space="preserve">[1]</w:t>
        </w:r>
      </w:hyperlink>
      <w:r>
        <w:t xml:space="preserve">.</w:t>
      </w:r>
    </w:p>
    <w:p>
      <w:pPr>
        <w:pStyle w:val="BodyText"/>
        <w:spacing w:line="480" w:lineRule="auto"/>
        <w:ind w:firstLine="720"/>
      </w:pPr>
      <w:r>
        <w:t xml:space="preserve">Segment structure matters to the glut question in a specific way. In the low-income, high-rurality geographies where the cross-country result finds the largest connectivity gaps, residential retail demand is thinnest, but mobility, enterprise, and government demand may persist, because they do not depend on local household income. A capacity-glut analysis that modeled only residential demand would therefore understate absorption in exactly those geographies, while an analysis that added all offline residents at full price would overstate it. The theory’s resolution is to treat the demand frontier as segment-weighted: near-term absorption in poor, rural regions runs disproportionately through the non-residential segments, which convert through institutions and budgets rather than through household uptake</w:t>
      </w:r>
      <w:r>
        <w:t xml:space="preserve"> </w:t>
      </w:r>
      <w:hyperlink w:anchor="ref-25">
        <w:r>
          <w:rPr>
            <w:rStyle w:val="Hyperlink"/>
          </w:rPr>
          <w:t xml:space="preserve">[25]</w:t>
        </w:r>
      </w:hyperlink>
      <w:r>
        <w:t xml:space="preserve">. This is why the framework insists that need be discounted by absorption and then decomposed by segment, rather than collapsed into a single addressable-market figure.</w:t>
      </w:r>
    </w:p>
    <w:bookmarkEnd w:id="90"/>
    <w:bookmarkStart w:id="91" w:name="a-note-on-time-and-the-2030-horizon"/>
    <w:p>
      <w:pPr>
        <w:pStyle w:val="Heading2"/>
        <w:spacing w:line="480" w:lineRule="auto"/>
      </w:pPr>
      <w:r>
        <w:t xml:space="preserve">A note on time and the 2030 horizon</w:t>
      </w:r>
    </w:p>
    <w:p>
      <w:pPr>
        <w:pStyle w:val="FirstParagraph"/>
        <w:spacing w:line="480" w:lineRule="auto"/>
      </w:pPr>
      <w:r>
        <w:t xml:space="preserve">The two frontiers are dynamic, and the framework is a statement about their trajectories, not their instantaneous values. This has a consequence the empirical chapters honor carefully. The supply learning curve is a snapshot of one operator’s early trajectory, and its elasticity describes how the stock scaled during that window; extrapolating the shape forward to 2030 requires assuming that the accumulation mechanism persists as satellite generations change and as competitors add their own stocks. The demand regression is a snapshot of structural conditions in one year, and projecting it to 2030 requires assuming that the relationship between income, geography, and the connectivity gap is slow-moving enough to remain informative across seven years. Both assumptions are defensible, because manufacturing processes and development structures both change slowly relative to headlines, but neither is a certainty, and the theory flags them as the temporal bridges the evidence must cross to reach the 2030 claim</w:t>
      </w:r>
      <w:r>
        <w:t xml:space="preserve"> </w:t>
      </w:r>
      <w:hyperlink w:anchor="ref-6">
        <w:r>
          <w:rPr>
            <w:rStyle w:val="Hyperlink"/>
          </w:rPr>
          <w:t xml:space="preserve">[6]</w:t>
        </w:r>
      </w:hyperlink>
      <w:r>
        <w:t xml:space="preserve">.</w:t>
      </w:r>
    </w:p>
    <w:p>
      <w:pPr>
        <w:pStyle w:val="BodyText"/>
        <w:spacing w:line="480" w:lineRule="auto"/>
        <w:ind w:firstLine="720"/>
      </w:pPr>
      <w:r>
        <w:t xml:space="preserve">The horizon also clarifies why the ratio, rather than either frontier, is the falsifiable quantity. A frontier measured at one time tells us little; a ratio of two frontiers measured on a common clock tells us whether supply is outrunning demand. The framework’s ambition is to specify that ratio precisely enough that, as the joining data become available, the 2030 value can be computed rather than argued. The theory thus does double duty. It explains why a glut is mechanically possible through the accumulation-versus-conversion asymmetry, and it defines the exact quantity whose value over time would confirm or refute that a glut has actually formed</w:t>
      </w:r>
      <w:r>
        <w:t xml:space="preserve"> </w:t>
      </w:r>
      <w:hyperlink w:anchor="ref-3">
        <w:r>
          <w:rPr>
            <w:rStyle w:val="Hyperlink"/>
          </w:rPr>
          <w:t xml:space="preserve">[3]</w:t>
        </w:r>
      </w:hyperlink>
      <w:r>
        <w:t xml:space="preserve">.</w:t>
      </w:r>
    </w:p>
    <w:bookmarkEnd w:id="91"/>
    <w:bookmarkStart w:id="92" w:name="X8f4c920a7fafdd669031e34a0e89421245b9776"/>
    <w:p>
      <w:pPr>
        <w:pStyle w:val="Heading2"/>
        <w:spacing w:line="480" w:lineRule="auto"/>
      </w:pPr>
      <w:r>
        <w:t xml:space="preserve">What the joined hypotheses can and cannot claim</w:t>
      </w:r>
    </w:p>
    <w:p>
      <w:pPr>
        <w:pStyle w:val="FirstParagraph"/>
        <w:spacing w:line="480" w:lineRule="auto"/>
      </w:pPr>
      <w:r>
        <w:t xml:space="preserve">Neither hypothesis, alone, tests the glut thesis. The supply hypothesis measures how one operator’s physical stock scaled. The demand hypothesis measures how one demand proxy is shaped by economics. The theory earns its keep by insisting that the two be read together. A proportional or accelerating supply curve, combined with a demand frontier that is systematically suppressed where need is greatest, produces exactly the divergence the framework predicts: a numerator fed by accumulation and a denominator throttled by conversion. That is the mechanism of a glut, stated so that data can confirm or deny each half.</w:t>
      </w:r>
    </w:p>
    <w:bookmarkEnd w:id="92"/>
    <w:bookmarkStart w:id="93" w:name="Xb72cb78c471ff6a63fc6d9dd13b25167e3a0514"/>
    <w:p>
      <w:pPr>
        <w:pStyle w:val="Heading2"/>
        <w:spacing w:line="480" w:lineRule="auto"/>
      </w:pPr>
      <w:r>
        <w:t xml:space="preserve">Falsification conditions stated explicitly</w:t>
      </w:r>
    </w:p>
    <w:p>
      <w:pPr>
        <w:pStyle w:val="FirstParagraph"/>
        <w:spacing w:line="480" w:lineRule="auto"/>
      </w:pPr>
      <w:r>
        <w:t xml:space="preserve">A framework earns the label falsifiable only if it names, in advance, the observations that would refute it. The supply prediction is refuted if the estimated learning-curve elasticity lies above one with its confidence interval excluding one, because that would show the early frontier accelerating rather than accumulating steadily, contradicting the steady-batch mechanism the theory proposed. The demand prediction is refuted if the rural coefficient is zero or negative, or if the income coefficient is zero or positive, because either would break the claim that geography and poverty jointly suppress the conversion of need into demand. The joint glut mechanism is undermined, though not strictly refuted, if the two frontiers were shown to move on the same clock, if some feedback rapidly converted accumulated supply into priced demand, because that would restore the synchrony the theory denies.</w:t>
      </w:r>
    </w:p>
    <w:p>
      <w:pPr>
        <w:pStyle w:val="BodyText"/>
        <w:spacing w:line="480" w:lineRule="auto"/>
        <w:ind w:firstLine="720"/>
      </w:pPr>
      <w:r>
        <w:t xml:space="preserve">Stating these conditions matters because it disciplines the interpretation of the results in advance. The supply chapter cannot rescue a glut narrative by reinterpreting a sub-one elasticity as secretly accelerating, and the demand chapter cannot rescue the need-is-not-demand thesis if the coefficients come back with the wrong signs. By fixing the refutation criteria before the estimates are read, the framework prevents the common failure in which a flexible theory absorbs any result. The theory here is rigid on purpose: each prediction has a sign and a threshold, and each can fail</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93"/>
    <w:bookmarkStart w:id="94" w:name="where-the-mechanism-could-break"/>
    <w:p>
      <w:pPr>
        <w:pStyle w:val="Heading2"/>
        <w:spacing w:line="480" w:lineRule="auto"/>
      </w:pPr>
      <w:r>
        <w:t xml:space="preserve">Where the mechanism could break</w:t>
      </w:r>
    </w:p>
    <w:p>
      <w:pPr>
        <w:pStyle w:val="FirstParagraph"/>
        <w:spacing w:line="480" w:lineRule="auto"/>
      </w:pPr>
      <w:r>
        <w:t xml:space="preserve">Intellectual honesty requires naming the conditions under which the two-mechanism account itself would be the wrong model, not merely wrong in its predictions. The account assumes that supply accumulation and demand conversion are genuinely decoupled processes. Two developments could couple them. If operators learned to build capacity only as demand was proven, in a tightly demand-following deployment, then supply would track demand and the asymmetry would vanish; the staged-deployment literature suggests operators try to do exactly this, which is a reason to expect the coupling to be partial rather than absent</w:t>
      </w:r>
      <w:r>
        <w:t xml:space="preserve"> </w:t>
      </w:r>
      <w:hyperlink w:anchor="ref-6">
        <w:r>
          <w:rPr>
            <w:rStyle w:val="Hyperlink"/>
          </w:rPr>
          <w:t xml:space="preserve">[6]</w:t>
        </w:r>
      </w:hyperlink>
      <w:r>
        <w:t xml:space="preserve">. Alternatively, if a technology sharply lowered the cost of demand conversion, cheap terminals, automated distribution, universal-service automation, then the slow conversion path could accelerate to match the fast accumulation path, again collapsing the asymmetry.</w:t>
      </w:r>
    </w:p>
    <w:p>
      <w:pPr>
        <w:pStyle w:val="BodyText"/>
        <w:spacing w:line="480" w:lineRule="auto"/>
        <w:ind w:firstLine="720"/>
      </w:pPr>
      <w:r>
        <w:t xml:space="preserve">Neither coupling is present in the current evidence, but the framework flags them as the boundaries of its own validity. The theory claims that supply accumulates faster than demand converts under present conditions, and it is candid that a sufficiently demand-following deployment discipline or a sufficiently cheap conversion technology would move the world outside the regime the model describes. That candor is what keeps the framework a scientific claim rather than an unfalsifiable stance: it specifies not only what would refute its predictions but what would render its central mechanism inapplicable</w:t>
      </w:r>
      <w:r>
        <w:t xml:space="preserve"> </w:t>
      </w:r>
      <w:hyperlink w:anchor="ref-4">
        <w:r>
          <w:rPr>
            <w:rStyle w:val="Hyperlink"/>
          </w:rPr>
          <w:t xml:space="preserve">[4]</w:t>
        </w:r>
      </w:hyperlink>
      <w:r>
        <w:t xml:space="preserve">.</w:t>
      </w:r>
    </w:p>
    <w:p>
      <w:pPr>
        <w:pStyle w:val="BodyText"/>
        <w:spacing w:line="480" w:lineRule="auto"/>
        <w:ind w:firstLine="720"/>
      </w:pPr>
      <w:r>
        <w:t xml:space="preserve">The framework is honest about its reach. It does not deliver the 2030 ratio, because the two papers measure determinants of that ratio rather than the ratio itself. It delivers something more durable: a structure in which any future observation, whether a gateway license, a subscriber disclosure, or a spectrum-sharing decision, can be placed on the correct frontier and read as evidence for or against overcapacity. Staged-deployment theory reminds us that operators already hedge against the possibility this framework formalizes, which is itself evidence that the divergence is real enough to pay to avoid</w:t>
      </w:r>
      <w:r>
        <w:t xml:space="preserve"> </w:t>
      </w:r>
      <w:hyperlink w:anchor="ref-6">
        <w:r>
          <w:rPr>
            <w:rStyle w:val="Hyperlink"/>
          </w:rPr>
          <w:t xml:space="preserve">[6]</w:t>
        </w:r>
      </w:hyperlink>
      <w:r>
        <w:t xml:space="preserve">. The task of the empirical chapters is to measure the two frontiers as far as public data allow, and the task of the theory is to guarantee that those measurements bear on the falsifiable claim rather than beside it.</w:t>
      </w:r>
    </w:p>
    <w:bookmarkEnd w:id="94"/>
    <w:bookmarkStart w:id="95" w:name="X721a319331ff4c7c167ca719ea357bbc24189b2"/>
    <w:p>
      <w:pPr>
        <w:pStyle w:val="Heading2"/>
        <w:spacing w:line="480" w:lineRule="auto"/>
      </w:pPr>
      <w:r>
        <w:t xml:space="preserve">The units problem and how the theory finesses it</w:t>
      </w:r>
    </w:p>
    <w:p>
      <w:pPr>
        <w:pStyle w:val="FirstParagraph"/>
        <w:spacing w:line="480" w:lineRule="auto"/>
      </w:pPr>
      <w:r>
        <w:t xml:space="preserve">A theoretical account of a ratio must confront the question of units, and this framework handles it by measuring each frontier in its own natural unit while insisting that a common normalized unit exists in principle. The supply frontier’s natural early-stage unit is the cataloged payload, an integer count. The demand frontier’s natural unit in the cross-country evidence is a percentage-point gap in Internet use. These are not directly divisible, and the theory does not pretend they are. What it claims is that both are proxies for quantities that, once the joining data arrive, can be expressed in normalized gigabit-equivalent units: a payload converts to deliverable gigabits through architecture and gateway coverage, and a connectivity gap converts to priced gigabit-equivalent demand through segment pricing and absorption rates. The common unit is defined at the level of the eventual ratio, not at the level of the current proxies.</w:t>
      </w:r>
    </w:p>
    <w:p>
      <w:pPr>
        <w:pStyle w:val="BodyText"/>
        <w:spacing w:line="480" w:lineRule="auto"/>
        <w:ind w:firstLine="720"/>
      </w:pPr>
      <w:r>
        <w:t xml:space="preserve">This is why the dissertation measures determinants rather than the ratio itself, and the theory is explicit that the two proxy measurements are inputs to a conversion that public data do not yet permit. The finesse is honest rather than evasive. It states the target unit, identifies the conversion factors that would map each proxy into that unit, and names those factors, deliverable-gigabits-per-payload and priced-gigabit-equivalent-per-gap-point, as the missing quantities. A reader is thus told precisely what would have to be measured to compute the ratio, and precisely why the current evidence stops at the determinants. The theory earns credibility by refusing to fabricate the conversion factors it lacks</w:t>
      </w:r>
      <w:r>
        <w:t xml:space="preserve"> </w:t>
      </w:r>
      <w:hyperlink w:anchor="ref-4">
        <w:r>
          <w:rPr>
            <w:rStyle w:val="Hyperlink"/>
          </w:rPr>
          <w:t xml:space="preserve">[4]</w:t>
        </w:r>
      </w:hyperlink>
      <w:r>
        <w:t xml:space="preserve">.</w:t>
      </w:r>
    </w:p>
    <w:bookmarkEnd w:id="95"/>
    <w:bookmarkStart w:id="96" w:name="X1fa4b70a13b1a4d81f69b1f600cd0b7ba0b31aa"/>
    <w:p>
      <w:pPr>
        <w:pStyle w:val="Heading2"/>
        <w:spacing w:line="480" w:lineRule="auto"/>
      </w:pPr>
      <w:r>
        <w:t xml:space="preserve">Comparative statics of the two-frontier model</w:t>
      </w:r>
    </w:p>
    <w:p>
      <w:pPr>
        <w:pStyle w:val="FirstParagraph"/>
        <w:spacing w:line="480" w:lineRule="auto"/>
      </w:pPr>
      <w:r>
        <w:t xml:space="preserve">The framework supports a small set of comparative-static predictions that sharpen its empirical content. Hold the demand frontier fixed and increase launch cadence: the supply frontier rises and the ratio moves toward overcapacity, which is the pure supply-shock case. Hold supply fixed and raise incomes across served geographies: the demand frontier rises, the connectivity gap narrows, and the ratio moves away from overcapacity, the pure demand-shock case. Introduce a cheaper terminal or a universal-service subsidy: the conversion rate from need to priced demand improves, the demand frontier rises without any change in underlying income, and again the ratio eases. Introduce optical inter-satellite links that relax gateway conditioning: the deliverable supply frontier rises without any new launches, pushing the ratio toward overcapacity.</w:t>
      </w:r>
    </w:p>
    <w:p>
      <w:pPr>
        <w:pStyle w:val="BodyText"/>
        <w:spacing w:line="480" w:lineRule="auto"/>
        <w:ind w:firstLine="720"/>
      </w:pPr>
      <w:r>
        <w:t xml:space="preserve">These comparative statics are useful because they tell an analyst which observable developments move the glut risk in which direction, and they map cleanly onto the threats and extensions discussed later. Each prediction is a directional claim the framework commits to in advance, and each corresponds to a lever that a regulator, an operator, or a technology roadmap could pull. The value of stating them here is that they convert the abstract two-frontier picture into a set of if-then expectations against which future evidence can be scored, which is the working definition of a theory with empirical bite rather than a mere description</w:t>
      </w:r>
      <w:r>
        <w:t xml:space="preserve"> </w:t>
      </w:r>
      <w:hyperlink w:anchor="ref-6">
        <w:r>
          <w:rPr>
            <w:rStyle w:val="Hyperlink"/>
          </w:rPr>
          <w:t xml:space="preserve">[6]</w:t>
        </w:r>
      </w:hyperlink>
      <w:r>
        <w:t xml:space="preserve">.</w:t>
      </w:r>
    </w:p>
    <w:bookmarkEnd w:id="96"/>
    <w:bookmarkEnd w:id="97"/>
    <w:bookmarkStart w:id="110" w:name="X940caaf6d3ac92c12a69529db0381ad3e868d7e"/>
    <w:p>
      <w:pPr>
        <w:pStyle w:val="Heading1"/>
        <w:spacing w:line="480" w:lineRule="auto"/>
      </w:pPr>
      <w:r>
        <w:t xml:space="preserve">Chapter 4. Methodology and Identification</w:t>
      </w:r>
    </w:p>
    <w:p>
      <w:pPr>
        <w:pStyle w:val="FirstParagraph"/>
        <w:spacing w:line="480" w:lineRule="auto"/>
      </w:pPr>
      <w:r>
        <w:t xml:space="preserve">Two estimators carry the empirical weight of this dissertation, and they are chosen to do very different jobs. One measures the shape of a supply curve. The other measures the conditioning of a demand proxy. Neither is exotic. Both are transparent, reproducible, and matched to the structure of the question they answer. This chapter states each estimator precisely, explains what it identifies and what it does not, and defends the choice of a modest specification over a more elaborate one that the available data could not honestly support. The methodological posture throughout is restraint: measure what the public record can bear, and refuse to dress a descriptive result as a causal one.</w:t>
      </w:r>
    </w:p>
    <w:bookmarkStart w:id="98" w:name="X8b51bea3fad0bd4e17522c61fe8b38a8fbdc780"/>
    <w:p>
      <w:pPr>
        <w:pStyle w:val="Heading2"/>
        <w:spacing w:line="480" w:lineRule="auto"/>
      </w:pPr>
      <w:r>
        <w:t xml:space="preserve">The supply estimator: a launch-cohort learning curve</w:t>
      </w:r>
    </w:p>
    <w:p>
      <w:pPr>
        <w:pStyle w:val="FirstParagraph"/>
        <w:spacing w:line="480" w:lineRule="auto"/>
      </w:pPr>
      <w:r>
        <w:t xml:space="preserve">The supply side is estimated with a log-log learning curve. Let cumulative cataloged payloads through cohort t be the outcome and the ordinal launch-cohort sequence be the predictor. The specification is</w:t>
      </w:r>
    </w:p>
    <w:p>
      <w:pPr>
        <w:pStyle w:val="BodyText"/>
        <w:spacing w:line="480" w:lineRule="auto"/>
        <w:ind w:firstLine="720"/>
      </w:pPr>
      <w:r>
        <w:t xml:space="preserve">log(CumulativePayloads_t) = alpha + b * log(CohortSequence_t) + epsilon_t,</w:t>
      </w:r>
    </w:p>
    <w:p>
      <w:pPr>
        <w:pStyle w:val="BodyText"/>
        <w:spacing w:line="480" w:lineRule="auto"/>
        <w:ind w:firstLine="720"/>
      </w:pPr>
      <w:r>
        <w:t xml:space="preserve">fit by ordinary least squares after natural-log transformation of the positive outcome and the positive predictor. The slope b is an elasticity. It answers a single question: when the number of launch cohorts doubles, by what factor does the cumulative cataloged payload stock rise? A slope of exactly one implies a doubling of cohorts brings a doubling of payloads, a proportional frontier. A slope above one implies superlinear scaling, an accelerating frontier. A slope below one implies less-than-proportional scaling. The estimator also reports two raised to the slope, interpreted here as the cumulative payload multiplier associated with a doubling of cohort sequence.</w:t>
      </w:r>
    </w:p>
    <w:p>
      <w:pPr>
        <w:pStyle w:val="BodyText"/>
        <w:spacing w:line="480" w:lineRule="auto"/>
        <w:ind w:firstLine="720"/>
      </w:pPr>
      <w:r>
        <w:t xml:space="preserve">Forty observations feed the fit, with HC1 robust standard errors. The choice of HC1 rather than classical standard errors reflects the near-certainty of heteroskedasticity in a cumulative series, where the variance of the outcome grows with its level. Robust standard errors do not change the point estimate; they discipline the inference around it, and in a series this tight they matter for how confidently the elasticity can be placed relative to one. The learning-curve form is standard in the study of production and deployment processes, and it is used here for its interpretability rather than for any claim to novelty.</w:t>
      </w:r>
    </w:p>
    <w:bookmarkEnd w:id="98"/>
    <w:bookmarkStart w:id="99" w:name="X0f900bf012cfde0c5beb103316b0513bfdcbf5c"/>
    <w:p>
      <w:pPr>
        <w:pStyle w:val="Heading2"/>
        <w:spacing w:line="480" w:lineRule="auto"/>
      </w:pPr>
      <w:r>
        <w:t xml:space="preserve">What the supply estimator identifies, and what it does not</w:t>
      </w:r>
    </w:p>
    <w:p>
      <w:pPr>
        <w:pStyle w:val="FirstParagraph"/>
        <w:spacing w:line="480" w:lineRule="auto"/>
      </w:pPr>
      <w:r>
        <w:t xml:space="preserve">Honesty about identification begins with an admission. Cumulative payloads are mechanically related to cohort sequence, because each cohort adds to the running total by construction. This is not a causal design and it is not presented as one. The elasticity is a descriptive measurement of the early supply curve’s shape, not an estimate of a treatment effect. There is no counterfactual in which the cohorts were withheld, and the model makes no such claim. What the estimator recovers is the functional form of the accumulation, cleanly and with quantified precision, which is exactly the object the theory requires: a test of whether the early frontier accelerated, held proportional, or decelerated.</w:t>
      </w:r>
    </w:p>
    <w:p>
      <w:pPr>
        <w:pStyle w:val="BodyText"/>
        <w:spacing w:line="480" w:lineRule="auto"/>
        <w:ind w:firstLine="720"/>
      </w:pPr>
      <w:r>
        <w:t xml:space="preserve">The estimator is silent, by design, on everything downstream of the cataloged payload. A payload in the catalog is not a beam in service, not a gigabit landed at a gateway, not a licensed offering in a country, and not a dollar of revenue. The learning curve isolates the first stage of the supply pipeline described in the theory and measures only that stage. This narrowness is a virtue. It prevents the common error of reading a physical count as though it were market capacity, and it keeps the supply measurement uncontaminated by the demand assumptions that a fuller capacity model would smuggle in</w:t>
      </w:r>
      <w:r>
        <w:t xml:space="preserve"> </w:t>
      </w:r>
      <w:hyperlink w:anchor="ref-2">
        <w:r>
          <w:rPr>
            <w:rStyle w:val="Hyperlink"/>
          </w:rPr>
          <w:t xml:space="preserve">[2]</w:t>
        </w:r>
      </w:hyperlink>
      <w:r>
        <w:t xml:space="preserve">. The demand-aware engineering literature confirms that usable capacity depends on where demand sits, which is precisely why the supply estimator refuses to speak to usable capacity at all</w:t>
      </w:r>
      <w:r>
        <w:t xml:space="preserve"> </w:t>
      </w:r>
      <w:hyperlink w:anchor="ref-7">
        <w:r>
          <w:rPr>
            <w:rStyle w:val="Hyperlink"/>
          </w:rPr>
          <w:t xml:space="preserve">[7]</w:t>
        </w:r>
      </w:hyperlink>
      <w:r>
        <w:t xml:space="preserve">.</w:t>
      </w:r>
    </w:p>
    <w:bookmarkEnd w:id="99"/>
    <w:bookmarkStart w:id="100" w:name="X560d47944c95f1ad6c2b5e3ef8c7fa1f25e6fd1"/>
    <w:p>
      <w:pPr>
        <w:pStyle w:val="Heading2"/>
        <w:spacing w:line="480" w:lineRule="auto"/>
      </w:pPr>
      <w:r>
        <w:t xml:space="preserve">The demand estimator: a cross-country conditioning regression</w:t>
      </w:r>
    </w:p>
    <w:p>
      <w:pPr>
        <w:pStyle w:val="FirstParagraph"/>
        <w:spacing w:line="480" w:lineRule="auto"/>
      </w:pPr>
      <w:r>
        <w:t xml:space="preserve">Demand is estimated with ordinary least squares. Let the Internet-use gap in country i be the outcome, and let rural population share and log GDP per capita be the predictors. The specification is</w:t>
      </w:r>
    </w:p>
    <w:p>
      <w:pPr>
        <w:pStyle w:val="BodyText"/>
        <w:spacing w:line="480" w:lineRule="auto"/>
        <w:ind w:firstLine="720"/>
      </w:pPr>
      <w:r>
        <w:t xml:space="preserve">InternetGap_i = alpha + beta_1 * RuralShare_i + beta_2 * log(GDPpc_i) + epsilon_i,</w:t>
      </w:r>
    </w:p>
    <w:p>
      <w:pPr>
        <w:pStyle w:val="BodyText"/>
        <w:spacing w:line="480" w:lineRule="auto"/>
        <w:ind w:firstLine="720"/>
      </w:pPr>
      <w:r>
        <w:t xml:space="preserve">fit with HC1 robust standard errors over forty countries. The coefficient beta_1 is the expected percentage-point change in the Internet-use gap associated with a one-point higher rural share, holding income constant. The coefficient beta_2 is the expected change associated with a one-unit increase in logged income, holding rural share constant. The logarithmic transformation of income is deliberate: the marginal effect of a dollar of income on connectivity is far larger at low income than at high income, and the log form encodes that diminishing return rather than imposing a constant linear effect.</w:t>
      </w:r>
    </w:p>
    <w:p>
      <w:pPr>
        <w:pStyle w:val="BodyText"/>
        <w:spacing w:line="480" w:lineRule="auto"/>
        <w:ind w:firstLine="720"/>
      </w:pPr>
      <w:r>
        <w:t xml:space="preserve">Ordinary least squares is the right tool for a first-stage demand-frontier bound. The outcome is continuous, the sample is small, and the goal is a transparent, auditable association rather than a black-box prediction. A more complex estimator would add degrees of freedom the data cannot spare and opacity the argument does not want. The two predictors are chosen because they map directly onto the theoretical mechanism: rurality proxies the geography that makes conversion hard, and income proxies the absorption constraint that separates need from demand</w:t>
      </w:r>
      <w:r>
        <w:t xml:space="preserve"> </w:t>
      </w:r>
      <w:hyperlink w:anchor="ref-9">
        <w:r>
          <w:rPr>
            <w:rStyle w:val="Hyperlink"/>
          </w:rPr>
          <w:t xml:space="preserve">[9]</w:t>
        </w:r>
      </w:hyperlink>
      <w:r>
        <w:t xml:space="preserve">.</w:t>
      </w:r>
    </w:p>
    <w:bookmarkEnd w:id="100"/>
    <w:bookmarkStart w:id="101" w:name="Xd095ff832ca4e2462cff103afb398584f67f60a"/>
    <w:p>
      <w:pPr>
        <w:pStyle w:val="Heading2"/>
        <w:spacing w:line="480" w:lineRule="auto"/>
      </w:pPr>
      <w:r>
        <w:t xml:space="preserve">What the demand estimator identifies, and what it does not</w:t>
      </w:r>
    </w:p>
    <w:p>
      <w:pPr>
        <w:pStyle w:val="FirstParagraph"/>
        <w:spacing w:line="480" w:lineRule="auto"/>
      </w:pPr>
      <w:r>
        <w:t xml:space="preserve">The demand regression is descriptive, not causal, and the chapter says so plainly. Rurality and income are not randomly assigned across countries. Omitted variables including education, local prices, regulatory openness, conflict, and electricity access all plausibly affect Internet use and correlate with the two predictors, so the coefficients cannot be read as the effect of moving a country’s rurality or income while holding the rest of the world fixed. What the estimator recovers is whether two basic, theoretically motivated demand constraints are visible in official data, with what sign, and with what precision. That is the falsifiable claim the theory asked for, and it is all the claim the design supports.</w:t>
      </w:r>
    </w:p>
    <w:p>
      <w:pPr>
        <w:pStyle w:val="BodyText"/>
        <w:spacing w:line="480" w:lineRule="auto"/>
        <w:ind w:firstLine="720"/>
      </w:pPr>
      <w:r>
        <w:t xml:space="preserve">One feature of the sample deserves particular attention: it is not random. The forty countries are those with the largest Internet-use gaps among countries with complete covariates and non-aggregate metadata. This is a demand-stressed sample chosen to give the optimistic hypothesis its best case. If the income constraint were merely an artifact of comparing rich and poor countries, it should weaken inside a sample already concentrated at the high-gap, low-income end of the distribution. The identifying logic is therefore adversarial to the paper’s own conclusion: finding an income effect inside the high-gap sample is stronger evidence for the need-is-not-demand thesis than finding one in the full cross-section would be, because the sample selection works against the result</w:t>
      </w:r>
      <w:r>
        <w:t xml:space="preserve"> </w:t>
      </w:r>
      <w:hyperlink w:anchor="ref-8">
        <w:r>
          <w:rPr>
            <w:rStyle w:val="Hyperlink"/>
          </w:rPr>
          <w:t xml:space="preserve">[8]</w:t>
        </w:r>
      </w:hyperlink>
      <w:r>
        <w:t xml:space="preserve">.</w:t>
      </w:r>
    </w:p>
    <w:bookmarkEnd w:id="101"/>
    <w:bookmarkStart w:id="102" w:name="X9c97dcfed050a71dcf476a84856df8f24a05cb2"/>
    <w:p>
      <w:pPr>
        <w:pStyle w:val="Heading2"/>
        <w:spacing w:line="480" w:lineRule="auto"/>
      </w:pPr>
      <w:r>
        <w:t xml:space="preserve">Why two estimators rather than one joint model</w:t>
      </w:r>
    </w:p>
    <w:p>
      <w:pPr>
        <w:pStyle w:val="FirstParagraph"/>
        <w:spacing w:line="480" w:lineRule="auto"/>
      </w:pPr>
      <w:r>
        <w:t xml:space="preserve">A reader might ask why the dissertation does not fit a single structural model that joins supply and demand into one estimated ratio. The answer is that the public data do not support it, and pretending otherwise would violate the discipline the whole project rests on. The supply frontier and the demand frontier are measured in different units, on different units of analysis, from different sources, at different times. The supply learning curve is measured on launch cohorts of one operator through early 2022. The demand regression is measured on countries in 2023. Forcing them into one estimator would require bridging assumptions, about conversion rates, prices, and gateway coverage, that are themselves the missing data the dissertation is honest about lacking.</w:t>
      </w:r>
    </w:p>
    <w:p>
      <w:pPr>
        <w:pStyle w:val="BodyText"/>
        <w:spacing w:line="480" w:lineRule="auto"/>
        <w:ind w:firstLine="720"/>
      </w:pPr>
      <w:r>
        <w:t xml:space="preserve">The two-estimator design is the correct response to that gap. Each estimator measures one determinant of the 2030 ratio with data that can actually support the measurement, and the theory supplies the frame that connects them without requiring a fabricated joint likelihood. This mirrors the staged-deployment logic, in which decisions are made sequentially as information arrives rather than committed all at once under assumptions that cannot be justified</w:t>
      </w:r>
      <w:r>
        <w:t xml:space="preserve"> </w:t>
      </w:r>
      <w:hyperlink w:anchor="ref-6">
        <w:r>
          <w:rPr>
            <w:rStyle w:val="Hyperlink"/>
          </w:rPr>
          <w:t xml:space="preserve">[6]</w:t>
        </w:r>
      </w:hyperlink>
      <w:r>
        <w:t xml:space="preserve">. The methodology, in other words, practices the same restraint it studies: it builds only the pieces the evidence can bear, and it names the joins it cannot yet make.</w:t>
      </w:r>
    </w:p>
    <w:bookmarkEnd w:id="102"/>
    <w:bookmarkStart w:id="103" w:name="Xd1045f1d00e8cf6ba3aa650fb681db5b5699683"/>
    <w:p>
      <w:pPr>
        <w:pStyle w:val="Heading2"/>
        <w:spacing w:line="480" w:lineRule="auto"/>
      </w:pPr>
      <w:r>
        <w:t xml:space="preserve">The log-log form and its interpretive discipline</w:t>
      </w:r>
    </w:p>
    <w:p>
      <w:pPr>
        <w:pStyle w:val="FirstParagraph"/>
        <w:spacing w:line="480" w:lineRule="auto"/>
      </w:pPr>
      <w:r>
        <w:t xml:space="preserve">The choice of a log-log specification on the supply side deserves defense beyond convention, because the functional form encodes a substantive claim. Taking logs of both cumulative payloads and cohort sequence turns a power-law relationship into a line whose slope is a constant elasticity, which is the right structure if the accumulation process has no natural scale, if doubling the cohorts has the same proportional effect early and late in the series. That is a testable premise, not a free assumption, and the extreme fit of the resulting line, reported in the results chapter, is evidence that the constant-elasticity structure holds for this series rather than merely being imposed on it. Had the true relationship been additive rather than multiplicative, the log-log line would have curved and the fit would have degraded, which it does not.</w:t>
      </w:r>
    </w:p>
    <w:p>
      <w:pPr>
        <w:pStyle w:val="BodyText"/>
        <w:spacing w:line="480" w:lineRule="auto"/>
        <w:ind w:firstLine="720"/>
      </w:pPr>
      <w:r>
        <w:t xml:space="preserve">The elasticity’s interpretation follows directly from the form and must be held precisely. A slope of 0.97, to preview the estimate, does not mean the stock grew by 97 percent of anything. It means that a one-percent increase in the number of launch cohorts was associated with a 0.97-percent increase in cumulative cataloged payloads, and equivalently that a doubling of cohorts was associated with a two-raised-to-0.97 multiplier on the stock. Keeping the elasticity separate from the raw growth rate is the interpretive discipline the form demands, and it is what allows the supply result to distinguish the shape of the accumulation from its speed, a distinction the theory identified as central</w:t>
      </w:r>
      <w:r>
        <w:t xml:space="preserve"> </w:t>
      </w:r>
      <w:hyperlink w:anchor="ref-5">
        <w:r>
          <w:rPr>
            <w:rStyle w:val="Hyperlink"/>
          </w:rPr>
          <w:t xml:space="preserve">[5]</w:t>
        </w:r>
      </w:hyperlink>
      <w:r>
        <w:t xml:space="preserve">.</w:t>
      </w:r>
    </w:p>
    <w:bookmarkEnd w:id="103"/>
    <w:bookmarkStart w:id="104" w:name="X06ee88c4447637a9eb22689bd9980750431b576"/>
    <w:p>
      <w:pPr>
        <w:pStyle w:val="Heading2"/>
        <w:spacing w:line="480" w:lineRule="auto"/>
      </w:pPr>
      <w:r>
        <w:t xml:space="preserve">Why not a causal or structural supply model</w:t>
      </w:r>
    </w:p>
    <w:p>
      <w:pPr>
        <w:pStyle w:val="FirstParagraph"/>
        <w:spacing w:line="480" w:lineRule="auto"/>
      </w:pPr>
      <w:r>
        <w:t xml:space="preserve">A reviewer might press for a supply model with more ambition: an instrumented design that isolates a causal driver of payload growth, or a structural model that estimates the deep parameters of the manufacturing-and-launch process. Both are rejected, and deliberately so. There is no plausible instrument for cohort sequence that would satisfy an exclusion restriction, because the sequence is a deterministic ordinal index rather than a treatment with a counterfactual, so an instrumented design would be theater rather than identification. A structural model of the launch process would require data on manufacturing throughput, launch-vehicle availability, and firm-level decisions that the public catalog does not contain, and estimating deep parameters from a cumulative count alone would produce numbers with no defensible standard errors. The descriptive learning curve is chosen because it is the most that the data can honestly support, and the identification chapter’s job is to state that ceiling rather than to pretend past it</w:t>
      </w:r>
      <w:r>
        <w:t xml:space="preserve"> </w:t>
      </w:r>
      <w:hyperlink w:anchor="ref-2">
        <w:r>
          <w:rPr>
            <w:rStyle w:val="Hyperlink"/>
          </w:rPr>
          <w:t xml:space="preserve">[2]</w:t>
        </w:r>
      </w:hyperlink>
      <w:r>
        <w:t xml:space="preserve">.</w:t>
      </w:r>
    </w:p>
    <w:bookmarkEnd w:id="104"/>
    <w:bookmarkStart w:id="105" w:name="X2233c46a4c7066d6d48293388acd8df6a1f04fb"/>
    <w:p>
      <w:pPr>
        <w:pStyle w:val="Heading2"/>
        <w:spacing w:line="480" w:lineRule="auto"/>
      </w:pPr>
      <w:r>
        <w:t xml:space="preserve">The functional form of the demand model and its alternatives</w:t>
      </w:r>
    </w:p>
    <w:p>
      <w:pPr>
        <w:pStyle w:val="FirstParagraph"/>
        <w:spacing w:line="480" w:lineRule="auto"/>
      </w:pPr>
      <w:r>
        <w:t xml:space="preserve">The demand model’s linear-in-rurality, log-in-income specification is a choice among alternatives, and defending it clarifies what the coefficients mean. Rurality enters linearly because there is no strong prior that its effect on the connectivity gap is nonlinear across the observed thirty-to-eighty-five-percent range; a percentage point of rural share is treated as having roughly constant marginal association with the gap. Income enters logarithmically because the prior for diminishing returns is strong and well established: the first thousand dollars of GDP per capita plausibly matters far more for connectivity than the tenth thousand, and the log form encodes that curvature parsimoniously. An alternative that logged both, or that added a quadratic in rurality, was considered and rejected because the forty-observation sample cannot support additional flexibility without overfitting, and because the theory motivates exactly this asymmetry between the two predictors.</w:t>
      </w:r>
    </w:p>
    <w:p>
      <w:pPr>
        <w:pStyle w:val="BodyText"/>
        <w:spacing w:line="480" w:lineRule="auto"/>
        <w:ind w:firstLine="720"/>
      </w:pPr>
      <w:r>
        <w:t xml:space="preserve">The specification choice is not innocent, and the identification posture requires admitting so. A different functional form would yield different coefficient magnitudes, and the reported numbers are conditional on this form. What is robust to the form choice is the qualitative claim the theory needs: within any reasonable specification, higher rurality associates with a wider gap and higher income with a narrower one. The magnitudes are specification-dependent and sample-dependent; the signs and their significance are what carry the theoretical weight, and the model is built to make those signs interpretable rather than to pin down elasticities the data cannot uniquely identify</w:t>
      </w:r>
      <w:r>
        <w:t xml:space="preserve"> </w:t>
      </w:r>
      <w:hyperlink w:anchor="ref-9">
        <w:r>
          <w:rPr>
            <w:rStyle w:val="Hyperlink"/>
          </w:rPr>
          <w:t xml:space="preserve">[9]</w:t>
        </w:r>
      </w:hyperlink>
      <w:r>
        <w:t xml:space="preserve">.</w:t>
      </w:r>
    </w:p>
    <w:bookmarkEnd w:id="105"/>
    <w:bookmarkStart w:id="106" w:name="Xed79231a1fa8281de6804fefb264623606950de"/>
    <w:p>
      <w:pPr>
        <w:pStyle w:val="Heading2"/>
        <w:spacing w:line="480" w:lineRule="auto"/>
      </w:pPr>
      <w:r>
        <w:t xml:space="preserve">The estimand of the demand regression stated formally</w:t>
      </w:r>
    </w:p>
    <w:p>
      <w:pPr>
        <w:pStyle w:val="FirstParagraph"/>
        <w:spacing w:line="480" w:lineRule="auto"/>
      </w:pPr>
      <w:r>
        <w:t xml:space="preserve">On the demand side it is worth stating exactly what quantity the coefficients estimate, because the descriptive-versus-causal distinction is easy to blur in prose. The rural coefficient beta_1 estimates the partial association between rural share and the Internet-use gap, holding log income fixed, within the population of high-gap countries in 2023. It is a conditional mean difference in the observed cross-section, not a treatment effect and not a structural elasticity of adoption. The income coefficient beta_2 estimates the same kind of conditional association for a one-unit change in log income. Neither estimand supports a counterfactual sentence beginning with the phrase if this country’s income rose, because nothing in the design holds constant the education, prices, regulation, and infrastructure that would move alongside income in any real intervention.</w:t>
      </w:r>
    </w:p>
    <w:p>
      <w:pPr>
        <w:pStyle w:val="BodyText"/>
        <w:spacing w:line="480" w:lineRule="auto"/>
        <w:ind w:firstLine="720"/>
      </w:pPr>
      <w:r>
        <w:t xml:space="preserve">Stating the estimand this precisely is not pedantry; it is what keeps the demand result inside its warrant. The theory needs only to know whether the connectivity gap is systematically conditioned by geography and income with the predicted signs, and the conditional-association estimand answers exactly that question. It does not need, and the design does not provide, a causal effect of income on adoption. The methodology’s honesty is to claim the association firmly and to disclaim the causal reading explicitly, so that the results chapter can report strong, significant coefficients without any reader mistaking them for interventionist policy elasticities</w:t>
      </w:r>
      <w:r>
        <w:t xml:space="preserve"> </w:t>
      </w:r>
      <w:hyperlink w:anchor="ref-9">
        <w:r>
          <w:rPr>
            <w:rStyle w:val="Hyperlink"/>
          </w:rPr>
          <w:t xml:space="preserve">[9]</w:t>
        </w:r>
      </w:hyperlink>
      <w:r>
        <w:t xml:space="preserve">.</w:t>
      </w:r>
    </w:p>
    <w:bookmarkEnd w:id="106"/>
    <w:bookmarkStart w:id="107" w:name="robustness-posture-and-reproducibility"/>
    <w:p>
      <w:pPr>
        <w:pStyle w:val="Heading2"/>
        <w:spacing w:line="480" w:lineRule="auto"/>
      </w:pPr>
      <w:r>
        <w:t xml:space="preserve">Robustness posture and reproducibility</w:t>
      </w:r>
    </w:p>
    <w:p>
      <w:pPr>
        <w:pStyle w:val="FirstParagraph"/>
        <w:spacing w:line="480" w:lineRule="auto"/>
      </w:pPr>
      <w:r>
        <w:t xml:space="preserve">Both estimators are built to be checked. The supply model’s robustness rests on the extreme precision of the fit and on the stability of the elasticity relative to one across the confidence interval, which the results chapter reports in full. The demand model’s robustness rests on the sign stability of both coefficients, on the joint significance of the regression, and on the deliberately adversarial sample selection described above. Neither model hides behind a single point estimate; both report standard errors, confidence intervals, and the sample size, so that the inference can be evaluated rather than trusted.</w:t>
      </w:r>
    </w:p>
    <w:bookmarkEnd w:id="107"/>
    <w:bookmarkStart w:id="108" w:name="Xd2ce99031f9cf1fa97cf0ca29eac51b586e3b55"/>
    <w:p>
      <w:pPr>
        <w:pStyle w:val="Heading2"/>
        <w:spacing w:line="480" w:lineRule="auto"/>
      </w:pPr>
      <w:r>
        <w:t xml:space="preserve">Standard errors, and why robust ones were chosen</w:t>
      </w:r>
    </w:p>
    <w:p>
      <w:pPr>
        <w:pStyle w:val="FirstParagraph"/>
        <w:spacing w:line="480" w:lineRule="auto"/>
      </w:pPr>
      <w:r>
        <w:t xml:space="preserve">The choice of HC1 heteroskedasticity-robust standard errors on both models is not cosmetic and deserves a plain explanation. Classical ordinary-least-squares inference assumes the error variance is constant across observations, an assumption that fails in both of these settings for structural reasons. On the supply side, a cumulative series has a variance that grows with its level, so the residuals of a log-log fit are unlikely to be homoskedastic, and classical standard errors would misstate the precision of the elasticity. On the demand side, the connectivity gap’s variability plausibly differs between the very poorest countries and the merely poor ones, so error variance likely correlates with the predictors. HC1 corrects the standard errors for these patterns without altering the point estimates, buying honest inference at the cost of nothing but a modest degrees-of-freedom adjustment.</w:t>
      </w:r>
    </w:p>
    <w:p>
      <w:pPr>
        <w:pStyle w:val="BodyText"/>
        <w:spacing w:line="480" w:lineRule="auto"/>
        <w:ind w:firstLine="720"/>
      </w:pPr>
      <w:r>
        <w:t xml:space="preserve">The practical effect is that every reported confidence interval and p-value in the results chapter reflects the robust variance, so a reader can take the intervals at face value rather than mentally discounting them for likely heteroskedasticity. This matters most for the supply elasticity, where the entire substantive question is whether the slope sits above or below one, and where a misstated standard error could place the interval on the wrong side of the threshold. Using the robust estimator removes that ambiguity from the inference and lets the near-proportional finding stand on a defensible variance estimate</w:t>
      </w:r>
      <w:r>
        <w:t xml:space="preserve"> </w:t>
      </w:r>
      <w:hyperlink w:anchor="ref-5">
        <w:r>
          <w:rPr>
            <w:rStyle w:val="Hyperlink"/>
          </w:rPr>
          <w:t xml:space="preserve">[5]</w:t>
        </w:r>
      </w:hyperlink>
      <w:r>
        <w:t xml:space="preserve">.</w:t>
      </w:r>
    </w:p>
    <w:bookmarkEnd w:id="108"/>
    <w:bookmarkStart w:id="109" w:name="provenance-as-a-reproducibility-standard"/>
    <w:p>
      <w:pPr>
        <w:pStyle w:val="Heading2"/>
        <w:spacing w:line="480" w:lineRule="auto"/>
      </w:pPr>
      <w:r>
        <w:t xml:space="preserve">Provenance as a reproducibility standard</w:t>
      </w:r>
    </w:p>
    <w:p>
      <w:pPr>
        <w:pStyle w:val="FirstParagraph"/>
        <w:spacing w:line="480" w:lineRule="auto"/>
      </w:pPr>
      <w:r>
        <w:t xml:space="preserve">Reproducibility is a first-class requirement rather than an afterthought. Every observation in both datasets carries a source string pointing to a publicly retrievable record: a CelesTrak catalog query grouped by launch date on the supply side, and named World Bank indicator codes with a retrieval date on the demand side. Any third party can reconstruct both files from the identifiers alone, refit both estimators, and obtain the same coefficients. That reconstructibility is what converts two modest regressions into evidence a reader can interrogate, and it is the standard against which the results of the next chapters should be read. The governance literature’s concern with undertheorized overprovision is answered, in part, by exactly this kind of auditable measurement, which replaces assertion with a number a regulator or investor could recompute</w:t>
      </w:r>
      <w:r>
        <w:t xml:space="preserve"> </w:t>
      </w:r>
      <w:hyperlink w:anchor="ref-3">
        <w:r>
          <w:rPr>
            <w:rStyle w:val="Hyperlink"/>
          </w:rPr>
          <w:t xml:space="preserve">[3]</w:t>
        </w:r>
      </w:hyperlink>
      <w:r>
        <w:t xml:space="preserve">.</w:t>
      </w:r>
    </w:p>
    <w:bookmarkEnd w:id="109"/>
    <w:bookmarkEnd w:id="110"/>
    <w:bookmarkStart w:id="121" w:name="chapter-5.-data-and-measurement"/>
    <w:p>
      <w:pPr>
        <w:pStyle w:val="Heading1"/>
        <w:spacing w:line="480" w:lineRule="auto"/>
      </w:pPr>
      <w:r>
        <w:t xml:space="preserve">Chapter 5. Data and Measurement</w:t>
      </w:r>
    </w:p>
    <w:p>
      <w:pPr>
        <w:pStyle w:val="FirstParagraph"/>
        <w:spacing w:line="480" w:lineRule="auto"/>
      </w:pPr>
      <w:r>
        <w:t xml:space="preserve">Evidence is only as good as its provenance, and this chapter documents the two datasets in enough detail that a skeptical reader could rebuild them from scratch. Both are constructed entirely from public records with stable identifiers. Neither relies on proprietary subscriber figures, confidential operator disclosures, or any source a third party could not retrieve. That constraint is not a limitation reluctantly accepted; it is a design commitment. A test of overcapacity that depended on private data would be unauditable, and an unauditable test of a contested claim is worth little. What follows is the anatomy of each dataset: what was pulled, how it was shaped, what each variable means, and what each dataset can and cannot measure.</w:t>
      </w:r>
    </w:p>
    <w:bookmarkStart w:id="111" w:name="X8e8889ded03ffbd0b0768dd374f4c830b873273"/>
    <w:p>
      <w:pPr>
        <w:pStyle w:val="Heading2"/>
        <w:spacing w:line="480" w:lineRule="auto"/>
      </w:pPr>
      <w:r>
        <w:t xml:space="preserve">The supply dataset: CelesTrak SATCAT payload records</w:t>
      </w:r>
    </w:p>
    <w:p>
      <w:pPr>
        <w:pStyle w:val="FirstParagraph"/>
        <w:spacing w:line="480" w:lineRule="auto"/>
      </w:pPr>
      <w:r>
        <w:t xml:space="preserve">The supply evidence comes from the CelesTrak Satellite Catalog, queried for Starlink payload records and retrieved on June 27, 2026</w:t>
      </w:r>
      <w:r>
        <w:t xml:space="preserve"> </w:t>
      </w:r>
      <w:hyperlink w:anchor="ref-5">
        <w:r>
          <w:rPr>
            <w:rStyle w:val="Hyperlink"/>
          </w:rPr>
          <w:t xml:space="preserve">[5]</w:t>
        </w:r>
      </w:hyperlink>
      <w:r>
        <w:t xml:space="preserve">. The raw query returns one row per cataloged object, carrying object name, international designator, NORAD catalog identifier, object type, owner, launch date, launch site, decay date where applicable, orbital elements, and status codes. The extract is filtered to payload records, excluding rocket bodies and debris, so that the count reflects satellites rather than launch hardware. Filtered payloads are then grouped by launch date, and each distinct launch date becomes a launch cohort. The unit of analysis is the cohort, not the individual satellite, because the theory concerns the rate at which the payload stock accumulates through discrete launch events.</w:t>
      </w:r>
    </w:p>
    <w:p>
      <w:pPr>
        <w:pStyle w:val="BodyText"/>
        <w:spacing w:line="480" w:lineRule="auto"/>
        <w:ind w:firstLine="720"/>
      </w:pPr>
      <w:r>
        <w:t xml:space="preserve">Forty launch cohorts are retained, spanning the initial operational cohort of 2019-05-24 through the cohort of 2022-02-25. For each cohort the file records six quantities beyond the identifiers: the ordinal cohort sequence beginning at one, the launch date, the payload count in that cohort, the cumulative payloads through that cohort, the surviving payloads with no recorded decay date, the decayed payloads carrying a decay date, and the decay share. The dependent variable for the estimator is cumulative payloads; the predictor is the positive ordinal cohort sequence. Every row carries an identical source string naming the CelesTrak query and the grouping rule, so no observation is illustrative or hand-entered.</w:t>
      </w:r>
    </w:p>
    <w:p>
      <w:pPr>
        <w:pStyle w:val="BodyText"/>
        <w:spacing w:line="480" w:lineRule="auto"/>
        <w:ind w:firstLine="720"/>
      </w:pPr>
      <w:r>
        <w:t xml:space="preserve">The numbers themselves tell a coherent operational story before any model is fit. The early cohorts are uniform batches of sixty payloads, visible in the first several rows where the cumulative total climbs 60, 120, 180, 240, and onward in even steps. Later cohorts show more variation: a ten-payload cohort on 2021-01-24, a three-payload cohort on 2021-06-30, and a seventeen-payload cohort on 2022-02-03 sit among the standard batches, reflecting rideshare configurations and partial launches. By the fortieth cohort the cumulative stock reaches 2,153 cataloged payloads. The decay share falls markedly across the series, from complete decay in the earliest demonstration cohorts to single-digit percentages in the later operational batches, which is consistent with a maturing deployment that placed satellites into more durable operational orbits over time.</w:t>
      </w:r>
    </w:p>
    <w:bookmarkEnd w:id="111"/>
    <w:bookmarkStart w:id="112" w:name="measurement-limits-of-the-supply-data"/>
    <w:p>
      <w:pPr>
        <w:pStyle w:val="Heading2"/>
        <w:spacing w:line="480" w:lineRule="auto"/>
      </w:pPr>
      <w:r>
        <w:t xml:space="preserve">Measurement limits of the supply data</w:t>
      </w:r>
    </w:p>
    <w:p>
      <w:pPr>
        <w:pStyle w:val="FirstParagraph"/>
        <w:spacing w:line="480" w:lineRule="auto"/>
      </w:pPr>
      <w:r>
        <w:t xml:space="preserve">Cataloged payloads are all the catalog measures, and nothing more. This is the central measurement caveat and it governs every interpretation. A cataloged payload is a physical object tracked in a public register. It is not an activated beam, not throughput landed at a gateway, not a licensed service in any country, and not a unit of revenue. The cumulative count does not subtract gateway bottlenecks, spectrum-sharing constraints, terminal availability, or country-level licensing, because those quantities are not in the catalog. The supply dataset therefore isolates exactly one stage of the supply pipeline defined in the theory, the payload-stock stage, and it is honest that later stages determine whether those payloads become sellable capacity</w:t>
      </w:r>
      <w:r>
        <w:t xml:space="preserve"> </w:t>
      </w:r>
      <w:hyperlink w:anchor="ref-2">
        <w:r>
          <w:rPr>
            <w:rStyle w:val="Hyperlink"/>
          </w:rPr>
          <w:t xml:space="preserve">[2]</w:t>
        </w:r>
      </w:hyperlink>
      <w:r>
        <w:t xml:space="preserve">.</w:t>
      </w:r>
    </w:p>
    <w:p>
      <w:pPr>
        <w:pStyle w:val="BodyText"/>
        <w:spacing w:line="480" w:lineRule="auto"/>
        <w:ind w:firstLine="720"/>
      </w:pPr>
      <w:r>
        <w:t xml:space="preserve">A second limit concerns the decay fields. Survival and decay shares are computed as of the retrieval date, so they reflect the cumulative history of each cohort observed at a single snapshot rather than a longitudinal survival curve. They are reported for descriptive completeness and to characterize the operational maturation of the series; they are not the estimated outcome. The estimator uses cumulative cataloged payloads, a monotone series, and the decay statistics serve only to contextualize it. Reading the decay share as a reliability estimate would overstate what a single-snapshot count can support.</w:t>
      </w:r>
    </w:p>
    <w:bookmarkEnd w:id="112"/>
    <w:bookmarkStart w:id="113" w:name="Xba7e5ea65e6278731bb61a312344c6a247e772e"/>
    <w:p>
      <w:pPr>
        <w:pStyle w:val="Heading2"/>
        <w:spacing w:line="480" w:lineRule="auto"/>
      </w:pPr>
      <w:r>
        <w:t xml:space="preserve">The demand dataset: World Bank indicators for forty countries</w:t>
      </w:r>
    </w:p>
    <w:p>
      <w:pPr>
        <w:pStyle w:val="FirstParagraph"/>
        <w:spacing w:line="480" w:lineRule="auto"/>
      </w:pPr>
      <w:r>
        <w:t xml:space="preserve">The demand evidence comes from the World Bank World Development Indicators, queried through the API for the 2023 reference year and retrieved on June 27, 2026</w:t>
      </w:r>
      <w:r>
        <w:t xml:space="preserve"> </w:t>
      </w:r>
      <w:hyperlink w:anchor="ref-8">
        <w:r>
          <w:rPr>
            <w:rStyle w:val="Hyperlink"/>
          </w:rPr>
          <w:t xml:space="preserve">[8]</w:t>
        </w:r>
      </w:hyperlink>
      <w:r>
        <w:t xml:space="preserve">. Three indicators are used. The outcome, the Internet-use gap, is constructed as 100 minus IT.NET.USER.ZS, the percentage of individuals using the Internet, so a country where 8 percent use the Internet has a 92 percent gap. The first predictor, rural population share, is SP.RUR.TOTL.ZS, rural population as a percentage of total population. The second predictor, log GDP per capita, is the natural log of NY.GDP.PCAP.CD, GDP per capita in current U.S. dollars. Every row cites the three indicator codes, the reference year, and the retrieval date.</w:t>
      </w:r>
    </w:p>
    <w:p>
      <w:pPr>
        <w:pStyle w:val="BodyText"/>
        <w:spacing w:line="480" w:lineRule="auto"/>
        <w:ind w:firstLine="720"/>
      </w:pPr>
      <w:r>
        <w:t xml:space="preserve">Forty countries make the sample, those with the largest Internet-use gaps among countries that have all three values available and carry non-aggregate country metadata, which excludes regional and income-group roll-ups that would otherwise contaminate a country-level analysis. The resulting list runs from Burundi, with a 92.8 percent gap, through Lesotho, at 51.0 percent, and is dominated by Sub-Saharan Africa with several South Asian, East Asian and Pacific, and one Latin American and Caribbean case. This is not a random sample of the world and it is not meant to be. It is a demand-stressed sample chosen to represent the countries where the social argument for expanded connectivity is strongest by the gap measure, which makes it the appropriate proving ground for the claim that need and priced demand diverge.</w:t>
      </w:r>
    </w:p>
    <w:bookmarkEnd w:id="113"/>
    <w:bookmarkStart w:id="114" w:name="measurement-limits-of-the-demand-data"/>
    <w:p>
      <w:pPr>
        <w:pStyle w:val="Heading2"/>
        <w:spacing w:line="480" w:lineRule="auto"/>
      </w:pPr>
      <w:r>
        <w:t xml:space="preserve">Measurement limits of the demand data</w:t>
      </w:r>
    </w:p>
    <w:p>
      <w:pPr>
        <w:pStyle w:val="FirstParagraph"/>
        <w:spacing w:line="480" w:lineRule="auto"/>
      </w:pPr>
      <w:r>
        <w:t xml:space="preserve">The demand dataset measures structural conditions, not realized adoption of any operator’s service. It contains no Starlink subscription counts, no terminal prices, no country-level service licenses, and no direct measure of household willingness to pay. It measures the Internet-use gap, rurality, and income, which are proxies for the demand-conversion constraints the theory names, not the constraints themselves. This is why the analysis is careful to speak of a demand-frontier bound rather than a demand estimate: the data can show that the connectivity gap is systematically conditioned by geography and income, which is enough to separate need from demand, but they cannot price the demand that remains</w:t>
      </w:r>
      <w:r>
        <w:t xml:space="preserve"> </w:t>
      </w:r>
      <w:hyperlink w:anchor="ref-9">
        <w:r>
          <w:rPr>
            <w:rStyle w:val="Hyperlink"/>
          </w:rPr>
          <w:t xml:space="preserve">[9]</w:t>
        </w:r>
      </w:hyperlink>
      <w:r>
        <w:t xml:space="preserve">.</w:t>
      </w:r>
    </w:p>
    <w:p>
      <w:pPr>
        <w:pStyle w:val="BodyText"/>
        <w:spacing w:line="480" w:lineRule="auto"/>
        <w:ind w:firstLine="720"/>
      </w:pPr>
      <w:r>
        <w:t xml:space="preserve">Two further caveats bound the reach of the demand data. First, the indicators describe 2023, while the dissertation’s central question reaches 2030, so the demand result is a structural bound observed at one point in time rather than a forecast of the demand frontier’s future position. Second, the omitted variables named in the identification chapter, including education, local prices, regulatory openness, conflict, and electricity access, are absent from the three-indicator specification, so the coefficients describe association within official data rather than isolated causal effects. The dataset is deliberately spare because sparseness is auditable, and it is documented in full so that its silences are as visible as its measurements.</w:t>
      </w:r>
    </w:p>
    <w:bookmarkEnd w:id="114"/>
    <w:bookmarkStart w:id="115" w:name="a-closer-reading-of-the-demand-sample"/>
    <w:p>
      <w:pPr>
        <w:pStyle w:val="Heading2"/>
        <w:spacing w:line="480" w:lineRule="auto"/>
      </w:pPr>
      <w:r>
        <w:t xml:space="preserve">A closer reading of the demand sample</w:t>
      </w:r>
    </w:p>
    <w:p>
      <w:pPr>
        <w:pStyle w:val="FirstParagraph"/>
        <w:spacing w:line="480" w:lineRule="auto"/>
      </w:pPr>
      <w:r>
        <w:t xml:space="preserve">The composition of the forty-country sample repays a closer look, because its structure carries information the regression uses. The sample is overwhelmingly Sub-Saharan African, with Burundi, Uganda, Chad, Niger, and the Central African Republic anchoring the high-gap end at Internet-use rates in the seven-to-fourteen percent range, and with rural shares that frequently exceed seventy or even eighty percent. Papua New Guinea and the Solomon Islands bring East Asian and Pacific cases with the same profile of high rurality and modest income. Bangladesh, Nepal, and Haiti extend the sample into South Asia and the Caribbean at the lower-gap end, where Internet use approaches fifty percent and the gap narrows toward fifty. This spread is what gives the regression its identifying variation: within the sample, rural share ranges from roughly thirty percent to over eighty-four percent, and log GDP per capita ranges from about 5.5 to over 8.2, so the two predictors move enough to estimate their partial associations rather than being pinned to a single value.</w:t>
      </w:r>
    </w:p>
    <w:p>
      <w:pPr>
        <w:pStyle w:val="BodyText"/>
        <w:spacing w:line="480" w:lineRule="auto"/>
        <w:ind w:firstLine="720"/>
      </w:pPr>
      <w:r>
        <w:t xml:space="preserve">The income variation deserves particular note because it is what lets the log form do its work. Angola and Micronesia sit near the top of the sample’s income range while still carrying gaps above sixty percent, whereas Burundi sits at the bottom of the income range with the largest gap. That pattern, high gaps persisting even at the sample’s higher incomes but the very largest gaps concentrated at the lowest incomes, is exactly the diminishing-return structure the logarithmic transformation encodes, and it is visible in the raw rows before any model is fit. The sample is small, forty countries, but it is not degenerate: it contains real spread on both predictors, which is the condition under which a two-variable regression can separate their contributions</w:t>
      </w:r>
      <w:r>
        <w:t xml:space="preserve"> </w:t>
      </w:r>
      <w:hyperlink w:anchor="ref-8">
        <w:r>
          <w:rPr>
            <w:rStyle w:val="Hyperlink"/>
          </w:rPr>
          <w:t xml:space="preserve">[8]</w:t>
        </w:r>
      </w:hyperlink>
      <w:r>
        <w:t xml:space="preserve">.</w:t>
      </w:r>
    </w:p>
    <w:bookmarkEnd w:id="115"/>
    <w:bookmarkStart w:id="116" w:name="Xff1724ef3363c71ce7848376dc64f9e4da4364b"/>
    <w:p>
      <w:pPr>
        <w:pStyle w:val="Heading2"/>
        <w:spacing w:line="480" w:lineRule="auto"/>
      </w:pPr>
      <w:r>
        <w:t xml:space="preserve">What the payload counts reveal about launch strategy</w:t>
      </w:r>
    </w:p>
    <w:p>
      <w:pPr>
        <w:pStyle w:val="FirstParagraph"/>
        <w:spacing w:line="480" w:lineRule="auto"/>
      </w:pPr>
      <w:r>
        <w:t xml:space="preserve">The per-cohort payload counts, though not the estimator’s outcome, carry a legible history of how the deployment was executed, and reading them adds texture to the supply frontier. The dominant pattern is the sixty-payload batch, which appears in the great majority of the early cohorts and reflects a standardized launch configuration repeated with machine-like regularity. Deviations from that pattern are informative rather than noise. The ten-payload cohort of 2021-01-24 and the three-payload cohort of 2021-06-30 signal rideshare launches on which Starlink payloads shared the vehicle with other customers, while the seventeen-payload cohort of 2022-02-03 and the several fifty-something cohorts in late 2021 reflect the transition toward heavier satellites that reduced the count per launch even as total mass rose. The cumulative curve absorbs all of this variation and still fits a near-proportional elasticity, which is itself a finding: the accumulation shape is robust to the batch-size variation that the raw counts display.</w:t>
      </w:r>
    </w:p>
    <w:p>
      <w:pPr>
        <w:pStyle w:val="BodyText"/>
        <w:spacing w:line="480" w:lineRule="auto"/>
        <w:ind w:firstLine="720"/>
      </w:pPr>
      <w:r>
        <w:t xml:space="preserve">This robustness matters for how the supply frontier should be understood. An operator can vary its per-launch payload count considerably, for rideshare economics, for satellite-generation transitions, for launch-vehicle availability, without disturbing the proportional shape of the cumulative accumulation, so long as the cadence of launches remains high. The supply frontier’s shape is therefore a property of the sustained launch program rather than of any single launch configuration, which is exactly why the learning-curve elasticity is a more stable descriptor of the frontier than the volatile per-cohort count would be</w:t>
      </w:r>
      <w:r>
        <w:t xml:space="preserve"> </w:t>
      </w:r>
      <w:hyperlink w:anchor="ref-5">
        <w:r>
          <w:rPr>
            <w:rStyle w:val="Hyperlink"/>
          </w:rPr>
          <w:t xml:space="preserve">[5]</w:t>
        </w:r>
      </w:hyperlink>
      <w:r>
        <w:t xml:space="preserve">.</w:t>
      </w:r>
    </w:p>
    <w:bookmarkEnd w:id="116"/>
    <w:bookmarkStart w:id="117" w:name="X9aa69a4d7b19f5a2cd8e99eb1d50c6abe4d5d51"/>
    <w:p>
      <w:pPr>
        <w:pStyle w:val="Heading2"/>
        <w:spacing w:line="480" w:lineRule="auto"/>
      </w:pPr>
      <w:r>
        <w:t xml:space="preserve">Units, transformations, and the common measurement discipline</w:t>
      </w:r>
    </w:p>
    <w:p>
      <w:pPr>
        <w:pStyle w:val="FirstParagraph"/>
        <w:spacing w:line="480" w:lineRule="auto"/>
      </w:pPr>
      <w:r>
        <w:t xml:space="preserve">Both datasets required transformations, and documenting them is part of provenance. On the supply side, cumulative payloads are the running sum of per-cohort payload counts, and the estimator operates on the natural logarithm of that cumulative series against the natural logarithm of the ordinal cohort sequence. No smoothing, detrending, or seasonal adjustment is applied; the cumulative series is used as the catalog records it. On the demand side, the outcome is a simple arithmetic complement, 100 minus the Internet-use percentage, so its units are percentage points of the population offline. Rural share is already a percentage. Income enters as the natural logarithm of current-dollar GDP per capita, the only nonlinear transformation on the demand side, chosen for the diminishing-return reason set out in the identification chapter.</w:t>
      </w:r>
    </w:p>
    <w:p>
      <w:pPr>
        <w:pStyle w:val="BodyText"/>
        <w:spacing w:line="480" w:lineRule="auto"/>
        <w:ind w:firstLine="720"/>
      </w:pPr>
      <w:r>
        <w:t xml:space="preserve">The two datasets share one measurement discipline that unifies them despite their different subjects: every analytic quantity is a documented function of a named public field, with no hand-entered or interpolated values anywhere in either file. This is what allows the datasets to be checked rather than trusted. A reviewer can pull the same CelesTrak query, apply the same payload filter and launch-date grouping, and reproduce the cumulative series; or pull the same three World Bank indicator codes for 2023, apply the same top-forty-gap selection, and reproduce the country panel. The measurement discipline is not decoration. It is the mechanism by which two modest datasets become auditable evidence, and it directly answers the governance literature’s complaint that overprovision risk is asserted more often than it is measured</w:t>
      </w:r>
      <w:r>
        <w:t xml:space="preserve"> </w:t>
      </w:r>
      <w:hyperlink w:anchor="ref-4">
        <w:r>
          <w:rPr>
            <w:rStyle w:val="Hyperlink"/>
          </w:rPr>
          <w:t xml:space="preserve">[4]</w:t>
        </w:r>
      </w:hyperlink>
      <w:r>
        <w:t xml:space="preserve">.</w:t>
      </w:r>
    </w:p>
    <w:bookmarkEnd w:id="117"/>
    <w:bookmarkStart w:id="118" w:name="X347b6d13e5c6e5f1255da84f5ac3e898230e95c"/>
    <w:p>
      <w:pPr>
        <w:pStyle w:val="Heading2"/>
        <w:spacing w:line="480" w:lineRule="auto"/>
      </w:pPr>
      <w:r>
        <w:t xml:space="preserve">Provenance, joinability, and the data the dissertation lacks</w:t>
      </w:r>
    </w:p>
    <w:p>
      <w:pPr>
        <w:pStyle w:val="FirstParagraph"/>
        <w:spacing w:line="480" w:lineRule="auto"/>
      </w:pPr>
      <w:r>
        <w:t xml:space="preserve">Both datasets satisfy a strict reconstructibility standard. The supply file is regenerable from a single named CelesTrak query plus the stated payload filter and launch-date grouping rule. The demand file is regenerable from three named World Bank indicator codes, a reference year, and the top-forty-gap selection rule. No hand-curation, no interpolation, and no imputation intervene between the public source and the analytic file. Every number traces to a query. This is the provenance discipline the space-economy governance literature implicitly demands when it complains that overprovision is undertheorized: the remedy for an undertheorized risk is measurement a regulator can recompute</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18"/>
    <w:bookmarkStart w:id="119" w:name="Xd490d7887a23120e28d5c6aca12aa53e345b9d1"/>
    <w:p>
      <w:pPr>
        <w:pStyle w:val="Heading2"/>
        <w:spacing w:line="480" w:lineRule="auto"/>
      </w:pPr>
      <w:r>
        <w:t xml:space="preserve">The decay fields as an operational signal</w:t>
      </w:r>
    </w:p>
    <w:p>
      <w:pPr>
        <w:pStyle w:val="FirstParagraph"/>
        <w:spacing w:line="480" w:lineRule="auto"/>
      </w:pPr>
      <w:r>
        <w:t xml:space="preserve">The supply dataset carries a secondary variable worth reading even though it is not the estimator’s outcome: the decay share, the fraction of each cohort with a recorded decay date by the retrieval snapshot. Its trajectory across the forty cohorts tells an operational story that contextualizes the payload accumulation. The earliest cohorts show high decay shares, complete in the very first cohort and above seventy percent in several early ones, consistent with a program that placed demonstration and early-operational satellites into orbits from which many quickly reentered. By the later cohorts the decay share falls into the single digits and low tens of percent, with the thirty-fourth cohort of 2021-12-02 showing a decay share near six percent. The pattern is what one would expect from a deployment maturing from experimentation toward durable operational orbits.</w:t>
      </w:r>
    </w:p>
    <w:p>
      <w:pPr>
        <w:pStyle w:val="BodyText"/>
        <w:spacing w:line="480" w:lineRule="auto"/>
        <w:ind w:firstLine="720"/>
      </w:pPr>
      <w:r>
        <w:t xml:space="preserve">This maturation matters to the interpretation of the supply frontier because it suggests that later cataloged payloads were more likely to persist as usable assets than earlier ones. A cataloged payload that decays shortly after launch contributes to the cumulative count but not to sustained deliverable capacity, so a naive reading of the cumulative series in its earliest reaches would overstate the durable stock. The estimator sidesteps this because it measures the shape of accumulation rather than the durable in-service count, but the decay signal is a reminder that even the cataloged-payload measure has internal structure, and that a fuller capacity model would need to net out attrition rather than reading the cumulative total at face value</w:t>
      </w:r>
      <w:r>
        <w:t xml:space="preserve"> </w:t>
      </w:r>
      <w:hyperlink w:anchor="ref-5">
        <w:r>
          <w:rPr>
            <w:rStyle w:val="Hyperlink"/>
          </w:rPr>
          <w:t xml:space="preserve">[5]</w:t>
        </w:r>
      </w:hyperlink>
      <w:r>
        <w:t xml:space="preserve">.</w:t>
      </w:r>
    </w:p>
    <w:bookmarkEnd w:id="119"/>
    <w:bookmarkStart w:id="120" w:name="why-2023-and-forty-cohorts"/>
    <w:p>
      <w:pPr>
        <w:pStyle w:val="Heading2"/>
        <w:spacing w:line="480" w:lineRule="auto"/>
      </w:pPr>
      <w:r>
        <w:t xml:space="preserve">Why 2023 and forty cohorts</w:t>
      </w:r>
    </w:p>
    <w:p>
      <w:pPr>
        <w:pStyle w:val="FirstParagraph"/>
        <w:spacing w:line="480" w:lineRule="auto"/>
      </w:pPr>
      <w:r>
        <w:t xml:space="preserve">Two sampling choices deserve explicit justification because a skeptical reader will ask about them. The demand dataset uses 2023 because it was the most recent year with complete coverage across all three World Bank indicators for the countries of interest at retrieval, and using a single consistent year avoids the interpolation and vintage-mixing that a multi-year panel would introduce. A single cross-section is the honest unit for a structural bound: it measures the conditioning of the connectivity gap by income and geography at one well-defined moment, rather than blending years with different data quality and different underlying conditions. The cost is that it cannot speak to change over time, which the limitations discussion accepts openly.</w:t>
      </w:r>
    </w:p>
    <w:p>
      <w:pPr>
        <w:pStyle w:val="BodyText"/>
        <w:spacing w:line="480" w:lineRule="auto"/>
        <w:ind w:firstLine="720"/>
      </w:pPr>
      <w:r>
        <w:t xml:space="preserve">The supply dataset uses the first forty launch cohorts because that window captures the early deployment phase, from the inaugural 2019 cohort through early 2022, during which the learning-curve question, whether the frontier accelerated during ramp-up, is most meaningful. Extending the window indefinitely would eventually mix in second-generation satellites and changed launch strategies that belong to a different regime, blurring the clean early-deployment measurement. Forty cohorts is enough to estimate a tightly bounded elasticity, as the results confirm, while staying within a coherent operational era. Both sampling choices trade breadth for cleanliness, and both are documented so that a reviewer can extend either window and observe how the estimates move</w:t>
      </w:r>
      <w:r>
        <w:t xml:space="preserve"> </w:t>
      </w:r>
      <w:hyperlink w:anchor="ref-8">
        <w:r>
          <w:rPr>
            <w:rStyle w:val="Hyperlink"/>
          </w:rPr>
          <w:t xml:space="preserve">[8]</w:t>
        </w:r>
      </w:hyperlink>
      <w:r>
        <w:t xml:space="preserve">.</w:t>
      </w:r>
    </w:p>
    <w:p>
      <w:pPr>
        <w:pStyle w:val="BodyText"/>
        <w:spacing w:line="480" w:lineRule="auto"/>
        <w:ind w:firstLine="720"/>
      </w:pPr>
      <w:r>
        <w:t xml:space="preserve">The chapter closes by naming what the two datasets together cannot yet join, because that absence defines the frontier of the contribution. The supply data live at the level of one operator’s launch cohorts; the demand data live at the level of country-year connectivity conditions. There is no shared key that would let a payload stock be matched to a priced national demand, because the intervening layers, gateway throughput by geography, spectrum rights by country, terminal distribution, and segment-level pricing, are not in either public source. The dissertation measures the two frontiers separately and with integrity, and it marks the join as the most valuable missing observation rather than fabricating it. The staged-deployment literature’s treatment of decisions under demand uncertainty is the honest analogue: build and measure what the information supports, and hold the rest as an option, not an assumption</w:t>
      </w:r>
      <w:r>
        <w:t xml:space="preserve"> </w:t>
      </w:r>
      <w:hyperlink w:anchor="ref-6">
        <w:r>
          <w:rPr>
            <w:rStyle w:val="Hyperlink"/>
          </w:rPr>
          <w:t xml:space="preserve">[6]</w:t>
        </w:r>
      </w:hyperlink>
      <w:r>
        <w:t xml:space="preserve">.</w:t>
      </w:r>
    </w:p>
    <w:bookmarkEnd w:id="120"/>
    <w:bookmarkEnd w:id="121"/>
    <w:bookmarkStart w:id="133" w:name="chapter-6.-results"/>
    <w:p>
      <w:pPr>
        <w:pStyle w:val="Heading1"/>
        <w:spacing w:line="480" w:lineRule="auto"/>
      </w:pPr>
      <w:r>
        <w:t xml:space="preserve">Chapter 6. Results</w:t>
      </w:r>
    </w:p>
    <w:p>
      <w:pPr>
        <w:pStyle w:val="FirstParagraph"/>
        <w:spacing w:line="480" w:lineRule="auto"/>
      </w:pPr>
      <w:r>
        <w:t xml:space="preserve">The two estimators return results that are asymmetric in an instructive way. One rejects its own alternative hypothesis; the other confirms its own. The supply learning curve looks for acceleration and does not find it, delivering instead a precise near-proportional scaling. The demand regression looks for an income-and-geography conditioning of connectivity need and finds it strongly. This chapter reports both sets of estimates exactly as the analysis produced them, with coefficients, standard errors, p-values, confidence intervals, and sample sizes, and then interprets the signs and magnitudes. No number here is rounded away from what the underlying analysis reported, and no result is presented more favorably than the estimator warrants.</w:t>
      </w:r>
    </w:p>
    <w:bookmarkStart w:id="122" w:name="Xaf619d7cecc17f66a34459a9e642276058d70af"/>
    <w:p>
      <w:pPr>
        <w:pStyle w:val="Heading2"/>
        <w:spacing w:line="480" w:lineRule="auto"/>
      </w:pPr>
      <w:r>
        <w:t xml:space="preserve">Supply results: the Starlink learning curve</w:t>
      </w:r>
    </w:p>
    <w:p>
      <w:pPr>
        <w:pStyle w:val="FirstParagraph"/>
        <w:spacing w:line="480" w:lineRule="auto"/>
      </w:pPr>
      <w:r>
        <w:t xml:space="preserve">Start with supply. That model is fit on all forty launch cohorts. It reports an R-squared of 0.9994, an extraordinarily tight fit that reflects the mechanical regularity of a cumulative series regressed on its own ordinal sequence. The intercept is 4.1405, with a robust standard error of 0.0159 and a p-value reported as 0.0. The slope, which is the elasticity of central interest, is 0.9699, with a robust standard error of 0.0056 and a p-value reported as 0.0. The 95 percent confidence interval for the slope runs from 0.9590 to 0.9809. The doubling multiplier, two raised to the slope, is 1.9587.</w:t>
      </w:r>
    </w:p>
    <w:p>
      <w:pPr>
        <w:pStyle w:val="BodyText"/>
        <w:spacing w:line="480" w:lineRule="auto"/>
        <w:ind w:firstLine="720"/>
      </w:pPr>
      <w:r>
        <w:t xml:space="preserve">Read the slope against one. It falls short. The estimate is 0.9699, and its entire confidence interval, 0.9590 to 0.9809, lies below one. The evidence therefore does not support the stated alternative of superlinear cumulative scaling. The null of linear-or-less scaling is not rejected; it is affirmed with unusual precision. Across the first forty Starlink launch cohorts, cumulative cataloged payloads scaled almost exactly proportionally with cohort count, and if anything slightly below proportionally. A doubling of the number of launch cohorts was associated with 1.9587 times as many cataloged payloads, close to but short of a true doubling.</w:t>
      </w:r>
    </w:p>
    <w:p>
      <w:pPr>
        <w:pStyle w:val="BodyText"/>
        <w:spacing w:line="480" w:lineRule="auto"/>
        <w:ind w:firstLine="720"/>
      </w:pPr>
      <w:r>
        <w:t xml:space="preserve">The magnitude deserves plain-language interpretation. An elasticity of 0.9699 means the early supply frontier was neither accelerating nor meaningfully decelerating; it was a steady-batch accumulation. The physical mechanism visible in the data supports this reading. The early cohorts were uniform sixty-payload batches, and the later cohorts, while more variable in size, did not trend systematically upward in payloads per launch. The result is a supply curve that rises fast in absolute terms while holding a nearly constant elasticity, which is exactly what a repeatable manufacturing-and-launch process produces. The extreme R-squared of 0.9994 confirms that cohort sequence alone explains essentially all of the variation in the cumulative stock, as the accumulation mechanism predicts.</w:t>
      </w:r>
    </w:p>
    <w:bookmarkEnd w:id="122"/>
    <w:bookmarkStart w:id="123" w:name="X5c2be26e57917259727f37c13bde227413591a7"/>
    <w:p>
      <w:pPr>
        <w:pStyle w:val="Heading2"/>
        <w:spacing w:line="480" w:lineRule="auto"/>
      </w:pPr>
      <w:r>
        <w:t xml:space="preserve">What the supply result does and does not establish</w:t>
      </w:r>
    </w:p>
    <w:p>
      <w:pPr>
        <w:pStyle w:val="FirstParagraph"/>
        <w:spacing w:line="480" w:lineRule="auto"/>
      </w:pPr>
      <w:r>
        <w:t xml:space="preserve">This finding narrows the supply mechanism rather than dismissing supply pressure. A near-proportional cumulative curve can still generate very rapid absolute growth when launch cadence is high, and the forty cohorts did in fact carry the stock from sixty payloads to 2,153. The failure to find superlinear scaling does not remove overcapacity risk; it locates the risk in the level and pace of the batches rather than in an accelerating trend. An analyst hunting only for acceleration would have missed the real dynamic, which is that a proportional elasticity applied to a high launch frequency fills the sky quickly. The supply result thus refines the theory’s first prediction: the early frontier grew through repeatable large batches, not through a rising payloads-per-cohort trajectory</w:t>
      </w:r>
      <w:r>
        <w:t xml:space="preserve"> </w:t>
      </w:r>
      <w:hyperlink w:anchor="ref-5">
        <w:r>
          <w:rPr>
            <w:rStyle w:val="Hyperlink"/>
          </w:rPr>
          <w:t xml:space="preserve">[5]</w:t>
        </w:r>
      </w:hyperlink>
      <w:r>
        <w:t xml:space="preserve">.</w:t>
      </w:r>
    </w:p>
    <w:p>
      <w:pPr>
        <w:pStyle w:val="BodyText"/>
        <w:spacing w:line="480" w:lineRule="auto"/>
        <w:ind w:firstLine="720"/>
      </w:pPr>
      <w:r>
        <w:t xml:space="preserve">The result is equally clear about its own boundaries. The elasticity is calculated on cataloged payloads, not on throughput, not on active beams, and not on licensed country service. A cohort can add physical assets while gateways, terminals, and regulatory permissions determine whether those assets become revenue-producing capacity. That distinction is the hinge of the whole dissertation, and the supply estimator respects it by refusing to speak beyond the payload stock. The engineering literature reinforces the boundary, since deliverable throughput depends on architecture and ground segment rather than on payload count alone</w:t>
      </w:r>
      <w:r>
        <w:t xml:space="preserve"> </w:t>
      </w:r>
      <w:hyperlink w:anchor="ref-2">
        <w:r>
          <w:rPr>
            <w:rStyle w:val="Hyperlink"/>
          </w:rPr>
          <w:t xml:space="preserve">[2]</w:t>
        </w:r>
      </w:hyperlink>
      <w:r>
        <w:t xml:space="preserve">, and the demand-aware profiling literature shows that even usable capacity depends on where demand sits</w:t>
      </w:r>
      <w:r>
        <w:t xml:space="preserve"> </w:t>
      </w:r>
      <w:hyperlink w:anchor="ref-7">
        <w:r>
          <w:rPr>
            <w:rStyle w:val="Hyperlink"/>
          </w:rPr>
          <w:t xml:space="preserve">[7]</w:t>
        </w:r>
      </w:hyperlink>
      <w:r>
        <w:t xml:space="preserve">.</w:t>
      </w:r>
    </w:p>
    <w:bookmarkEnd w:id="123"/>
    <w:bookmarkStart w:id="124" w:name="Xc0e00dc8f4ceb42b99113a26a1f9681cb8fdf28"/>
    <w:p>
      <w:pPr>
        <w:pStyle w:val="Heading2"/>
        <w:spacing w:line="480" w:lineRule="auto"/>
      </w:pPr>
      <w:r>
        <w:t xml:space="preserve">Demand results: the cross-country regression</w:t>
      </w:r>
    </w:p>
    <w:p>
      <w:pPr>
        <w:pStyle w:val="FirstParagraph"/>
        <w:spacing w:line="480" w:lineRule="auto"/>
      </w:pPr>
      <w:r>
        <w:t xml:space="preserve">Turn now to demand. That model is fit on forty countries. It reports an R-squared of 0.6189 and an adjusted R-squared of 0.5983. The joint F statistic is 46.6268 with a p-value of 7.7290e-11, so the regression as a whole is significant far beyond conventional thresholds. The intercept is 115.2408, with a robust standard error of 15.4279 and a p-value of 8.0424e-14.</w:t>
      </w:r>
    </w:p>
    <w:p>
      <w:pPr>
        <w:pStyle w:val="BodyText"/>
        <w:spacing w:line="480" w:lineRule="auto"/>
        <w:ind w:firstLine="720"/>
      </w:pPr>
      <w:r>
        <w:t xml:space="preserve">The rural population coefficient is 0.3973. Its robust standard error is 0.0852, its p-value is 0.0000030807, and its 95 percent confidence interval runs from 0.2304 to 0.5642. Conditional on logged income, a one percentage-point higher rural population share is associated with a 0.3973 percentage-point larger Internet-use gap. The sign is positive as the theory predicted, and the interval excludes zero comfortably. Rurality identifies harder-to-serve geography, and within this demand-stressed sample it moves the connectivity gap upward by a margin that is statistically unambiguous.</w:t>
      </w:r>
    </w:p>
    <w:p>
      <w:pPr>
        <w:pStyle w:val="BodyText"/>
        <w:spacing w:line="480" w:lineRule="auto"/>
        <w:ind w:firstLine="720"/>
      </w:pPr>
      <w:r>
        <w:t xml:space="preserve">The log GDP per capita coefficient is -9.7131. Its robust standard error is 1.7622, its p-value is 0.0000000355, and its 95 percent confidence interval runs from -13.1670 to -6.2591. Conditional on rural share, higher income is associated with a smaller Internet-use gap. The magnitude is substantial: because the predictor is logged, the coefficient implies that a one-unit increase in log income, roughly a 2.7-fold rise in GDP per capita, is associated with a 9.7 percentage-point narrowing of the gap. The negative sign and the tight interval together identify income as the absorption constraint the theory named</w:t>
      </w:r>
      <w:r>
        <w:t xml:space="preserve"> </w:t>
      </w:r>
      <w:hyperlink w:anchor="ref-9">
        <w:r>
          <w:rPr>
            <w:rStyle w:val="Hyperlink"/>
          </w:rPr>
          <w:t xml:space="preserve">[9]</w:t>
        </w:r>
      </w:hyperlink>
      <w:r>
        <w:t xml:space="preserve">.</w:t>
      </w:r>
    </w:p>
    <w:bookmarkEnd w:id="124"/>
    <w:bookmarkStart w:id="125" w:name="X7d15b48635b968d24c3fff48a89872e10f629e5"/>
    <w:p>
      <w:pPr>
        <w:pStyle w:val="Heading2"/>
        <w:spacing w:line="480" w:lineRule="auto"/>
      </w:pPr>
      <w:r>
        <w:t xml:space="preserve">Placing the coefficients on real countries</w:t>
      </w:r>
    </w:p>
    <w:p>
      <w:pPr>
        <w:pStyle w:val="FirstParagraph"/>
        <w:spacing w:line="480" w:lineRule="auto"/>
      </w:pPr>
      <w:r>
        <w:t xml:space="preserve">The demand coefficients acquire meaning when applied to the actual countries in the sample. Take two contrasting cases from the data. Burundi carries the largest gap at 92.8 percent, with a rural share above seventy-six percent and the sample’s lowest income, a log GDP per capita of about 5.52. Angola sits far higher in income, with a log GDP per capita near 7.98, yet still carries a gap above sixty-two percent despite a much lower rural share near thirty percent. The regression reconciles these by attributing part of Burundi’s extreme gap to its very low income through the -9.7131 income coefficient and part to its high rurality through the 0.3973 rural coefficient, while Angola’s higher income pulls its predicted gap down even though it remains substantial. The coefficients are not abstractions; they are the weights that make sense of why these particular countries sit where they do.</w:t>
      </w:r>
    </w:p>
    <w:p>
      <w:pPr>
        <w:pStyle w:val="BodyText"/>
        <w:spacing w:line="480" w:lineRule="auto"/>
        <w:ind w:firstLine="720"/>
      </w:pPr>
      <w:r>
        <w:t xml:space="preserve">The contrast also illustrates why neither predictor alone would suffice. A model with only rurality would misread Angola, whose modest rural share would predict a small gap that the data contradict, because Angola’s gap is driven more by income and other factors than by rural geography. A model with only income would misread the high-rurality, moderate-income Pacific cases such as Papua New Guinea, whose gap owes much to its eighty-five percent rural share. The two-variable specification earns its structure precisely because the sample contains countries where rurality and income pull in different directions, and separating their contributions is what the partial coefficients accomplish</w:t>
      </w:r>
      <w:r>
        <w:t xml:space="preserve"> </w:t>
      </w:r>
      <w:hyperlink w:anchor="ref-8">
        <w:r>
          <w:rPr>
            <w:rStyle w:val="Hyperlink"/>
          </w:rPr>
          <w:t xml:space="preserve">[8]</w:t>
        </w:r>
      </w:hyperlink>
      <w:r>
        <w:t xml:space="preserve">.</w:t>
      </w:r>
    </w:p>
    <w:bookmarkEnd w:id="125"/>
    <w:bookmarkStart w:id="126" w:name="interpreting-the-demand-magnitudes"/>
    <w:p>
      <w:pPr>
        <w:pStyle w:val="Heading2"/>
        <w:spacing w:line="480" w:lineRule="auto"/>
      </w:pPr>
      <w:r>
        <w:t xml:space="preserve">Interpreting the demand magnitudes</w:t>
      </w:r>
    </w:p>
    <w:p>
      <w:pPr>
        <w:pStyle w:val="FirstParagraph"/>
        <w:spacing w:line="480" w:lineRule="auto"/>
      </w:pPr>
      <w:r>
        <w:t xml:space="preserve">Both demand coefficients support the alternative hypothesis, and their joint reading is where the demand frontier acquires shape. Rurality and income are not competing explanations; they operate together. A country can carry a large connectivity gap because it is rural, because it is poor, or, as is typical in this sample, because it is both, and the regression separates the two channels while confirming that each is real. The high intercept of 115.2408 is not a substantive quantity to interpret on its own, since it represents the fitted gap at zero rurality and zero log income, a point far outside the data; it exists to let the slopes carry the interpretation, which they do.</w:t>
      </w:r>
    </w:p>
    <w:p>
      <w:pPr>
        <w:pStyle w:val="BodyText"/>
        <w:spacing w:line="480" w:lineRule="auto"/>
        <w:ind w:firstLine="720"/>
      </w:pPr>
      <w:r>
        <w:t xml:space="preserve">The result establishes the theoretical claim it was built to test: nominal connectivity need is not equivalent to immediately monetizable demand. Even inside a sample selected for the largest Internet-use gaps, the income constraint is strong and precise, which is the adversarial confirmation the identification chapter promised. The countries with the greatest apparent need are not uncovered rich markets awaiting a signal; they are places where geography and poverty move together and make demand conversion difficult. A capacity-glut model that added every offline person to the near-term addressable market at full price would therefore overstate absorption, and the regression quantifies exactly how the two structural constraints bend that market downward</w:t>
      </w:r>
      <w:r>
        <w:t xml:space="preserve"> </w:t>
      </w:r>
      <w:hyperlink w:anchor="ref-8">
        <w:r>
          <w:rPr>
            <w:rStyle w:val="Hyperlink"/>
          </w:rPr>
          <w:t xml:space="preserve">[8]</w:t>
        </w:r>
      </w:hyperlink>
      <w:r>
        <w:t xml:space="preserve">.</w:t>
      </w:r>
    </w:p>
    <w:bookmarkEnd w:id="126"/>
    <w:bookmarkStart w:id="127" w:name="Xd14df01d94743f558375edb042d2a5f5ef81ddf"/>
    <w:p>
      <w:pPr>
        <w:pStyle w:val="Heading2"/>
        <w:spacing w:line="480" w:lineRule="auto"/>
      </w:pPr>
      <w:r>
        <w:t xml:space="preserve">The precision of the supply estimate in context</w:t>
      </w:r>
    </w:p>
    <w:p>
      <w:pPr>
        <w:pStyle w:val="FirstParagraph"/>
        <w:spacing w:line="480" w:lineRule="auto"/>
      </w:pPr>
      <w:r>
        <w:t xml:space="preserve">The tightness of the supply slope warrants comment because it is unusual and because it could be misread. A robust standard error of 0.0056 on an elasticity of 0.9699 gives a confidence interval barely two hundredths wide, from 0.9590 to 0.9809. In most econometric settings an interval that narrow would be remarkable; here it is expected, and the reason is instructive. The outcome is a cumulative series regressed on its own ordinal index, so the relationship is close to deterministic by construction, and the residual variation the standard error captures is small. The precision is therefore real but it is precision about a descriptive shape, not about a causal magnitude. The correct reading is that the near-proportional elasticity is measured with almost no ambiguity, so any claim that the early frontier accelerated can be rejected with confidence, while no causal claim is licensed by the precision at all.</w:t>
      </w:r>
    </w:p>
    <w:p>
      <w:pPr>
        <w:pStyle w:val="BodyText"/>
        <w:spacing w:line="480" w:lineRule="auto"/>
        <w:ind w:firstLine="720"/>
      </w:pPr>
      <w:r>
        <w:t xml:space="preserve">The doubling multiplier of 1.9587 translates the abstract elasticity into a quantity an operator or regulator can feel. When the number of launch cohorts doubled, the cumulative cataloged payload stock rose by a factor of 1.9587, just short of doubling itself. Across the observed range that compounds into the growth the raw data show: from 60 payloads after one cohort to 2,153 after forty. The gap between 1.9587 and a clean 2.0 is the numerical signature of the slightly sub-proportional elasticity, and it is small enough to have no practical consequence for the pace of absolute growth while being large enough, relative to the standard error, to place the frontier firmly on the non-accelerating side of the hypothesis boundary</w:t>
      </w:r>
      <w:r>
        <w:t xml:space="preserve"> </w:t>
      </w:r>
      <w:hyperlink w:anchor="ref-5">
        <w:r>
          <w:rPr>
            <w:rStyle w:val="Hyperlink"/>
          </w:rPr>
          <w:t xml:space="preserve">[5]</w:t>
        </w:r>
      </w:hyperlink>
      <w:r>
        <w:t xml:space="preserve">.</w:t>
      </w:r>
    </w:p>
    <w:bookmarkEnd w:id="127"/>
    <w:bookmarkStart w:id="128" w:name="the-intercept-and-its-non-interpretation"/>
    <w:p>
      <w:pPr>
        <w:pStyle w:val="Heading2"/>
        <w:spacing w:line="480" w:lineRule="auto"/>
      </w:pPr>
      <w:r>
        <w:t xml:space="preserve">The intercept and its non-interpretation</w:t>
      </w:r>
    </w:p>
    <w:p>
      <w:pPr>
        <w:pStyle w:val="FirstParagraph"/>
        <w:spacing w:line="480" w:lineRule="auto"/>
      </w:pPr>
      <w:r>
        <w:t xml:space="preserve">Both models report intercepts that should be handled with care, and the results are explicit about it to forestall misreading. The supply intercept of 4.1405, with its robust standard error of 0.0159, is the fitted log cumulative payload at log cohort sequence zero, which is cohort one, so exponentiated it recovers a value near the first cohort’s payload count and functions as the anchor of the fitted line rather than a quantity of independent interest. The demand intercept of 115.2408, with its robust standard error of 15.4279, is the fitted connectivity gap at zero rurality and zero log income, a combination that lies far outside any real country and would imply a gap exceeding one hundred percent, which is impossible in reality. Its role is purely to position the regression plane so the slopes are correctly estimated over the region where the data actually live.</w:t>
      </w:r>
    </w:p>
    <w:p>
      <w:pPr>
        <w:pStyle w:val="BodyText"/>
        <w:spacing w:line="480" w:lineRule="auto"/>
        <w:ind w:firstLine="720"/>
      </w:pPr>
      <w:r>
        <w:t xml:space="preserve">Reporting these intercepts precisely, while declining to interpret them substantively, is part of the honesty the results chapter practices. An intercept outside the support of the data is a normal feature of a linear model, not a defect, and the correct response is to let the slopes carry the meaning while acknowledging that the constant term is an extrapolation artifact. The very large demand intercept, in particular, is a reminder that the model is a local linear approximation valid across the sample’s range, not a global law extending to hypothetical zero-income countries</w:t>
      </w:r>
      <w:r>
        <w:t xml:space="preserve"> </w:t>
      </w:r>
      <w:hyperlink w:anchor="ref-8">
        <w:r>
          <w:rPr>
            <w:rStyle w:val="Hyperlink"/>
          </w:rPr>
          <w:t xml:space="preserve">[8]</w:t>
        </w:r>
      </w:hyperlink>
      <w:r>
        <w:t xml:space="preserve">.</w:t>
      </w:r>
    </w:p>
    <w:bookmarkEnd w:id="128"/>
    <w:bookmarkStart w:id="129" w:name="X2d3fe6e01f248658fedf24e758c2d89c47e1106"/>
    <w:p>
      <w:pPr>
        <w:pStyle w:val="Heading2"/>
        <w:spacing w:line="480" w:lineRule="auto"/>
      </w:pPr>
      <w:r>
        <w:t xml:space="preserve">The joint significance and residual variation of the demand model</w:t>
      </w:r>
    </w:p>
    <w:p>
      <w:pPr>
        <w:pStyle w:val="FirstParagraph"/>
        <w:spacing w:line="480" w:lineRule="auto"/>
      </w:pPr>
      <w:r>
        <w:t xml:space="preserve">The demand model’s joint F statistic of 46.6268, with a p-value of 7.7290e-11, establishes that the two predictors together explain the connectivity gap far beyond what chance would produce, and the adjusted R-squared of 0.5983 confirms that the explanatory power survives the penalty for the model’s two parameters. These are strong numbers for a two-variable cross-country regression on forty observations. They are not, and should not be read as, evidence that the model is complete. The R-squared of 0.6189 leaves roughly thirty-eight percent of the cross-country variation in the gap unexplained, and that residual is where the omitted variables named in the identification chapter, education, prices, regulatory openness, conflict, and electricity access, exert their influence</w:t>
      </w:r>
      <w:r>
        <w:t xml:space="preserve"> </w:t>
      </w:r>
      <w:hyperlink w:anchor="ref-9">
        <w:r>
          <w:rPr>
            <w:rStyle w:val="Hyperlink"/>
          </w:rPr>
          <w:t xml:space="preserve">[9]</w:t>
        </w:r>
      </w:hyperlink>
      <w:r>
        <w:t xml:space="preserve">.</w:t>
      </w:r>
    </w:p>
    <w:p>
      <w:pPr>
        <w:pStyle w:val="BodyText"/>
        <w:spacing w:line="480" w:lineRule="auto"/>
        <w:ind w:firstLine="720"/>
      </w:pPr>
      <w:r>
        <w:t xml:space="preserve">The residual variation is substantively meaningful rather than mere noise, and reading it honestly strengthens the argument rather than weakening it. If rurality and income explained the entire gap, the demand frontier would be fully determined by two structural variables, and conversion would be almost mechanical. The presence of substantial residual variation says instead that conversion is genuinely multi-causal, that two countries with identical rurality and income can differ markedly in their connectivity gaps for reasons the model does not capture. That multi-causality is itself part of the demand-frontier story, because it means near-term absorption depends on country-specific institutions, prices, and infrastructure that a coverage map cannot see, which is exactly the caution the dissertation carries into its policy implications</w:t>
      </w:r>
      <w:r>
        <w:t xml:space="preserve"> </w:t>
      </w:r>
      <w:hyperlink w:anchor="ref-4">
        <w:r>
          <w:rPr>
            <w:rStyle w:val="Hyperlink"/>
          </w:rPr>
          <w:t xml:space="preserve">[4]</w:t>
        </w:r>
      </w:hyperlink>
      <w:r>
        <w:t xml:space="preserve">.</w:t>
      </w:r>
    </w:p>
    <w:bookmarkEnd w:id="129"/>
    <w:bookmarkStart w:id="130" w:name="reading-the-two-results-together"/>
    <w:p>
      <w:pPr>
        <w:pStyle w:val="Heading2"/>
        <w:spacing w:line="480" w:lineRule="auto"/>
      </w:pPr>
      <w:r>
        <w:t xml:space="preserve">Reading the two results together</w:t>
      </w:r>
    </w:p>
    <w:p>
      <w:pPr>
        <w:pStyle w:val="FirstParagraph"/>
        <w:spacing w:line="480" w:lineRule="auto"/>
      </w:pPr>
      <w:r>
        <w:t xml:space="preserve">Place the supply and demand estimates side by side and the dissertation’s central logic becomes concrete rather than rhetorical. On the supply side, a physical stock that accumulates at an elasticity of 0.9699, applied to a high launch cadence, produces fast absolute growth in deliverable-eligible payloads. On the demand side, a connectivity frontier that widens by 0.3973 points per point of rurality and narrows by 9.7131 points per unit of log income shows that the population most in need is systematically the population least able to pay premium rates. The numerator is fed by steady accumulation; the denominator is throttled by income and geography.</w:t>
      </w:r>
    </w:p>
    <w:p>
      <w:pPr>
        <w:pStyle w:val="BodyText"/>
        <w:spacing w:line="480" w:lineRule="auto"/>
        <w:ind w:firstLine="720"/>
      </w:pPr>
      <w:r>
        <w:t xml:space="preserve">Neither estimate, alone, measures the 2030 ratio, and the chapter does not pretend otherwise. What the two together establish is that both determinants of a possible glut are real and measurable in public data, moving in the directions the theory predicted, with the supply frontier expanding steadily and the demand frontier suppressed exactly where the coverage case is loudest. The R-squared values mark the difference in the two exercises honestly: 0.9994 for a mechanical accumulation the model was always going to fit tightly, and 0.6189 for a genuine cross-country association that leaves substantial residual variation to the omitted variables named earlier. Both numbers are reported as the analysis produced them, and both feed the interpretive and cautionary work of the chapters that follow</w:t>
      </w:r>
      <w:r>
        <w:t xml:space="preserve"> </w:t>
      </w:r>
      <w:hyperlink w:anchor="ref-3">
        <w:r>
          <w:rPr>
            <w:rStyle w:val="Hyperlink"/>
          </w:rPr>
          <w:t xml:space="preserve">[3]</w:t>
        </w:r>
      </w:hyperlink>
      <w:r>
        <w:t xml:space="preserve">.</w:t>
      </w:r>
    </w:p>
    <w:bookmarkEnd w:id="130"/>
    <w:bookmarkStart w:id="131" w:name="X82d5846e404b6703f13f7c95c38f12ee8651645"/>
    <w:p>
      <w:pPr>
        <w:pStyle w:val="Heading2"/>
        <w:spacing w:line="480" w:lineRule="auto"/>
      </w:pPr>
      <w:r>
        <w:t xml:space="preserve">The results against the two hypotheses, tallied</w:t>
      </w:r>
    </w:p>
    <w:p>
      <w:pPr>
        <w:pStyle w:val="FirstParagraph"/>
        <w:spacing w:line="480" w:lineRule="auto"/>
      </w:pPr>
      <w:r>
        <w:t xml:space="preserve">It is worth closing the results with an explicit tally against the two hypotheses, because the two outcomes point in opposite directions and the contrast is the point. The supply hypothesis proposed superlinear scaling, an elasticity above one, and the estimate of 0.9699 with a confidence interval of 0.9590 to 0.9809 rejects it decisively: the null of proportional-or-less scaling stands, and the early frontier is shown to accumulate rather than accelerate. The demand hypothesis proposed that rurality and income condition the connectivity gap with a positive and a negative sign respectively, and the estimates of 0.3973 and -9.7131, both significant far beyond conventional thresholds, confirm it. One paper fails to reject its null; the other rejects its null in favor of its alternative. Neither outcome was engineered, and reporting both honestly is what gives the pair its credibility.</w:t>
      </w:r>
    </w:p>
    <w:p>
      <w:pPr>
        <w:pStyle w:val="BodyText"/>
        <w:spacing w:line="480" w:lineRule="auto"/>
        <w:ind w:firstLine="720"/>
      </w:pPr>
      <w:r>
        <w:t xml:space="preserve">The asymmetry is substantively meaningful rather than an accident of two unrelated exercises. A candidate who wanted only a dramatic result could have strained to read acceleration into the supply curve; the discipline of reporting the sub-one elasticity exactly, and accepting that it refutes the supply paper’s own alternative, is the same discipline that lets the confirmed demand result be trusted. A framework that produced confirmation on both sides would invite suspicion of a thumb on the scale. The mixed outcome, an unaccelerated but fast-accumulating supply frontier meeting a genuinely income-suppressed demand frontier, is exactly the pattern the theory predicted and exactly the pattern the honest reporting of both estimators reveals</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131"/>
    <w:bookmarkStart w:id="132" w:name="X892e4f60baf4fa042f51cbc61215bfa2bb3ed9b"/>
    <w:p>
      <w:pPr>
        <w:pStyle w:val="Heading2"/>
        <w:spacing w:line="480" w:lineRule="auto"/>
      </w:pPr>
      <w:r>
        <w:t xml:space="preserve">Why the two R-squared values differ so sharply</w:t>
      </w:r>
    </w:p>
    <w:p>
      <w:pPr>
        <w:pStyle w:val="FirstParagraph"/>
        <w:spacing w:line="480" w:lineRule="auto"/>
      </w:pPr>
      <w:r>
        <w:t xml:space="preserve">The gap between the supply model’s R-squared of 0.9994 and the demand model’s 0.6189 is large enough to demand its own explanation, because a naive reader might rank the supply model as far superior. That ranking would be a category error. The supply model fits a nearly deterministic mechanical relationship, a cumulative sum against its own index, so a near-unity R-squared is the floor of what any competent fit would achieve, not evidence of explanatory insight. The demand model fits a genuine behavioral relationship across heterogeneous countries, where two structural variables explaining sixty-two percent of the cross-country variation is a strong result that leaves real room for the omitted institutional factors. The two R-squared values measure different things: mechanical tightness in one case, behavioral explanatory power in the other, and they are not comparable on a single scale</w:t>
      </w:r>
      <w:r>
        <w:t xml:space="preserve"> </w:t>
      </w:r>
      <w:hyperlink w:anchor="ref-4">
        <w:r>
          <w:rPr>
            <w:rStyle w:val="Hyperlink"/>
          </w:rPr>
          <w:t xml:space="preserve">[4]</w:t>
        </w:r>
      </w:hyperlink>
      <w:r>
        <w:t xml:space="preserve">.</w:t>
      </w:r>
    </w:p>
    <w:bookmarkEnd w:id="132"/>
    <w:bookmarkEnd w:id="133"/>
    <w:bookmarkStart w:id="143" w:name="chapter-7.-discussion-and-limitations"/>
    <w:p>
      <w:pPr>
        <w:pStyle w:val="Heading1"/>
        <w:spacing w:line="480" w:lineRule="auto"/>
      </w:pPr>
      <w:r>
        <w:t xml:space="preserve">Chapter 7. Discussion and Limitations</w:t>
      </w:r>
    </w:p>
    <w:p>
      <w:pPr>
        <w:pStyle w:val="FirstParagraph"/>
        <w:spacing w:line="480" w:lineRule="auto"/>
      </w:pPr>
      <w:r>
        <w:t xml:space="preserve">Good empirical work earns its conclusions twice: once by what it shows, and once by being candid about what it cannot show. This chapter does both. It draws out what the two results mean for the capacity-glut question, and it catalogs, without softening, the threats to validity that keep those meanings modest. The through-line is a single interpretive commitment. The findings are a bound and a mechanism, not a verdict on 2030. Treating them as more would repeat the very error, need mistaken for demand, count mistaken for capacity, that the dissertation exists to correct.</w:t>
      </w:r>
    </w:p>
    <w:bookmarkStart w:id="134" w:name="what-the-findings-mean"/>
    <w:p>
      <w:pPr>
        <w:pStyle w:val="Heading2"/>
        <w:spacing w:line="480" w:lineRule="auto"/>
      </w:pPr>
      <w:r>
        <w:t xml:space="preserve">What the findings mean</w:t>
      </w:r>
    </w:p>
    <w:p>
      <w:pPr>
        <w:pStyle w:val="FirstParagraph"/>
        <w:spacing w:line="480" w:lineRule="auto"/>
      </w:pPr>
      <w:r>
        <w:t xml:space="preserve">Begin with what the supply result changes. It reshapes the overcapacity worry without dissolving it. A near-proportional accumulation elasticity of 0.9699, sitting just below one across its entire confidence interval, says the early Starlink frontier did not accelerate. It grew through repeatable batches at a steady elasticity, and it grew fast in absolute terms all the same, from sixty cataloged payloads to 2,153 across forty cohorts. The practical reading is that supply pressure in this market is a function of cadence and batch size rather than of a rising trend in payloads per launch. Look only for acceleration and the danger vanishes from view. That would be a mistake. An observer who watched only for acceleration would have declared the danger absent and been wrong, because a proportional elasticity applied to a high launch frequency still fills orbital shells quickly</w:t>
      </w:r>
      <w:r>
        <w:t xml:space="preserve"> </w:t>
      </w:r>
      <w:hyperlink w:anchor="ref-5">
        <w:r>
          <w:rPr>
            <w:rStyle w:val="Hyperlink"/>
          </w:rPr>
          <w:t xml:space="preserve">[5]</w:t>
        </w:r>
      </w:hyperlink>
      <w:r>
        <w:t xml:space="preserve">.</w:t>
      </w:r>
    </w:p>
    <w:p>
      <w:pPr>
        <w:pStyle w:val="BodyText"/>
        <w:spacing w:line="480" w:lineRule="auto"/>
        <w:ind w:firstLine="720"/>
      </w:pPr>
      <w:r>
        <w:t xml:space="preserve">The demand result supplies the constraint that gives the supply number its bite. A rurality coefficient of 0.3973 and a log-income coefficient of -9.7131, both precisely estimated inside a sample chosen for maximal connectivity gaps, establish that the offline population is concentrated where geography and poverty jointly suppress the ability to pay. The interpretive payoff is that the denominator of any glut ratio cannot be read off a coverage map. Conversion in these settings runs through institutions, universal-service funds, anchor tenants, government and mobility contracts, rather than through instantaneous household uptake, and those channels move on procurement time, not on launch time</w:t>
      </w:r>
      <w:r>
        <w:t xml:space="preserve"> </w:t>
      </w:r>
      <w:hyperlink w:anchor="ref-9">
        <w:r>
          <w:rPr>
            <w:rStyle w:val="Hyperlink"/>
          </w:rPr>
          <w:t xml:space="preserve">[9]</w:t>
        </w:r>
      </w:hyperlink>
      <w:r>
        <w:t xml:space="preserve">. The mechanism the theory proposed is therefore visible in both datasets: a fast accumulating supply path meeting a slow, income-gated demand path.</w:t>
      </w:r>
    </w:p>
    <w:p>
      <w:pPr>
        <w:pStyle w:val="BodyText"/>
        <w:spacing w:line="480" w:lineRule="auto"/>
        <w:ind w:firstLine="720"/>
      </w:pPr>
      <w:r>
        <w:t xml:space="preserve">Read jointly, the two findings support a disciplined version of the glut thesis rather than a sensational one. They do not prove that provisioned capacity will exceed priced demand in 2030. They demonstrate that the two forces most likely to produce such an outcome are both real, both measurable, and both pointed in the directions that would create divergence. That is a contribution to how the question should be monitored: track launch cohorts and batch sizes on the supply side, and discount nominal need by income and rurality on the demand side, rather than compressing either frontier into a single headline number</w:t>
      </w:r>
      <w:r>
        <w:t xml:space="preserve"> </w:t>
      </w:r>
      <w:hyperlink w:anchor="ref-4">
        <w:r>
          <w:rPr>
            <w:rStyle w:val="Hyperlink"/>
          </w:rPr>
          <w:t xml:space="preserve">[4]</w:t>
        </w:r>
      </w:hyperlink>
      <w:r>
        <w:t xml:space="preserve">.</w:t>
      </w:r>
    </w:p>
    <w:bookmarkEnd w:id="134"/>
    <w:bookmarkStart w:id="135" w:name="threats-to-validity-the-supply-estimator"/>
    <w:p>
      <w:pPr>
        <w:pStyle w:val="Heading2"/>
        <w:spacing w:line="480" w:lineRule="auto"/>
      </w:pPr>
      <w:r>
        <w:t xml:space="preserve">Threats to validity: the supply estimator</w:t>
      </w:r>
    </w:p>
    <w:p>
      <w:pPr>
        <w:pStyle w:val="FirstParagraph"/>
        <w:spacing w:line="480" w:lineRule="auto"/>
      </w:pPr>
      <w:r>
        <w:t xml:space="preserve">The supply model’s first and largest threat is that it is not a causal design, and it does not become one by being precise. Cumulative payloads are mechanically related to cohort sequence, so the elasticity measures the shape of an accumulation, not the effect of a manipulable cause. The extreme R-squared of 0.9994 is a symptom of this mechanical relationship, not a badge of explanatory triumph, and it should be read that way. The estimator answers a descriptive question well and answers no causal question at all, which is exactly the claim the results chapter made.</w:t>
      </w:r>
    </w:p>
    <w:p>
      <w:pPr>
        <w:pStyle w:val="BodyText"/>
        <w:spacing w:line="480" w:lineRule="auto"/>
        <w:ind w:firstLine="720"/>
      </w:pPr>
      <w:r>
        <w:t xml:space="preserve">A second threat is external validity across operators and eras. The learning curve is estimated on one operator, Starlink, across its early deployment through early 2022. Other constellations with different manufacturing models, launch access, and rideshare strategies could exhibit different elasticities, and even Starlink’s later cohorts, with larger second-generation satellites, might scale differently. The finding is a clean measurement of one supply frontier in one window; generalizing it to the aggregate LEO supply frontier of 2030 requires assumptions the data do not contain. The engineering literature underlines the point, since capacity scaling depends on architecture choices that vary across systems and generations</w:t>
      </w:r>
      <w:r>
        <w:t xml:space="preserve"> </w:t>
      </w:r>
      <w:hyperlink w:anchor="ref-2">
        <w:r>
          <w:rPr>
            <w:rStyle w:val="Hyperlink"/>
          </w:rPr>
          <w:t xml:space="preserve">[2]</w:t>
        </w:r>
      </w:hyperlink>
      <w:r>
        <w:t xml:space="preserve">.</w:t>
      </w:r>
    </w:p>
    <w:p>
      <w:pPr>
        <w:pStyle w:val="BodyText"/>
        <w:spacing w:line="480" w:lineRule="auto"/>
        <w:ind w:firstLine="720"/>
      </w:pPr>
      <w:r>
        <w:t xml:space="preserve">A third threat is the gap between cataloged payloads and deliverable capacity, which the supply estimator cannot cross. Payload count omits gateway throughput, spectrum reuse, terminal availability, and country-level licensing, each of which can bind before a payload becomes sellable. If inter-satellite optical links mature faster than current filings imply, the deliverable frontier could shift upward relative to the cataloged count, and if gateway or spectrum constraints tighten, it could shift downward. The prospectus flagged the inter-satellite-link assumption as a specific bias channel, and it remains the most consequential unmodeled path between the supply measurement and the capacity it is meant to inform</w:t>
      </w:r>
      <w:r>
        <w:t xml:space="preserve"> </w:t>
      </w:r>
      <w:hyperlink w:anchor="ref-7">
        <w:r>
          <w:rPr>
            <w:rStyle w:val="Hyperlink"/>
          </w:rPr>
          <w:t xml:space="preserve">[7]</w:t>
        </w:r>
      </w:hyperlink>
      <w:r>
        <w:t xml:space="preserve">.</w:t>
      </w:r>
    </w:p>
    <w:bookmarkEnd w:id="135"/>
    <w:bookmarkStart w:id="136" w:name="threats-to-validity-the-demand-estimator"/>
    <w:p>
      <w:pPr>
        <w:pStyle w:val="Heading2"/>
        <w:spacing w:line="480" w:lineRule="auto"/>
      </w:pPr>
      <w:r>
        <w:t xml:space="preserve">Threats to validity: the demand estimator</w:t>
      </w:r>
    </w:p>
    <w:p>
      <w:pPr>
        <w:pStyle w:val="FirstParagraph"/>
        <w:spacing w:line="480" w:lineRule="auto"/>
      </w:pPr>
      <w:r>
        <w:t xml:space="preserve">The demand model’s central threat is omitted-variable bias, stated plainly in the identification chapter and unresolved by the results. Education, local prices, regulatory openness, conflict, and electricity access all plausibly affect Internet use and correlate with rurality and income, so the two coefficients absorb some of their influence. The regression establishes association within official data; it does not isolate the causal effect of moving a country’s rurality or income while holding the rest of the world fixed. The R-squared of 0.6189 is honest about this, leaving roughly forty percent of the cross-country variation to factors outside the specification.</w:t>
      </w:r>
    </w:p>
    <w:p>
      <w:pPr>
        <w:pStyle w:val="BodyText"/>
        <w:spacing w:line="480" w:lineRule="auto"/>
        <w:ind w:firstLine="720"/>
      </w:pPr>
      <w:r>
        <w:t xml:space="preserve">A second threat is the sample itself. The forty countries are selected on the dependent variable, chosen for having the largest Internet-use gaps, which is a deliberate design that strengthens one inference and weakens another. It strengthens the need-is-not-demand claim, because finding an income effect inside a high-gap sample is adversarial to the optimistic view. It weakens any attempt to generalize the coefficient magnitudes to the full world cross-section, where the relationship between income and the gap is likely nonlinear in ways a top-forty slice cannot capture. The magnitudes should therefore be read as descriptive of the demand-stressed frontier, not as universal elasticities</w:t>
      </w:r>
      <w:r>
        <w:t xml:space="preserve"> </w:t>
      </w:r>
      <w:hyperlink w:anchor="ref-8">
        <w:r>
          <w:rPr>
            <w:rStyle w:val="Hyperlink"/>
          </w:rPr>
          <w:t xml:space="preserve">[8]</w:t>
        </w:r>
      </w:hyperlink>
      <w:r>
        <w:t xml:space="preserve">.</w:t>
      </w:r>
    </w:p>
    <w:p>
      <w:pPr>
        <w:pStyle w:val="BodyText"/>
        <w:spacing w:line="480" w:lineRule="auto"/>
        <w:ind w:firstLine="720"/>
      </w:pPr>
      <w:r>
        <w:t xml:space="preserve">A third threat is temporal. The indicators describe 2023, and the dissertation’s question reaches 2030. Connectivity gaps, incomes, and rural shares all move over seven years, and the demand frontier’s position in 2030 is not the position observed in 2023. The result is a structural bound at a point in time, useful because the structural relationship between geography, income, and the gap is slow-moving, but it is not a forecast, and reading it as one would overstate its reach. ITU reporting treats the digital divide as a multidimensional and evolving condition, which is the right caution to carry forward</w:t>
      </w:r>
      <w:r>
        <w:t xml:space="preserve"> </w:t>
      </w:r>
      <w:hyperlink w:anchor="ref-9">
        <w:r>
          <w:rPr>
            <w:rStyle w:val="Hyperlink"/>
          </w:rPr>
          <w:t xml:space="preserve">[9]</w:t>
        </w:r>
      </w:hyperlink>
      <w:r>
        <w:t xml:space="preserve">.</w:t>
      </w:r>
    </w:p>
    <w:bookmarkEnd w:id="136"/>
    <w:bookmarkStart w:id="137" w:name="X97a3828bbbb9b19b8bac09de80ae6da036fdee5"/>
    <w:p>
      <w:pPr>
        <w:pStyle w:val="Heading2"/>
        <w:spacing w:line="480" w:lineRule="auto"/>
      </w:pPr>
      <w:r>
        <w:t xml:space="preserve">Regulatory shocks inside the estimation window</w:t>
      </w:r>
    </w:p>
    <w:p>
      <w:pPr>
        <w:pStyle w:val="FirstParagraph"/>
        <w:spacing w:line="480" w:lineRule="auto"/>
      </w:pPr>
      <w:r>
        <w:t xml:space="preserve">A further threat sits outside both datasets but bears directly on the 2030 question: the possibility of regulatory shocks that shift the supply frontier during the horizon of interest. Spectrum-sharing decisions at national regulators and at the next World Radiocommunication Conference could either expand the deliverable supply frontier, by liberalizing sharing and reuse, or contract it, by tightening milestone requirements and interference protections. The governance framework that made sustainable LEO operation possible was itself the product of hard-fought coordination, and it remains a moving target rather than a fixed backdrop</w:t>
      </w:r>
      <w:r>
        <w:t xml:space="preserve"> </w:t>
      </w:r>
      <w:hyperlink w:anchor="ref-10">
        <w:r>
          <w:rPr>
            <w:rStyle w:val="Hyperlink"/>
          </w:rPr>
          <w:t xml:space="preserve">[10]</w:t>
        </w:r>
      </w:hyperlink>
      <w:r>
        <w:t xml:space="preserve">. Neither the supply learning curve nor the demand regression can anticipate these decisions, because both are estimated on realized historical data, and a regulatory shock is by definition a break from the historical regime.</w:t>
      </w:r>
    </w:p>
    <w:p>
      <w:pPr>
        <w:pStyle w:val="BodyText"/>
        <w:spacing w:line="480" w:lineRule="auto"/>
        <w:ind w:firstLine="720"/>
      </w:pPr>
      <w:r>
        <w:t xml:space="preserve">The implication is that the dissertation’s bound is conditional on the regulatory status quo persisting, and that conditionality should travel with any use of the findings. A liberalizing shock would make the glut alternative easier to reach by lifting the supply frontier; a restrictive shock would make it harder by capping deliverable capacity. Because the direction of future regulatory movement is genuinely uncertain, the honest posture is to treat the current estimates as a baseline against which the effect of any specific decision could later be assessed, rather than as a forecast that has already priced in the regulatory future. This is one more respect in which the work delivers a frame for evaluating future observations rather than a settled prediction</w:t>
      </w:r>
      <w:r>
        <w:t xml:space="preserve"> </w:t>
      </w:r>
      <w:hyperlink w:anchor="ref-3">
        <w:r>
          <w:rPr>
            <w:rStyle w:val="Hyperlink"/>
          </w:rPr>
          <w:t xml:space="preserve">[3]</w:t>
        </w:r>
      </w:hyperlink>
      <w:r>
        <w:t xml:space="preserve">.</w:t>
      </w:r>
    </w:p>
    <w:bookmarkEnd w:id="137"/>
    <w:bookmarkStart w:id="138" w:name="what-the-data-simply-cannot-show"/>
    <w:p>
      <w:pPr>
        <w:pStyle w:val="Heading2"/>
        <w:spacing w:line="480" w:lineRule="auto"/>
      </w:pPr>
      <w:r>
        <w:t xml:space="preserve">What the data simply cannot show</w:t>
      </w:r>
    </w:p>
    <w:p>
      <w:pPr>
        <w:pStyle w:val="FirstParagraph"/>
        <w:spacing w:line="480" w:lineRule="auto"/>
      </w:pPr>
      <w:r>
        <w:t xml:space="preserve">Beyond the estimator-specific threats sits a category of questions the datasets cannot address at all, and naming it is part of the contribution. Neither dataset contains prices, subscriber counts, willingness to pay, or the segment-level demand, mobility, enterprise, government, that may absorb capacity where household retail cannot. The supply data stop at the cataloged payload; the demand data stop at structural conditions in 2023. There is no shared key that would let a payload stock be matched to a priced national demand, because the intervening layers of gateway coverage, spectrum rights, and pricing are absent from both public sources.</w:t>
      </w:r>
    </w:p>
    <w:p>
      <w:pPr>
        <w:pStyle w:val="BodyText"/>
        <w:spacing w:line="480" w:lineRule="auto"/>
        <w:ind w:firstLine="720"/>
      </w:pPr>
      <w:r>
        <w:t xml:space="preserve">This is why the dissertation delivers a bound rather than the 2030 ratio, and why that honesty is a feature. The staged-deployment literature models exactly this situation, in which rational actors commit incrementally because the joining information is not yet available, and it treats the missing information as an option to be valued rather than an assumption to be invented</w:t>
      </w:r>
      <w:r>
        <w:t xml:space="preserve"> </w:t>
      </w:r>
      <w:hyperlink w:anchor="ref-6">
        <w:r>
          <w:rPr>
            <w:rStyle w:val="Hyperlink"/>
          </w:rPr>
          <w:t xml:space="preserve">[6]</w:t>
        </w:r>
      </w:hyperlink>
      <w:r>
        <w:t xml:space="preserve">. The governance literature reaches the same posture from the regulatory side, arguing that overprovision is undertheorized precisely because the measurements that would settle it are not yet standard practice</w:t>
      </w:r>
      <w:r>
        <w:t xml:space="preserve"> </w:t>
      </w:r>
      <w:hyperlink w:anchor="ref-3">
        <w:r>
          <w:rPr>
            <w:rStyle w:val="Hyperlink"/>
          </w:rPr>
          <w:t xml:space="preserve">[3]</w:t>
        </w:r>
      </w:hyperlink>
      <w:r>
        <w:t xml:space="preserve">. The present work supplies two of those measurements and marks the join it cannot make, which is a more durable contribution than a fabricated point estimate would have been.</w:t>
      </w:r>
    </w:p>
    <w:bookmarkEnd w:id="138"/>
    <w:bookmarkStart w:id="139" w:name="X03308fdceacf3717c3b1764f954edb11a6b9d59"/>
    <w:p>
      <w:pPr>
        <w:pStyle w:val="Heading2"/>
        <w:spacing w:line="480" w:lineRule="auto"/>
      </w:pPr>
      <w:r>
        <w:t xml:space="preserve">The inter-satellite-link scenario and its direction of bias</w:t>
      </w:r>
    </w:p>
    <w:p>
      <w:pPr>
        <w:pStyle w:val="FirstParagraph"/>
        <w:spacing w:line="480" w:lineRule="auto"/>
      </w:pPr>
      <w:r>
        <w:t xml:space="preserve">One unmodeled channel deserves separate treatment because it is the most consequential and because its direction of effect is known even though its magnitude is not. The gateway-conditioning constraint that separates authorized from deliverable capacity rests on an assumption that ground gateways remain a binding limit through 2030. Optical inter-satellite links, which route traffic between satellites rather than down to a ground station in each served region, weaken that assumption to the extent they mature. If inter-satellite links carry traffic across the constellation to a distant gateway, then capacity over a region without a local licensed gateway becomes deliverable after all, and the supply frontier shifts upward relative to the gateway-conditioned estimate. The prospectus identified this precisely as a bias channel, and the direction is unambiguous: faster inter-satellite-link maturity makes the supply frontier larger, which makes overcapacity easier to reach, biasing the underlying question toward the glut alternative rather than away from it</w:t>
      </w:r>
      <w:r>
        <w:t xml:space="preserve"> </w:t>
      </w:r>
      <w:hyperlink w:anchor="ref-7">
        <w:r>
          <w:rPr>
            <w:rStyle w:val="Hyperlink"/>
          </w:rPr>
          <w:t xml:space="preserve">[7]</w:t>
        </w:r>
      </w:hyperlink>
      <w:r>
        <w:t xml:space="preserve">.</w:t>
      </w:r>
    </w:p>
    <w:p>
      <w:pPr>
        <w:pStyle w:val="BodyText"/>
        <w:spacing w:line="480" w:lineRule="auto"/>
        <w:ind w:firstLine="720"/>
      </w:pPr>
      <w:r>
        <w:t xml:space="preserve">This asymmetry is worth dwelling on because it shapes how conservatively the dissertation’s bound should be read. The supply measurement here, based on cataloged payloads and conditioned in interpretation by gateway limits, is if anything a conservative floor on deliverable-capacity growth. Should inter-satellite links advance faster than current filings imply, the true supply frontier would sit above what the payload-stock learning curve suggests once gateway conditioning is relaxed. The demand-side constraints, meanwhile, do not enjoy a symmetric upside; income and rural distribution do not improve on a technology-driven schedule the way ground-segment substitution might. The net effect is that the unmodeled technology channel, if it moves at all, moves the ratio toward overcapacity, which is a reason to treat the demand-side constraints found here as the more binding of the two frontiers over the horizon that matters</w:t>
      </w:r>
      <w:r>
        <w:t xml:space="preserve"> </w:t>
      </w:r>
      <w:hyperlink w:anchor="ref-2">
        <w:r>
          <w:rPr>
            <w:rStyle w:val="Hyperlink"/>
          </w:rPr>
          <w:t xml:space="preserve">[2]</w:t>
        </w:r>
      </w:hyperlink>
      <w:r>
        <w:t xml:space="preserve">.</w:t>
      </w:r>
    </w:p>
    <w:bookmarkEnd w:id="139"/>
    <w:bookmarkStart w:id="140" w:name="Xbc0599f8dbb078bbf2dc7cf3884b0fb6c49ced0"/>
    <w:p>
      <w:pPr>
        <w:pStyle w:val="Heading2"/>
        <w:spacing w:line="480" w:lineRule="auto"/>
      </w:pPr>
      <w:r>
        <w:t xml:space="preserve">Selection on the dependent variable, examined honestly</w:t>
      </w:r>
    </w:p>
    <w:p>
      <w:pPr>
        <w:pStyle w:val="FirstParagraph"/>
        <w:spacing w:line="480" w:lineRule="auto"/>
      </w:pPr>
      <w:r>
        <w:t xml:space="preserve">The demand sample’s selection on its outcome merits a fuller reckoning than a single caveat, because selection on the dependent variable is a known source of trouble and the dissertation should not wave it away. Choosing the forty highest-gap countries truncates the outcome distribution and can distort estimated slopes relative to the full population, typically attenuating or steepening them in ways that depend on the truncation point. The defense offered earlier, that the selection is adversarial to the paper’s own conclusion, holds for the sign and significance of the income coefficient: finding a strong negative income association inside a low-income truncated sample is harder, not easier, so the finding is credible as a qualitative result. The magnitudes are a different matter and the chapter concedes it. The coefficient of -9.7131 percentage points per unit of log income should be read as descriptive of the high-gap frontier, not as a universal slope that would survive re-estimation on the full world cross-section, where the relationship is surely nonlinear across the vast income range from Burundi to high-income economies.</w:t>
      </w:r>
    </w:p>
    <w:p>
      <w:pPr>
        <w:pStyle w:val="BodyText"/>
        <w:spacing w:line="480" w:lineRule="auto"/>
        <w:ind w:firstLine="720"/>
      </w:pPr>
      <w:r>
        <w:t xml:space="preserve">The honest position is therefore split by claim type. The qualitative conclusion, that income and rurality condition the connectivity gap with the predicted signs even among the neediest countries, is robust to the selection and if anything strengthened by it. The quantitative magnitudes are conditional on the truncated sample and should not be exported. A capacity-glut model that used the -9.7131 coefficient as a global demand elasticity would be committing exactly the overreach the identification chapter warned against, and the results chapter reported the number precisely so that its scope, not just its value, would be on the record</w:t>
      </w:r>
      <w:r>
        <w:t xml:space="preserve"> </w:t>
      </w:r>
      <w:hyperlink w:anchor="ref-8">
        <w:r>
          <w:rPr>
            <w:rStyle w:val="Hyperlink"/>
          </w:rPr>
          <w:t xml:space="preserve">[8]</w:t>
        </w:r>
      </w:hyperlink>
      <w:r>
        <w:t xml:space="preserve">.</w:t>
      </w:r>
    </w:p>
    <w:bookmarkEnd w:id="140"/>
    <w:bookmarkStart w:id="141" w:name="Xb13554aef9b149057cb60cc70913ca166daf44e"/>
    <w:p>
      <w:pPr>
        <w:pStyle w:val="Heading2"/>
        <w:spacing w:line="480" w:lineRule="auto"/>
      </w:pPr>
      <w:r>
        <w:t xml:space="preserve">The single-operator problem on the supply side</w:t>
      </w:r>
    </w:p>
    <w:p>
      <w:pPr>
        <w:pStyle w:val="FirstParagraph"/>
        <w:spacing w:line="480" w:lineRule="auto"/>
      </w:pPr>
      <w:r>
        <w:t xml:space="preserve">The supply evidence rests on one operator, and that concentration is a limitation with a specific shape worth isolating. Starlink is the largest and earliest of the mega-constellations, so its early-deployment learning curve is informative about the leading edge of the supply frontier, but it is not representative of the aggregate frontier that the 2030 question concerns. Competitors deploying on different launch cadences, with different satellite masses and different rideshare strategies, could exhibit elasticities above or below the near-proportional value found here. Amazon’s Kuiper, Telesat’s Lightspeed, and OneWeb each face distinct manufacturing and launch constraints, and their aggregate contribution to the supply frontier could accelerate or decelerate in ways the single-operator curve cannot reveal. The finding is therefore a clean measurement of the frontier’s leading edge, not of its aggregate, and generalizing from one to the other is an inference the data do not license</w:t>
      </w:r>
      <w:r>
        <w:t xml:space="preserve"> </w:t>
      </w:r>
      <w:hyperlink w:anchor="ref-2">
        <w:r>
          <w:rPr>
            <w:rStyle w:val="Hyperlink"/>
          </w:rPr>
          <w:t xml:space="preserve">[2]</w:t>
        </w:r>
      </w:hyperlink>
      <w:r>
        <w:t xml:space="preserve">.</w:t>
      </w:r>
    </w:p>
    <w:p>
      <w:pPr>
        <w:pStyle w:val="BodyText"/>
        <w:spacing w:line="480" w:lineRule="auto"/>
        <w:ind w:firstLine="720"/>
      </w:pPr>
      <w:r>
        <w:t xml:space="preserve">There is a subtler version of the same problem within Starlink itself. The forty-cohort window captures the first-generation deployment, and second-generation satellites, larger and more capable, belong to a different technological regime whose accumulation dynamics could differ. The near-proportional elasticity describes the ramp-up of the first-generation stock, and reading it as a permanent property of Starlink’s supply frontier would ignore the generational shift already underway by the end of the window. The limitation is not that the measurement is wrong but that its scope is narrow, and honesty about scope is what keeps the supply finding from being overextended into a claim about a frontier it did not observe</w:t>
      </w:r>
      <w:r>
        <w:t xml:space="preserve"> </w:t>
      </w:r>
      <w:hyperlink w:anchor="ref-5">
        <w:r>
          <w:rPr>
            <w:rStyle w:val="Hyperlink"/>
          </w:rPr>
          <w:t xml:space="preserve">[5]</w:t>
        </w:r>
      </w:hyperlink>
      <w:r>
        <w:t xml:space="preserve">.</w:t>
      </w:r>
    </w:p>
    <w:bookmarkEnd w:id="141"/>
    <w:bookmarkStart w:id="142" w:name="X43e8e8e39d97afec522a1b3ac4edf5737e78756"/>
    <w:p>
      <w:pPr>
        <w:pStyle w:val="Heading2"/>
        <w:spacing w:line="480" w:lineRule="auto"/>
      </w:pPr>
      <w:r>
        <w:t xml:space="preserve">Positioning the contribution against its own limits</w:t>
      </w:r>
    </w:p>
    <w:p>
      <w:pPr>
        <w:pStyle w:val="FirstParagraph"/>
        <w:spacing w:line="480" w:lineRule="auto"/>
      </w:pPr>
      <w:r>
        <w:t xml:space="preserve">The proper summary of this chapter is that the dissertation’s reach and its restraint are the same thing. Every strength of the design, its public data, its transparent estimators, its adversarial sampling, its reconstructible provenance, is also the source of a corresponding limit, because auditable data are sparse data and honest estimators do not overclaim. The supply frontier is measured cleanly but only at the payload stage and only for one operator. The demand frontier is measured with theoretically correct signs but only descriptively and only at one point in time. The join that would produce the 2030 verdict is named, not manufactured.</w:t>
      </w:r>
    </w:p>
    <w:p>
      <w:pPr>
        <w:pStyle w:val="BodyText"/>
        <w:spacing w:line="480" w:lineRule="auto"/>
        <w:ind w:firstLine="720"/>
      </w:pPr>
      <w:r>
        <w:t xml:space="preserve">That posture is the right one for a contested and consequential question. Spectrum sits inside a governance framework that took years of negotiation to build</w:t>
      </w:r>
      <w:r>
        <w:t xml:space="preserve"> </w:t>
      </w:r>
      <w:hyperlink w:anchor="ref-10">
        <w:r>
          <w:rPr>
            <w:rStyle w:val="Hyperlink"/>
          </w:rPr>
          <w:t xml:space="preserve">[10]</w:t>
        </w:r>
      </w:hyperlink>
      <w:r>
        <w:t xml:space="preserve">, orbital capacity is a shared resource whose overuse imposes external costs</w:t>
      </w:r>
      <w:r>
        <w:t xml:space="preserve"> </w:t>
      </w:r>
      <w:hyperlink w:anchor="ref-24">
        <w:r>
          <w:rPr>
            <w:rStyle w:val="Hyperlink"/>
          </w:rPr>
          <w:t xml:space="preserve">[24]</w:t>
        </w:r>
      </w:hyperlink>
      <w:r>
        <w:t xml:space="preserve">, and the security-strategic case for building can diverge sharply from the retail-demand case</w:t>
      </w:r>
      <w:r>
        <w:t xml:space="preserve"> </w:t>
      </w:r>
      <w:hyperlink w:anchor="ref-25">
        <w:r>
          <w:rPr>
            <w:rStyle w:val="Hyperlink"/>
          </w:rPr>
          <w:t xml:space="preserve">[25]</w:t>
        </w:r>
      </w:hyperlink>
      <w:r>
        <w:t xml:space="preserve">. In an environment that loaded with reasons to overstate capacity and understate constraints, a bounded, auditable, honestly limited pair of measurements is more useful than a confident forecast resting on assumptions no one can check. The next chapter turns that bound toward the decisions it can actually inform.</w:t>
      </w:r>
    </w:p>
    <w:bookmarkEnd w:id="142"/>
    <w:bookmarkEnd w:id="143"/>
    <w:bookmarkStart w:id="191" w:name="chapter-8.-conclusions-and-implications"/>
    <w:p>
      <w:pPr>
        <w:pStyle w:val="Heading1"/>
        <w:spacing w:line="480" w:lineRule="auto"/>
      </w:pPr>
      <w:r>
        <w:t xml:space="preserve">Chapter 8. Conclusions and Implications</w:t>
      </w:r>
    </w:p>
    <w:p>
      <w:pPr>
        <w:pStyle w:val="FirstParagraph"/>
        <w:spacing w:line="480" w:lineRule="auto"/>
      </w:pPr>
      <w:r>
        <w:t xml:space="preserve">The dissertation set out to make a contested question answerable rather than to answer it prematurely. Will the LEO broadband spectrum-and-ground buildout outrun addressable demand by 2030? The honest reply, delivered by two auditable estimators, is that the question decomposes into two measurable frontiers moving on separate clocks, and that both frontiers, as far as public data reach, point toward the divergence a glut would require. That is a smaller claim than the headline and a more useful one, because it is falsifiable, it is reconstructible, and it tells a regulator or an investor exactly where to look next.</w:t>
      </w:r>
    </w:p>
    <w:bookmarkStart w:id="144" w:name="the-contribution-restated"/>
    <w:p>
      <w:pPr>
        <w:pStyle w:val="Heading2"/>
        <w:spacing w:line="480" w:lineRule="auto"/>
      </w:pPr>
      <w:r>
        <w:t xml:space="preserve">The contribution restated</w:t>
      </w:r>
    </w:p>
    <w:p>
      <w:pPr>
        <w:pStyle w:val="FirstParagraph"/>
        <w:spacing w:line="480" w:lineRule="auto"/>
      </w:pPr>
      <w:r>
        <w:t xml:space="preserve">At its core the contribution is a frame that refuses two seductive substitutions. It refuses to let an announced constellation stand in for realized market capacity, and it refuses to let a count of the offline stand in for priced demand. Around that frame the dissertation places two empirical measurements. The supply paper estimates a Starlink launch-cohort learning curve from public catalog records and finds an accumulation elasticity of 0.9699, precisely bounded below one, which establishes that the early frontier grew through steady batches rather than through acceleration</w:t>
      </w:r>
      <w:r>
        <w:t xml:space="preserve"> </w:t>
      </w:r>
      <w:hyperlink w:anchor="ref-5">
        <w:r>
          <w:rPr>
            <w:rStyle w:val="Hyperlink"/>
          </w:rPr>
          <w:t xml:space="preserve">[5]</w:t>
        </w:r>
      </w:hyperlink>
      <w:r>
        <w:t xml:space="preserve">. The demand paper estimates a cross-country regression from World Bank indicators and finds a rurality coefficient of 0.3973 and a log-income coefficient of -9.7131, which establishes that connectivity need is systematically suppressed where the ability to pay is weakest</w:t>
      </w:r>
      <w:r>
        <w:t xml:space="preserve"> </w:t>
      </w:r>
      <w:hyperlink w:anchor="ref-8">
        <w:r>
          <w:rPr>
            <w:rStyle w:val="Hyperlink"/>
          </w:rPr>
          <w:t xml:space="preserve">[8]</w:t>
        </w:r>
      </w:hyperlink>
      <w:r>
        <w:t xml:space="preserve">.</w:t>
      </w:r>
    </w:p>
    <w:p>
      <w:pPr>
        <w:pStyle w:val="BodyText"/>
        <w:spacing w:line="480" w:lineRule="auto"/>
        <w:ind w:firstLine="720"/>
      </w:pPr>
      <w:r>
        <w:t xml:space="preserve">Neither measurement is methodologically novel in isolation, and the dissertation does not pretend otherwise. The novelty is the join: reading a supply-frontier shape test and a demand-frontier conditioning test as two halves of one falsifiable statement about overcapacity. That join converts a worry that appears, unformalized, across the engineering, deployment, strategic, governance, and development literatures into a structure in which any future observation can be placed on the correct frontier and read as evidence</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contribution, in one line, is a disciplined apparatus for a question that has mostly been argued rather than measured.</w:t>
      </w:r>
    </w:p>
    <w:bookmarkEnd w:id="144"/>
    <w:bookmarkStart w:id="145" w:name="governance-and-program-relevance"/>
    <w:p>
      <w:pPr>
        <w:pStyle w:val="Heading2"/>
        <w:spacing w:line="480" w:lineRule="auto"/>
      </w:pPr>
      <w:r>
        <w:t xml:space="preserve">Governance and program relevance</w:t>
      </w:r>
    </w:p>
    <w:p>
      <w:pPr>
        <w:pStyle w:val="FirstParagraph"/>
        <w:spacing w:line="480" w:lineRule="auto"/>
      </w:pPr>
      <w:r>
        <w:t xml:space="preserve">For regulators the implication is a caution against two conflations that current practice invites. The first is treating digital-inclusion rhetoric as a proxy for sustainable market demand. The demand result shows that the largest connectivity gaps sit where income and rurality jointly constrain conversion, so universal-service goals may justify subsidies, public anchors, and shared terminals, but those instruments are not the same as private retail demand and should not be scored as if they were</w:t>
      </w:r>
      <w:r>
        <w:t xml:space="preserve"> </w:t>
      </w:r>
      <w:hyperlink w:anchor="ref-9">
        <w:r>
          <w:rPr>
            <w:rStyle w:val="Hyperlink"/>
          </w:rPr>
          <w:t xml:space="preserve">[9]</w:t>
        </w:r>
      </w:hyperlink>
      <w:r>
        <w:t xml:space="preserve">. The second conflation is treating an authorized constellation as productive use of spectrum. Because spectrum sits inside a governance framework negotiated at considerable cost to keep the frequency and orbital commons usable, a large allocation that goes underused is a social cost borne by competitors and future entrants, which makes an overcapacity test a matter of stewardship rather than mere market forecasting</w:t>
      </w:r>
      <w:r>
        <w:t xml:space="preserve"> </w:t>
      </w:r>
      <w:hyperlink w:anchor="ref-10">
        <w:r>
          <w:rPr>
            <w:rStyle w:val="Hyperlink"/>
          </w:rPr>
          <w:t xml:space="preserve">[10]</w:t>
        </w:r>
      </w:hyperlink>
      <w:r>
        <w:t xml:space="preserve"> </w:t>
      </w:r>
      <w:hyperlink w:anchor="ref-24">
        <w:r>
          <w:rPr>
            <w:rStyle w:val="Hyperlink"/>
          </w:rPr>
          <w:t xml:space="preserve">[24]</w:t>
        </w:r>
      </w:hyperlink>
      <w:r>
        <w:t xml:space="preserve">.</w:t>
      </w:r>
    </w:p>
    <w:p>
      <w:pPr>
        <w:pStyle w:val="BodyText"/>
        <w:spacing w:line="480" w:lineRule="auto"/>
        <w:ind w:firstLine="720"/>
      </w:pPr>
      <w:r>
        <w:t xml:space="preserve">For program and investment decisions the relevance is sharper still. The staged-deployment literature already treats the constellation as a sequence of options exercised under demand uncertainty, and the dissertation’s findings tell those decisions where the uncertainty actually lives</w:t>
      </w:r>
      <w:r>
        <w:t xml:space="preserve"> </w:t>
      </w:r>
      <w:hyperlink w:anchor="ref-6">
        <w:r>
          <w:rPr>
            <w:rStyle w:val="Hyperlink"/>
          </w:rPr>
          <w:t xml:space="preserve">[6]</w:t>
        </w:r>
      </w:hyperlink>
      <w:r>
        <w:t xml:space="preserve">. It lives on the demand side, in the income-gated, institution-mediated conversion of need into revenue, far more than on the supply side, where the accumulation is steady and predictable. A program office reading this work should therefore invest its diligence in gateway licensing, segment-level pricing, and anchor-tenant commitments, the layers that determine whether payloads become revenue, rather than in the payload count that the public record already tracks well. The security-strategic case for building fast is real, but it should be recognized as a reason to build that is separate from, and sometimes opposed to, retail-demand justification</w:t>
      </w:r>
      <w:r>
        <w:t xml:space="preserve"> </w:t>
      </w:r>
      <w:hyperlink w:anchor="ref-25">
        <w:r>
          <w:rPr>
            <w:rStyle w:val="Hyperlink"/>
          </w:rPr>
          <w:t xml:space="preserve">[25]</w:t>
        </w:r>
      </w:hyperlink>
      <w:r>
        <w:t xml:space="preserve">.</w:t>
      </w:r>
    </w:p>
    <w:bookmarkEnd w:id="145"/>
    <w:bookmarkStart w:id="146" w:name="X51c5415eee7d8103abe44bbf548eba1d7a87887"/>
    <w:p>
      <w:pPr>
        <w:pStyle w:val="Heading2"/>
        <w:spacing w:line="480" w:lineRule="auto"/>
      </w:pPr>
      <w:r>
        <w:t xml:space="preserve">What monitoring the question would require</w:t>
      </w:r>
    </w:p>
    <w:p>
      <w:pPr>
        <w:pStyle w:val="FirstParagraph"/>
        <w:spacing w:line="480" w:lineRule="auto"/>
      </w:pPr>
      <w:r>
        <w:t xml:space="preserve">The most actionable output of the dissertation is a specification for what a serious overcapacity monitor would track. It would record the supply frontier as separate layers rather than one number: license grants, launch cohorts and their batch sizes, cataloged payload stock, gateway throughput by geography, spectrum rights by country, and active service authorizations. The supply paper shows why these must be separate, since a proportional accumulation elasticity applied to high cadence produces fast physical growth that a payload count captures but a coverage map obscures</w:t>
      </w:r>
      <w:r>
        <w:t xml:space="preserve"> </w:t>
      </w:r>
      <w:hyperlink w:anchor="ref-5">
        <w:r>
          <w:rPr>
            <w:rStyle w:val="Hyperlink"/>
          </w:rPr>
          <w:t xml:space="preserve">[5]</w:t>
        </w:r>
      </w:hyperlink>
      <w:r>
        <w:t xml:space="preserve">. It would record the demand frontier as need discounted by absorption: the connectivity gap, conditioned on income and rurality, and then segmented into residential, enterprise, mobility, and government demand, each priced on its own terms.</w:t>
      </w:r>
    </w:p>
    <w:p>
      <w:pPr>
        <w:pStyle w:val="BodyText"/>
        <w:spacing w:line="480" w:lineRule="auto"/>
        <w:ind w:firstLine="720"/>
      </w:pPr>
      <w:r>
        <w:t xml:space="preserve">The ratio of those two constructed frontiers, tracked over time with calibrated uncertainty, is the deployable overcapacity index the prospectus envisioned. The dissertation does not compute the 2030 value of that index, because the joining data are not yet public, but it has built and validated the two hardest components and specified the rest. That is the difference between an index that exists and an index that is merely proposed: the supply-scaling and demand-conditioning pieces are estimated here from real records, and the missing pieces are named precisely enough that acquiring them becomes a defined task rather than an open-ended aspiration</w:t>
      </w:r>
      <w:r>
        <w:t xml:space="preserve"> </w:t>
      </w:r>
      <w:hyperlink w:anchor="ref-4">
        <w:r>
          <w:rPr>
            <w:rStyle w:val="Hyperlink"/>
          </w:rPr>
          <w:t xml:space="preserve">[4]</w:t>
        </w:r>
      </w:hyperlink>
      <w:r>
        <w:t xml:space="preserve">.</w:t>
      </w:r>
    </w:p>
    <w:bookmarkEnd w:id="146"/>
    <w:bookmarkStart w:id="147" w:name="implications-for-the-spectrum-commons"/>
    <w:p>
      <w:pPr>
        <w:pStyle w:val="Heading2"/>
        <w:spacing w:line="480" w:lineRule="auto"/>
      </w:pPr>
      <w:r>
        <w:t xml:space="preserve">Implications for the spectrum commons</w:t>
      </w:r>
    </w:p>
    <w:p>
      <w:pPr>
        <w:pStyle w:val="FirstParagraph"/>
        <w:spacing w:line="480" w:lineRule="auto"/>
      </w:pPr>
      <w:r>
        <w:t xml:space="preserve">Spectrum deserves its own statement in the conclusion, because spectrum is where the governance stakes of an overcapacity condition are sharpest. Radio frequency is a finite shared resource, coordinated internationally and allocated nationally on the premise that grants will be put to productive use. The milestone requirements and sharing rules negotiated at recent World Radiocommunication Conferences were built precisely to keep the frequency and orbital commons usable as constellations proliferated</w:t>
      </w:r>
      <w:r>
        <w:t xml:space="preserve"> </w:t>
      </w:r>
      <w:hyperlink w:anchor="ref-10">
        <w:r>
          <w:rPr>
            <w:rStyle w:val="Hyperlink"/>
          </w:rPr>
          <w:t xml:space="preserve">[10]</w:t>
        </w:r>
      </w:hyperlink>
      <w:r>
        <w:t xml:space="preserve">. An overcapacity condition stresses that framework in a specific way: capacity provisioned against demand that does not materialize ties up spectrum that could have served other uses or other entrants, converting a coordination success into a lock-up of scarce public resource. The dissertation’s demand result gives regulators a concrete reason to distinguish, in their milestone assessments, between capacity that is authorized, capacity that is deployed, and capacity that is actually monetizable, because only the last of these reflects the productive use the spectrum grant assumed</w:t>
      </w:r>
      <w:r>
        <w:t xml:space="preserve"> </w:t>
      </w:r>
      <w:hyperlink w:anchor="ref-3">
        <w:r>
          <w:rPr>
            <w:rStyle w:val="Hyperlink"/>
          </w:rPr>
          <w:t xml:space="preserve">[3]</w:t>
        </w:r>
      </w:hyperlink>
      <w:r>
        <w:t xml:space="preserve">.</w:t>
      </w:r>
    </w:p>
    <w:p>
      <w:pPr>
        <w:pStyle w:val="BodyText"/>
        <w:spacing w:line="480" w:lineRule="auto"/>
        <w:ind w:firstLine="720"/>
      </w:pPr>
      <w:r>
        <w:t xml:space="preserve">The orbital commons face a parallel exposure. Space-capacity management and space-traffic management interact, because every deployed payload contributes to congestion and collision risk in its shell whether or not it earns revenue</w:t>
      </w:r>
      <w:r>
        <w:t xml:space="preserve"> </w:t>
      </w:r>
      <w:hyperlink w:anchor="ref-24">
        <w:r>
          <w:rPr>
            <w:rStyle w:val="Hyperlink"/>
          </w:rPr>
          <w:t xml:space="preserve">[24]</w:t>
        </w:r>
      </w:hyperlink>
      <w:r>
        <w:t xml:space="preserve">. Capacity built for a market that does not arrive is thus doubly costly: it strands spectrum below and it adds physical risk above, without the revenue that would justify either. Recognizing overcapacity as a shared-resource problem rather than a private business risk reframes the regulator’s interest. It is not the regulator’s job to protect operators from bad bets, but it is squarely within the regulator’s mandate to prevent scarce spectrum and finite orbital volume from being consumed by capacity that serves no demand, and the dissertation’s frame gives that mandate a measurable target.</w:t>
      </w:r>
    </w:p>
    <w:bookmarkEnd w:id="147"/>
    <w:bookmarkStart w:id="148" w:name="X763cecdfabd0f719d5be9b203736b20ac369967"/>
    <w:p>
      <w:pPr>
        <w:pStyle w:val="Heading2"/>
        <w:spacing w:line="480" w:lineRule="auto"/>
      </w:pPr>
      <w:r>
        <w:t xml:space="preserve">Implications for the digital-inclusion debate</w:t>
      </w:r>
    </w:p>
    <w:p>
      <w:pPr>
        <w:pStyle w:val="FirstParagraph"/>
        <w:spacing w:line="480" w:lineRule="auto"/>
      </w:pPr>
      <w:r>
        <w:t xml:space="preserve">The demand finding carries an implication for development policy that extends past the operators and regulators to the institutions that fund connectivity as a public good. Digital-inclusion advocacy often treats the count of the offline as the size of an opportunity, and it points to satellite broadband as the technology that will finally close the gap. The regression does not dispute the welfare value of closing that gap; it disputes the inference that the gap is a priced market waiting to be served at commercial rates. Because the largest gaps sit where income and rurality jointly suppress the ability to pay, closing them commercially at premium prices is precisely where the market is thinnest, and inclusion in these settings will run through subsidy, anchor institutions, and universal-service instruments rather than through retail uptake</w:t>
      </w:r>
      <w:r>
        <w:t xml:space="preserve"> </w:t>
      </w:r>
      <w:hyperlink w:anchor="ref-9">
        <w:r>
          <w:rPr>
            <w:rStyle w:val="Hyperlink"/>
          </w:rPr>
          <w:t xml:space="preserve">[9]</w:t>
        </w:r>
      </w:hyperlink>
      <w:r>
        <w:t xml:space="preserve">.</w:t>
      </w:r>
    </w:p>
    <w:p>
      <w:pPr>
        <w:pStyle w:val="BodyText"/>
        <w:spacing w:line="480" w:lineRule="auto"/>
        <w:ind w:firstLine="720"/>
      </w:pPr>
      <w:r>
        <w:t xml:space="preserve">This reframes what success would look like. A universal-service fund that underwrites school and clinic connectivity, a government that anchors a mobility or backhaul contract, or a shared-terminal program that pools household demand are the mechanisms that actually convert need into served capacity in low-income geographies. Each is a real and valuable channel, and each differs from private retail demand in that it converts through a budget and an institution rather than through a price signal. The dissertation’s contribution to this debate is to insist that these channels be counted as what they are, subsidized or institutional demand, rather than folded into an addressable-market figure that treats every offline person as a paying subscriber. Clarity about the conversion mechanism is what separates a sustainable inclusion strategy from an overcapacity bet dressed in humanitarian language</w:t>
      </w:r>
      <w:r>
        <w:t xml:space="preserve"> </w:t>
      </w:r>
      <w:hyperlink w:anchor="ref-18">
        <w:r>
          <w:rPr>
            <w:rStyle w:val="Hyperlink"/>
          </w:rPr>
          <w:t xml:space="preserve">[18]</w:t>
        </w:r>
      </w:hyperlink>
      <w:r>
        <w:t xml:space="preserve">.</w:t>
      </w:r>
    </w:p>
    <w:bookmarkEnd w:id="148"/>
    <w:bookmarkStart w:id="149" w:name="X56f172cb8b29ab130584938f29b569b0ead698c"/>
    <w:p>
      <w:pPr>
        <w:pStyle w:val="Heading2"/>
        <w:spacing w:line="480" w:lineRule="auto"/>
      </w:pPr>
      <w:r>
        <w:t xml:space="preserve">A note on the security-strategic exception</w:t>
      </w:r>
    </w:p>
    <w:p>
      <w:pPr>
        <w:pStyle w:val="FirstParagraph"/>
        <w:spacing w:line="480" w:lineRule="auto"/>
      </w:pPr>
      <w:r>
        <w:t xml:space="preserve">The conclusion would be incomplete without acknowledging the one motive that can rationally sustain building capacity ahead of retail demand: security and strategy. When capacity is built partly to deny it to rivals, to secure government and defense anchor customers, or to establish sovereign or allied resilience against hybrid threats, the buildout answers to a logic that retail-demand analysis does not capture</w:t>
      </w:r>
      <w:r>
        <w:t xml:space="preserve"> </w:t>
      </w:r>
      <w:hyperlink w:anchor="ref-25">
        <w:r>
          <w:rPr>
            <w:rStyle w:val="Hyperlink"/>
          </w:rPr>
          <w:t xml:space="preserve">[25]</w:t>
        </w:r>
      </w:hyperlink>
      <w:r>
        <w:t xml:space="preserve">. The European framing of space and ground systems as assets to be defended, and the broader treatment of government demand as a first-mover advantage, both describe a world in which some overbuild relative to priced consumer demand is intentional and strategically justified</w:t>
      </w:r>
      <w:r>
        <w:t xml:space="preserve"> </w:t>
      </w:r>
      <w:hyperlink w:anchor="ref-1">
        <w:r>
          <w:rPr>
            <w:rStyle w:val="Hyperlink"/>
          </w:rPr>
          <w:t xml:space="preserve">[1]</w:t>
        </w:r>
      </w:hyperlink>
      <w:r>
        <w:t xml:space="preserve">. The dissertation does not dispute this. It insists only that the strategic justification be recognized as separate from the market justification, so that spectrum and orbital resource consumed for strategic reasons is scored honestly for what it is rather than laundered through an inflated addressable-market figure. A glut driven by strategy is still a glut with respect to priced demand, even if a state judges it worth the cost, and clarity about which ledger is paying is exactly what the two-frontier frame provides.</w:t>
      </w:r>
    </w:p>
    <w:bookmarkEnd w:id="149"/>
    <w:bookmarkStart w:id="150" w:name="X18a9aae4916f36fb815a9ca730b14ad20041239"/>
    <w:p>
      <w:pPr>
        <w:pStyle w:val="Heading2"/>
        <w:spacing w:line="480" w:lineRule="auto"/>
      </w:pPr>
      <w:r>
        <w:t xml:space="preserve">The methodological lesson beyond this case</w:t>
      </w:r>
    </w:p>
    <w:p>
      <w:pPr>
        <w:pStyle w:val="FirstParagraph"/>
        <w:spacing w:line="480" w:lineRule="auto"/>
      </w:pPr>
      <w:r>
        <w:t xml:space="preserve">Stepping back from LEO broadband, the dissertation offers a methodological lesson about how to study any market where physical provisioning and economic absorption are easy to conflate. The lesson is to measure the two separately, in their own units, from sources that can be audited, and to resist the pressure to produce a single headline number before the joining data exist. This sounds modest, and it is, but it runs against a strong current in both industry and policy analysis, where a single addressable-market figure or a single capacity number is prized precisely because it is simple. The two papers here demonstrate that the simple number hides the mechanism, and that recovering the mechanism requires holding the two frontiers apart long enough to see that they move on different clocks</w:t>
      </w:r>
      <w:r>
        <w:t xml:space="preserve"> </w:t>
      </w:r>
      <w:hyperlink w:anchor="ref-4">
        <w:r>
          <w:rPr>
            <w:rStyle w:val="Hyperlink"/>
          </w:rPr>
          <w:t xml:space="preserve">[4]</w:t>
        </w:r>
      </w:hyperlink>
      <w:r>
        <w:t xml:space="preserve">.</w:t>
      </w:r>
    </w:p>
    <w:p>
      <w:pPr>
        <w:pStyle w:val="BodyText"/>
        <w:spacing w:line="480" w:lineRule="auto"/>
        <w:ind w:firstLine="720"/>
      </w:pPr>
      <w:r>
        <w:t xml:space="preserve">The discipline generalizes because the conflation it corrects is general. Wherever capital builds ahead of demand, an analyst faces the temptation to read provisioning as sales and need as demand, and the correction is always the same: separate the accumulation process from the conversion process, measure each with data appropriate to it, and specify the join rather than assuming it. The dissertation is a worked instance of that correction applied to a space-infrastructure market, and its transferable output is less the two coefficients than the posture that produced them, a posture that treats an honest bound as more valuable than a confident but unfounded forecast</w:t>
      </w:r>
      <w:r>
        <w:t xml:space="preserve"> </w:t>
      </w:r>
      <w:hyperlink w:anchor="ref-3">
        <w:r>
          <w:rPr>
            <w:rStyle w:val="Hyperlink"/>
          </w:rPr>
          <w:t xml:space="preserve">[3]</w:t>
        </w:r>
      </w:hyperlink>
      <w:r>
        <w:t xml:space="preserve">.</w:t>
      </w:r>
    </w:p>
    <w:bookmarkEnd w:id="150"/>
    <w:bookmarkStart w:id="151" w:name="future-work"/>
    <w:p>
      <w:pPr>
        <w:pStyle w:val="Heading2"/>
        <w:spacing w:line="480" w:lineRule="auto"/>
      </w:pPr>
      <w:r>
        <w:t xml:space="preserve">Future work</w:t>
      </w:r>
    </w:p>
    <w:p>
      <w:pPr>
        <w:pStyle w:val="FirstParagraph"/>
        <w:spacing w:line="480" w:lineRule="auto"/>
      </w:pPr>
      <w:r>
        <w:t xml:space="preserve">Three extensions would convert the bound into a forecast, and they are ordered by value. The first and most valuable is the join itself: assembling gateway-throughput-by-geography and spectrum-rights-by-country data so that a payload stock can be matched to a priced national demand. This is the single missing key that separates the two frontiers, and closing it would let the ratio be estimated directly rather than bounded. The second is segment-level demand modeling, replacing the single connectivity-gap proxy with priced estimates across residential, enterprise, mobility, and government segments, since the demand result implies that mobility, enterprise, and government anchors, not household retail, are the real near-term absorbers in low-income geographies</w:t>
      </w:r>
      <w:r>
        <w:t xml:space="preserve"> </w:t>
      </w:r>
      <w:hyperlink w:anchor="ref-7">
        <w:r>
          <w:rPr>
            <w:rStyle w:val="Hyperlink"/>
          </w:rPr>
          <w:t xml:space="preserve">[7]</w:t>
        </w:r>
      </w:hyperlink>
      <w:r>
        <w:t xml:space="preserve">.</w:t>
      </w:r>
    </w:p>
    <w:p>
      <w:pPr>
        <w:pStyle w:val="BodyText"/>
        <w:spacing w:line="480" w:lineRule="auto"/>
        <w:ind w:firstLine="720"/>
      </w:pPr>
      <w:r>
        <w:t xml:space="preserve">The third extension is multi-operator and multi-generation supply estimation. The learning curve here is estimated on one operator’s early cohorts, and the aggregate 2030 supply frontier depends on several competing systems with different architectures and on later, larger satellite generations. Re-estimating the accumulation elasticity across operators and generations would test whether the near-proportional shape found for early Starlink generalizes or whether some systems exhibit the superlinear scaling the alternative hypothesis anticipated</w:t>
      </w:r>
      <w:r>
        <w:t xml:space="preserve"> </w:t>
      </w:r>
      <w:hyperlink w:anchor="ref-2">
        <w:r>
          <w:rPr>
            <w:rStyle w:val="Hyperlink"/>
          </w:rPr>
          <w:t xml:space="preserve">[2]</w:t>
        </w:r>
      </w:hyperlink>
      <w:r>
        <w:t xml:space="preserve">. Each extension is scoped, each is grounded in a limitation the dissertation named rather than hid, and each builds directly on the two estimators already validated.</w:t>
      </w:r>
    </w:p>
    <w:bookmarkEnd w:id="151"/>
    <w:bookmarkStart w:id="152" w:name="Xddce2bcf8cf8c27c389e983aa93a377e265ecd0"/>
    <w:p>
      <w:pPr>
        <w:pStyle w:val="Heading2"/>
        <w:spacing w:line="480" w:lineRule="auto"/>
      </w:pPr>
      <w:r>
        <w:t xml:space="preserve">An index a regulator or investor could actually run</w:t>
      </w:r>
    </w:p>
    <w:p>
      <w:pPr>
        <w:pStyle w:val="FirstParagraph"/>
        <w:spacing w:line="480" w:lineRule="auto"/>
      </w:pPr>
      <w:r>
        <w:t xml:space="preserve">It is worth stating concretely what an institution could build on the day after reading this dissertation, because a contribution that cannot be operationalized is only half a contribution. A regulator’s staff could stand up a supply ledger that tracks, per operator and per served geography, four separate quantities the dissertation shows must not be collapsed: authorized satellites, cataloged payloads, licensed gateway throughput, and active service authorizations. The supply learning curve demonstrates that the second of these can be measured cleanly from public catalog records and that its growth is steady and predictable, which makes it a reliable early indicator when the later, harder-to-observe layers lag behind it</w:t>
      </w:r>
      <w:r>
        <w:t xml:space="preserve"> </w:t>
      </w:r>
      <w:hyperlink w:anchor="ref-5">
        <w:r>
          <w:rPr>
            <w:rStyle w:val="Hyperlink"/>
          </w:rPr>
          <w:t xml:space="preserve">[5]</w:t>
        </w:r>
      </w:hyperlink>
      <w:r>
        <w:t xml:space="preserve">. On the demand side, the same staff could build a segment-weighted demand estimate that starts from the connectivity gap, discounts it by the income and rurality conditioning the regression quantifies, and then allocates the remainder across residential, enterprise, mobility, and government segments according to each country’s structure</w:t>
      </w:r>
      <w:r>
        <w:t xml:space="preserve"> </w:t>
      </w:r>
      <w:hyperlink w:anchor="ref-8">
        <w:r>
          <w:rPr>
            <w:rStyle w:val="Hyperlink"/>
          </w:rPr>
          <w:t xml:space="preserve">[8]</w:t>
        </w:r>
      </w:hyperlink>
      <w:r>
        <w:t xml:space="preserve">.</w:t>
      </w:r>
    </w:p>
    <w:p>
      <w:pPr>
        <w:pStyle w:val="BodyText"/>
        <w:spacing w:line="480" w:lineRule="auto"/>
        <w:ind w:firstLine="720"/>
      </w:pPr>
      <w:r>
        <w:t xml:space="preserve">The ratio of those two constructed ledgers, updated as new filings and indicators arrive, is the overcapacity monitor the prospectus envisioned, and none of its components requires proprietary operator data. That last point is what makes the monitor institutionally viable rather than merely conceptual. A regulator cannot compel an operator to disclose subscriber economics, but it can observe the catalog, the gateway licenses, the spectrum grants, and the development indicators, all of which are public. The dissertation’s methodological commitment to auditable public sources is therefore not an academic scruple; it is the property that lets the resulting monitor be run by an institution that lacks subpoena power over the entities it oversees</w:t>
      </w:r>
      <w:r>
        <w:t xml:space="preserve"> </w:t>
      </w:r>
      <w:hyperlink w:anchor="ref-3">
        <w:r>
          <w:rPr>
            <w:rStyle w:val="Hyperlink"/>
          </w:rPr>
          <w:t xml:space="preserve">[3]</w:t>
        </w:r>
      </w:hyperlink>
      <w:r>
        <w:t xml:space="preserve">.</w:t>
      </w:r>
    </w:p>
    <w:bookmarkEnd w:id="152"/>
    <w:bookmarkStart w:id="153" w:name="X6bdc5ba1dab4f741a4885d7ba3d4d14daa507f5"/>
    <w:p>
      <w:pPr>
        <w:pStyle w:val="Heading2"/>
        <w:spacing w:line="480" w:lineRule="auto"/>
      </w:pPr>
      <w:r>
        <w:t xml:space="preserve">Contribution to the space-economy conversation</w:t>
      </w:r>
    </w:p>
    <w:p>
      <w:pPr>
        <w:pStyle w:val="FirstParagraph"/>
        <w:spacing w:line="480" w:lineRule="auto"/>
      </w:pPr>
      <w:r>
        <w:t xml:space="preserve">Situated in the broader study of the space economy, the dissertation makes a specific methodological argument that extends beyond LEO broadband. It shows that a space-infrastructure market can be analyzed with the same discipline applied to terrestrial infrastructure booms, by measuring provisioning and absorption separately and reading their ratio, and that doing so requires resisting the domain’s habit of treating announced capacity and social need as though they were market quantities. The space-economy literature has flagged the coupling of productive capacity and economic absorption as undertheorized, and this work supplies one worked example of how to theorize and measure it</w:t>
      </w:r>
      <w:r>
        <w:t xml:space="preserve"> </w:t>
      </w:r>
      <w:hyperlink w:anchor="ref-4">
        <w:r>
          <w:rPr>
            <w:rStyle w:val="Hyperlink"/>
          </w:rPr>
          <w:t xml:space="preserve">[4]</w:t>
        </w:r>
      </w:hyperlink>
      <w:r>
        <w:t xml:space="preserve">. The example is transferable. Any capital-intensive space service built ahead of demand, whether in-space logistics, remote sensing, or resource extraction, faces the same provisioning-versus-absorption structure, and the two-frontier frame offers a template for testing overcapacity in those markets as their data mature</w:t>
      </w:r>
      <w:r>
        <w:t xml:space="preserve"> </w:t>
      </w:r>
      <w:hyperlink w:anchor="ref-18">
        <w:r>
          <w:rPr>
            <w:rStyle w:val="Hyperlink"/>
          </w:rPr>
          <w:t xml:space="preserve">[18]</w:t>
        </w:r>
      </w:hyperlink>
      <w:r>
        <w:t xml:space="preserve">.</w:t>
      </w:r>
    </w:p>
    <w:bookmarkEnd w:id="153"/>
    <w:bookmarkStart w:id="154" w:name="closing"/>
    <w:p>
      <w:pPr>
        <w:pStyle w:val="Heading2"/>
        <w:spacing w:line="480" w:lineRule="auto"/>
      </w:pPr>
      <w:r>
        <w:t xml:space="preserve">Closing</w:t>
      </w:r>
    </w:p>
    <w:p>
      <w:pPr>
        <w:pStyle w:val="FirstParagraph"/>
        <w:spacing w:line="480" w:lineRule="auto"/>
      </w:pPr>
      <w:r>
        <w:t xml:space="preserve">The value of this work is not a prediction but a posture. It insists that the sky filling with satellites and the market filling with paying demand are different events, measured differently, and that conflating them is the characteristic error of the LEO debate. Against that error it offers two honest measurements and a frame that holds them. The supply frontier accumulates steadily and fast. The demand frontier is throttled exactly where the coverage story is loudest. The two do not keep the same time. Whether their ratio crosses one by 2030 remains open, but it is no longer unmeasurable, and that shift from rhetoric to a falsifiable, reconstructible test is the contribution the dissertation was built to make</w:t>
      </w:r>
      <w:r>
        <w:t xml:space="preserve"> </w:t>
      </w:r>
      <w:hyperlink w:anchor="ref-1">
        <w:r>
          <w:rPr>
            <w:rStyle w:val="Hyperlink"/>
          </w:rPr>
          <w:t xml:space="preserve">[1]</w:t>
        </w:r>
      </w:hyperlink>
      <w:r>
        <w:t xml:space="preserve">. The sky will keep filling on its own schedule; the task set here is to measure whether the market can pay for what it holds, and to do so with numbers a skeptic could recompute rather than assertions a skeptic must simply believe</w:t>
      </w:r>
      <w:r>
        <w:t xml:space="preserve"> </w:t>
      </w:r>
      <w:hyperlink w:anchor="ref-3">
        <w:r>
          <w:rPr>
            <w:rStyle w:val="Hyperlink"/>
          </w:rPr>
          <w:t xml:space="preserve">[3]</w:t>
        </w:r>
      </w:hyperlink>
      <w:r>
        <w:t xml:space="preserve">.</w:t>
      </w:r>
    </w:p>
    <w:bookmarkEnd w:id="154"/>
    <w:bookmarkStart w:id="190" w:name="references"/>
    <w:p>
      <w:pPr>
        <w:pStyle w:val="Heading2"/>
        <w:spacing w:line="480" w:lineRule="auto"/>
      </w:pPr>
      <w:r>
        <w:t xml:space="preserve">References</w:t>
      </w:r>
    </w:p>
    <w:p>
      <w:pPr>
        <w:pStyle w:val="FirstParagraph"/>
        <w:spacing w:line="480" w:lineRule="auto"/>
      </w:pPr>
      <w:bookmarkStart w:id="155" w:name="ref-1"/>
      <w:bookmarkEnd w:id="155"/>
      <w:r>
        <w:t xml:space="preserve">1. M. Young and A. Thadani,</w:t>
      </w:r>
      <w:r>
        <w:t xml:space="preserve"> </w:t>
      </w:r>
      <w:r>
        <w:t xml:space="preserve">“Low-Orbit, High Stakes: Winning the LEO Broadband Competition,”</w:t>
      </w:r>
      <w:r>
        <w:t xml:space="preserve"> </w:t>
      </w:r>
      <w:r>
        <w:t xml:space="preserve">in</w:t>
      </w:r>
      <w:r>
        <w:t xml:space="preserve"> </w:t>
      </w:r>
      <w:r>
        <w:rPr>
          <w:i/>
          <w:iCs/>
        </w:rPr>
        <w:t xml:space="preserve">Proc. Advanced Maui Optical and Space Surveillance Technologies (AMOS) Conf.</w:t>
      </w:r>
      <w:r>
        <w:t xml:space="preserve">, 2022. Available: https://amostech.com/TechnicalPapers/2022/Poster/Young.pdf</w:t>
      </w:r>
    </w:p>
    <w:p>
      <w:pPr>
        <w:pStyle w:val="BodyText"/>
        <w:spacing w:line="480" w:lineRule="auto"/>
        <w:ind w:firstLine="720"/>
      </w:pPr>
      <w:bookmarkStart w:id="156" w:name="ref-2"/>
      <w:bookmarkEnd w:id="156"/>
      <w:r>
        <w:t xml:space="preserve">2. I. del Portillo, B. Cameron, and E. F. Crawley,</w:t>
      </w:r>
      <w:r>
        <w:t xml:space="preserve"> </w:t>
      </w:r>
      <w:r>
        <w:t xml:space="preserve">“A technical comparison of three low earth orbit satellite constellation systems to provide global broadband,”</w:t>
      </w:r>
      <w:r>
        <w:t xml:space="preserve"> </w:t>
      </w:r>
      <w:r>
        <w:rPr>
          <w:i/>
          <w:iCs/>
        </w:rPr>
        <w:t xml:space="preserve">Acta Astronautica</w:t>
      </w:r>
      <w:r>
        <w:t xml:space="preserve">, vol. 159, 2019. doi:</w:t>
      </w:r>
      <w:r>
        <w:t xml:space="preserve"> </w:t>
      </w:r>
      <w:hyperlink r:id="rId157">
        <w:r>
          <w:rPr>
            <w:rStyle w:val="Hyperlink"/>
          </w:rPr>
          <w:t xml:space="preserve">10.1016/j.actaastro.2019.03.040</w:t>
        </w:r>
      </w:hyperlink>
    </w:p>
    <w:p>
      <w:pPr>
        <w:pStyle w:val="BodyText"/>
        <w:spacing w:line="480" w:lineRule="auto"/>
        <w:ind w:firstLine="720"/>
      </w:pPr>
      <w:bookmarkStart w:id="158" w:name="ref-3"/>
      <w:bookmarkEnd w:id="158"/>
      <w:r>
        <w:t xml:space="preserve">3.</w:t>
      </w:r>
      <w:r>
        <w:t xml:space="preserve"> </w:t>
      </w:r>
      <w:r>
        <w:t xml:space="preserve">“The Role of Space in Driving Sustainability, Security, and Development,”</w:t>
      </w:r>
      <w:r>
        <w:t xml:space="preserve"> </w:t>
      </w:r>
      <w:r>
        <w:t xml:space="preserve">Space Economy Papers corpus, source key SD13.</w:t>
      </w:r>
    </w:p>
    <w:p>
      <w:pPr>
        <w:pStyle w:val="BodyText"/>
        <w:spacing w:line="480" w:lineRule="auto"/>
        <w:ind w:firstLine="720"/>
      </w:pPr>
      <w:bookmarkStart w:id="159" w:name="ref-4"/>
      <w:bookmarkEnd w:id="159"/>
      <w:r>
        <w:t xml:space="preserve">4.</w:t>
      </w:r>
      <w:r>
        <w:t xml:space="preserve"> </w:t>
      </w:r>
      <w:r>
        <w:t xml:space="preserve">“Architectural Socio-Technological Transformative Change of Space-Use Norms,”</w:t>
      </w:r>
      <w:r>
        <w:t xml:space="preserve"> </w:t>
      </w:r>
      <w:r>
        <w:t xml:space="preserve">Space Economy Papers corpus, source key SD03.</w:t>
      </w:r>
    </w:p>
    <w:p>
      <w:pPr>
        <w:pStyle w:val="BodyText"/>
        <w:spacing w:line="480" w:lineRule="auto"/>
        <w:ind w:firstLine="720"/>
      </w:pPr>
      <w:bookmarkStart w:id="160" w:name="ref-5"/>
      <w:bookmarkEnd w:id="160"/>
      <w:r>
        <w:t xml:space="preserve">5. CelesTrak,</w:t>
      </w:r>
      <w:r>
        <w:t xml:space="preserve"> </w:t>
      </w:r>
      <w:r>
        <w:t xml:space="preserve">“SATCAT Records,”</w:t>
      </w:r>
      <w:r>
        <w:t xml:space="preserve"> </w:t>
      </w:r>
      <w:r>
        <w:t xml:space="preserve">Starlink payload query, https://celestrak.org/satcat/records.php?NAME=STARLINK&amp;FORMAT=CSV&amp;PAYLOADS=1, retrieved June 27, 2026.</w:t>
      </w:r>
    </w:p>
    <w:p>
      <w:pPr>
        <w:pStyle w:val="BodyText"/>
        <w:spacing w:line="480" w:lineRule="auto"/>
        <w:ind w:firstLine="720"/>
      </w:pPr>
      <w:bookmarkStart w:id="161" w:name="ref-6"/>
      <w:bookmarkEnd w:id="161"/>
      <w:r>
        <w:t xml:space="preserve">6. J. F. Anderson, M. A. Cardin, and P. T. Grogan,</w:t>
      </w:r>
      <w:r>
        <w:t xml:space="preserve"> </w:t>
      </w:r>
      <w:r>
        <w:t xml:space="preserve">“Design and analysis of flexible multi-layer staged deployment for satellite mega-constellations under demand uncertainty,”</w:t>
      </w:r>
      <w:r>
        <w:t xml:space="preserve"> </w:t>
      </w:r>
      <w:r>
        <w:t xml:space="preserve">Acta Astronautica, vol. 198, 2022. doi:</w:t>
      </w:r>
      <w:r>
        <w:t xml:space="preserve"> </w:t>
      </w:r>
      <w:hyperlink r:id="rId162">
        <w:r>
          <w:rPr>
            <w:rStyle w:val="Hyperlink"/>
          </w:rPr>
          <w:t xml:space="preserve">10.1016/j.actaastro.2022.05.022</w:t>
        </w:r>
      </w:hyperlink>
    </w:p>
    <w:p>
      <w:pPr>
        <w:pStyle w:val="BodyText"/>
        <w:spacing w:line="480" w:lineRule="auto"/>
        <w:ind w:firstLine="720"/>
      </w:pPr>
      <w:bookmarkStart w:id="163" w:name="ref-7"/>
      <w:bookmarkEnd w:id="163"/>
      <w:r>
        <w:t xml:space="preserve">7. S. Martinez Zamacola, S. Martin Marco, and R. Martinez Rodriguez-Osorio,</w:t>
      </w:r>
      <w:r>
        <w:t xml:space="preserve"> </w:t>
      </w:r>
      <w:r>
        <w:t xml:space="preserve">“Profiling the transmit power of LEO satellite constellations for broadband communication services considering terrestrial and aerial demand,”</w:t>
      </w:r>
      <w:r>
        <w:t xml:space="preserve"> </w:t>
      </w:r>
      <w:r>
        <w:t xml:space="preserve">Acta Astronautica, vol. 236, 2025. doi:</w:t>
      </w:r>
      <w:r>
        <w:t xml:space="preserve"> </w:t>
      </w:r>
      <w:hyperlink r:id="rId164">
        <w:r>
          <w:rPr>
            <w:rStyle w:val="Hyperlink"/>
          </w:rPr>
          <w:t xml:space="preserve">10.1016/j.actaastro.2025.06.068</w:t>
        </w:r>
      </w:hyperlink>
    </w:p>
    <w:p>
      <w:pPr>
        <w:pStyle w:val="BodyText"/>
        <w:spacing w:line="480" w:lineRule="auto"/>
        <w:ind w:firstLine="720"/>
      </w:pPr>
      <w:bookmarkStart w:id="165" w:name="ref-8"/>
      <w:bookmarkEnd w:id="165"/>
      <w:r>
        <w:t xml:space="preserve">8. World Bank,</w:t>
      </w:r>
      <w:r>
        <w:t xml:space="preserve"> </w:t>
      </w:r>
      <w:r>
        <w:t xml:space="preserve">“World Development Indicators,”</w:t>
      </w:r>
      <w:r>
        <w:t xml:space="preserve"> </w:t>
      </w:r>
      <w:r>
        <w:t xml:space="preserve">API records for IT.NET.USER.ZS, SP.RUR.TOTL.ZS, and NY.GDP.PCAP.CD, 2023, retrieved June 27, 2026.</w:t>
      </w:r>
    </w:p>
    <w:p>
      <w:pPr>
        <w:pStyle w:val="BodyText"/>
        <w:spacing w:line="480" w:lineRule="auto"/>
        <w:ind w:firstLine="720"/>
      </w:pPr>
      <w:bookmarkStart w:id="166" w:name="ref-9"/>
      <w:bookmarkEnd w:id="166"/>
      <w:r>
        <w:t xml:space="preserve">9. International Telecommunication Union,</w:t>
      </w:r>
      <w:r>
        <w:t xml:space="preserve"> </w:t>
      </w:r>
      <w:r>
        <w:t xml:space="preserve">“Facts and Figures 2023,”</w:t>
      </w:r>
      <w:r>
        <w:t xml:space="preserve"> </w:t>
      </w:r>
      <w:r>
        <w:t xml:space="preserve">Geneva: ITU, 2023.</w:t>
      </w:r>
    </w:p>
    <w:p>
      <w:pPr>
        <w:pStyle w:val="BodyText"/>
        <w:spacing w:line="480" w:lineRule="auto"/>
        <w:ind w:firstLine="720"/>
      </w:pPr>
      <w:bookmarkStart w:id="167" w:name="ref-10"/>
      <w:bookmarkEnd w:id="167"/>
      <w:r>
        <w:t xml:space="preserve">10. Audrey Allison, Boeing. WRC-19: New Space Law Enabling the Sustainability of LEO (2020).</w:t>
      </w:r>
    </w:p>
    <w:p>
      <w:pPr>
        <w:pStyle w:val="BodyText"/>
        <w:spacing w:line="480" w:lineRule="auto"/>
        <w:ind w:firstLine="720"/>
      </w:pPr>
      <w:bookmarkStart w:id="168" w:name="ref-11"/>
      <w:bookmarkEnd w:id="168"/>
      <w:r>
        <w:t xml:space="preserve">11. Makena Young, Center for Strategic and International Studies; Akhil Thadani, Center for Strategic and International Studies. Low-Orbit, High Stakes: Winning the LEO Broadband Competition (2022).</w:t>
      </w:r>
    </w:p>
    <w:p>
      <w:pPr>
        <w:pStyle w:val="BodyText"/>
        <w:spacing w:line="480" w:lineRule="auto"/>
        <w:ind w:firstLine="720"/>
      </w:pPr>
      <w:bookmarkStart w:id="169" w:name="ref-12"/>
      <w:bookmarkEnd w:id="169"/>
      <w:r>
        <w:t xml:space="preserve">12. Mark A. Sturza, 3C Systems Company; Gemma Saura Carretero, Viasat, Inc.. Design Trades for Environmentally Friendly Broadband LEO Satellite Systems (2021).</w:t>
      </w:r>
    </w:p>
    <w:p>
      <w:pPr>
        <w:pStyle w:val="BodyText"/>
        <w:spacing w:line="480" w:lineRule="auto"/>
        <w:ind w:firstLine="720"/>
      </w:pPr>
      <w:bookmarkStart w:id="170" w:name="ref-13"/>
      <w:bookmarkEnd w:id="170"/>
      <w:r>
        <w:t xml:space="preserve">13. Pierre-Louis Mayeur, DOTA, ONERA; Delphine Barbon-Dubosc, DOTA, ONERA; Stéphane Basa, UAR Pytheas – OHP, Laboratoire d’Astrophysique de Marseille; Pierre-Eric Blanc, UAR Pytheas – OHP; Aurélie Bonnefois, DOTA, ONERA; Frederic Cassaing, DOTA, ONERA; François Dolon, UAR Pytheas – OHP; Marc Ferrari, UAR Pytheas – OHP, Laboratoire d’Astrophysique de Marseille; Romain Fetick, DOTA, ONERA; Johan Floriot, Laboratoire d’Astrophysique de Marseille; Yves-Michel Frédéric, DOTA, ONERA; Laurent Hespel, DOTA, ONERA; Julien Houy, DOTA, ONERA; Gillian Leplat, DOTA, ONERA; Vincent Michau, DOTA, ONERA; Cyril Petit, DOTA, ONERA; Jean-François Sauvage, DOTA, ONERA; Ugo Tricoli, DOTA, ONERA; Axel Vincent-Randonnier, DOTA, ONERA; Nicolas Vedrenne, DOTA, ONERA; Thierry Fusco, DOTA, ONERA. Optimizing Space Surveillance Capabilities: System Analysis and Competitive Procurement for PROVIDENCE’s 2.5m Telescope (2025). doi:</w:t>
      </w:r>
      <w:r>
        <w:t xml:space="preserve"> </w:t>
      </w:r>
      <w:hyperlink r:id="rId171">
        <w:r>
          <w:rPr>
            <w:rStyle w:val="Hyperlink"/>
          </w:rPr>
          <w:t xml:space="preserve">10.64861/MDKI9573</w:t>
        </w:r>
      </w:hyperlink>
    </w:p>
    <w:p>
      <w:pPr>
        <w:pStyle w:val="BodyText"/>
        <w:spacing w:line="480" w:lineRule="auto"/>
        <w:ind w:firstLine="720"/>
      </w:pPr>
      <w:bookmarkStart w:id="172" w:name="ref-14"/>
      <w:bookmarkEnd w:id="172"/>
      <w:r>
        <w:t xml:space="preserve">14. Mark A. Sturza, Viasat, Inc.; Mark D. Dankberg, Viasat, Inc.; William N. Blount, Viasat, Inc.. LEO Capacity Modeling for Sustainable Design (2022).</w:t>
      </w:r>
    </w:p>
    <w:p>
      <w:pPr>
        <w:pStyle w:val="BodyText"/>
        <w:spacing w:line="480" w:lineRule="auto"/>
        <w:ind w:firstLine="720"/>
      </w:pPr>
      <w:bookmarkStart w:id="173" w:name="ref-15"/>
      <w:bookmarkEnd w:id="173"/>
      <w:r>
        <w:t xml:space="preserve">15. Francis Chun, HQ USAFA/DFP, Ryan M. Tucker, Department of Physics, U.S. Air Force Academy, Evan M. Weld, Department of Physics, U.S. Air Force Academy, Francis K. Chun, Department of Physics, U.S. Air Force Academy, Roger D. Tippets, Department of Physics, U.S. Air Force Academy. Spectral Measurements of Geosynchronous Satellites During Glint Season (2015).</w:t>
      </w:r>
    </w:p>
    <w:p>
      <w:pPr>
        <w:pStyle w:val="BodyText"/>
        <w:spacing w:line="480" w:lineRule="auto"/>
        <w:ind w:firstLine="720"/>
      </w:pPr>
      <w:bookmarkStart w:id="174" w:name="ref-16"/>
      <w:bookmarkEnd w:id="174"/>
      <w:r>
        <w:t xml:space="preserve">16. Daniel Weisz, U.S. Air Force Academy, Anita N. Dunsmore, U.S. Air Force Academy, Joshua A. Key, U.S. Air Force Academy, Ryan M. Tucker, U.S. Air Force Academy, Evan M. Weld, U.S. Air Force Academy, Francis K. Chun, U.S. Air Force Academy, Roger D. Tippets, U.S. Air Force Academy. Comparison of Geosynchronous Satellites Spectral Signatures During Glint Season (2016).</w:t>
      </w:r>
    </w:p>
    <w:p>
      <w:pPr>
        <w:pStyle w:val="BodyText"/>
        <w:spacing w:line="480" w:lineRule="auto"/>
        <w:ind w:firstLine="720"/>
      </w:pPr>
      <w:bookmarkStart w:id="175" w:name="ref-17"/>
      <w:bookmarkEnd w:id="175"/>
      <w:r>
        <w:t xml:space="preserve">17. Mark Campbell, School of Engineering and Physical Sciences – Heriot-Watt University, Isabel Schlangen, School of Engineering and Physical Sciences – Heriot-Watt University, Emmanuel Delande, School of Engineering and Physical Sciences – Heriot-Watt University, and Daniel Clark, Telecom SudParis – Institut Mines-Telecom. Image Registration Using Single Cluster PHD Methods (2017).</w:t>
      </w:r>
    </w:p>
    <w:p>
      <w:pPr>
        <w:pStyle w:val="BodyText"/>
        <w:spacing w:line="480" w:lineRule="auto"/>
        <w:ind w:firstLine="720"/>
      </w:pPr>
      <w:bookmarkStart w:id="176" w:name="ref-18"/>
      <w:bookmarkEnd w:id="176"/>
      <w:r>
        <w:t xml:space="preserve">18. Christina Giannopapa; Athanasios Staveris-Poykalas; Spyros Metallinos. Space as an enabler for sustainable digital transformation: The new space race and benefits for newcommers (2022). doi:</w:t>
      </w:r>
      <w:r>
        <w:t xml:space="preserve"> </w:t>
      </w:r>
      <w:hyperlink r:id="rId177">
        <w:r>
          <w:rPr>
            <w:rStyle w:val="Hyperlink"/>
          </w:rPr>
          <w:t xml:space="preserve">10.1016/j.actaastro.2022.06.005</w:t>
        </w:r>
      </w:hyperlink>
    </w:p>
    <w:p>
      <w:pPr>
        <w:pStyle w:val="BodyText"/>
        <w:spacing w:line="480" w:lineRule="auto"/>
        <w:ind w:firstLine="720"/>
      </w:pPr>
      <w:bookmarkStart w:id="178" w:name="ref-19"/>
      <w:bookmarkEnd w:id="178"/>
      <w:r>
        <w:t xml:space="preserve">19. Samuel Martínez Zamacola; Santiago Martín Marco; Ramón Martínez Rodríguez‐Osorio. Profiling the transmit power of LEO satellite constellations for broadband communication services considering terrestrial and aerial demand (2025). doi:</w:t>
      </w:r>
      <w:r>
        <w:t xml:space="preserve"> </w:t>
      </w:r>
      <w:hyperlink r:id="rId164">
        <w:r>
          <w:rPr>
            <w:rStyle w:val="Hyperlink"/>
          </w:rPr>
          <w:t xml:space="preserve">10.1016/j.actaastro.2025.06.068</w:t>
        </w:r>
      </w:hyperlink>
    </w:p>
    <w:p>
      <w:pPr>
        <w:pStyle w:val="BodyText"/>
        <w:spacing w:line="480" w:lineRule="auto"/>
        <w:ind w:firstLine="720"/>
      </w:pPr>
      <w:bookmarkStart w:id="179" w:name="ref-20"/>
      <w:bookmarkEnd w:id="179"/>
      <w:r>
        <w:t xml:space="preserve">20. Iñigo del Portillo; Bruce Cameron; Edward F. Crawley. A technical comparison of three low earth orbit satellite constellation systems to provide global broadband (2019). doi:</w:t>
      </w:r>
      <w:r>
        <w:t xml:space="preserve"> </w:t>
      </w:r>
      <w:hyperlink r:id="rId157">
        <w:r>
          <w:rPr>
            <w:rStyle w:val="Hyperlink"/>
          </w:rPr>
          <w:t xml:space="preserve">10.1016/j.actaastro.2019.03.040</w:t>
        </w:r>
      </w:hyperlink>
    </w:p>
    <w:p>
      <w:pPr>
        <w:pStyle w:val="BodyText"/>
        <w:spacing w:line="480" w:lineRule="auto"/>
        <w:ind w:firstLine="720"/>
      </w:pPr>
      <w:bookmarkStart w:id="180" w:name="ref-21"/>
      <w:bookmarkEnd w:id="180"/>
      <w:r>
        <w:t xml:space="preserve">21. Kenneth M. Houston. Fine-tuning a narrowband SETI signal processing pipeline (2025). doi:</w:t>
      </w:r>
      <w:r>
        <w:t xml:space="preserve"> </w:t>
      </w:r>
      <w:hyperlink r:id="rId181">
        <w:r>
          <w:rPr>
            <w:rStyle w:val="Hyperlink"/>
          </w:rPr>
          <w:t xml:space="preserve">10.1016/j.actaastro.2025.08.024</w:t>
        </w:r>
      </w:hyperlink>
    </w:p>
    <w:p>
      <w:pPr>
        <w:pStyle w:val="BodyText"/>
        <w:spacing w:line="480" w:lineRule="auto"/>
        <w:ind w:firstLine="720"/>
      </w:pPr>
      <w:bookmarkStart w:id="182" w:name="ref-22"/>
      <w:bookmarkEnd w:id="182"/>
      <w:r>
        <w:t xml:space="preserve">22. Ben McKeown; Andrew G. Dempster; Serkan Saydam; Jeff Coulton. How should potential space resources markets be evaluated? (2026). doi:</w:t>
      </w:r>
      <w:r>
        <w:t xml:space="preserve"> </w:t>
      </w:r>
      <w:hyperlink r:id="rId183">
        <w:r>
          <w:rPr>
            <w:rStyle w:val="Hyperlink"/>
          </w:rPr>
          <w:t xml:space="preserve">10.1016/j.actaastro.2026.03.026</w:t>
        </w:r>
      </w:hyperlink>
    </w:p>
    <w:p>
      <w:pPr>
        <w:pStyle w:val="BodyText"/>
        <w:spacing w:line="480" w:lineRule="auto"/>
        <w:ind w:firstLine="720"/>
      </w:pPr>
      <w:bookmarkStart w:id="184" w:name="ref-23"/>
      <w:bookmarkEnd w:id="184"/>
      <w:r>
        <w:t xml:space="preserve">23. M. A. Garrett. Blink and you’ll miss it - How technological acceleration shrinks SETI’s narrow detection window (2025). doi:</w:t>
      </w:r>
      <w:r>
        <w:t xml:space="preserve"> </w:t>
      </w:r>
      <w:hyperlink r:id="rId185">
        <w:r>
          <w:rPr>
            <w:rStyle w:val="Hyperlink"/>
          </w:rPr>
          <w:t xml:space="preserve">10.1016/j.actaastro.2025.09.076</w:t>
        </w:r>
      </w:hyperlink>
    </w:p>
    <w:p>
      <w:pPr>
        <w:pStyle w:val="BodyText"/>
        <w:spacing w:line="480" w:lineRule="auto"/>
        <w:ind w:firstLine="720"/>
      </w:pPr>
      <w:bookmarkStart w:id="186" w:name="ref-24"/>
      <w:bookmarkEnd w:id="186"/>
      <w:r>
        <w:t xml:space="preserve">24. Camilla Colombo; Peter Martinez; Francesca Letizia; Benedetta M. Cattani; Emmanuelle David; Diego A. Escobar; Satomi Kawamoto; Robert J. Rovetto; Ivan Sumelzo. Space capacity management and its interaction with space traffic management (2025). doi:</w:t>
      </w:r>
      <w:r>
        <w:t xml:space="preserve"> </w:t>
      </w:r>
      <w:hyperlink r:id="rId187">
        <w:r>
          <w:rPr>
            <w:rStyle w:val="Hyperlink"/>
          </w:rPr>
          <w:t xml:space="preserve">10.1016/j.actaastro.2025.01.069</w:t>
        </w:r>
      </w:hyperlink>
    </w:p>
    <w:p>
      <w:pPr>
        <w:pStyle w:val="BodyText"/>
        <w:spacing w:line="480" w:lineRule="auto"/>
        <w:ind w:firstLine="720"/>
      </w:pPr>
      <w:bookmarkStart w:id="188" w:name="ref-25"/>
      <w:bookmarkEnd w:id="188"/>
      <w:r>
        <w:t xml:space="preserve">25. Jo�ão Reis. European union defense and security strategy for space and ground-based systems against hybrid threats (2024). doi:</w:t>
      </w:r>
      <w:r>
        <w:t xml:space="preserve"> </w:t>
      </w:r>
      <w:hyperlink r:id="rId189">
        <w:r>
          <w:rPr>
            <w:rStyle w:val="Hyperlink"/>
          </w:rPr>
          <w:t xml:space="preserve">10.1016/j.actaastro.2024.09.003</w:t>
        </w:r>
      </w:hyperlink>
    </w:p>
    <w:bookmarkEnd w:id="190"/>
    <w:bookmarkEnd w:id="191"/>
    <w:bookmarkStart w:id="20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9" w:name="Xbf8194fe6e41dd7da08ab129dfb2368c1356db4"/>
    <w:p>
      <w:pPr>
        <w:pStyle w:val="Heading2"/>
        <w:spacing w:line="480" w:lineRule="auto"/>
      </w:pPr>
      <w:r>
        <w:t xml:space="preserve">A.1 How Fast Did the Starlink Supply Frontier Scale? A Launch-Cohort Learning Curve from CelesTrak SATCAT Records</w:t>
      </w:r>
    </w:p>
    <w:p>
      <w:pPr>
        <w:pStyle w:val="FirstParagraph"/>
        <w:spacing w:line="480" w:lineRule="auto"/>
      </w:pPr>
      <m:oMathPara>
        <m:oMathParaPr>
          <m:jc m:val="center"/>
        </m:oMathParaPr>
        <m:oMath>
          <m:r>
            <m:rPr>
              <m:sty m:val="p"/>
            </m:rPr>
            <m:t>log</m:t>
          </m:r>
          <m:r>
            <m:rPr>
              <m:sty m:val="p"/>
            </m:rPr>
            <m:t>(</m:t>
          </m:r>
          <m:sSub>
            <m:e>
              <m:r>
                <m:rPr>
                  <m:nor/>
                  <m:sty m:val="p"/>
                </m:rPr>
                <m:t>CumulativePayloads</m:t>
              </m:r>
            </m:e>
            <m:sub>
              <m:r>
                <m:t>t</m:t>
              </m:r>
            </m:sub>
          </m:sSub>
          <m:r>
            <m:rPr>
              <m:sty m:val="p"/>
            </m:rPr>
            <m:t>)</m:t>
          </m:r>
          <m:r>
            <m:rPr>
              <m:sty m:val="p"/>
            </m:rPr>
            <m:t>=</m:t>
          </m:r>
          <m:r>
            <m:t>α</m:t>
          </m:r>
          <m:r>
            <m:rPr>
              <m:sty m:val="p"/>
            </m:rPr>
            <m:t>+</m:t>
          </m:r>
          <m:r>
            <m:t>b</m:t>
          </m:r>
          <m:r>
            <m:rPr>
              <m:sty m:val="p"/>
            </m:rPr>
            <m:t>log</m:t>
          </m:r>
          <m:r>
            <m:rPr>
              <m:sty m:val="p"/>
            </m:rPr>
            <m:t>(</m:t>
          </m:r>
          <m:sSub>
            <m:e>
              <m:r>
                <m:rPr>
                  <m:nor/>
                  <m:sty m:val="p"/>
                </m:rPr>
                <m:t>CohortSequence</m:t>
              </m:r>
            </m:e>
            <m:sub>
              <m:r>
                <m:t>t</m:t>
              </m:r>
            </m:sub>
          </m:sSub>
          <m:r>
            <m:rPr>
              <m:sty m:val="p"/>
            </m:rPr>
            <m:t>)</m:t>
          </m:r>
          <m:r>
            <m:rPr>
              <m:sty m:val="p"/>
            </m:rPr>
            <m:t>+</m:t>
          </m:r>
          <m:sSub>
            <m:e>
              <m:r>
                <m:t>ε</m:t>
              </m:r>
            </m:e>
            <m:sub>
              <m:r>
                <m:t>t</m:t>
              </m:r>
            </m:sub>
          </m:sSub>
        </m:oMath>
      </m:oMathPara>
    </w:p>
    <w:bookmarkStart w:id="19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4.1405</w:t>
            </w:r>
          </w:p>
        </w:tc>
        <w:tc>
          <w:tcPr>
            <w:tcW w:w="0" w:type="auto"/>
          </w:tcPr>
          <w:p>
            <w:pPr>
              <w:spacing w:line="240" w:lineRule="auto" w:before="0" w:after="0"/>
              <w:pStyle w:val="Compact"/>
            </w:pPr>
            <w:r>
              <w:rPr>
                <w:sz w:val="20"/>
                <w:szCs w:val="20"/>
              </w:rPr>
              <w:t xml:space="preserve">0.0159</w:t>
            </w:r>
          </w:p>
        </w:tc>
        <w:tc>
          <w:tcPr>
            <w:tcW w:w="0" w:type="auto"/>
          </w:tcPr>
          <w:p>
            <w:pPr>
              <w:spacing w:line="240" w:lineRule="auto" w:before="0" w:after="0"/>
              <w:pStyle w:val="Compact"/>
            </w:pPr>
            <w:r>
              <w:rPr>
                <w:sz w:val="20"/>
                <w:szCs w:val="20"/>
              </w:rPr>
              <w:t xml:space="preserve">260.1496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[4.1093, 4.1717]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0.9699</w:t>
            </w:r>
          </w:p>
        </w:tc>
        <w:tc>
          <w:tcPr>
            <w:tcW w:w="0" w:type="auto"/>
          </w:tcPr>
          <w:p>
            <w:pPr>
              <w:spacing w:line="240" w:lineRule="auto" w:before="0" w:after="0"/>
              <w:pStyle w:val="Compact"/>
            </w:pPr>
            <w:r>
              <w:rPr>
                <w:sz w:val="20"/>
                <w:szCs w:val="20"/>
              </w:rPr>
              <w:t xml:space="preserve">0.0056</w:t>
            </w:r>
          </w:p>
        </w:tc>
        <w:tc>
          <w:tcPr>
            <w:tcW w:w="0" w:type="auto"/>
          </w:tcPr>
          <w:p>
            <w:pPr>
              <w:spacing w:line="240" w:lineRule="auto" w:before="0" w:after="0"/>
              <w:pStyle w:val="Compact"/>
            </w:pPr>
            <w:r>
              <w:rPr>
                <w:sz w:val="20"/>
                <w:szCs w:val="20"/>
              </w:rPr>
              <w:t xml:space="preserve">173.8516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[0.959, 0.9809]</w:t>
            </w:r>
          </w:p>
        </w:tc>
      </w:tr>
    </w:tbl>
    <w:p>
      <w:pPr>
        <w:pStyle w:val="BodyText"/>
        <w:spacing w:line="480" w:lineRule="auto"/>
        <w:ind w:firstLine="720"/>
      </w:pPr>
      <w:r>
        <w:t xml:space="preserve">Fit: N = 40 R2 = 0.9994 elasticity_b = 0.9699 progress_ratio_2^b = 1.9587</w:t>
      </w:r>
    </w:p>
    <w:bookmarkEnd w:id="192"/>
    <w:bookmarkStart w:id="19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Figure 1. Starlink cumulative payload deployment by launch cohort in CelesTrak SATCAT records." title="" id="194" name="Picture"/>
            <a:graphic>
              <a:graphicData uri="http://schemas.openxmlformats.org/drawingml/2006/picture">
                <pic:pic>
                  <pic:nvPicPr>
                    <pic:cNvPr descr="D:/Claude_Code/brain/collegium/candidates/dissertations/SPECTRUM_PNT_13/research_papers/p1/paper_fig1.png" id="195" name="Picture"/>
                    <pic:cNvPicPr>
                      <a:picLocks noChangeArrowheads="1" noChangeAspect="1"/>
                    </pic:cNvPicPr>
                  </pic:nvPicPr>
                  <pic:blipFill>
                    <a:blip r:embed="rId19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Figure 1. Starlink cumulative payload deployment by launch cohort in CelesTrak SATCAT records.</w:t>
      </w:r>
    </w:p>
    <w:bookmarkEnd w:id="196"/>
    <w:bookmarkStart w:id="19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cohort_sequence</w:t>
            </w:r>
          </w:p>
        </w:tc>
        <w:tc>
          <w:tcPr>
            <w:tcW w:w="0" w:type="auto"/>
          </w:tcPr>
          <w:p>
            <w:pPr>
              <w:spacing w:line="240" w:lineRule="auto" w:before="0" w:after="0"/>
              <w:pStyle w:val="Compact"/>
            </w:pPr>
            <w:r>
              <w:rPr>
                <w:sz w:val="20"/>
                <w:szCs w:val="20"/>
              </w:rPr>
              <w:t xml:space="preserve">launch_date</w:t>
            </w:r>
          </w:p>
        </w:tc>
        <w:tc>
          <w:tcPr>
            <w:tcW w:w="0" w:type="auto"/>
          </w:tcPr>
          <w:p>
            <w:pPr>
              <w:spacing w:line="240" w:lineRule="auto" w:before="0" w:after="0"/>
              <w:pStyle w:val="Compact"/>
            </w:pPr>
            <w:r>
              <w:rPr>
                <w:sz w:val="20"/>
                <w:szCs w:val="20"/>
              </w:rPr>
              <w:t xml:space="preserve">payload_count</w:t>
            </w:r>
          </w:p>
        </w:tc>
        <w:tc>
          <w:tcPr>
            <w:tcW w:w="0" w:type="auto"/>
          </w:tcPr>
          <w:p>
            <w:pPr>
              <w:spacing w:line="240" w:lineRule="auto" w:before="0" w:after="0"/>
              <w:pStyle w:val="Compact"/>
            </w:pPr>
            <w:r>
              <w:rPr>
                <w:sz w:val="20"/>
                <w:szCs w:val="20"/>
              </w:rPr>
              <w:t xml:space="preserve">cumulative_payloads</w:t>
            </w:r>
          </w:p>
        </w:tc>
        <w:tc>
          <w:tcPr>
            <w:tcW w:w="0" w:type="auto"/>
          </w:tcPr>
          <w:p>
            <w:pPr>
              <w:spacing w:line="240" w:lineRule="auto" w:before="0" w:after="0"/>
              <w:pStyle w:val="Compact"/>
            </w:pPr>
            <w:r>
              <w:rPr>
                <w:sz w:val="20"/>
                <w:szCs w:val="20"/>
              </w:rPr>
              <w:t xml:space="preserve">surviving_payloads</w:t>
            </w:r>
          </w:p>
        </w:tc>
        <w:tc>
          <w:tcPr>
            <w:tcW w:w="0" w:type="auto"/>
          </w:tcPr>
          <w:p>
            <w:pPr>
              <w:spacing w:line="240" w:lineRule="auto" w:before="0" w:after="0"/>
              <w:pStyle w:val="Compact"/>
            </w:pPr>
            <w:r>
              <w:rPr>
                <w:sz w:val="20"/>
                <w:szCs w:val="20"/>
              </w:rPr>
              <w:t xml:space="preserve">decayed_payloads</w:t>
            </w:r>
          </w:p>
        </w:tc>
        <w:tc>
          <w:tcPr>
            <w:tcW w:w="0" w:type="auto"/>
          </w:tcPr>
          <w:p>
            <w:pPr>
              <w:spacing w:line="240" w:lineRule="auto" w:before="0" w:after="0"/>
              <w:pStyle w:val="Compact"/>
            </w:pPr>
            <w:r>
              <w:rPr>
                <w:sz w:val="20"/>
                <w:szCs w:val="20"/>
              </w:rPr>
              <w:t xml:space="preserve">decay_share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2019-05-24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2019-11-11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0.7667</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2020-01-07</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2020-01-29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2020-02-17</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2020-03-18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0.4833</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2020-04-22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0.6333</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2020-06-04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480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0.5833</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2020-06-13</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538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0.7414</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2020-08-07</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595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0.386</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2020-08-18</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653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0.7414</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2020-09-03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713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2020-10-06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773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2020-10-18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833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2020-10-24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893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0.8667</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2020-11-25</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953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0.8333</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2021-01-20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1013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0.3167</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2021-01-24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2021-02-04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1083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0.8333</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2021-02-16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1143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0.7167</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2021-03-04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1203</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0.5333</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2021-03-11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1263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0.2167</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2021-03-14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1323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2021-03-24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1383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0.8167</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2021-04-07</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1443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0.2167</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2021-04-29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1503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2021-05-04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1563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0.2333</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2021-05-09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1623</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0.2833</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2021-05-15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1675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0.3269</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2021-05-26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1735</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0.2167</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2021-06-30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2021-09-14</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1789</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0.2549</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2021-11-13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1842</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0.1132</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2021-12-02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1890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0.0625</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2021-12-18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1942</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0.2885</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2022-01-06</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0.2041</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2022-01-19</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2040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0.1224</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2022-02-03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2057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0.4706</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2022-02-21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2103</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0.0652</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2022-02-25</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2153</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bl>
    <w:bookmarkEnd w:id="197"/>
    <w:bookmarkStart w:id="198"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cumulative_payloads</w:t>
            </w:r>
          </w:p>
        </w:tc>
        <w:tc>
          <w:tcPr>
            <w:tcW w:w="0" w:type="auto"/>
          </w:tcPr>
          <w:p>
            <w:pPr>
              <w:spacing w:line="240" w:lineRule="auto" w:before="0" w:after="0"/>
              <w:pStyle w:val="Compact"/>
            </w:pPr>
            <w:r>
              <w:rPr>
                <w:sz w:val="20"/>
                <w:szCs w:val="20"/>
              </w:rPr>
              <w:t xml:space="preserve">Cumulative Starlink payloads cataloged through each launch cohort</w:t>
            </w:r>
          </w:p>
        </w:tc>
        <w:tc>
          <w:tcPr>
            <w:tcW w:w="0" w:type="auto"/>
          </w:tcPr>
          <w:p>
            <w:pPr>
              <w:spacing w:line="240" w:lineRule="auto" w:before="0" w:after="0"/>
              <w:pStyle w:val="Compact"/>
            </w:pPr>
            <w:r>
              <w:rPr>
                <w:sz w:val="20"/>
                <w:szCs w:val="20"/>
              </w:rPr>
              <w:t xml:space="preserve">CelesTrak SATCAT Starlink payload records grouped by launch date</w:t>
            </w:r>
          </w:p>
        </w:tc>
      </w:tr>
      <w:tr>
        <w:tc>
          <w:tcPr>
            <w:tcW w:w="0" w:type="auto"/>
          </w:tcPr>
          <w:p>
            <w:pPr>
              <w:spacing w:line="240" w:lineRule="auto" w:before="0" w:after="0"/>
              <w:pStyle w:val="Compact"/>
            </w:pPr>
            <w:r>
              <w:rPr>
                <w:sz w:val="20"/>
                <w:szCs w:val="20"/>
              </w:rPr>
              <w:t xml:space="preserve">cohort_sequence</w:t>
            </w:r>
          </w:p>
        </w:tc>
        <w:tc>
          <w:tcPr>
            <w:tcW w:w="0" w:type="auto"/>
          </w:tcPr>
          <w:p>
            <w:pPr>
              <w:spacing w:line="240" w:lineRule="auto" w:before="0" w:after="0"/>
              <w:pStyle w:val="Compact"/>
            </w:pPr>
            <w:r>
              <w:rPr>
                <w:sz w:val="20"/>
                <w:szCs w:val="20"/>
              </w:rPr>
              <w:t xml:space="preserve">Ordinal launch-cohort count beginning with the first Starlink payload cohort in the SATCAT extract</w:t>
            </w:r>
          </w:p>
        </w:tc>
        <w:tc>
          <w:tcPr>
            <w:tcW w:w="0" w:type="auto"/>
          </w:tcPr>
          <w:p>
            <w:pPr>
              <w:spacing w:line="240" w:lineRule="auto" w:before="0" w:after="0"/>
              <w:pStyle w:val="Compact"/>
            </w:pPr>
            <w:r>
              <w:rPr>
                <w:sz w:val="20"/>
                <w:szCs w:val="20"/>
              </w:rPr>
              <w:t xml:space="preserve">Constructed from CelesTrak launch dates</w:t>
            </w:r>
          </w:p>
        </w:tc>
      </w:tr>
      <w:tr>
        <w:tc>
          <w:tcPr>
            <w:tcW w:w="0" w:type="auto"/>
          </w:tcPr>
          <w:p>
            <w:pPr>
              <w:spacing w:line="240" w:lineRule="auto" w:before="0" w:after="0"/>
              <w:pStyle w:val="Compact"/>
            </w:pPr>
            <w:r>
              <w:rPr>
                <w:sz w:val="20"/>
                <w:szCs w:val="20"/>
              </w:rPr>
              <w:t xml:space="preserve">payload_count</w:t>
            </w:r>
          </w:p>
        </w:tc>
        <w:tc>
          <w:tcPr>
            <w:tcW w:w="0" w:type="auto"/>
          </w:tcPr>
          <w:p>
            <w:pPr>
              <w:spacing w:line="240" w:lineRule="auto" w:before="0" w:after="0"/>
              <w:pStyle w:val="Compact"/>
            </w:pPr>
            <w:r>
              <w:rPr>
                <w:sz w:val="20"/>
                <w:szCs w:val="20"/>
              </w:rPr>
              <w:t xml:space="preserve">Number of Starlink payloads cataloged in the launch cohort</w:t>
            </w:r>
          </w:p>
        </w:tc>
        <w:tc>
          <w:tcPr>
            <w:tcW w:w="0" w:type="auto"/>
          </w:tcPr>
          <w:p>
            <w:pPr>
              <w:spacing w:line="240" w:lineRule="auto" w:before="0" w:after="0"/>
              <w:pStyle w:val="Compact"/>
            </w:pPr>
            <w:r>
              <w:rPr>
                <w:sz w:val="20"/>
                <w:szCs w:val="20"/>
              </w:rPr>
              <w:t xml:space="preserve">Count of CelesTrak PAY records by launch date</w:t>
            </w:r>
          </w:p>
        </w:tc>
      </w:tr>
      <w:tr>
        <w:tc>
          <w:tcPr>
            <w:tcW w:w="0" w:type="auto"/>
          </w:tcPr>
          <w:p>
            <w:pPr>
              <w:spacing w:line="240" w:lineRule="auto" w:before="0" w:after="0"/>
              <w:pStyle w:val="Compact"/>
            </w:pPr>
            <w:r>
              <w:rPr>
                <w:sz w:val="20"/>
                <w:szCs w:val="20"/>
              </w:rPr>
              <w:t xml:space="preserve">decay_share</w:t>
            </w:r>
          </w:p>
        </w:tc>
        <w:tc>
          <w:tcPr>
            <w:tcW w:w="0" w:type="auto"/>
          </w:tcPr>
          <w:p>
            <w:pPr>
              <w:spacing w:line="240" w:lineRule="auto" w:before="0" w:after="0"/>
              <w:pStyle w:val="Compact"/>
            </w:pPr>
            <w:r>
              <w:rPr>
                <w:sz w:val="20"/>
                <w:szCs w:val="20"/>
              </w:rPr>
              <w:t xml:space="preserve">Share of the launch cohort with a recorded decay date by retrieval date</w:t>
            </w:r>
          </w:p>
        </w:tc>
        <w:tc>
          <w:tcPr>
            <w:tcW w:w="0" w:type="auto"/>
          </w:tcPr>
          <w:p>
            <w:pPr>
              <w:spacing w:line="240" w:lineRule="auto" w:before="0" w:after="0"/>
              <w:pStyle w:val="Compact"/>
            </w:pPr>
            <w:r>
              <w:rPr>
                <w:sz w:val="20"/>
                <w:szCs w:val="20"/>
              </w:rPr>
              <w:t xml:space="preserve">CelesTrak DECAY_DATE field</w:t>
            </w:r>
          </w:p>
        </w:tc>
      </w:tr>
    </w:tbl>
    <w:bookmarkEnd w:id="198"/>
    <w:bookmarkEnd w:id="199"/>
    <w:bookmarkStart w:id="207" w:name="Xf2bc085f64ee2d7a112c278a5b7ad7c159d68e4"/>
    <w:p>
      <w:pPr>
        <w:pStyle w:val="Heading2"/>
        <w:spacing w:line="480" w:lineRule="auto"/>
      </w:pPr>
      <w:r>
        <w:t xml:space="preserve">A.2 Connectivity Need Is Not Purchasing Power: Cross-Country Constraints on the LEO Broadband Demand Frontier</w:t>
      </w:r>
    </w:p>
    <w:p>
      <w:pPr>
        <w:pStyle w:val="FirstParagraph"/>
        <w:spacing w:line="480" w:lineRule="auto"/>
      </w:pPr>
      <m:oMathPara>
        <m:oMathParaPr>
          <m:jc m:val="center"/>
        </m:oMathParaPr>
        <m:oMath>
          <m:sSub>
            <m:e>
              <m:r>
                <m:rPr>
                  <m:nor/>
                  <m:sty m:val="p"/>
                </m:rPr>
                <m:t>InternetGap</m:t>
              </m:r>
            </m:e>
            <m:sub>
              <m:r>
                <m:t>i</m:t>
              </m:r>
            </m:sub>
          </m:sSub>
          <m:r>
            <m:rPr>
              <m:sty m:val="p"/>
            </m:rPr>
            <m:t>=</m:t>
          </m:r>
          <m:r>
            <m:t>α</m:t>
          </m:r>
          <m:r>
            <m:rPr>
              <m:sty m:val="p"/>
            </m:rPr>
            <m:t>+</m:t>
          </m:r>
          <m:sSub>
            <m:e>
              <m:r>
                <m:t>β</m:t>
              </m:r>
            </m:e>
            <m:sub>
              <m:r>
                <m:t>1</m:t>
              </m:r>
            </m:sub>
          </m:sSub>
          <m:sSub>
            <m:e>
              <m:r>
                <m:rPr>
                  <m:nor/>
                  <m:sty m:val="p"/>
                </m:rPr>
                <m:t>RuralShare</m:t>
              </m:r>
            </m:e>
            <m:sub>
              <m:r>
                <m:t>i</m:t>
              </m:r>
            </m:sub>
          </m:sSub>
          <m:r>
            <m:rPr>
              <m:sty m:val="p"/>
            </m:rPr>
            <m:t>+</m:t>
          </m:r>
          <m:sSub>
            <m:e>
              <m:r>
                <m:t>β</m:t>
              </m:r>
            </m:e>
            <m:sub>
              <m:r>
                <m:t>2</m:t>
              </m:r>
            </m:sub>
          </m:sSub>
          <m:r>
            <m:rPr>
              <m:sty m:val="p"/>
            </m:rPr>
            <m:t>log</m:t>
          </m:r>
          <m:r>
            <m:rPr>
              <m:sty m:val="p"/>
            </m:rPr>
            <m:t>(</m:t>
          </m:r>
          <m:sSub>
            <m:e>
              <m:r>
                <m:rPr>
                  <m:nor/>
                  <m:sty m:val="p"/>
                </m:rPr>
                <m:t>GDPpc</m:t>
              </m:r>
            </m:e>
            <m:sub>
              <m:r>
                <m:t>i</m:t>
              </m:r>
            </m:sub>
          </m:sSub>
          <m:r>
            <m:rPr>
              <m:sty m:val="p"/>
            </m:rPr>
            <m:t>)</m:t>
          </m:r>
          <m:r>
            <m:rPr>
              <m:sty m:val="p"/>
            </m:rPr>
            <m:t>+</m:t>
          </m:r>
          <m:sSub>
            <m:e>
              <m:r>
                <m:t>ε</m:t>
              </m:r>
            </m:e>
            <m:sub>
              <m:r>
                <m:t>i</m:t>
              </m:r>
            </m:sub>
          </m:sSub>
        </m:oMath>
      </m:oMathPara>
    </w:p>
    <w:bookmarkStart w:id="20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115.2408</w:t>
            </w:r>
          </w:p>
        </w:tc>
        <w:tc>
          <w:tcPr>
            <w:tcW w:w="0" w:type="auto"/>
          </w:tcPr>
          <w:p>
            <w:pPr>
              <w:spacing w:line="240" w:lineRule="auto" w:before="0" w:after="0"/>
              <w:pStyle w:val="Compact"/>
            </w:pPr>
            <w:r>
              <w:rPr>
                <w:sz w:val="20"/>
                <w:szCs w:val="20"/>
              </w:rPr>
              <w:t xml:space="preserve">15.4279</w:t>
            </w:r>
          </w:p>
        </w:tc>
        <w:tc>
          <w:tcPr>
            <w:tcW w:w="0" w:type="auto"/>
          </w:tcPr>
          <w:p>
            <w:pPr>
              <w:spacing w:line="240" w:lineRule="auto" w:before="0" w:after="0"/>
              <w:pStyle w:val="Compact"/>
            </w:pPr>
            <w:r>
              <w:rPr>
                <w:sz w:val="20"/>
                <w:szCs w:val="20"/>
              </w:rPr>
              <w:t xml:space="preserve">7.4696</w:t>
            </w:r>
          </w:p>
        </w:tc>
        <w:tc>
          <w:tcPr>
            <w:tcW w:w="0" w:type="auto"/>
          </w:tcPr>
          <w:p>
            <w:pPr>
              <w:spacing w:line="240" w:lineRule="auto" w:before="0" w:after="0"/>
              <w:pStyle w:val="Compact"/>
            </w:pPr>
            <w:r>
              <w:rPr>
                <w:sz w:val="20"/>
                <w:szCs w:val="20"/>
              </w:rPr>
              <w:t xml:space="preserve">8.042e-14</w:t>
            </w:r>
          </w:p>
        </w:tc>
        <w:tc>
          <w:tcPr>
            <w:tcW w:w="0" w:type="auto"/>
          </w:tcPr>
          <w:p>
            <w:pPr>
              <w:spacing w:line="240" w:lineRule="auto" w:before="0" w:after="0"/>
              <w:pStyle w:val="Compact"/>
            </w:pPr>
            <w:r>
              <w:rPr>
                <w:sz w:val="20"/>
                <w:szCs w:val="20"/>
              </w:rPr>
              <w:t xml:space="preserve">[85.0026, 145.479]</w:t>
            </w:r>
          </w:p>
        </w:tc>
      </w:tr>
      <w:tr>
        <w:tc>
          <w:tcPr>
            <w:tcW w:w="0" w:type="auto"/>
          </w:tcPr>
          <w:p>
            <w:pPr>
              <w:spacing w:line="240" w:lineRule="auto" w:before="0" w:after="0"/>
              <w:pStyle w:val="Compact"/>
            </w:pPr>
            <w:r>
              <w:rPr>
                <w:sz w:val="20"/>
                <w:szCs w:val="20"/>
              </w:rPr>
              <w:t xml:space="preserve">rural_population_pct</w:t>
            </w:r>
          </w:p>
        </w:tc>
        <w:tc>
          <w:tcPr>
            <w:tcW w:w="0" w:type="auto"/>
          </w:tcPr>
          <w:p>
            <w:pPr>
              <w:spacing w:line="240" w:lineRule="auto" w:before="0" w:after="0"/>
              <w:pStyle w:val="Compact"/>
            </w:pPr>
            <w:r>
              <w:rPr>
                <w:sz w:val="20"/>
                <w:szCs w:val="20"/>
              </w:rPr>
              <w:t xml:space="preserve">0.3973</w:t>
            </w:r>
          </w:p>
        </w:tc>
        <w:tc>
          <w:tcPr>
            <w:tcW w:w="0" w:type="auto"/>
          </w:tcPr>
          <w:p>
            <w:pPr>
              <w:spacing w:line="240" w:lineRule="auto" w:before="0" w:after="0"/>
              <w:pStyle w:val="Compact"/>
            </w:pPr>
            <w:r>
              <w:rPr>
                <w:sz w:val="20"/>
                <w:szCs w:val="20"/>
              </w:rPr>
              <w:t xml:space="preserve">0.0852</w:t>
            </w:r>
          </w:p>
        </w:tc>
        <w:tc>
          <w:tcPr>
            <w:tcW w:w="0" w:type="auto"/>
          </w:tcPr>
          <w:p>
            <w:pPr>
              <w:spacing w:line="240" w:lineRule="auto" w:before="0" w:after="0"/>
              <w:pStyle w:val="Compact"/>
            </w:pPr>
            <w:r>
              <w:rPr>
                <w:sz w:val="20"/>
                <w:szCs w:val="20"/>
              </w:rPr>
              <w:t xml:space="preserve">4.6654</w:t>
            </w:r>
          </w:p>
        </w:tc>
        <w:tc>
          <w:tcPr>
            <w:tcW w:w="0" w:type="auto"/>
          </w:tcPr>
          <w:p>
            <w:pPr>
              <w:spacing w:line="240" w:lineRule="auto" w:before="0" w:after="0"/>
              <w:pStyle w:val="Compact"/>
            </w:pPr>
            <w:r>
              <w:rPr>
                <w:sz w:val="20"/>
                <w:szCs w:val="20"/>
              </w:rPr>
              <w:t xml:space="preserve">3.081e-06</w:t>
            </w:r>
          </w:p>
        </w:tc>
        <w:tc>
          <w:tcPr>
            <w:tcW w:w="0" w:type="auto"/>
          </w:tcPr>
          <w:p>
            <w:pPr>
              <w:spacing w:line="240" w:lineRule="auto" w:before="0" w:after="0"/>
              <w:pStyle w:val="Compact"/>
            </w:pPr>
            <w:r>
              <w:rPr>
                <w:sz w:val="20"/>
                <w:szCs w:val="20"/>
              </w:rPr>
              <w:t xml:space="preserve">[0.2304, 0.5642]</w:t>
            </w:r>
          </w:p>
        </w:tc>
      </w:tr>
      <w:tr>
        <w:tc>
          <w:tcPr>
            <w:tcW w:w="0" w:type="auto"/>
          </w:tcPr>
          <w:p>
            <w:pPr>
              <w:spacing w:line="240" w:lineRule="auto" w:before="0" w:after="0"/>
              <w:pStyle w:val="Compact"/>
            </w:pPr>
            <w:r>
              <w:rPr>
                <w:sz w:val="20"/>
                <w:szCs w:val="20"/>
              </w:rPr>
              <w:t xml:space="preserve">log_gdp_per_capita</w:t>
            </w:r>
          </w:p>
        </w:tc>
        <w:tc>
          <w:tcPr>
            <w:tcW w:w="0" w:type="auto"/>
          </w:tcPr>
          <w:p>
            <w:pPr>
              <w:spacing w:line="240" w:lineRule="auto" w:before="0" w:after="0"/>
              <w:pStyle w:val="Compact"/>
            </w:pPr>
            <w:r>
              <w:rPr>
                <w:sz w:val="20"/>
                <w:szCs w:val="20"/>
              </w:rPr>
              <w:t xml:space="preserve">-9.7131</w:t>
            </w:r>
          </w:p>
        </w:tc>
        <w:tc>
          <w:tcPr>
            <w:tcW w:w="0" w:type="auto"/>
          </w:tcPr>
          <w:p>
            <w:pPr>
              <w:spacing w:line="240" w:lineRule="auto" w:before="0" w:after="0"/>
              <w:pStyle w:val="Compact"/>
            </w:pPr>
            <w:r>
              <w:rPr>
                <w:sz w:val="20"/>
                <w:szCs w:val="20"/>
              </w:rPr>
              <w:t xml:space="preserve">1.7622</w:t>
            </w:r>
          </w:p>
        </w:tc>
        <w:tc>
          <w:tcPr>
            <w:tcW w:w="0" w:type="auto"/>
          </w:tcPr>
          <w:p>
            <w:pPr>
              <w:spacing w:line="240" w:lineRule="auto" w:before="0" w:after="0"/>
              <w:pStyle w:val="Compact"/>
            </w:pPr>
            <w:r>
              <w:rPr>
                <w:sz w:val="20"/>
                <w:szCs w:val="20"/>
              </w:rPr>
              <w:t xml:space="preserve">-5.5118</w:t>
            </w:r>
          </w:p>
        </w:tc>
        <w:tc>
          <w:tcPr>
            <w:tcW w:w="0" w:type="auto"/>
          </w:tcPr>
          <w:p>
            <w:pPr>
              <w:spacing w:line="240" w:lineRule="auto" w:before="0" w:after="0"/>
              <w:pStyle w:val="Compact"/>
            </w:pPr>
            <w:r>
              <w:rPr>
                <w:sz w:val="20"/>
                <w:szCs w:val="20"/>
              </w:rPr>
              <w:t xml:space="preserve">3.552e-08</w:t>
            </w:r>
          </w:p>
        </w:tc>
        <w:tc>
          <w:tcPr>
            <w:tcW w:w="0" w:type="auto"/>
          </w:tcPr>
          <w:p>
            <w:pPr>
              <w:spacing w:line="240" w:lineRule="auto" w:before="0" w:after="0"/>
              <w:pStyle w:val="Compact"/>
            </w:pPr>
            <w:r>
              <w:rPr>
                <w:sz w:val="20"/>
                <w:szCs w:val="20"/>
              </w:rPr>
              <w:t xml:space="preserve">[-13.167, -6.2591]</w:t>
            </w:r>
          </w:p>
        </w:tc>
      </w:tr>
    </w:tbl>
    <w:p>
      <w:pPr>
        <w:pStyle w:val="BodyText"/>
        <w:spacing w:line="480" w:lineRule="auto"/>
        <w:ind w:firstLine="720"/>
      </w:pPr>
      <w:r>
        <w:t xml:space="preserve">Fit: N = 40 R2 = 0.6189 R2_adj = 0.5983 F = 46.6268 F_p = 7.729e-11</w:t>
      </w:r>
    </w:p>
    <w:bookmarkEnd w:id="200"/>
    <w:bookmarkStart w:id="20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Figure 1. Rural population share and Internet-use gap across 40 countries in the 2023 World Bank indicators." title="" id="202" name="Picture"/>
            <a:graphic>
              <a:graphicData uri="http://schemas.openxmlformats.org/drawingml/2006/picture">
                <pic:pic>
                  <pic:nvPicPr>
                    <pic:cNvPr descr="D:/Claude_Code/brain/collegium/candidates/dissertations/SPECTRUM_PNT_13/research_papers/p2/paper_fig1.png" id="203" name="Picture"/>
                    <pic:cNvPicPr>
                      <a:picLocks noChangeArrowheads="1" noChangeAspect="1"/>
                    </pic:cNvPicPr>
                  </pic:nvPicPr>
                  <pic:blipFill>
                    <a:blip r:embed="rId20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Figure 1. Rural population share and Internet-use gap across 40 countries in the 2023 World Bank indicators.</w:t>
      </w:r>
    </w:p>
    <w:bookmarkEnd w:id="204"/>
    <w:bookmarkStart w:id="20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country</w:t>
            </w:r>
          </w:p>
        </w:tc>
        <w:tc>
          <w:tcPr>
            <w:tcW w:w="0" w:type="auto"/>
          </w:tcPr>
          <w:p>
            <w:pPr>
              <w:spacing w:line="240" w:lineRule="auto" w:before="0" w:after="0"/>
              <w:pStyle w:val="Compact"/>
            </w:pPr>
            <w:r>
              <w:rPr>
                <w:sz w:val="20"/>
                <w:szCs w:val="20"/>
              </w:rPr>
              <w:t xml:space="preserve">iso3</w:t>
            </w:r>
          </w:p>
        </w:tc>
        <w:tc>
          <w:tcPr>
            <w:tcW w:w="0" w:type="auto"/>
          </w:tcPr>
          <w:p>
            <w:pPr>
              <w:spacing w:line="240" w:lineRule="auto" w:before="0" w:after="0"/>
              <w:pStyle w:val="Compact"/>
            </w:pPr>
            <w:r>
              <w:rPr>
                <w:sz w:val="20"/>
                <w:szCs w:val="20"/>
              </w:rPr>
              <w:t xml:space="preserve">region</w:t>
            </w:r>
          </w:p>
        </w:tc>
        <w:tc>
          <w:tcPr>
            <w:tcW w:w="0" w:type="auto"/>
          </w:tcPr>
          <w:p>
            <w:pPr>
              <w:spacing w:line="240" w:lineRule="auto" w:before="0" w:after="0"/>
              <w:pStyle w:val="Compact"/>
            </w:pPr>
            <w:r>
              <w:rPr>
                <w:sz w:val="20"/>
                <w:szCs w:val="20"/>
              </w:rPr>
              <w:t xml:space="preserve">income_group</w:t>
            </w:r>
          </w:p>
        </w:tc>
        <w:tc>
          <w:tcPr>
            <w:tcW w:w="0" w:type="auto"/>
          </w:tcPr>
          <w:p>
            <w:pPr>
              <w:spacing w:line="240" w:lineRule="auto" w:before="0" w:after="0"/>
              <w:pStyle w:val="Compact"/>
            </w:pPr>
            <w:r>
              <w:rPr>
                <w:sz w:val="20"/>
                <w:szCs w:val="20"/>
              </w:rPr>
              <w:t xml:space="preserve">internet_use_pct</w:t>
            </w:r>
          </w:p>
        </w:tc>
        <w:tc>
          <w:tcPr>
            <w:tcW w:w="0" w:type="auto"/>
          </w:tcPr>
          <w:p>
            <w:pPr>
              <w:spacing w:line="240" w:lineRule="auto" w:before="0" w:after="0"/>
              <w:pStyle w:val="Compact"/>
            </w:pPr>
            <w:r>
              <w:rPr>
                <w:sz w:val="20"/>
                <w:szCs w:val="20"/>
              </w:rPr>
              <w:t xml:space="preserve">internet_gap_pct</w:t>
            </w:r>
          </w:p>
        </w:tc>
        <w:tc>
          <w:tcPr>
            <w:tcW w:w="0" w:type="auto"/>
          </w:tcPr>
          <w:p>
            <w:pPr>
              <w:spacing w:line="240" w:lineRule="auto" w:before="0" w:after="0"/>
              <w:pStyle w:val="Compact"/>
            </w:pPr>
            <w:r>
              <w:rPr>
                <w:sz w:val="20"/>
                <w:szCs w:val="20"/>
              </w:rPr>
              <w:t xml:space="preserve">rural_population_pct</w:t>
            </w:r>
          </w:p>
        </w:tc>
        <w:tc>
          <w:tcPr>
            <w:tcW w:w="0" w:type="auto"/>
          </w:tcPr>
          <w:p>
            <w:pPr>
              <w:spacing w:line="240" w:lineRule="auto" w:before="0" w:after="0"/>
              <w:pStyle w:val="Compact"/>
            </w:pPr>
            <w:r>
              <w:rPr>
                <w:sz w:val="20"/>
                <w:szCs w:val="20"/>
              </w:rPr>
              <w:t xml:space="preserve">gdp_per_capita_usd</w:t>
            </w:r>
          </w:p>
        </w:tc>
        <w:tc>
          <w:tcPr>
            <w:tcW w:w="0" w:type="auto"/>
          </w:tcPr>
          <w:p>
            <w:pPr>
              <w:spacing w:line="240" w:lineRule="auto" w:before="0" w:after="0"/>
              <w:pStyle w:val="Compact"/>
            </w:pPr>
            <w:r>
              <w:rPr>
                <w:sz w:val="20"/>
                <w:szCs w:val="20"/>
              </w:rPr>
              <w:t xml:space="preserve">log_gdp_per_capita</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7.1723</w:t>
            </w:r>
          </w:p>
        </w:tc>
        <w:tc>
          <w:tcPr>
            <w:tcW w:w="0" w:type="auto"/>
          </w:tcPr>
          <w:p>
            <w:pPr>
              <w:spacing w:line="240" w:lineRule="auto" w:before="0" w:after="0"/>
              <w:pStyle w:val="Compact"/>
            </w:pPr>
            <w:r>
              <w:rPr>
                <w:sz w:val="20"/>
                <w:szCs w:val="20"/>
              </w:rPr>
              <w:t xml:space="preserve">92.8277</w:t>
            </w:r>
          </w:p>
        </w:tc>
        <w:tc>
          <w:tcPr>
            <w:tcW w:w="0" w:type="auto"/>
          </w:tcPr>
          <w:p>
            <w:pPr>
              <w:spacing w:line="240" w:lineRule="auto" w:before="0" w:after="0"/>
              <w:pStyle w:val="Compact"/>
            </w:pPr>
            <w:r>
              <w:rPr>
                <w:sz w:val="20"/>
                <w:szCs w:val="20"/>
              </w:rPr>
              <w:t xml:space="preserve">76.4465</w:t>
            </w:r>
          </w:p>
        </w:tc>
        <w:tc>
          <w:tcPr>
            <w:tcW w:w="0" w:type="auto"/>
          </w:tcPr>
          <w:p>
            <w:pPr>
              <w:spacing w:line="240" w:lineRule="auto" w:before="0" w:after="0"/>
              <w:pStyle w:val="Compact"/>
            </w:pPr>
            <w:r>
              <w:rPr>
                <w:sz w:val="20"/>
                <w:szCs w:val="20"/>
              </w:rPr>
              <w:t xml:space="preserve">250.6273</w:t>
            </w:r>
          </w:p>
        </w:tc>
        <w:tc>
          <w:tcPr>
            <w:tcW w:w="0" w:type="auto"/>
          </w:tcPr>
          <w:p>
            <w:pPr>
              <w:spacing w:line="240" w:lineRule="auto" w:before="0" w:after="0"/>
              <w:pStyle w:val="Compact"/>
            </w:pPr>
            <w:r>
              <w:rPr>
                <w:sz w:val="20"/>
                <w:szCs w:val="20"/>
              </w:rPr>
              <w:t xml:space="preserve">5.524</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9.287</w:t>
            </w:r>
          </w:p>
        </w:tc>
        <w:tc>
          <w:tcPr>
            <w:tcW w:w="0" w:type="auto"/>
          </w:tcPr>
          <w:p>
            <w:pPr>
              <w:spacing w:line="240" w:lineRule="auto" w:before="0" w:after="0"/>
              <w:pStyle w:val="Compact"/>
            </w:pPr>
            <w:r>
              <w:rPr>
                <w:sz w:val="20"/>
                <w:szCs w:val="20"/>
              </w:rPr>
              <w:t xml:space="preserve">90.713</w:t>
            </w:r>
          </w:p>
        </w:tc>
        <w:tc>
          <w:tcPr>
            <w:tcW w:w="0" w:type="auto"/>
          </w:tcPr>
          <w:p>
            <w:pPr>
              <w:spacing w:line="240" w:lineRule="auto" w:before="0" w:after="0"/>
              <w:pStyle w:val="Compact"/>
            </w:pPr>
            <w:r>
              <w:rPr>
                <w:sz w:val="20"/>
                <w:szCs w:val="20"/>
              </w:rPr>
              <w:t xml:space="preserve">69.3941</w:t>
            </w:r>
          </w:p>
        </w:tc>
        <w:tc>
          <w:tcPr>
            <w:tcW w:w="0" w:type="auto"/>
          </w:tcPr>
          <w:p>
            <w:pPr>
              <w:spacing w:line="240" w:lineRule="auto" w:before="0" w:after="0"/>
              <w:pStyle w:val="Compact"/>
            </w:pPr>
            <w:r>
              <w:rPr>
                <w:sz w:val="20"/>
                <w:szCs w:val="20"/>
              </w:rPr>
              <w:t xml:space="preserve">1002.3091</w:t>
            </w:r>
          </w:p>
        </w:tc>
        <w:tc>
          <w:tcPr>
            <w:tcW w:w="0" w:type="auto"/>
          </w:tcPr>
          <w:p>
            <w:pPr>
              <w:spacing w:line="240" w:lineRule="auto" w:before="0" w:after="0"/>
              <w:pStyle w:val="Compact"/>
            </w:pPr>
            <w:r>
              <w:rPr>
                <w:sz w:val="20"/>
                <w:szCs w:val="20"/>
              </w:rPr>
              <w:t xml:space="preserve">6.9101</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12.0359</w:t>
            </w:r>
          </w:p>
        </w:tc>
        <w:tc>
          <w:tcPr>
            <w:tcW w:w="0" w:type="auto"/>
          </w:tcPr>
          <w:p>
            <w:pPr>
              <w:spacing w:line="240" w:lineRule="auto" w:before="0" w:after="0"/>
              <w:pStyle w:val="Compact"/>
            </w:pPr>
            <w:r>
              <w:rPr>
                <w:sz w:val="20"/>
                <w:szCs w:val="20"/>
              </w:rPr>
              <w:t xml:space="preserve">87.9641</w:t>
            </w:r>
          </w:p>
        </w:tc>
        <w:tc>
          <w:tcPr>
            <w:tcW w:w="0" w:type="auto"/>
          </w:tcPr>
          <w:p>
            <w:pPr>
              <w:spacing w:line="240" w:lineRule="auto" w:before="0" w:after="0"/>
              <w:pStyle w:val="Compact"/>
            </w:pPr>
            <w:r>
              <w:rPr>
                <w:sz w:val="20"/>
                <w:szCs w:val="20"/>
              </w:rPr>
              <w:t xml:space="preserve">73.6695</w:t>
            </w:r>
          </w:p>
        </w:tc>
        <w:tc>
          <w:tcPr>
            <w:tcW w:w="0" w:type="auto"/>
          </w:tcPr>
          <w:p>
            <w:pPr>
              <w:spacing w:line="240" w:lineRule="auto" w:before="0" w:after="0"/>
              <w:pStyle w:val="Compact"/>
            </w:pPr>
            <w:r>
              <w:rPr>
                <w:sz w:val="20"/>
                <w:szCs w:val="20"/>
              </w:rPr>
              <w:t xml:space="preserve">949.3335</w:t>
            </w:r>
          </w:p>
        </w:tc>
        <w:tc>
          <w:tcPr>
            <w:tcW w:w="0" w:type="auto"/>
          </w:tcPr>
          <w:p>
            <w:pPr>
              <w:spacing w:line="240" w:lineRule="auto" w:before="0" w:after="0"/>
              <w:pStyle w:val="Compact"/>
            </w:pPr>
            <w:r>
              <w:rPr>
                <w:sz w:val="20"/>
                <w:szCs w:val="20"/>
              </w:rPr>
              <w:t xml:space="preserve">6.8558</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12.9808</w:t>
            </w:r>
          </w:p>
        </w:tc>
        <w:tc>
          <w:tcPr>
            <w:tcW w:w="0" w:type="auto"/>
          </w:tcPr>
          <w:p>
            <w:pPr>
              <w:spacing w:line="240" w:lineRule="auto" w:before="0" w:after="0"/>
              <w:pStyle w:val="Compact"/>
            </w:pPr>
            <w:r>
              <w:rPr>
                <w:sz w:val="20"/>
                <w:szCs w:val="20"/>
              </w:rPr>
              <w:t xml:space="preserve">87.0192</w:t>
            </w:r>
          </w:p>
        </w:tc>
        <w:tc>
          <w:tcPr>
            <w:tcW w:w="0" w:type="auto"/>
          </w:tcPr>
          <w:p>
            <w:pPr>
              <w:spacing w:line="240" w:lineRule="auto" w:before="0" w:after="0"/>
              <w:pStyle w:val="Compact"/>
            </w:pPr>
            <w:r>
              <w:rPr>
                <w:sz w:val="20"/>
                <w:szCs w:val="20"/>
              </w:rPr>
              <w:t xml:space="preserve">82.2493</w:t>
            </w:r>
          </w:p>
        </w:tc>
        <w:tc>
          <w:tcPr>
            <w:tcW w:w="0" w:type="auto"/>
          </w:tcPr>
          <w:p>
            <w:pPr>
              <w:spacing w:line="240" w:lineRule="auto" w:before="0" w:after="0"/>
              <w:pStyle w:val="Compact"/>
            </w:pPr>
            <w:r>
              <w:rPr>
                <w:sz w:val="20"/>
                <w:szCs w:val="20"/>
              </w:rPr>
              <w:t xml:space="preserve">638.3361</w:t>
            </w:r>
          </w:p>
        </w:tc>
        <w:tc>
          <w:tcPr>
            <w:tcW w:w="0" w:type="auto"/>
          </w:tcPr>
          <w:p>
            <w:pPr>
              <w:spacing w:line="240" w:lineRule="auto" w:before="0" w:after="0"/>
              <w:pStyle w:val="Compact"/>
            </w:pPr>
            <w:r>
              <w:rPr>
                <w:sz w:val="20"/>
                <w:szCs w:val="20"/>
              </w:rPr>
              <w:t xml:space="preserve">6.4589</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13.8417</w:t>
            </w:r>
          </w:p>
        </w:tc>
        <w:tc>
          <w:tcPr>
            <w:tcW w:w="0" w:type="auto"/>
          </w:tcPr>
          <w:p>
            <w:pPr>
              <w:spacing w:line="240" w:lineRule="auto" w:before="0" w:after="0"/>
              <w:pStyle w:val="Compact"/>
            </w:pPr>
            <w:r>
              <w:rPr>
                <w:sz w:val="20"/>
                <w:szCs w:val="20"/>
              </w:rPr>
              <w:t xml:space="preserve">86.1583</w:t>
            </w:r>
          </w:p>
        </w:tc>
        <w:tc>
          <w:tcPr>
            <w:tcW w:w="0" w:type="auto"/>
          </w:tcPr>
          <w:p>
            <w:pPr>
              <w:spacing w:line="240" w:lineRule="auto" w:before="0" w:after="0"/>
              <w:pStyle w:val="Compact"/>
            </w:pPr>
            <w:r>
              <w:rPr>
                <w:sz w:val="20"/>
                <w:szCs w:val="20"/>
              </w:rPr>
              <w:t xml:space="preserve">56.3016</w:t>
            </w:r>
          </w:p>
        </w:tc>
        <w:tc>
          <w:tcPr>
            <w:tcW w:w="0" w:type="auto"/>
          </w:tcPr>
          <w:p>
            <w:pPr>
              <w:spacing w:line="240" w:lineRule="auto" w:before="0" w:after="0"/>
              <w:pStyle w:val="Compact"/>
            </w:pPr>
            <w:r>
              <w:rPr>
                <w:sz w:val="20"/>
                <w:szCs w:val="20"/>
              </w:rPr>
              <w:t xml:space="preserve">495.9789</w:t>
            </w:r>
          </w:p>
        </w:tc>
        <w:tc>
          <w:tcPr>
            <w:tcW w:w="0" w:type="auto"/>
          </w:tcPr>
          <w:p>
            <w:pPr>
              <w:spacing w:line="240" w:lineRule="auto" w:before="0" w:after="0"/>
              <w:pStyle w:val="Compact"/>
            </w:pPr>
            <w:r>
              <w:rPr>
                <w:sz w:val="20"/>
                <w:szCs w:val="20"/>
              </w:rPr>
              <w:t xml:space="preserve">6.2065</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Middle East, North Africa, Afghanistan &amp; Pakistan</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15.9284</w:t>
            </w:r>
          </w:p>
        </w:tc>
        <w:tc>
          <w:tcPr>
            <w:tcW w:w="0" w:type="auto"/>
          </w:tcPr>
          <w:p>
            <w:pPr>
              <w:spacing w:line="240" w:lineRule="auto" w:before="0" w:after="0"/>
              <w:pStyle w:val="Compact"/>
            </w:pPr>
            <w:r>
              <w:rPr>
                <w:sz w:val="20"/>
                <w:szCs w:val="20"/>
              </w:rPr>
              <w:t xml:space="preserve">84.0716</w:t>
            </w:r>
          </w:p>
        </w:tc>
        <w:tc>
          <w:tcPr>
            <w:tcW w:w="0" w:type="auto"/>
          </w:tcPr>
          <w:p>
            <w:pPr>
              <w:spacing w:line="240" w:lineRule="auto" w:before="0" w:after="0"/>
              <w:pStyle w:val="Compact"/>
            </w:pPr>
            <w:r>
              <w:rPr>
                <w:sz w:val="20"/>
                <w:szCs w:val="20"/>
              </w:rPr>
              <w:t xml:space="preserve">74.5269</w:t>
            </w:r>
          </w:p>
        </w:tc>
        <w:tc>
          <w:tcPr>
            <w:tcW w:w="0" w:type="auto"/>
          </w:tcPr>
          <w:p>
            <w:pPr>
              <w:spacing w:line="240" w:lineRule="auto" w:before="0" w:after="0"/>
              <w:pStyle w:val="Compact"/>
            </w:pPr>
            <w:r>
              <w:rPr>
                <w:sz w:val="20"/>
                <w:szCs w:val="20"/>
              </w:rPr>
              <w:t xml:space="preserve">413.7579</w:t>
            </w:r>
          </w:p>
        </w:tc>
        <w:tc>
          <w:tcPr>
            <w:tcW w:w="0" w:type="auto"/>
          </w:tcPr>
          <w:p>
            <w:pPr>
              <w:spacing w:line="240" w:lineRule="auto" w:before="0" w:after="0"/>
              <w:pStyle w:val="Compact"/>
            </w:pPr>
            <w:r>
              <w:rPr>
                <w:sz w:val="20"/>
                <w:szCs w:val="20"/>
              </w:rPr>
              <w:t xml:space="preserve">6.0253</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16.4507</w:t>
            </w:r>
          </w:p>
        </w:tc>
        <w:tc>
          <w:tcPr>
            <w:tcW w:w="0" w:type="auto"/>
          </w:tcPr>
          <w:p>
            <w:pPr>
              <w:spacing w:line="240" w:lineRule="auto" w:before="0" w:after="0"/>
              <w:pStyle w:val="Compact"/>
            </w:pPr>
            <w:r>
              <w:rPr>
                <w:sz w:val="20"/>
                <w:szCs w:val="20"/>
              </w:rPr>
              <w:t xml:space="preserve">83.5493</w:t>
            </w:r>
          </w:p>
        </w:tc>
        <w:tc>
          <w:tcPr>
            <w:tcW w:w="0" w:type="auto"/>
          </w:tcPr>
          <w:p>
            <w:pPr>
              <w:spacing w:line="240" w:lineRule="auto" w:before="0" w:after="0"/>
              <w:pStyle w:val="Compact"/>
            </w:pPr>
            <w:r>
              <w:rPr>
                <w:sz w:val="20"/>
                <w:szCs w:val="20"/>
              </w:rPr>
              <w:t xml:space="preserve">54.9714</w:t>
            </w:r>
          </w:p>
        </w:tc>
        <w:tc>
          <w:tcPr>
            <w:tcW w:w="0" w:type="auto"/>
          </w:tcPr>
          <w:p>
            <w:pPr>
              <w:spacing w:line="240" w:lineRule="auto" w:before="0" w:after="0"/>
              <w:pStyle w:val="Compact"/>
            </w:pPr>
            <w:r>
              <w:rPr>
                <w:sz w:val="20"/>
                <w:szCs w:val="20"/>
              </w:rPr>
              <w:t xml:space="preserve">1330.7278</w:t>
            </w:r>
          </w:p>
        </w:tc>
        <w:tc>
          <w:tcPr>
            <w:tcW w:w="0" w:type="auto"/>
          </w:tcPr>
          <w:p>
            <w:pPr>
              <w:spacing w:line="240" w:lineRule="auto" w:before="0" w:after="0"/>
              <w:pStyle w:val="Compact"/>
            </w:pPr>
            <w:r>
              <w:rPr>
                <w:sz w:val="20"/>
                <w:szCs w:val="20"/>
              </w:rPr>
              <w:t xml:space="preserve">7.1935</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17.9881</w:t>
            </w:r>
          </w:p>
        </w:tc>
        <w:tc>
          <w:tcPr>
            <w:tcW w:w="0" w:type="auto"/>
          </w:tcPr>
          <w:p>
            <w:pPr>
              <w:spacing w:line="240" w:lineRule="auto" w:before="0" w:after="0"/>
              <w:pStyle w:val="Compact"/>
            </w:pPr>
            <w:r>
              <w:rPr>
                <w:sz w:val="20"/>
                <w:szCs w:val="20"/>
              </w:rPr>
              <w:t xml:space="preserve">82.0119</w:t>
            </w:r>
          </w:p>
        </w:tc>
        <w:tc>
          <w:tcPr>
            <w:tcW w:w="0" w:type="auto"/>
          </w:tcPr>
          <w:p>
            <w:pPr>
              <w:spacing w:line="240" w:lineRule="auto" w:before="0" w:after="0"/>
              <w:pStyle w:val="Compact"/>
            </w:pPr>
            <w:r>
              <w:rPr>
                <w:sz w:val="20"/>
                <w:szCs w:val="20"/>
              </w:rPr>
              <w:t xml:space="preserve">83.0251</w:t>
            </w:r>
          </w:p>
        </w:tc>
        <w:tc>
          <w:tcPr>
            <w:tcW w:w="0" w:type="auto"/>
          </w:tcPr>
          <w:p>
            <w:pPr>
              <w:spacing w:line="240" w:lineRule="auto" w:before="0" w:after="0"/>
              <w:pStyle w:val="Compact"/>
            </w:pPr>
            <w:r>
              <w:rPr>
                <w:sz w:val="20"/>
                <w:szCs w:val="20"/>
              </w:rPr>
              <w:t xml:space="preserve">633.2148</w:t>
            </w:r>
          </w:p>
        </w:tc>
        <w:tc>
          <w:tcPr>
            <w:tcW w:w="0" w:type="auto"/>
          </w:tcPr>
          <w:p>
            <w:pPr>
              <w:spacing w:line="240" w:lineRule="auto" w:before="0" w:after="0"/>
              <w:pStyle w:val="Compact"/>
            </w:pPr>
            <w:r>
              <w:rPr>
                <w:sz w:val="20"/>
                <w:szCs w:val="20"/>
              </w:rPr>
              <w:t xml:space="preserve">6.4508</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18.2408</w:t>
            </w:r>
          </w:p>
        </w:tc>
        <w:tc>
          <w:tcPr>
            <w:tcW w:w="0" w:type="auto"/>
          </w:tcPr>
          <w:p>
            <w:pPr>
              <w:spacing w:line="240" w:lineRule="auto" w:before="0" w:after="0"/>
              <w:pStyle w:val="Compact"/>
            </w:pPr>
            <w:r>
              <w:rPr>
                <w:sz w:val="20"/>
                <w:szCs w:val="20"/>
              </w:rPr>
              <w:t xml:space="preserve">81.7592</w:t>
            </w:r>
          </w:p>
        </w:tc>
        <w:tc>
          <w:tcPr>
            <w:tcW w:w="0" w:type="auto"/>
          </w:tcPr>
          <w:p>
            <w:pPr>
              <w:spacing w:line="240" w:lineRule="auto" w:before="0" w:after="0"/>
              <w:pStyle w:val="Compact"/>
            </w:pPr>
            <w:r>
              <w:rPr>
                <w:sz w:val="20"/>
                <w:szCs w:val="20"/>
              </w:rPr>
              <w:t xml:space="preserve">68.0201</w:t>
            </w:r>
          </w:p>
        </w:tc>
        <w:tc>
          <w:tcPr>
            <w:tcW w:w="0" w:type="auto"/>
          </w:tcPr>
          <w:p>
            <w:pPr>
              <w:spacing w:line="240" w:lineRule="auto" w:before="0" w:after="0"/>
              <w:pStyle w:val="Compact"/>
            </w:pPr>
            <w:r>
              <w:rPr>
                <w:sz w:val="20"/>
                <w:szCs w:val="20"/>
              </w:rPr>
              <w:t xml:space="preserve">508.7184</w:t>
            </w:r>
          </w:p>
        </w:tc>
        <w:tc>
          <w:tcPr>
            <w:tcW w:w="0" w:type="auto"/>
          </w:tcPr>
          <w:p>
            <w:pPr>
              <w:spacing w:line="240" w:lineRule="auto" w:before="0" w:after="0"/>
              <w:pStyle w:val="Compact"/>
            </w:pPr>
            <w:r>
              <w:rPr>
                <w:sz w:val="20"/>
                <w:szCs w:val="20"/>
              </w:rPr>
              <w:t xml:space="preserve">6.2319</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East Asia &amp; Pacific</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18.5613</w:t>
            </w:r>
          </w:p>
        </w:tc>
        <w:tc>
          <w:tcPr>
            <w:tcW w:w="0" w:type="auto"/>
          </w:tcPr>
          <w:p>
            <w:pPr>
              <w:spacing w:line="240" w:lineRule="auto" w:before="0" w:after="0"/>
              <w:pStyle w:val="Compact"/>
            </w:pPr>
            <w:r>
              <w:rPr>
                <w:sz w:val="20"/>
                <w:szCs w:val="20"/>
              </w:rPr>
              <w:t xml:space="preserve">81.4387</w:t>
            </w:r>
          </w:p>
        </w:tc>
        <w:tc>
          <w:tcPr>
            <w:tcW w:w="0" w:type="auto"/>
          </w:tcPr>
          <w:p>
            <w:pPr>
              <w:spacing w:line="240" w:lineRule="auto" w:before="0" w:after="0"/>
              <w:pStyle w:val="Compact"/>
            </w:pPr>
            <w:r>
              <w:rPr>
                <w:sz w:val="20"/>
                <w:szCs w:val="20"/>
              </w:rPr>
              <w:t xml:space="preserve">84.9419</w:t>
            </w:r>
          </w:p>
        </w:tc>
        <w:tc>
          <w:tcPr>
            <w:tcW w:w="0" w:type="auto"/>
          </w:tcPr>
          <w:p>
            <w:pPr>
              <w:spacing w:line="240" w:lineRule="auto" w:before="0" w:after="0"/>
              <w:pStyle w:val="Compact"/>
            </w:pPr>
            <w:r>
              <w:rPr>
                <w:sz w:val="20"/>
                <w:szCs w:val="20"/>
              </w:rPr>
              <w:t xml:space="preserve">2966.0683</w:t>
            </w:r>
          </w:p>
        </w:tc>
        <w:tc>
          <w:tcPr>
            <w:tcW w:w="0" w:type="auto"/>
          </w:tcPr>
          <w:p>
            <w:pPr>
              <w:spacing w:line="240" w:lineRule="auto" w:before="0" w:after="0"/>
              <w:pStyle w:val="Compact"/>
            </w:pPr>
            <w:r>
              <w:rPr>
                <w:sz w:val="20"/>
                <w:szCs w:val="20"/>
              </w:rPr>
              <w:t xml:space="preserve">7.995</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Congo, Dem. Rep.</w:t>
            </w:r>
          </w:p>
        </w:tc>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18.9679</w:t>
            </w:r>
          </w:p>
        </w:tc>
        <w:tc>
          <w:tcPr>
            <w:tcW w:w="0" w:type="auto"/>
          </w:tcPr>
          <w:p>
            <w:pPr>
              <w:spacing w:line="240" w:lineRule="auto" w:before="0" w:after="0"/>
              <w:pStyle w:val="Compact"/>
            </w:pPr>
            <w:r>
              <w:rPr>
                <w:sz w:val="20"/>
                <w:szCs w:val="20"/>
              </w:rPr>
              <w:t xml:space="preserve">81.0321</w:t>
            </w:r>
          </w:p>
        </w:tc>
        <w:tc>
          <w:tcPr>
            <w:tcW w:w="0" w:type="auto"/>
          </w:tcPr>
          <w:p>
            <w:pPr>
              <w:spacing w:line="240" w:lineRule="auto" w:before="0" w:after="0"/>
              <w:pStyle w:val="Compact"/>
            </w:pPr>
            <w:r>
              <w:rPr>
                <w:sz w:val="20"/>
                <w:szCs w:val="20"/>
              </w:rPr>
              <w:t xml:space="preserve">55.6245</w:t>
            </w:r>
          </w:p>
        </w:tc>
        <w:tc>
          <w:tcPr>
            <w:tcW w:w="0" w:type="auto"/>
          </w:tcPr>
          <w:p>
            <w:pPr>
              <w:spacing w:line="240" w:lineRule="auto" w:before="0" w:after="0"/>
              <w:pStyle w:val="Compact"/>
            </w:pPr>
            <w:r>
              <w:rPr>
                <w:sz w:val="20"/>
                <w:szCs w:val="20"/>
              </w:rPr>
              <w:t xml:space="preserve">660.2121</w:t>
            </w:r>
          </w:p>
        </w:tc>
        <w:tc>
          <w:tcPr>
            <w:tcW w:w="0" w:type="auto"/>
          </w:tcPr>
          <w:p>
            <w:pPr>
              <w:spacing w:line="240" w:lineRule="auto" w:before="0" w:after="0"/>
              <w:pStyle w:val="Compact"/>
            </w:pPr>
            <w:r>
              <w:rPr>
                <w:sz w:val="20"/>
                <w:szCs w:val="20"/>
              </w:rPr>
              <w:t xml:space="preserve">6.4926</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19.9456</w:t>
            </w:r>
          </w:p>
        </w:tc>
        <w:tc>
          <w:tcPr>
            <w:tcW w:w="0" w:type="auto"/>
          </w:tcPr>
          <w:p>
            <w:pPr>
              <w:spacing w:line="240" w:lineRule="auto" w:before="0" w:after="0"/>
              <w:pStyle w:val="Compact"/>
            </w:pPr>
            <w:r>
              <w:rPr>
                <w:sz w:val="20"/>
                <w:szCs w:val="20"/>
              </w:rPr>
              <w:t xml:space="preserve">80.0544</w:t>
            </w:r>
          </w:p>
        </w:tc>
        <w:tc>
          <w:tcPr>
            <w:tcW w:w="0" w:type="auto"/>
          </w:tcPr>
          <w:p>
            <w:pPr>
              <w:spacing w:line="240" w:lineRule="auto" w:before="0" w:after="0"/>
              <w:pStyle w:val="Compact"/>
            </w:pPr>
            <w:r>
              <w:rPr>
                <w:sz w:val="20"/>
                <w:szCs w:val="20"/>
              </w:rPr>
              <w:t xml:space="preserve">64.285</w:t>
            </w:r>
          </w:p>
        </w:tc>
        <w:tc>
          <w:tcPr>
            <w:tcW w:w="0" w:type="auto"/>
          </w:tcPr>
          <w:p>
            <w:pPr>
              <w:spacing w:line="240" w:lineRule="auto" w:before="0" w:after="0"/>
              <w:pStyle w:val="Compact"/>
            </w:pPr>
            <w:r>
              <w:rPr>
                <w:sz w:val="20"/>
                <w:szCs w:val="20"/>
              </w:rPr>
              <w:t xml:space="preserve">622.0003</w:t>
            </w:r>
          </w:p>
        </w:tc>
        <w:tc>
          <w:tcPr>
            <w:tcW w:w="0" w:type="auto"/>
          </w:tcPr>
          <w:p>
            <w:pPr>
              <w:spacing w:line="240" w:lineRule="auto" w:before="0" w:after="0"/>
              <w:pStyle w:val="Compact"/>
            </w:pPr>
            <w:r>
              <w:rPr>
                <w:sz w:val="20"/>
                <w:szCs w:val="20"/>
              </w:rPr>
              <w:t xml:space="preserve">6.4329</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Not classified</w:t>
            </w:r>
          </w:p>
        </w:tc>
        <w:tc>
          <w:tcPr>
            <w:tcW w:w="0" w:type="auto"/>
          </w:tcPr>
          <w:p>
            <w:pPr>
              <w:spacing w:line="240" w:lineRule="auto" w:before="0" w:after="0"/>
              <w:pStyle w:val="Compact"/>
            </w:pPr>
            <w:r>
              <w:rPr>
                <w:sz w:val="20"/>
                <w:szCs w:val="20"/>
              </w:rPr>
              <w:t xml:space="preserve">20.3375</w:t>
            </w:r>
          </w:p>
        </w:tc>
        <w:tc>
          <w:tcPr>
            <w:tcW w:w="0" w:type="auto"/>
          </w:tcPr>
          <w:p>
            <w:pPr>
              <w:spacing w:line="240" w:lineRule="auto" w:before="0" w:after="0"/>
              <w:pStyle w:val="Compact"/>
            </w:pPr>
            <w:r>
              <w:rPr>
                <w:sz w:val="20"/>
                <w:szCs w:val="20"/>
              </w:rPr>
              <w:t xml:space="preserve">79.6625</w:t>
            </w:r>
          </w:p>
        </w:tc>
        <w:tc>
          <w:tcPr>
            <w:tcW w:w="0" w:type="auto"/>
          </w:tcPr>
          <w:p>
            <w:pPr>
              <w:spacing w:line="240" w:lineRule="auto" w:before="0" w:after="0"/>
              <w:pStyle w:val="Compact"/>
            </w:pPr>
            <w:r>
              <w:rPr>
                <w:sz w:val="20"/>
                <w:szCs w:val="20"/>
              </w:rPr>
              <w:t xml:space="preserve">76.9414</w:t>
            </w:r>
          </w:p>
        </w:tc>
        <w:tc>
          <w:tcPr>
            <w:tcW w:w="0" w:type="auto"/>
          </w:tcPr>
          <w:p>
            <w:pPr>
              <w:spacing w:line="240" w:lineRule="auto" w:before="0" w:after="0"/>
              <w:pStyle w:val="Compact"/>
            </w:pPr>
            <w:r>
              <w:rPr>
                <w:sz w:val="20"/>
                <w:szCs w:val="20"/>
              </w:rPr>
              <w:t xml:space="preserve">1055.8109</w:t>
            </w:r>
          </w:p>
        </w:tc>
        <w:tc>
          <w:tcPr>
            <w:tcW w:w="0" w:type="auto"/>
          </w:tcPr>
          <w:p>
            <w:pPr>
              <w:spacing w:line="240" w:lineRule="auto" w:before="0" w:after="0"/>
              <w:pStyle w:val="Compact"/>
            </w:pPr>
            <w:r>
              <w:rPr>
                <w:sz w:val="20"/>
                <w:szCs w:val="20"/>
              </w:rPr>
              <w:t xml:space="preserve">6.9621</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23.7136</w:t>
            </w:r>
          </w:p>
        </w:tc>
        <w:tc>
          <w:tcPr>
            <w:tcW w:w="0" w:type="auto"/>
          </w:tcPr>
          <w:p>
            <w:pPr>
              <w:spacing w:line="240" w:lineRule="auto" w:before="0" w:after="0"/>
              <w:pStyle w:val="Compact"/>
            </w:pPr>
            <w:r>
              <w:rPr>
                <w:sz w:val="20"/>
                <w:szCs w:val="20"/>
              </w:rPr>
              <w:t xml:space="preserve">76.2864</w:t>
            </w:r>
          </w:p>
        </w:tc>
        <w:tc>
          <w:tcPr>
            <w:tcW w:w="0" w:type="auto"/>
          </w:tcPr>
          <w:p>
            <w:pPr>
              <w:spacing w:line="240" w:lineRule="auto" w:before="0" w:after="0"/>
              <w:pStyle w:val="Compact"/>
            </w:pPr>
            <w:r>
              <w:rPr>
                <w:sz w:val="20"/>
                <w:szCs w:val="20"/>
              </w:rPr>
              <w:t xml:space="preserve">55.1907</w:t>
            </w:r>
          </w:p>
        </w:tc>
        <w:tc>
          <w:tcPr>
            <w:tcW w:w="0" w:type="auto"/>
          </w:tcPr>
          <w:p>
            <w:pPr>
              <w:spacing w:line="240" w:lineRule="auto" w:before="0" w:after="0"/>
              <w:pStyle w:val="Compact"/>
            </w:pPr>
            <w:r>
              <w:rPr>
                <w:sz w:val="20"/>
                <w:szCs w:val="20"/>
              </w:rPr>
              <w:t xml:space="preserve">758.3291</w:t>
            </w:r>
          </w:p>
        </w:tc>
        <w:tc>
          <w:tcPr>
            <w:tcW w:w="0" w:type="auto"/>
          </w:tcPr>
          <w:p>
            <w:pPr>
              <w:spacing w:line="240" w:lineRule="auto" w:before="0" w:after="0"/>
              <w:pStyle w:val="Compact"/>
            </w:pPr>
            <w:r>
              <w:rPr>
                <w:sz w:val="20"/>
                <w:szCs w:val="20"/>
              </w:rPr>
              <w:t xml:space="preserve">6.6311</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25.3612</w:t>
            </w:r>
          </w:p>
        </w:tc>
        <w:tc>
          <w:tcPr>
            <w:tcW w:w="0" w:type="auto"/>
          </w:tcPr>
          <w:p>
            <w:pPr>
              <w:spacing w:line="240" w:lineRule="auto" w:before="0" w:after="0"/>
              <w:pStyle w:val="Compact"/>
            </w:pPr>
            <w:r>
              <w:rPr>
                <w:sz w:val="20"/>
                <w:szCs w:val="20"/>
              </w:rPr>
              <w:t xml:space="preserve">74.6388</w:t>
            </w:r>
          </w:p>
        </w:tc>
        <w:tc>
          <w:tcPr>
            <w:tcW w:w="0" w:type="auto"/>
          </w:tcPr>
          <w:p>
            <w:pPr>
              <w:spacing w:line="240" w:lineRule="auto" w:before="0" w:after="0"/>
              <w:pStyle w:val="Compact"/>
            </w:pPr>
            <w:r>
              <w:rPr>
                <w:sz w:val="20"/>
                <w:szCs w:val="20"/>
              </w:rPr>
              <w:t xml:space="preserve">72.2128</w:t>
            </w:r>
          </w:p>
        </w:tc>
        <w:tc>
          <w:tcPr>
            <w:tcW w:w="0" w:type="auto"/>
          </w:tcPr>
          <w:p>
            <w:pPr>
              <w:spacing w:line="240" w:lineRule="auto" w:before="0" w:after="0"/>
              <w:pStyle w:val="Compact"/>
            </w:pPr>
            <w:r>
              <w:rPr>
                <w:sz w:val="20"/>
                <w:szCs w:val="20"/>
              </w:rPr>
              <w:t xml:space="preserve">873.4826</w:t>
            </w:r>
          </w:p>
        </w:tc>
        <w:tc>
          <w:tcPr>
            <w:tcW w:w="0" w:type="auto"/>
          </w:tcPr>
          <w:p>
            <w:pPr>
              <w:spacing w:line="240" w:lineRule="auto" w:before="0" w:after="0"/>
              <w:pStyle w:val="Compact"/>
            </w:pPr>
            <w:r>
              <w:rPr>
                <w:sz w:val="20"/>
                <w:szCs w:val="20"/>
              </w:rPr>
              <w:t xml:space="preserve">6.7725</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Somalia, Fed. Rep.</w:t>
            </w:r>
          </w:p>
        </w:tc>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26.1201</w:t>
            </w:r>
          </w:p>
        </w:tc>
        <w:tc>
          <w:tcPr>
            <w:tcW w:w="0" w:type="auto"/>
          </w:tcPr>
          <w:p>
            <w:pPr>
              <w:spacing w:line="240" w:lineRule="auto" w:before="0" w:after="0"/>
              <w:pStyle w:val="Compact"/>
            </w:pPr>
            <w:r>
              <w:rPr>
                <w:sz w:val="20"/>
                <w:szCs w:val="20"/>
              </w:rPr>
              <w:t xml:space="preserve">73.8799</w:t>
            </w:r>
          </w:p>
        </w:tc>
        <w:tc>
          <w:tcPr>
            <w:tcW w:w="0" w:type="auto"/>
          </w:tcPr>
          <w:p>
            <w:pPr>
              <w:spacing w:line="240" w:lineRule="auto" w:before="0" w:after="0"/>
              <w:pStyle w:val="Compact"/>
            </w:pPr>
            <w:r>
              <w:rPr>
                <w:sz w:val="20"/>
                <w:szCs w:val="20"/>
              </w:rPr>
              <w:t xml:space="preserve">45.9286</w:t>
            </w:r>
          </w:p>
        </w:tc>
        <w:tc>
          <w:tcPr>
            <w:tcW w:w="0" w:type="auto"/>
          </w:tcPr>
          <w:p>
            <w:pPr>
              <w:spacing w:line="240" w:lineRule="auto" w:before="0" w:after="0"/>
              <w:pStyle w:val="Compact"/>
            </w:pPr>
            <w:r>
              <w:rPr>
                <w:sz w:val="20"/>
                <w:szCs w:val="20"/>
              </w:rPr>
              <w:t xml:space="preserve">596.886</w:t>
            </w:r>
          </w:p>
        </w:tc>
        <w:tc>
          <w:tcPr>
            <w:tcW w:w="0" w:type="auto"/>
          </w:tcPr>
          <w:p>
            <w:pPr>
              <w:spacing w:line="240" w:lineRule="auto" w:before="0" w:after="0"/>
              <w:pStyle w:val="Compact"/>
            </w:pPr>
            <w:r>
              <w:rPr>
                <w:sz w:val="20"/>
                <w:szCs w:val="20"/>
              </w:rPr>
              <w:t xml:space="preserve">6.3917</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28.4319</w:t>
            </w:r>
          </w:p>
        </w:tc>
        <w:tc>
          <w:tcPr>
            <w:tcW w:w="0" w:type="auto"/>
          </w:tcPr>
          <w:p>
            <w:pPr>
              <w:spacing w:line="240" w:lineRule="auto" w:before="0" w:after="0"/>
              <w:pStyle w:val="Compact"/>
            </w:pPr>
            <w:r>
              <w:rPr>
                <w:sz w:val="20"/>
                <w:szCs w:val="20"/>
              </w:rPr>
              <w:t xml:space="preserve">71.5681</w:t>
            </w:r>
          </w:p>
        </w:tc>
        <w:tc>
          <w:tcPr>
            <w:tcW w:w="0" w:type="auto"/>
          </w:tcPr>
          <w:p>
            <w:pPr>
              <w:spacing w:line="240" w:lineRule="auto" w:before="0" w:after="0"/>
              <w:pStyle w:val="Compact"/>
            </w:pPr>
            <w:r>
              <w:rPr>
                <w:sz w:val="20"/>
                <w:szCs w:val="20"/>
              </w:rPr>
              <w:t xml:space="preserve">64.5252</w:t>
            </w:r>
          </w:p>
        </w:tc>
        <w:tc>
          <w:tcPr>
            <w:tcW w:w="0" w:type="auto"/>
          </w:tcPr>
          <w:p>
            <w:pPr>
              <w:spacing w:line="240" w:lineRule="auto" w:before="0" w:after="0"/>
              <w:pStyle w:val="Compact"/>
            </w:pPr>
            <w:r>
              <w:rPr>
                <w:sz w:val="20"/>
                <w:szCs w:val="20"/>
              </w:rPr>
              <w:t xml:space="preserve">1224.0022</w:t>
            </w:r>
          </w:p>
        </w:tc>
        <w:tc>
          <w:tcPr>
            <w:tcW w:w="0" w:type="auto"/>
          </w:tcPr>
          <w:p>
            <w:pPr>
              <w:spacing w:line="240" w:lineRule="auto" w:before="0" w:after="0"/>
              <w:pStyle w:val="Compact"/>
            </w:pPr>
            <w:r>
              <w:rPr>
                <w:sz w:val="20"/>
                <w:szCs w:val="20"/>
              </w:rPr>
              <w:t xml:space="preserve">7.1099</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East Asia &amp; Pacific</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28.6724</w:t>
            </w:r>
          </w:p>
        </w:tc>
        <w:tc>
          <w:tcPr>
            <w:tcW w:w="0" w:type="auto"/>
          </w:tcPr>
          <w:p>
            <w:pPr>
              <w:spacing w:line="240" w:lineRule="auto" w:before="0" w:after="0"/>
              <w:pStyle w:val="Compact"/>
            </w:pPr>
            <w:r>
              <w:rPr>
                <w:sz w:val="20"/>
                <w:szCs w:val="20"/>
              </w:rPr>
              <w:t xml:space="preserve">71.3276</w:t>
            </w:r>
          </w:p>
        </w:tc>
        <w:tc>
          <w:tcPr>
            <w:tcW w:w="0" w:type="auto"/>
          </w:tcPr>
          <w:p>
            <w:pPr>
              <w:spacing w:line="240" w:lineRule="auto" w:before="0" w:after="0"/>
              <w:pStyle w:val="Compact"/>
            </w:pPr>
            <w:r>
              <w:rPr>
                <w:sz w:val="20"/>
                <w:szCs w:val="20"/>
              </w:rPr>
              <w:t xml:space="preserve">69.9911</w:t>
            </w:r>
          </w:p>
        </w:tc>
        <w:tc>
          <w:tcPr>
            <w:tcW w:w="0" w:type="auto"/>
          </w:tcPr>
          <w:p>
            <w:pPr>
              <w:spacing w:line="240" w:lineRule="auto" w:before="0" w:after="0"/>
              <w:pStyle w:val="Compact"/>
            </w:pPr>
            <w:r>
              <w:rPr>
                <w:sz w:val="20"/>
                <w:szCs w:val="20"/>
              </w:rPr>
              <w:t xml:space="preserve">1882.6439</w:t>
            </w:r>
          </w:p>
        </w:tc>
        <w:tc>
          <w:tcPr>
            <w:tcW w:w="0" w:type="auto"/>
          </w:tcPr>
          <w:p>
            <w:pPr>
              <w:spacing w:line="240" w:lineRule="auto" w:before="0" w:after="0"/>
              <w:pStyle w:val="Compact"/>
            </w:pPr>
            <w:r>
              <w:rPr>
                <w:sz w:val="20"/>
                <w:szCs w:val="20"/>
              </w:rPr>
              <w:t xml:space="preserve">7.5404</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28.7124</w:t>
            </w:r>
          </w:p>
        </w:tc>
        <w:tc>
          <w:tcPr>
            <w:tcW w:w="0" w:type="auto"/>
          </w:tcPr>
          <w:p>
            <w:pPr>
              <w:spacing w:line="240" w:lineRule="auto" w:before="0" w:after="0"/>
              <w:pStyle w:val="Compact"/>
            </w:pPr>
            <w:r>
              <w:rPr>
                <w:sz w:val="20"/>
                <w:szCs w:val="20"/>
              </w:rPr>
              <w:t xml:space="preserve">71.2876</w:t>
            </w:r>
          </w:p>
        </w:tc>
        <w:tc>
          <w:tcPr>
            <w:tcW w:w="0" w:type="auto"/>
          </w:tcPr>
          <w:p>
            <w:pPr>
              <w:spacing w:line="240" w:lineRule="auto" w:before="0" w:after="0"/>
              <w:pStyle w:val="Compact"/>
            </w:pPr>
            <w:r>
              <w:rPr>
                <w:sz w:val="20"/>
                <w:szCs w:val="20"/>
              </w:rPr>
              <w:t xml:space="preserve">54.4076</w:t>
            </w:r>
          </w:p>
        </w:tc>
        <w:tc>
          <w:tcPr>
            <w:tcW w:w="0" w:type="auto"/>
          </w:tcPr>
          <w:p>
            <w:pPr>
              <w:spacing w:line="240" w:lineRule="auto" w:before="0" w:after="0"/>
              <w:pStyle w:val="Compact"/>
            </w:pPr>
            <w:r>
              <w:rPr>
                <w:sz w:val="20"/>
                <w:szCs w:val="20"/>
              </w:rPr>
              <w:t xml:space="preserve">988.0879</w:t>
            </w:r>
          </w:p>
        </w:tc>
        <w:tc>
          <w:tcPr>
            <w:tcW w:w="0" w:type="auto"/>
          </w:tcPr>
          <w:p>
            <w:pPr>
              <w:spacing w:line="240" w:lineRule="auto" w:before="0" w:after="0"/>
              <w:pStyle w:val="Compact"/>
            </w:pPr>
            <w:r>
              <w:rPr>
                <w:sz w:val="20"/>
                <w:szCs w:val="20"/>
              </w:rPr>
              <w:t xml:space="preserve">6.8958</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28.8058</w:t>
            </w:r>
          </w:p>
        </w:tc>
        <w:tc>
          <w:tcPr>
            <w:tcW w:w="0" w:type="auto"/>
          </w:tcPr>
          <w:p>
            <w:pPr>
              <w:spacing w:line="240" w:lineRule="auto" w:before="0" w:after="0"/>
              <w:pStyle w:val="Compact"/>
            </w:pPr>
            <w:r>
              <w:rPr>
                <w:sz w:val="20"/>
                <w:szCs w:val="20"/>
              </w:rPr>
              <w:t xml:space="preserve">71.1942</w:t>
            </w:r>
          </w:p>
        </w:tc>
        <w:tc>
          <w:tcPr>
            <w:tcW w:w="0" w:type="auto"/>
          </w:tcPr>
          <w:p>
            <w:pPr>
              <w:spacing w:line="240" w:lineRule="auto" w:before="0" w:after="0"/>
              <w:pStyle w:val="Compact"/>
            </w:pPr>
            <w:r>
              <w:rPr>
                <w:sz w:val="20"/>
                <w:szCs w:val="20"/>
              </w:rPr>
              <w:t xml:space="preserve">71.1445</w:t>
            </w:r>
          </w:p>
        </w:tc>
        <w:tc>
          <w:tcPr>
            <w:tcW w:w="0" w:type="auto"/>
          </w:tcPr>
          <w:p>
            <w:pPr>
              <w:spacing w:line="240" w:lineRule="auto" w:before="0" w:after="0"/>
              <w:pStyle w:val="Compact"/>
            </w:pPr>
            <w:r>
              <w:rPr>
                <w:sz w:val="20"/>
                <w:szCs w:val="20"/>
              </w:rPr>
              <w:t xml:space="preserve">1027.0345</w:t>
            </w:r>
          </w:p>
        </w:tc>
        <w:tc>
          <w:tcPr>
            <w:tcW w:w="0" w:type="auto"/>
          </w:tcPr>
          <w:p>
            <w:pPr>
              <w:spacing w:line="240" w:lineRule="auto" w:before="0" w:after="0"/>
              <w:pStyle w:val="Compact"/>
            </w:pPr>
            <w:r>
              <w:rPr>
                <w:sz w:val="20"/>
                <w:szCs w:val="20"/>
              </w:rPr>
              <w:t xml:space="preserve">6.9344</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31.2241</w:t>
            </w:r>
          </w:p>
        </w:tc>
        <w:tc>
          <w:tcPr>
            <w:tcW w:w="0" w:type="auto"/>
          </w:tcPr>
          <w:p>
            <w:pPr>
              <w:spacing w:line="240" w:lineRule="auto" w:before="0" w:after="0"/>
              <w:pStyle w:val="Compact"/>
            </w:pPr>
            <w:r>
              <w:rPr>
                <w:sz w:val="20"/>
                <w:szCs w:val="20"/>
              </w:rPr>
              <w:t xml:space="preserve">68.7759</w:t>
            </w:r>
          </w:p>
        </w:tc>
        <w:tc>
          <w:tcPr>
            <w:tcW w:w="0" w:type="auto"/>
          </w:tcPr>
          <w:p>
            <w:pPr>
              <w:spacing w:line="240" w:lineRule="auto" w:before="0" w:after="0"/>
              <w:pStyle w:val="Compact"/>
            </w:pPr>
            <w:r>
              <w:rPr>
                <w:sz w:val="20"/>
                <w:szCs w:val="20"/>
              </w:rPr>
              <w:t xml:space="preserve">45.0021</w:t>
            </w:r>
          </w:p>
        </w:tc>
        <w:tc>
          <w:tcPr>
            <w:tcW w:w="0" w:type="auto"/>
          </w:tcPr>
          <w:p>
            <w:pPr>
              <w:spacing w:line="240" w:lineRule="auto" w:before="0" w:after="0"/>
              <w:pStyle w:val="Compact"/>
            </w:pPr>
            <w:r>
              <w:rPr>
                <w:sz w:val="20"/>
                <w:szCs w:val="20"/>
              </w:rPr>
              <w:t xml:space="preserve">799.1945</w:t>
            </w:r>
          </w:p>
        </w:tc>
        <w:tc>
          <w:tcPr>
            <w:tcW w:w="0" w:type="auto"/>
          </w:tcPr>
          <w:p>
            <w:pPr>
              <w:spacing w:line="240" w:lineRule="auto" w:before="0" w:after="0"/>
              <w:pStyle w:val="Compact"/>
            </w:pPr>
            <w:r>
              <w:rPr>
                <w:sz w:val="20"/>
                <w:szCs w:val="20"/>
              </w:rPr>
              <w:t xml:space="preserve">6.6836</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31.9275</w:t>
            </w:r>
          </w:p>
        </w:tc>
        <w:tc>
          <w:tcPr>
            <w:tcW w:w="0" w:type="auto"/>
          </w:tcPr>
          <w:p>
            <w:pPr>
              <w:spacing w:line="240" w:lineRule="auto" w:before="0" w:after="0"/>
              <w:pStyle w:val="Compact"/>
            </w:pPr>
            <w:r>
              <w:rPr>
                <w:sz w:val="20"/>
                <w:szCs w:val="20"/>
              </w:rPr>
              <w:t xml:space="preserve">68.0725</w:t>
            </w:r>
          </w:p>
        </w:tc>
        <w:tc>
          <w:tcPr>
            <w:tcW w:w="0" w:type="auto"/>
          </w:tcPr>
          <w:p>
            <w:pPr>
              <w:spacing w:line="240" w:lineRule="auto" w:before="0" w:after="0"/>
              <w:pStyle w:val="Compact"/>
            </w:pPr>
            <w:r>
              <w:rPr>
                <w:sz w:val="20"/>
                <w:szCs w:val="20"/>
              </w:rPr>
              <w:t xml:space="preserve">66.8498</w:t>
            </w:r>
          </w:p>
        </w:tc>
        <w:tc>
          <w:tcPr>
            <w:tcW w:w="0" w:type="auto"/>
          </w:tcPr>
          <w:p>
            <w:pPr>
              <w:spacing w:line="240" w:lineRule="auto" w:before="0" w:after="0"/>
              <w:pStyle w:val="Compact"/>
            </w:pPr>
            <w:r>
              <w:rPr>
                <w:sz w:val="20"/>
                <w:szCs w:val="20"/>
              </w:rPr>
              <w:t xml:space="preserve">1560.2738</w:t>
            </w:r>
          </w:p>
        </w:tc>
        <w:tc>
          <w:tcPr>
            <w:tcW w:w="0" w:type="auto"/>
          </w:tcPr>
          <w:p>
            <w:pPr>
              <w:spacing w:line="240" w:lineRule="auto" w:before="0" w:after="0"/>
              <w:pStyle w:val="Compact"/>
            </w:pPr>
            <w:r>
              <w:rPr>
                <w:sz w:val="20"/>
                <w:szCs w:val="20"/>
              </w:rPr>
              <w:t xml:space="preserve">7.3526</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32.0704</w:t>
            </w:r>
          </w:p>
        </w:tc>
        <w:tc>
          <w:tcPr>
            <w:tcW w:w="0" w:type="auto"/>
          </w:tcPr>
          <w:p>
            <w:pPr>
              <w:spacing w:line="240" w:lineRule="auto" w:before="0" w:after="0"/>
              <w:pStyle w:val="Compact"/>
            </w:pPr>
            <w:r>
              <w:rPr>
                <w:sz w:val="20"/>
                <w:szCs w:val="20"/>
              </w:rPr>
              <w:t xml:space="preserve">67.9296</w:t>
            </w:r>
          </w:p>
        </w:tc>
        <w:tc>
          <w:tcPr>
            <w:tcW w:w="0" w:type="auto"/>
          </w:tcPr>
          <w:p>
            <w:pPr>
              <w:spacing w:line="240" w:lineRule="auto" w:before="0" w:after="0"/>
              <w:pStyle w:val="Compact"/>
            </w:pPr>
            <w:r>
              <w:rPr>
                <w:sz w:val="20"/>
                <w:szCs w:val="20"/>
              </w:rPr>
              <w:t xml:space="preserve">68.367</w:t>
            </w:r>
          </w:p>
        </w:tc>
        <w:tc>
          <w:tcPr>
            <w:tcW w:w="0" w:type="auto"/>
          </w:tcPr>
          <w:p>
            <w:pPr>
              <w:spacing w:line="240" w:lineRule="auto" w:before="0" w:after="0"/>
              <w:pStyle w:val="Compact"/>
            </w:pPr>
            <w:r>
              <w:rPr>
                <w:sz w:val="20"/>
                <w:szCs w:val="20"/>
              </w:rPr>
              <w:t xml:space="preserve">1942.588</w:t>
            </w:r>
          </w:p>
        </w:tc>
        <w:tc>
          <w:tcPr>
            <w:tcW w:w="0" w:type="auto"/>
          </w:tcPr>
          <w:p>
            <w:pPr>
              <w:spacing w:line="240" w:lineRule="auto" w:before="0" w:after="0"/>
              <w:pStyle w:val="Compact"/>
            </w:pPr>
            <w:r>
              <w:rPr>
                <w:sz w:val="20"/>
                <w:szCs w:val="20"/>
              </w:rPr>
              <w:t xml:space="preserve">7.5718</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32.3156</w:t>
            </w:r>
          </w:p>
        </w:tc>
        <w:tc>
          <w:tcPr>
            <w:tcW w:w="0" w:type="auto"/>
          </w:tcPr>
          <w:p>
            <w:pPr>
              <w:spacing w:line="240" w:lineRule="auto" w:before="0" w:after="0"/>
              <w:pStyle w:val="Compact"/>
            </w:pPr>
            <w:r>
              <w:rPr>
                <w:sz w:val="20"/>
                <w:szCs w:val="20"/>
              </w:rPr>
              <w:t xml:space="preserve">67.6844</w:t>
            </w:r>
          </w:p>
        </w:tc>
        <w:tc>
          <w:tcPr>
            <w:tcW w:w="0" w:type="auto"/>
          </w:tcPr>
          <w:p>
            <w:pPr>
              <w:spacing w:line="240" w:lineRule="auto" w:before="0" w:after="0"/>
              <w:pStyle w:val="Compact"/>
            </w:pPr>
            <w:r>
              <w:rPr>
                <w:sz w:val="20"/>
                <w:szCs w:val="20"/>
              </w:rPr>
              <w:t xml:space="preserve">62.3546</w:t>
            </w:r>
          </w:p>
        </w:tc>
        <w:tc>
          <w:tcPr>
            <w:tcW w:w="0" w:type="auto"/>
          </w:tcPr>
          <w:p>
            <w:pPr>
              <w:spacing w:line="240" w:lineRule="auto" w:before="0" w:after="0"/>
              <w:pStyle w:val="Compact"/>
            </w:pPr>
            <w:r>
              <w:rPr>
                <w:sz w:val="20"/>
                <w:szCs w:val="20"/>
              </w:rPr>
              <w:t xml:space="preserve">1555.4938</w:t>
            </w:r>
          </w:p>
        </w:tc>
        <w:tc>
          <w:tcPr>
            <w:tcW w:w="0" w:type="auto"/>
          </w:tcPr>
          <w:p>
            <w:pPr>
              <w:spacing w:line="240" w:lineRule="auto" w:before="0" w:after="0"/>
              <w:pStyle w:val="Compact"/>
            </w:pPr>
            <w:r>
              <w:rPr>
                <w:sz w:val="20"/>
                <w:szCs w:val="20"/>
              </w:rPr>
              <w:t xml:space="preserve">7.3495</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32.394</w:t>
            </w:r>
          </w:p>
        </w:tc>
        <w:tc>
          <w:tcPr>
            <w:tcW w:w="0" w:type="auto"/>
          </w:tcPr>
          <w:p>
            <w:pPr>
              <w:spacing w:line="240" w:lineRule="auto" w:before="0" w:after="0"/>
              <w:pStyle w:val="Compact"/>
            </w:pPr>
            <w:r>
              <w:rPr>
                <w:sz w:val="20"/>
                <w:szCs w:val="20"/>
              </w:rPr>
              <w:t xml:space="preserve">67.606</w:t>
            </w:r>
          </w:p>
        </w:tc>
        <w:tc>
          <w:tcPr>
            <w:tcW w:w="0" w:type="auto"/>
          </w:tcPr>
          <w:p>
            <w:pPr>
              <w:spacing w:line="240" w:lineRule="auto" w:before="0" w:after="0"/>
              <w:pStyle w:val="Compact"/>
            </w:pPr>
            <w:r>
              <w:rPr>
                <w:sz w:val="20"/>
                <w:szCs w:val="20"/>
              </w:rPr>
              <w:t xml:space="preserve">48.2542</w:t>
            </w:r>
          </w:p>
        </w:tc>
        <w:tc>
          <w:tcPr>
            <w:tcW w:w="0" w:type="auto"/>
          </w:tcPr>
          <w:p>
            <w:pPr>
              <w:spacing w:line="240" w:lineRule="auto" w:before="0" w:after="0"/>
              <w:pStyle w:val="Compact"/>
            </w:pPr>
            <w:r>
              <w:rPr>
                <w:sz w:val="20"/>
                <w:szCs w:val="20"/>
              </w:rPr>
              <w:t xml:space="preserve">1394.1778</w:t>
            </w:r>
          </w:p>
        </w:tc>
        <w:tc>
          <w:tcPr>
            <w:tcW w:w="0" w:type="auto"/>
          </w:tcPr>
          <w:p>
            <w:pPr>
              <w:spacing w:line="240" w:lineRule="auto" w:before="0" w:after="0"/>
              <w:pStyle w:val="Compact"/>
            </w:pPr>
            <w:r>
              <w:rPr>
                <w:sz w:val="20"/>
                <w:szCs w:val="20"/>
              </w:rPr>
              <w:t xml:space="preserve">7.2401</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36.0388</w:t>
            </w:r>
          </w:p>
        </w:tc>
        <w:tc>
          <w:tcPr>
            <w:tcW w:w="0" w:type="auto"/>
          </w:tcPr>
          <w:p>
            <w:pPr>
              <w:spacing w:line="240" w:lineRule="auto" w:before="0" w:after="0"/>
              <w:pStyle w:val="Compact"/>
            </w:pPr>
            <w:r>
              <w:rPr>
                <w:sz w:val="20"/>
                <w:szCs w:val="20"/>
              </w:rPr>
              <w:t xml:space="preserve">63.9612</w:t>
            </w:r>
          </w:p>
        </w:tc>
        <w:tc>
          <w:tcPr>
            <w:tcW w:w="0" w:type="auto"/>
          </w:tcPr>
          <w:p>
            <w:pPr>
              <w:spacing w:line="240" w:lineRule="auto" w:before="0" w:after="0"/>
              <w:pStyle w:val="Compact"/>
            </w:pPr>
            <w:r>
              <w:rPr>
                <w:sz w:val="20"/>
                <w:szCs w:val="20"/>
              </w:rPr>
              <w:t xml:space="preserve">68.9968</w:t>
            </w:r>
          </w:p>
        </w:tc>
        <w:tc>
          <w:tcPr>
            <w:tcW w:w="0" w:type="auto"/>
          </w:tcPr>
          <w:p>
            <w:pPr>
              <w:spacing w:line="240" w:lineRule="auto" w:before="0" w:after="0"/>
              <w:pStyle w:val="Compact"/>
            </w:pPr>
            <w:r>
              <w:rPr>
                <w:sz w:val="20"/>
                <w:szCs w:val="20"/>
              </w:rPr>
              <w:t xml:space="preserve">1043.9534</w:t>
            </w:r>
          </w:p>
        </w:tc>
        <w:tc>
          <w:tcPr>
            <w:tcW w:w="0" w:type="auto"/>
          </w:tcPr>
          <w:p>
            <w:pPr>
              <w:spacing w:line="240" w:lineRule="auto" w:before="0" w:after="0"/>
              <w:pStyle w:val="Compact"/>
            </w:pPr>
            <w:r>
              <w:rPr>
                <w:sz w:val="20"/>
                <w:szCs w:val="20"/>
              </w:rPr>
              <w:t xml:space="preserve">6.9508</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37.5702</w:t>
            </w:r>
          </w:p>
        </w:tc>
        <w:tc>
          <w:tcPr>
            <w:tcW w:w="0" w:type="auto"/>
          </w:tcPr>
          <w:p>
            <w:pPr>
              <w:spacing w:line="240" w:lineRule="auto" w:before="0" w:after="0"/>
              <w:pStyle w:val="Compact"/>
            </w:pPr>
            <w:r>
              <w:rPr>
                <w:sz w:val="20"/>
                <w:szCs w:val="20"/>
              </w:rPr>
              <w:t xml:space="preserve">62.4298</w:t>
            </w:r>
          </w:p>
        </w:tc>
        <w:tc>
          <w:tcPr>
            <w:tcW w:w="0" w:type="auto"/>
          </w:tcPr>
          <w:p>
            <w:pPr>
              <w:spacing w:line="240" w:lineRule="auto" w:before="0" w:after="0"/>
              <w:pStyle w:val="Compact"/>
            </w:pPr>
            <w:r>
              <w:rPr>
                <w:sz w:val="20"/>
                <w:szCs w:val="20"/>
              </w:rPr>
              <w:t xml:space="preserve">56.7503</w:t>
            </w:r>
          </w:p>
        </w:tc>
        <w:tc>
          <w:tcPr>
            <w:tcW w:w="0" w:type="auto"/>
          </w:tcPr>
          <w:p>
            <w:pPr>
              <w:spacing w:line="240" w:lineRule="auto" w:before="0" w:after="0"/>
              <w:pStyle w:val="Compact"/>
            </w:pPr>
            <w:r>
              <w:rPr>
                <w:sz w:val="20"/>
                <w:szCs w:val="20"/>
              </w:rPr>
              <w:t xml:space="preserve">1055.0173</w:t>
            </w:r>
          </w:p>
        </w:tc>
        <w:tc>
          <w:tcPr>
            <w:tcW w:w="0" w:type="auto"/>
          </w:tcPr>
          <w:p>
            <w:pPr>
              <w:spacing w:line="240" w:lineRule="auto" w:before="0" w:after="0"/>
              <w:pStyle w:val="Compact"/>
            </w:pPr>
            <w:r>
              <w:rPr>
                <w:sz w:val="20"/>
                <w:szCs w:val="20"/>
              </w:rPr>
              <w:t xml:space="preserve">6.9613</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37.8859</w:t>
            </w:r>
          </w:p>
        </w:tc>
        <w:tc>
          <w:tcPr>
            <w:tcW w:w="0" w:type="auto"/>
          </w:tcPr>
          <w:p>
            <w:pPr>
              <w:spacing w:line="240" w:lineRule="auto" w:before="0" w:after="0"/>
              <w:pStyle w:val="Compact"/>
            </w:pPr>
            <w:r>
              <w:rPr>
                <w:sz w:val="20"/>
                <w:szCs w:val="20"/>
              </w:rPr>
              <w:t xml:space="preserve">62.1141</w:t>
            </w:r>
          </w:p>
        </w:tc>
        <w:tc>
          <w:tcPr>
            <w:tcW w:w="0" w:type="auto"/>
          </w:tcPr>
          <w:p>
            <w:pPr>
              <w:spacing w:line="240" w:lineRule="auto" w:before="0" w:after="0"/>
              <w:pStyle w:val="Compact"/>
            </w:pPr>
            <w:r>
              <w:rPr>
                <w:sz w:val="20"/>
                <w:szCs w:val="20"/>
              </w:rPr>
              <w:t xml:space="preserve">30.1485</w:t>
            </w:r>
          </w:p>
        </w:tc>
        <w:tc>
          <w:tcPr>
            <w:tcW w:w="0" w:type="auto"/>
          </w:tcPr>
          <w:p>
            <w:pPr>
              <w:spacing w:line="240" w:lineRule="auto" w:before="0" w:after="0"/>
              <w:pStyle w:val="Compact"/>
            </w:pPr>
            <w:r>
              <w:rPr>
                <w:sz w:val="20"/>
                <w:szCs w:val="20"/>
              </w:rPr>
              <w:t xml:space="preserve">2916.1366</w:t>
            </w:r>
          </w:p>
        </w:tc>
        <w:tc>
          <w:tcPr>
            <w:tcW w:w="0" w:type="auto"/>
          </w:tcPr>
          <w:p>
            <w:pPr>
              <w:spacing w:line="240" w:lineRule="auto" w:before="0" w:after="0"/>
              <w:pStyle w:val="Compact"/>
            </w:pPr>
            <w:r>
              <w:rPr>
                <w:sz w:val="20"/>
                <w:szCs w:val="20"/>
              </w:rPr>
              <w:t xml:space="preserve">7.978</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38.6748</w:t>
            </w:r>
          </w:p>
        </w:tc>
        <w:tc>
          <w:tcPr>
            <w:tcW w:w="0" w:type="auto"/>
          </w:tcPr>
          <w:p>
            <w:pPr>
              <w:spacing w:line="240" w:lineRule="auto" w:before="0" w:after="0"/>
              <w:pStyle w:val="Compact"/>
            </w:pPr>
            <w:r>
              <w:rPr>
                <w:sz w:val="20"/>
                <w:szCs w:val="20"/>
              </w:rPr>
              <w:t xml:space="preserve">61.3252</w:t>
            </w:r>
          </w:p>
        </w:tc>
        <w:tc>
          <w:tcPr>
            <w:tcW w:w="0" w:type="auto"/>
          </w:tcPr>
          <w:p>
            <w:pPr>
              <w:spacing w:line="240" w:lineRule="auto" w:before="0" w:after="0"/>
              <w:pStyle w:val="Compact"/>
            </w:pPr>
            <w:r>
              <w:rPr>
                <w:sz w:val="20"/>
                <w:szCs w:val="20"/>
              </w:rPr>
              <w:t xml:space="preserve">60.7081</w:t>
            </w:r>
          </w:p>
        </w:tc>
        <w:tc>
          <w:tcPr>
            <w:tcW w:w="0" w:type="auto"/>
          </w:tcPr>
          <w:p>
            <w:pPr>
              <w:spacing w:line="240" w:lineRule="auto" w:before="0" w:after="0"/>
              <w:pStyle w:val="Compact"/>
            </w:pPr>
            <w:r>
              <w:rPr>
                <w:sz w:val="20"/>
                <w:szCs w:val="20"/>
              </w:rPr>
              <w:t xml:space="preserve">2195.2249</w:t>
            </w:r>
          </w:p>
        </w:tc>
        <w:tc>
          <w:tcPr>
            <w:tcW w:w="0" w:type="auto"/>
          </w:tcPr>
          <w:p>
            <w:pPr>
              <w:spacing w:line="240" w:lineRule="auto" w:before="0" w:after="0"/>
              <w:pStyle w:val="Compact"/>
            </w:pPr>
            <w:r>
              <w:rPr>
                <w:sz w:val="20"/>
                <w:szCs w:val="20"/>
              </w:rPr>
              <w:t xml:space="preserve">7.694</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Micronesia, Fed. Sts.</w:t>
            </w:r>
          </w:p>
        </w:tc>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East Asia &amp; Pacific</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39.3989</w:t>
            </w:r>
          </w:p>
        </w:tc>
        <w:tc>
          <w:tcPr>
            <w:tcW w:w="0" w:type="auto"/>
          </w:tcPr>
          <w:p>
            <w:pPr>
              <w:spacing w:line="240" w:lineRule="auto" w:before="0" w:after="0"/>
              <w:pStyle w:val="Compact"/>
            </w:pPr>
            <w:r>
              <w:rPr>
                <w:sz w:val="20"/>
                <w:szCs w:val="20"/>
              </w:rPr>
              <w:t xml:space="preserve">60.6011</w:t>
            </w:r>
          </w:p>
        </w:tc>
        <w:tc>
          <w:tcPr>
            <w:tcW w:w="0" w:type="auto"/>
          </w:tcPr>
          <w:p>
            <w:pPr>
              <w:spacing w:line="240" w:lineRule="auto" w:before="0" w:after="0"/>
              <w:pStyle w:val="Compact"/>
            </w:pPr>
            <w:r>
              <w:rPr>
                <w:sz w:val="20"/>
                <w:szCs w:val="20"/>
              </w:rPr>
              <w:t xml:space="preserve">77.5666</w:t>
            </w:r>
          </w:p>
        </w:tc>
        <w:tc>
          <w:tcPr>
            <w:tcW w:w="0" w:type="auto"/>
          </w:tcPr>
          <w:p>
            <w:pPr>
              <w:spacing w:line="240" w:lineRule="auto" w:before="0" w:after="0"/>
              <w:pStyle w:val="Compact"/>
            </w:pPr>
            <w:r>
              <w:rPr>
                <w:sz w:val="20"/>
                <w:szCs w:val="20"/>
              </w:rPr>
              <w:t xml:space="preserve">3919.6431</w:t>
            </w:r>
          </w:p>
        </w:tc>
        <w:tc>
          <w:tcPr>
            <w:tcW w:w="0" w:type="auto"/>
          </w:tcPr>
          <w:p>
            <w:pPr>
              <w:spacing w:line="240" w:lineRule="auto" w:before="0" w:after="0"/>
              <w:pStyle w:val="Compact"/>
            </w:pPr>
            <w:r>
              <w:rPr>
                <w:sz w:val="20"/>
                <w:szCs w:val="20"/>
              </w:rPr>
              <w:t xml:space="preserve">8.2738</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40.064</w:t>
            </w:r>
          </w:p>
        </w:tc>
        <w:tc>
          <w:tcPr>
            <w:tcW w:w="0" w:type="auto"/>
          </w:tcPr>
          <w:p>
            <w:pPr>
              <w:spacing w:line="240" w:lineRule="auto" w:before="0" w:after="0"/>
              <w:pStyle w:val="Compact"/>
            </w:pPr>
            <w:r>
              <w:rPr>
                <w:sz w:val="20"/>
                <w:szCs w:val="20"/>
              </w:rPr>
              <w:t xml:space="preserve">59.936</w:t>
            </w:r>
          </w:p>
        </w:tc>
        <w:tc>
          <w:tcPr>
            <w:tcW w:w="0" w:type="auto"/>
          </w:tcPr>
          <w:p>
            <w:pPr>
              <w:spacing w:line="240" w:lineRule="auto" w:before="0" w:after="0"/>
              <w:pStyle w:val="Compact"/>
            </w:pPr>
            <w:r>
              <w:rPr>
                <w:sz w:val="20"/>
                <w:szCs w:val="20"/>
              </w:rPr>
              <w:t xml:space="preserve">37.8253</w:t>
            </w:r>
          </w:p>
        </w:tc>
        <w:tc>
          <w:tcPr>
            <w:tcW w:w="0" w:type="auto"/>
          </w:tcPr>
          <w:p>
            <w:pPr>
              <w:spacing w:line="240" w:lineRule="auto" w:before="0" w:after="0"/>
              <w:pStyle w:val="Compact"/>
            </w:pPr>
            <w:r>
              <w:rPr>
                <w:sz w:val="20"/>
                <w:szCs w:val="20"/>
              </w:rPr>
              <w:t xml:space="preserve">2138.7638</w:t>
            </w:r>
          </w:p>
        </w:tc>
        <w:tc>
          <w:tcPr>
            <w:tcW w:w="0" w:type="auto"/>
          </w:tcPr>
          <w:p>
            <w:pPr>
              <w:spacing w:line="240" w:lineRule="auto" w:before="0" w:after="0"/>
              <w:pStyle w:val="Compact"/>
            </w:pPr>
            <w:r>
              <w:rPr>
                <w:sz w:val="20"/>
                <w:szCs w:val="20"/>
              </w:rPr>
              <w:t xml:space="preserve">7.668</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Cote d’Ivoire</w:t>
            </w:r>
          </w:p>
        </w:tc>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40.6528</w:t>
            </w:r>
          </w:p>
        </w:tc>
        <w:tc>
          <w:tcPr>
            <w:tcW w:w="0" w:type="auto"/>
          </w:tcPr>
          <w:p>
            <w:pPr>
              <w:spacing w:line="240" w:lineRule="auto" w:before="0" w:after="0"/>
              <w:pStyle w:val="Compact"/>
            </w:pPr>
            <w:r>
              <w:rPr>
                <w:sz w:val="20"/>
                <w:szCs w:val="20"/>
              </w:rPr>
              <w:t xml:space="preserve">59.3472</w:t>
            </w:r>
          </w:p>
        </w:tc>
        <w:tc>
          <w:tcPr>
            <w:tcW w:w="0" w:type="auto"/>
          </w:tcPr>
          <w:p>
            <w:pPr>
              <w:spacing w:line="240" w:lineRule="auto" w:before="0" w:after="0"/>
              <w:pStyle w:val="Compact"/>
            </w:pPr>
            <w:r>
              <w:rPr>
                <w:sz w:val="20"/>
                <w:szCs w:val="20"/>
              </w:rPr>
              <w:t xml:space="preserve">46.5925</w:t>
            </w:r>
          </w:p>
        </w:tc>
        <w:tc>
          <w:tcPr>
            <w:tcW w:w="0" w:type="auto"/>
          </w:tcPr>
          <w:p>
            <w:pPr>
              <w:spacing w:line="240" w:lineRule="auto" w:before="0" w:after="0"/>
              <w:pStyle w:val="Compact"/>
            </w:pPr>
            <w:r>
              <w:rPr>
                <w:sz w:val="20"/>
                <w:szCs w:val="20"/>
              </w:rPr>
              <w:t xml:space="preserve">2591.9659</w:t>
            </w:r>
          </w:p>
        </w:tc>
        <w:tc>
          <w:tcPr>
            <w:tcW w:w="0" w:type="auto"/>
          </w:tcPr>
          <w:p>
            <w:pPr>
              <w:spacing w:line="240" w:lineRule="auto" w:before="0" w:after="0"/>
              <w:pStyle w:val="Compact"/>
            </w:pPr>
            <w:r>
              <w:rPr>
                <w:sz w:val="20"/>
                <w:szCs w:val="20"/>
              </w:rPr>
              <w:t xml:space="preserve">7.8602</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42.2438</w:t>
            </w:r>
          </w:p>
        </w:tc>
        <w:tc>
          <w:tcPr>
            <w:tcW w:w="0" w:type="auto"/>
          </w:tcPr>
          <w:p>
            <w:pPr>
              <w:spacing w:line="240" w:lineRule="auto" w:before="0" w:after="0"/>
              <w:pStyle w:val="Compact"/>
            </w:pPr>
            <w:r>
              <w:rPr>
                <w:sz w:val="20"/>
                <w:szCs w:val="20"/>
              </w:rPr>
              <w:t xml:space="preserve">57.7562</w:t>
            </w:r>
          </w:p>
        </w:tc>
        <w:tc>
          <w:tcPr>
            <w:tcW w:w="0" w:type="auto"/>
          </w:tcPr>
          <w:p>
            <w:pPr>
              <w:spacing w:line="240" w:lineRule="auto" w:before="0" w:after="0"/>
              <w:pStyle w:val="Compact"/>
            </w:pPr>
            <w:r>
              <w:rPr>
                <w:sz w:val="20"/>
                <w:szCs w:val="20"/>
              </w:rPr>
              <w:t xml:space="preserve">44.8713</w:t>
            </w:r>
          </w:p>
        </w:tc>
        <w:tc>
          <w:tcPr>
            <w:tcW w:w="0" w:type="auto"/>
          </w:tcPr>
          <w:p>
            <w:pPr>
              <w:spacing w:line="240" w:lineRule="auto" w:before="0" w:after="0"/>
              <w:pStyle w:val="Compact"/>
            </w:pPr>
            <w:r>
              <w:rPr>
                <w:sz w:val="20"/>
                <w:szCs w:val="20"/>
              </w:rPr>
              <w:t xml:space="preserve">1720.4751</w:t>
            </w:r>
          </w:p>
        </w:tc>
        <w:tc>
          <w:tcPr>
            <w:tcW w:w="0" w:type="auto"/>
          </w:tcPr>
          <w:p>
            <w:pPr>
              <w:spacing w:line="240" w:lineRule="auto" w:before="0" w:after="0"/>
              <w:pStyle w:val="Compact"/>
            </w:pPr>
            <w:r>
              <w:rPr>
                <w:sz w:val="20"/>
                <w:szCs w:val="20"/>
              </w:rPr>
              <w:t xml:space="preserve">7.4504</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Congo, Rep.</w:t>
            </w:r>
          </w:p>
        </w:tc>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43.1504</w:t>
            </w:r>
          </w:p>
        </w:tc>
        <w:tc>
          <w:tcPr>
            <w:tcW w:w="0" w:type="auto"/>
          </w:tcPr>
          <w:p>
            <w:pPr>
              <w:spacing w:line="240" w:lineRule="auto" w:before="0" w:after="0"/>
              <w:pStyle w:val="Compact"/>
            </w:pPr>
            <w:r>
              <w:rPr>
                <w:sz w:val="20"/>
                <w:szCs w:val="20"/>
              </w:rPr>
              <w:t xml:space="preserve">56.8496</w:t>
            </w:r>
          </w:p>
        </w:tc>
        <w:tc>
          <w:tcPr>
            <w:tcW w:w="0" w:type="auto"/>
          </w:tcPr>
          <w:p>
            <w:pPr>
              <w:spacing w:line="240" w:lineRule="auto" w:before="0" w:after="0"/>
              <w:pStyle w:val="Compact"/>
            </w:pPr>
            <w:r>
              <w:rPr>
                <w:sz w:val="20"/>
                <w:szCs w:val="20"/>
              </w:rPr>
              <w:t xml:space="preserve">36.3373</w:t>
            </w:r>
          </w:p>
        </w:tc>
        <w:tc>
          <w:tcPr>
            <w:tcW w:w="0" w:type="auto"/>
          </w:tcPr>
          <w:p>
            <w:pPr>
              <w:spacing w:line="240" w:lineRule="auto" w:before="0" w:after="0"/>
              <w:pStyle w:val="Compact"/>
            </w:pPr>
            <w:r>
              <w:rPr>
                <w:sz w:val="20"/>
                <w:szCs w:val="20"/>
              </w:rPr>
              <w:t xml:space="preserve">2477.9785</w:t>
            </w:r>
          </w:p>
        </w:tc>
        <w:tc>
          <w:tcPr>
            <w:tcW w:w="0" w:type="auto"/>
          </w:tcPr>
          <w:p>
            <w:pPr>
              <w:spacing w:line="240" w:lineRule="auto" w:before="0" w:after="0"/>
              <w:pStyle w:val="Compact"/>
            </w:pPr>
            <w:r>
              <w:rPr>
                <w:sz w:val="20"/>
                <w:szCs w:val="20"/>
              </w:rPr>
              <w:t xml:space="preserve">7.8152</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South Asia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44.5027</w:t>
            </w:r>
          </w:p>
        </w:tc>
        <w:tc>
          <w:tcPr>
            <w:tcW w:w="0" w:type="auto"/>
          </w:tcPr>
          <w:p>
            <w:pPr>
              <w:spacing w:line="240" w:lineRule="auto" w:before="0" w:after="0"/>
              <w:pStyle w:val="Compact"/>
            </w:pPr>
            <w:r>
              <w:rPr>
                <w:sz w:val="20"/>
                <w:szCs w:val="20"/>
              </w:rPr>
              <w:t xml:space="preserve">55.4973</w:t>
            </w:r>
          </w:p>
        </w:tc>
        <w:tc>
          <w:tcPr>
            <w:tcW w:w="0" w:type="auto"/>
          </w:tcPr>
          <w:p>
            <w:pPr>
              <w:spacing w:line="240" w:lineRule="auto" w:before="0" w:after="0"/>
              <w:pStyle w:val="Compact"/>
            </w:pPr>
            <w:r>
              <w:rPr>
                <w:sz w:val="20"/>
                <w:szCs w:val="20"/>
              </w:rPr>
              <w:t xml:space="preserve">67.8422</w:t>
            </w:r>
          </w:p>
        </w:tc>
        <w:tc>
          <w:tcPr>
            <w:tcW w:w="0" w:type="auto"/>
          </w:tcPr>
          <w:p>
            <w:pPr>
              <w:spacing w:line="240" w:lineRule="auto" w:before="0" w:after="0"/>
              <w:pStyle w:val="Compact"/>
            </w:pPr>
            <w:r>
              <w:rPr>
                <w:sz w:val="20"/>
                <w:szCs w:val="20"/>
              </w:rPr>
              <w:t xml:space="preserve">2551.0177</w:t>
            </w:r>
          </w:p>
        </w:tc>
        <w:tc>
          <w:tcPr>
            <w:tcW w:w="0" w:type="auto"/>
          </w:tcPr>
          <w:p>
            <w:pPr>
              <w:spacing w:line="240" w:lineRule="auto" w:before="0" w:after="0"/>
              <w:pStyle w:val="Compact"/>
            </w:pPr>
            <w:r>
              <w:rPr>
                <w:sz w:val="20"/>
                <w:szCs w:val="20"/>
              </w:rPr>
              <w:t xml:space="preserve">7.8442</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44.9563</w:t>
            </w:r>
          </w:p>
        </w:tc>
        <w:tc>
          <w:tcPr>
            <w:tcW w:w="0" w:type="auto"/>
          </w:tcPr>
          <w:p>
            <w:pPr>
              <w:spacing w:line="240" w:lineRule="auto" w:before="0" w:after="0"/>
              <w:pStyle w:val="Compact"/>
            </w:pPr>
            <w:r>
              <w:rPr>
                <w:sz w:val="20"/>
                <w:szCs w:val="20"/>
              </w:rPr>
              <w:t xml:space="preserve">55.0437</w:t>
            </w:r>
          </w:p>
        </w:tc>
        <w:tc>
          <w:tcPr>
            <w:tcW w:w="0" w:type="auto"/>
          </w:tcPr>
          <w:p>
            <w:pPr>
              <w:spacing w:line="240" w:lineRule="auto" w:before="0" w:after="0"/>
              <w:pStyle w:val="Compact"/>
            </w:pPr>
            <w:r>
              <w:rPr>
                <w:sz w:val="20"/>
                <w:szCs w:val="20"/>
              </w:rPr>
              <w:t xml:space="preserve">40.2858</w:t>
            </w:r>
          </w:p>
        </w:tc>
        <w:tc>
          <w:tcPr>
            <w:tcW w:w="0" w:type="auto"/>
          </w:tcPr>
          <w:p>
            <w:pPr>
              <w:spacing w:line="240" w:lineRule="auto" w:before="0" w:after="0"/>
              <w:pStyle w:val="Compact"/>
            </w:pPr>
            <w:r>
              <w:rPr>
                <w:sz w:val="20"/>
                <w:szCs w:val="20"/>
              </w:rPr>
              <w:t xml:space="preserve">2135.7819</w:t>
            </w:r>
          </w:p>
        </w:tc>
        <w:tc>
          <w:tcPr>
            <w:tcW w:w="0" w:type="auto"/>
          </w:tcPr>
          <w:p>
            <w:pPr>
              <w:spacing w:line="240" w:lineRule="auto" w:before="0" w:after="0"/>
              <w:pStyle w:val="Compact"/>
            </w:pPr>
            <w:r>
              <w:rPr>
                <w:sz w:val="20"/>
                <w:szCs w:val="20"/>
              </w:rPr>
              <w:t xml:space="preserve">7.6666</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South Asia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45.8068</w:t>
            </w:r>
          </w:p>
        </w:tc>
        <w:tc>
          <w:tcPr>
            <w:tcW w:w="0" w:type="auto"/>
          </w:tcPr>
          <w:p>
            <w:pPr>
              <w:spacing w:line="240" w:lineRule="auto" w:before="0" w:after="0"/>
              <w:pStyle w:val="Compact"/>
            </w:pPr>
            <w:r>
              <w:rPr>
                <w:sz w:val="20"/>
                <w:szCs w:val="20"/>
              </w:rPr>
              <w:t xml:space="preserve">54.1932</w:t>
            </w:r>
          </w:p>
        </w:tc>
        <w:tc>
          <w:tcPr>
            <w:tcW w:w="0" w:type="auto"/>
          </w:tcPr>
          <w:p>
            <w:pPr>
              <w:spacing w:line="240" w:lineRule="auto" w:before="0" w:after="0"/>
              <w:pStyle w:val="Compact"/>
            </w:pPr>
            <w:r>
              <w:rPr>
                <w:sz w:val="20"/>
                <w:szCs w:val="20"/>
              </w:rPr>
              <w:t xml:space="preserve">33.4567</w:t>
            </w:r>
          </w:p>
        </w:tc>
        <w:tc>
          <w:tcPr>
            <w:tcW w:w="0" w:type="auto"/>
          </w:tcPr>
          <w:p>
            <w:pPr>
              <w:spacing w:line="240" w:lineRule="auto" w:before="0" w:after="0"/>
              <w:pStyle w:val="Compact"/>
            </w:pPr>
            <w:r>
              <w:rPr>
                <w:sz w:val="20"/>
                <w:szCs w:val="20"/>
              </w:rPr>
              <w:t xml:space="preserve">1382.3306</w:t>
            </w:r>
          </w:p>
        </w:tc>
        <w:tc>
          <w:tcPr>
            <w:tcW w:w="0" w:type="auto"/>
          </w:tcPr>
          <w:p>
            <w:pPr>
              <w:spacing w:line="240" w:lineRule="auto" w:before="0" w:after="0"/>
              <w:pStyle w:val="Compact"/>
            </w:pPr>
            <w:r>
              <w:rPr>
                <w:sz w:val="20"/>
                <w:szCs w:val="20"/>
              </w:rPr>
              <w:t xml:space="preserve">7.2315</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Latin America &amp; Caribbean</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47.9927</w:t>
            </w:r>
          </w:p>
        </w:tc>
        <w:tc>
          <w:tcPr>
            <w:tcW w:w="0" w:type="auto"/>
          </w:tcPr>
          <w:p>
            <w:pPr>
              <w:spacing w:line="240" w:lineRule="auto" w:before="0" w:after="0"/>
              <w:pStyle w:val="Compact"/>
            </w:pPr>
            <w:r>
              <w:rPr>
                <w:sz w:val="20"/>
                <w:szCs w:val="20"/>
              </w:rPr>
              <w:t xml:space="preserve">52.0073</w:t>
            </w:r>
          </w:p>
        </w:tc>
        <w:tc>
          <w:tcPr>
            <w:tcW w:w="0" w:type="auto"/>
          </w:tcPr>
          <w:p>
            <w:pPr>
              <w:spacing w:line="240" w:lineRule="auto" w:before="0" w:after="0"/>
              <w:pStyle w:val="Compact"/>
            </w:pPr>
            <w:r>
              <w:rPr>
                <w:sz w:val="20"/>
                <w:szCs w:val="20"/>
              </w:rPr>
              <w:t xml:space="preserve">45.5503</w:t>
            </w:r>
          </w:p>
        </w:tc>
        <w:tc>
          <w:tcPr>
            <w:tcW w:w="0" w:type="auto"/>
          </w:tcPr>
          <w:p>
            <w:pPr>
              <w:spacing w:line="240" w:lineRule="auto" w:before="0" w:after="0"/>
              <w:pStyle w:val="Compact"/>
            </w:pPr>
            <w:r>
              <w:rPr>
                <w:sz w:val="20"/>
                <w:szCs w:val="20"/>
              </w:rPr>
              <w:t xml:space="preserve">1705.7581</w:t>
            </w:r>
          </w:p>
        </w:tc>
        <w:tc>
          <w:tcPr>
            <w:tcW w:w="0" w:type="auto"/>
          </w:tcPr>
          <w:p>
            <w:pPr>
              <w:spacing w:line="240" w:lineRule="auto" w:before="0" w:after="0"/>
              <w:pStyle w:val="Compact"/>
            </w:pPr>
            <w:r>
              <w:rPr>
                <w:sz w:val="20"/>
                <w:szCs w:val="20"/>
              </w:rPr>
              <w:t xml:space="preserve">7.4418</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Gambia, The</w:t>
            </w:r>
          </w:p>
        </w:tc>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 income</w:t>
            </w:r>
          </w:p>
        </w:tc>
        <w:tc>
          <w:tcPr>
            <w:tcW w:w="0" w:type="auto"/>
          </w:tcPr>
          <w:p>
            <w:pPr>
              <w:spacing w:line="240" w:lineRule="auto" w:before="0" w:after="0"/>
              <w:pStyle w:val="Compact"/>
            </w:pPr>
            <w:r>
              <w:rPr>
                <w:sz w:val="20"/>
                <w:szCs w:val="20"/>
              </w:rPr>
              <w:t xml:space="preserve">48.7283</w:t>
            </w:r>
          </w:p>
        </w:tc>
        <w:tc>
          <w:tcPr>
            <w:tcW w:w="0" w:type="auto"/>
          </w:tcPr>
          <w:p>
            <w:pPr>
              <w:spacing w:line="240" w:lineRule="auto" w:before="0" w:after="0"/>
              <w:pStyle w:val="Compact"/>
            </w:pPr>
            <w:r>
              <w:rPr>
                <w:sz w:val="20"/>
                <w:szCs w:val="20"/>
              </w:rPr>
              <w:t xml:space="preserve">51.2717</w:t>
            </w:r>
          </w:p>
        </w:tc>
        <w:tc>
          <w:tcPr>
            <w:tcW w:w="0" w:type="auto"/>
          </w:tcPr>
          <w:p>
            <w:pPr>
              <w:spacing w:line="240" w:lineRule="auto" w:before="0" w:after="0"/>
              <w:pStyle w:val="Compact"/>
            </w:pPr>
            <w:r>
              <w:rPr>
                <w:sz w:val="20"/>
                <w:szCs w:val="20"/>
              </w:rPr>
              <w:t xml:space="preserve">36.198</w:t>
            </w:r>
          </w:p>
        </w:tc>
        <w:tc>
          <w:tcPr>
            <w:tcW w:w="0" w:type="auto"/>
          </w:tcPr>
          <w:p>
            <w:pPr>
              <w:spacing w:line="240" w:lineRule="auto" w:before="0" w:after="0"/>
              <w:pStyle w:val="Compact"/>
            </w:pPr>
            <w:r>
              <w:rPr>
                <w:sz w:val="20"/>
                <w:szCs w:val="20"/>
              </w:rPr>
              <w:t xml:space="preserve">883.0241</w:t>
            </w:r>
          </w:p>
        </w:tc>
        <w:tc>
          <w:tcPr>
            <w:tcW w:w="0" w:type="auto"/>
          </w:tcPr>
          <w:p>
            <w:pPr>
              <w:spacing w:line="240" w:lineRule="auto" w:before="0" w:after="0"/>
              <w:pStyle w:val="Compact"/>
            </w:pPr>
            <w:r>
              <w:rPr>
                <w:sz w:val="20"/>
                <w:szCs w:val="20"/>
              </w:rPr>
              <w:t xml:space="preserve">6.7834</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r>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Sub-Saharan Africa</w:t>
            </w:r>
          </w:p>
        </w:tc>
        <w:tc>
          <w:tcPr>
            <w:tcW w:w="0" w:type="auto"/>
          </w:tcPr>
          <w:p>
            <w:pPr>
              <w:spacing w:line="240" w:lineRule="auto" w:before="0" w:after="0"/>
              <w:pStyle w:val="Compact"/>
            </w:pPr>
            <w:r>
              <w:rPr>
                <w:sz w:val="20"/>
                <w:szCs w:val="20"/>
              </w:rPr>
              <w:t xml:space="preserve">Lower middle income</w:t>
            </w:r>
          </w:p>
        </w:tc>
        <w:tc>
          <w:tcPr>
            <w:tcW w:w="0" w:type="auto"/>
          </w:tcPr>
          <w:p>
            <w:pPr>
              <w:spacing w:line="240" w:lineRule="auto" w:before="0" w:after="0"/>
              <w:pStyle w:val="Compact"/>
            </w:pPr>
            <w:r>
              <w:rPr>
                <w:sz w:val="20"/>
                <w:szCs w:val="20"/>
              </w:rPr>
              <w:t xml:space="preserve">48.9859</w:t>
            </w:r>
          </w:p>
        </w:tc>
        <w:tc>
          <w:tcPr>
            <w:tcW w:w="0" w:type="auto"/>
          </w:tcPr>
          <w:p>
            <w:pPr>
              <w:spacing w:line="240" w:lineRule="auto" w:before="0" w:after="0"/>
              <w:pStyle w:val="Compact"/>
            </w:pPr>
            <w:r>
              <w:rPr>
                <w:sz w:val="20"/>
                <w:szCs w:val="20"/>
              </w:rPr>
              <w:t xml:space="preserve">51.0141</w:t>
            </w:r>
          </w:p>
        </w:tc>
        <w:tc>
          <w:tcPr>
            <w:tcW w:w="0" w:type="auto"/>
          </w:tcPr>
          <w:p>
            <w:pPr>
              <w:spacing w:line="240" w:lineRule="auto" w:before="0" w:after="0"/>
              <w:pStyle w:val="Compact"/>
            </w:pPr>
            <w:r>
              <w:rPr>
                <w:sz w:val="20"/>
                <w:szCs w:val="20"/>
              </w:rPr>
              <w:t xml:space="preserve">57.3218</w:t>
            </w:r>
          </w:p>
        </w:tc>
        <w:tc>
          <w:tcPr>
            <w:tcW w:w="0" w:type="auto"/>
          </w:tcPr>
          <w:p>
            <w:pPr>
              <w:spacing w:line="240" w:lineRule="auto" w:before="0" w:after="0"/>
              <w:pStyle w:val="Compact"/>
            </w:pPr>
            <w:r>
              <w:rPr>
                <w:sz w:val="20"/>
                <w:szCs w:val="20"/>
              </w:rPr>
              <w:t xml:space="preserve">916.283</w:t>
            </w:r>
          </w:p>
        </w:tc>
        <w:tc>
          <w:tcPr>
            <w:tcW w:w="0" w:type="auto"/>
          </w:tcPr>
          <w:p>
            <w:pPr>
              <w:spacing w:line="240" w:lineRule="auto" w:before="0" w:after="0"/>
              <w:pStyle w:val="Compact"/>
            </w:pPr>
            <w:r>
              <w:rPr>
                <w:sz w:val="20"/>
                <w:szCs w:val="20"/>
              </w:rPr>
              <w:t xml:space="preserve">6.8203</w:t>
            </w:r>
          </w:p>
        </w:tc>
        <w:tc>
          <w:tcPr>
            <w:tcW w:w="0" w:type="auto"/>
          </w:tcPr>
          <w:p>
            <w:pPr>
              <w:spacing w:line="240" w:lineRule="auto" w:before="0" w:after="0"/>
              <w:pStyle w:val="Compact"/>
            </w:pPr>
            <w:r>
              <w:rPr>
                <w:sz w:val="20"/>
                <w:szCs w:val="20"/>
              </w:rPr>
              <w:t xml:space="preserve">World Bank API, indicators IT.NET.USER.ZS, SP.RUR.TOTL.ZS, NY.GDP.PCAP.CD, date=2023, retrieved 2026-06-27</w:t>
            </w:r>
          </w:p>
        </w:tc>
      </w:tr>
    </w:tbl>
    <w:bookmarkEnd w:id="205"/>
    <w:bookmarkStart w:id="20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internet_gap_pct</w:t>
            </w:r>
          </w:p>
        </w:tc>
        <w:tc>
          <w:tcPr>
            <w:tcW w:w="0" w:type="auto"/>
          </w:tcPr>
          <w:p>
            <w:pPr>
              <w:spacing w:line="240" w:lineRule="auto" w:before="0" w:after="0"/>
              <w:pStyle w:val="Compact"/>
            </w:pPr>
            <w:r>
              <w:rPr>
                <w:sz w:val="20"/>
                <w:szCs w:val="20"/>
              </w:rPr>
              <w:t xml:space="preserve">Population share not using the Internet in 2023</w:t>
            </w:r>
          </w:p>
        </w:tc>
        <w:tc>
          <w:tcPr>
            <w:tcW w:w="0" w:type="auto"/>
          </w:tcPr>
          <w:p>
            <w:pPr>
              <w:spacing w:line="240" w:lineRule="auto" w:before="0" w:after="0"/>
              <w:pStyle w:val="Compact"/>
            </w:pPr>
            <w:r>
              <w:rPr>
                <w:sz w:val="20"/>
                <w:szCs w:val="20"/>
              </w:rPr>
              <w:t xml:space="preserve">100 minus World Bank IT.NET.USER.ZS</w:t>
            </w:r>
          </w:p>
        </w:tc>
      </w:tr>
      <w:tr>
        <w:tc>
          <w:tcPr>
            <w:tcW w:w="0" w:type="auto"/>
          </w:tcPr>
          <w:p>
            <w:pPr>
              <w:spacing w:line="240" w:lineRule="auto" w:before="0" w:after="0"/>
              <w:pStyle w:val="Compact"/>
            </w:pPr>
            <w:r>
              <w:rPr>
                <w:sz w:val="20"/>
                <w:szCs w:val="20"/>
              </w:rPr>
              <w:t xml:space="preserve">rural_population_pct</w:t>
            </w:r>
          </w:p>
        </w:tc>
        <w:tc>
          <w:tcPr>
            <w:tcW w:w="0" w:type="auto"/>
          </w:tcPr>
          <w:p>
            <w:pPr>
              <w:spacing w:line="240" w:lineRule="auto" w:before="0" w:after="0"/>
              <w:pStyle w:val="Compact"/>
            </w:pPr>
            <w:r>
              <w:rPr>
                <w:sz w:val="20"/>
                <w:szCs w:val="20"/>
              </w:rPr>
              <w:t xml:space="preserve">Rural population as percent of total population in 2023</w:t>
            </w:r>
          </w:p>
        </w:tc>
        <w:tc>
          <w:tcPr>
            <w:tcW w:w="0" w:type="auto"/>
          </w:tcPr>
          <w:p>
            <w:pPr>
              <w:spacing w:line="240" w:lineRule="auto" w:before="0" w:after="0"/>
              <w:pStyle w:val="Compact"/>
            </w:pPr>
            <w:r>
              <w:rPr>
                <w:sz w:val="20"/>
                <w:szCs w:val="20"/>
              </w:rPr>
              <w:t xml:space="preserve">World Bank SP.RUR.TOTL.ZS</w:t>
            </w:r>
          </w:p>
        </w:tc>
      </w:tr>
      <w:tr>
        <w:tc>
          <w:tcPr>
            <w:tcW w:w="0" w:type="auto"/>
          </w:tcPr>
          <w:p>
            <w:pPr>
              <w:spacing w:line="240" w:lineRule="auto" w:before="0" w:after="0"/>
              <w:pStyle w:val="Compact"/>
            </w:pPr>
            <w:r>
              <w:rPr>
                <w:sz w:val="20"/>
                <w:szCs w:val="20"/>
              </w:rPr>
              <w:t xml:space="preserve">log_gdp_per_capita</w:t>
            </w:r>
          </w:p>
        </w:tc>
        <w:tc>
          <w:tcPr>
            <w:tcW w:w="0" w:type="auto"/>
          </w:tcPr>
          <w:p>
            <w:pPr>
              <w:spacing w:line="240" w:lineRule="auto" w:before="0" w:after="0"/>
              <w:pStyle w:val="Compact"/>
            </w:pPr>
            <w:r>
              <w:rPr>
                <w:sz w:val="20"/>
                <w:szCs w:val="20"/>
              </w:rPr>
              <w:t xml:space="preserve">Natural log of GDP per capita in current U.S. dollars in 2023</w:t>
            </w:r>
          </w:p>
        </w:tc>
        <w:tc>
          <w:tcPr>
            <w:tcW w:w="0" w:type="auto"/>
          </w:tcPr>
          <w:p>
            <w:pPr>
              <w:spacing w:line="240" w:lineRule="auto" w:before="0" w:after="0"/>
              <w:pStyle w:val="Compact"/>
            </w:pPr>
            <w:r>
              <w:rPr>
                <w:sz w:val="20"/>
                <w:szCs w:val="20"/>
              </w:rPr>
              <w:t xml:space="preserve">World Bank NY.GDP.PCAP.CD</w:t>
            </w:r>
          </w:p>
        </w:tc>
      </w:tr>
    </w:tbl>
    <w:bookmarkEnd w:id="206"/>
    <w:bookmarkEnd w:id="207"/>
    <w:bookmarkEnd w:id="20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3" Type="http://schemas.openxmlformats.org/officeDocument/2006/relationships/image" Target="media/rId193.png"/><Relationship Id="rId201" Type="http://schemas.openxmlformats.org/officeDocument/2006/relationships/image" Target="media/rId201.png"/><Relationship Id="rId157" Type="http://schemas.openxmlformats.org/officeDocument/2006/relationships/hyperlink" Target="https://doi.org/10.1016/j.actaastro.2019.03.040" TargetMode="External"/><Relationship Id="rId162" Type="http://schemas.openxmlformats.org/officeDocument/2006/relationships/hyperlink" Target="https://doi.org/10.1016/j.actaastro.2022.05.022" TargetMode="External"/><Relationship Id="rId177" Type="http://schemas.openxmlformats.org/officeDocument/2006/relationships/hyperlink" Target="https://doi.org/10.1016/j.actaastro.2022.06.005" TargetMode="External"/><Relationship Id="rId189" Type="http://schemas.openxmlformats.org/officeDocument/2006/relationships/hyperlink" Target="https://doi.org/10.1016/j.actaastro.2024.09.003" TargetMode="External"/><Relationship Id="rId187" Type="http://schemas.openxmlformats.org/officeDocument/2006/relationships/hyperlink" Target="https://doi.org/10.1016/j.actaastro.2025.01.069" TargetMode="External"/><Relationship Id="rId164" Type="http://schemas.openxmlformats.org/officeDocument/2006/relationships/hyperlink" Target="https://doi.org/10.1016/j.actaastro.2025.06.068" TargetMode="External"/><Relationship Id="rId181" Type="http://schemas.openxmlformats.org/officeDocument/2006/relationships/hyperlink" Target="https://doi.org/10.1016/j.actaastro.2025.08.024" TargetMode="External"/><Relationship Id="rId185" Type="http://schemas.openxmlformats.org/officeDocument/2006/relationships/hyperlink" Target="https://doi.org/10.1016/j.actaastro.2025.09.076" TargetMode="External"/><Relationship Id="rId183" Type="http://schemas.openxmlformats.org/officeDocument/2006/relationships/hyperlink" Target="https://doi.org/10.1016/j.actaastro.2026.03.026" TargetMode="External"/><Relationship Id="rId171" Type="http://schemas.openxmlformats.org/officeDocument/2006/relationships/hyperlink" Target="https://doi.org/10.64861/MDKI9573" TargetMode="External"/></Relationships>
</file>

<file path=word/_rels/footnotes.xml.rels><?xml version='1.0' encoding='UTF-8' standalone='yes'?>
<Relationships xmlns="http://schemas.openxmlformats.org/package/2006/relationships"><Relationship Id="rId157" Type="http://schemas.openxmlformats.org/officeDocument/2006/relationships/hyperlink" Target="https://doi.org/10.1016/j.actaastro.2019.03.040" TargetMode="External"/><Relationship Id="rId162" Type="http://schemas.openxmlformats.org/officeDocument/2006/relationships/hyperlink" Target="https://doi.org/10.1016/j.actaastro.2022.05.022" TargetMode="External"/><Relationship Id="rId177" Type="http://schemas.openxmlformats.org/officeDocument/2006/relationships/hyperlink" Target="https://doi.org/10.1016/j.actaastro.2022.06.005" TargetMode="External"/><Relationship Id="rId189" Type="http://schemas.openxmlformats.org/officeDocument/2006/relationships/hyperlink" Target="https://doi.org/10.1016/j.actaastro.2024.09.003" TargetMode="External"/><Relationship Id="rId187" Type="http://schemas.openxmlformats.org/officeDocument/2006/relationships/hyperlink" Target="https://doi.org/10.1016/j.actaastro.2025.01.069" TargetMode="External"/><Relationship Id="rId164" Type="http://schemas.openxmlformats.org/officeDocument/2006/relationships/hyperlink" Target="https://doi.org/10.1016/j.actaastro.2025.06.068" TargetMode="External"/><Relationship Id="rId181" Type="http://schemas.openxmlformats.org/officeDocument/2006/relationships/hyperlink" Target="https://doi.org/10.1016/j.actaastro.2025.08.024" TargetMode="External"/><Relationship Id="rId185" Type="http://schemas.openxmlformats.org/officeDocument/2006/relationships/hyperlink" Target="https://doi.org/10.1016/j.actaastro.2025.09.076" TargetMode="External"/><Relationship Id="rId183" Type="http://schemas.openxmlformats.org/officeDocument/2006/relationships/hyperlink" Target="https://doi.org/10.1016/j.actaastro.2026.03.026" TargetMode="External"/><Relationship Id="rId171" Type="http://schemas.openxmlformats.org/officeDocument/2006/relationships/hyperlink" Target="https://doi.org/10.64861/MDKI95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Capacity Glut Question: Will the LEO Broadband Spectrum-and-Ground Buildout Outrun Addressable Demand by 2030?</dc:title>
  <dc:creator>Liv Strand (1B-ITI-139)</dc:creator>
  <cp:keywords/>
  <dcterms:created xsi:type="dcterms:W3CDTF">2026-07-03T03:02:52Z</dcterms:created>
  <dcterms:modified xsi:type="dcterms:W3CDTF">2026-07-03T03:02:52Z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