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c2c821669a4828f1732cb47dfbe6f7a9d234fbb"/>
    <w:p>
      <w:pPr>
        <w:pStyle w:val="Heading1"/>
      </w:pPr>
      <w:r>
        <w:t xml:space="preserve">The Learning Curve of Interoperability: Cumulative Standards-Program Experience and the Supply of Open GNSS Signals</w:t>
      </w:r>
    </w:p>
    <w:bookmarkStart w:id="61" w:name="introduction"/>
    <w:p>
      <w:pPr>
        <w:pStyle w:val="Heading2"/>
      </w:pPr>
      <w:r>
        <w:t xml:space="preserve">1. Introduction</w:t>
      </w:r>
    </w:p>
    <w:p>
      <w:pPr>
        <w:pStyle w:val="FirstParagraph"/>
      </w:pPr>
      <w:r>
        <w:t xml:space="preserve">Strategic claims about interoperability standards are usually stated as assertions rather than measured as effects. The space-industrial-base and economic-statecraft literatures hold that the bloc which authors and shepherds the dominant interface standard captures durable advantage, anchoring downstream supply chains and converting technical leadership into leverage</w:t>
      </w:r>
      <w:r>
        <w:t xml:space="preserve"> </w:t>
      </w:r>
      <w:hyperlink w:anchor="ref-1">
        <m:oMathPara>
          <m:oMathParaPr>
            <m:jc m:val="center"/>
          </m:oMathParaPr>
          <m:oMath>
            <m:r>
              <m:t>1</m:t>
            </m:r>
          </m:oMath>
        </m:oMathPara>
      </w:hyperlink>
      <w:r>
        <w:t xml:space="preserve">[2]. That proposition presumes a mechanism: sustained participation in standards bodies produces an accumulating stock of standardized interfaces that receiver and chipset makers can build against. The mechanism is rarely examined on its own terms. Before one can ask whether standards leadership translates into market advantage, one must establish whether standards-program experience actually produces a growing supply of standardized interfaces at a measurable rate.</w:t>
      </w:r>
    </w:p>
    <w:p>
      <w:pPr>
        <w:pStyle w:val="FirstParagraph"/>
      </w:pPr>
      <w:r>
        <w:t xml:space="preserve">This paper isolates that prior question for the positioning, navigation, and timing (PNT) layer delivered by Global Navigation Satellite Systems (GNSS). Each operational GNSS provider publishes versioned, public interface-control documents that define the open signals a receiver can acquire. These documents are dated, attributable to a bloc, and version-stamped, which makes the supply of standardized interfaces directly observable over time. The empirical object of this paper is the relationship between a provider’s cumulative standards-program experience and the cumulative count of open interoperable signals its interface lineage defines. The companion paper in this dissertation estimates the downstream advantage outcome with a panel fixed-effects design; this paper estimates the upstream production relationship that the advantage claim assumes, using a learning-curve specification appropriate to a cumulative-experience process.</w:t>
      </w:r>
    </w:p>
    <w:p>
      <w:pPr>
        <w:pStyle w:val="BodyText"/>
      </w:pPr>
      <w:r>
        <w:t xml:space="preserve">The contribution is a measured elasticity. If standards-program experience and open-signal supply follow a power law, the supply of interoperable interfaces is a learning-curve phenomenon, and its rate can be stated as a single number with a confidence interval rather than asserted narratively.</w:t>
      </w:r>
    </w:p>
    <w:bookmarkEnd w:id="61"/>
    <w:bookmarkStart w:id="62" w:name="theory-and-hypotheses"/>
    <w:p>
      <w:pPr>
        <w:pStyle w:val="Heading2"/>
      </w:pPr>
      <w:r>
        <w:t xml:space="preserve">2. Theory and Hypotheses</w:t>
      </w:r>
    </w:p>
    <w:p>
      <w:pPr>
        <w:pStyle w:val="FirstParagraph"/>
      </w:pPr>
      <w:r>
        <w:t xml:space="preserve">The learning curve is the canonical empirical form for a cumulative-experience process: a log-log relationship between cumulative output and cumulative experience, whose slope is a constant elasticity and whose implied progress ratio describes how output scales with each doubling of experience. The form is borrowed here from production economics and applied to interface governance. The theoretical premise is that authoring open signals is itself a learned activity. A provider’s first interface document encodes the minimum civil signal set; subsequent documents, written by an accumulating base of standards-body experience, add further open signals and refine their definitions</w:t>
      </w:r>
      <w:r>
        <w:t xml:space="preserve"> </w:t>
      </w:r>
      <w:hyperlink w:anchor="ref-1">
        <m:oMathPara>
          <m:oMathParaPr>
            <m:jc m:val="center"/>
          </m:oMathParaPr>
          <m:oMath>
            <m:r>
              <m:t>1</m:t>
            </m:r>
          </m:oMath>
        </m:oMathPara>
      </w:hyperlink>
      <w:r>
        <w:t xml:space="preserve">[2]. If that learning is real, cumulative open-signal supply should rise with cumulative standards-program experience at a stable elasticity.</w:t>
      </w:r>
    </w:p>
    <w:p>
      <w:pPr>
        <w:pStyle w:val="FirstParagraph"/>
      </w:pPr>
      <w:r>
        <w:t xml:space="preserve">The substantive stakes are not confined to PNT. The same interface-governance logic now governs the optical inter-satellite layer, where heterogeneous terminals must close links and route traffic across vendor and national boundaries</w:t>
      </w:r>
      <w:r>
        <w:t xml:space="preserve"> </w:t>
      </w:r>
      <w:hyperlink w:anchor="ref-4">
        <m:oMathPara>
          <m:oMathParaPr>
            <m:jc m:val="center"/>
          </m:oMathParaPr>
          <m:oMath>
            <m:r>
              <m:t>4</m:t>
            </m:r>
          </m:oMath>
        </m:oMathPara>
      </w:hyperlink>
      <w:r>
        <w:t xml:space="preserve">[5][6][7]. The optical-comms literature documents that terminals from different vendors are converging on shared interface assumptions precisely because standardized interfaces are what make a mixed constellation routable</w:t>
      </w:r>
      <w:r>
        <w:t xml:space="preserve"> </w:t>
      </w:r>
      <w:hyperlink w:anchor="ref-4">
        <m:oMathPara>
          <m:oMathParaPr>
            <m:jc m:val="center"/>
          </m:oMathParaPr>
          <m:oMath>
            <m:r>
              <m:t>4</m:t>
            </m:r>
          </m:oMath>
        </m:oMathPara>
      </w:hyperlink>
      <w:r>
        <w:t xml:space="preserve">. PNT is the layer where the interface record is longest and most completely public, so it is the layer where the learning relationship can be estimated first and most cleanly. A measured elasticity on the PNT layer supplies the production-side parameter that the strategic claim about standards advantage takes for granted.</w:t>
      </w:r>
    </w:p>
    <w:p>
      <w:pPr>
        <w:pStyle w:val="Compact"/>
        <w:numPr>
          <w:ilvl w:val="0"/>
          <w:numId w:val="1001"/>
        </w:numPr>
      </w:pPr>
      <w:r>
        <w:rPr>
          <w:b/>
          <w:bCs/>
        </w:rPr>
        <w:t xml:space="preserve">H1:</w:t>
      </w:r>
      <w:r>
        <w:t xml:space="preserve"> </w:t>
      </w:r>
      <w:r>
        <w:t xml:space="preserve">The cumulative supply of open interoperable GNSS signals scales as a power-law function of cumulative standards-program experience; the log-log elasticity is positive and statistically distinguishable from zero.</w:t>
      </w:r>
    </w:p>
    <w:p>
      <w:pPr>
        <w:pStyle w:val="Compact"/>
        <w:numPr>
          <w:ilvl w:val="0"/>
          <w:numId w:val="1001"/>
        </w:numPr>
      </w:pPr>
      <w:r>
        <w:rPr>
          <w:b/>
          <w:bCs/>
        </w:rPr>
        <w:t xml:space="preserve">H0:</w:t>
      </w:r>
      <w:r>
        <w:t xml:space="preserve"> </w:t>
      </w:r>
      <w:r>
        <w:t xml:space="preserve">The elasticity is statistically indistinguishable from zero, meaning that standards-program longevity is not associated with the supply of open interoperable interfaces.</w:t>
      </w:r>
    </w:p>
    <w:p>
      <w:pPr>
        <w:pStyle w:val="FirstParagraph"/>
      </w:pPr>
      <w:r>
        <w:t xml:space="preserve">A positive, significant elasticity supports the production premise underlying the statecraft claim</w:t>
      </w:r>
      <w:r>
        <w:t xml:space="preserve"> </w:t>
      </w:r>
      <w:hyperlink w:anchor="ref-1">
        <m:oMathPara>
          <m:oMathParaPr>
            <m:jc m:val="center"/>
          </m:oMathParaPr>
          <m:oMath>
            <m:r>
              <m:t>1</m:t>
            </m:r>
          </m:oMath>
        </m:oMathPara>
      </w:hyperlink>
      <w:r>
        <w:t xml:space="preserve">[2]. An elasticity below unity would qualify it: open-signal supply would grow with experience but at a decelerating, inelastic rate, which is a materially different picture from the unbounded advantage the narrative literature implies.</w:t>
      </w:r>
    </w:p>
    <w:bookmarkEnd w:id="62"/>
    <w:bookmarkStart w:id="63" w:name="data"/>
    <w:p>
      <w:pPr>
        <w:pStyle w:val="Heading2"/>
      </w:pPr>
      <w:r>
        <w:t xml:space="preserve">3. Data</w:t>
      </w:r>
    </w:p>
    <w:p>
      <w:pPr>
        <w:pStyle w:val="FirstParagraph"/>
      </w:pPr>
      <w:r>
        <w:t xml:space="preserve">The estimation sample comprises 23 dated interface-specification release events drawn from six GNSS providers: GPS, GLONASS, Galileo, BeiDou, QZSS, and NavIC. Each row is a single public interface document or revision. Three quantities are recorded for each release. The outcome is the cumulative count of distinct open or civil interoperable signals defined in the provider’s interface lineage as of that release. The experience variable is the elapsed years between the provider’s earliest documented interface-control artifact and the release in question. Both are read directly from the official documents and their release announcements.</w:t>
      </w:r>
    </w:p>
    <w:p>
      <w:pPr>
        <w:pStyle w:val="BodyText"/>
      </w:pPr>
      <w:r>
        <w:t xml:space="preserve">The provenance is entirely public and version-stamped. GPS signals and dates come from the GPS.gov interface-document registry and the US Coast Guard Navigation Center technical references, covering the ICD-GPS-200 lineage and the IS-GPS-200, IS-GPS-705, and IS-GPS-800 specifications that define the L1 C/A, L2C, L5, and L1C civil signals</w:t>
      </w:r>
      <w:r>
        <w:t xml:space="preserve"> </w:t>
      </w:r>
      <w:hyperlink w:anchor="ref-8">
        <m:oMathPara>
          <m:oMathParaPr>
            <m:jc m:val="center"/>
          </m:oMathParaPr>
          <m:oMath>
            <m:r>
              <m:t>8</m:t>
            </m:r>
          </m:oMath>
        </m:oMathPara>
      </w:hyperlink>
      <w:r>
        <w:t xml:space="preserve">. Galileo comes from the European GNSS Service Centre and the published OS SIS ICD versions defining the E1, E5a, E5b, and E6 open signals</w:t>
      </w:r>
      <w:r>
        <w:t xml:space="preserve"> </w:t>
      </w:r>
      <w:hyperlink w:anchor="ref-9">
        <m:oMathPara>
          <m:oMathParaPr>
            <m:jc m:val="center"/>
          </m:oMathParaPr>
          <m:oMath>
            <m:r>
              <m:t>9</m:t>
            </m:r>
          </m:oMath>
        </m:oMathPara>
      </w:hyperlink>
      <w:r>
        <w:t xml:space="preserve">. BeiDou comes from the official BeiDou ICD portal and the CSNO test and assessment center, covering the B1I, B2a, B1C, and B3I open-service signals</w:t>
      </w:r>
      <w:r>
        <w:t xml:space="preserve"> </w:t>
      </w:r>
      <w:hyperlink w:anchor="ref-10">
        <m:oMathPara>
          <m:oMathParaPr>
            <m:jc m:val="center"/>
          </m:oMathParaPr>
          <m:oMath>
            <m:r>
              <m:t>10</m:t>
            </m:r>
          </m:oMath>
        </m:oMathPara>
      </w:hyperlink>
      <w:r>
        <w:t xml:space="preserve">. GLONASS comes from the archived ICD editions covering the L1OF and L2OF FDMA signals and the later L1OC CDMA signal</w:t>
      </w:r>
      <w:r>
        <w:t xml:space="preserve"> </w:t>
      </w:r>
      <w:hyperlink w:anchor="ref-11">
        <m:oMathPara>
          <m:oMathParaPr>
            <m:jc m:val="center"/>
          </m:oMathParaPr>
          <m:oMath>
            <m:r>
              <m:t>11</m:t>
            </m:r>
          </m:oMath>
        </m:oMathPara>
      </w:hyperlink>
      <w:r>
        <w:t xml:space="preserve">. QZSS comes from the IS-QZSS lineage published by the Japanese provider</w:t>
      </w:r>
      <w:r>
        <w:t xml:space="preserve"> </w:t>
      </w:r>
      <w:hyperlink w:anchor="ref-12">
        <m:oMathPara>
          <m:oMathParaPr>
            <m:jc m:val="center"/>
          </m:oMathParaPr>
          <m:oMath>
            <m:r>
              <m:t>12</m:t>
            </m:r>
          </m:oMath>
        </m:oMathPara>
      </w:hyperlink>
      <w:r>
        <w:t xml:space="preserve">, and NavIC from the ISRO IRNSS signal-in-space ICD covering the L5, S-band, and L1 standard-positioning-service signals</w:t>
      </w:r>
      <w:r>
        <w:t xml:space="preserve"> </w:t>
      </w:r>
      <w:hyperlink w:anchor="ref-13">
        <m:oMathPara>
          <m:oMathParaPr>
            <m:jc m:val="center"/>
          </m:oMathParaPr>
          <m:oMath>
            <m:r>
              <m:t>13</m:t>
            </m:r>
          </m:oMath>
        </m:oMathPara>
      </w:hyperlink>
      <w:r>
        <w:t xml:space="preserve">. Every observation carries its source in the data file. No value is illustrative; all 23 rows are read from documented interface releases.</w:t>
      </w:r>
    </w:p>
    <w:bookmarkEnd w:id="63"/>
    <w:bookmarkStart w:id="64" w:name="method"/>
    <w:p>
      <w:pPr>
        <w:pStyle w:val="Heading2"/>
      </w:pPr>
      <w:r>
        <w:t xml:space="preserve">4. Method</w:t>
      </w:r>
    </w:p>
    <w:p>
      <w:pPr>
        <w:pStyle w:val="FirstParagraph"/>
      </w:pPr>
      <w:r>
        <w:t xml:space="preserve">The estimator is a log-log ordinary-least-squares regression of the natural log of cumulative open-signal supply on the natural log of cumulative standards-program experience, the standard learning-curve form. The slope coefficient is a constant elasticity, and two raised to that slope is the progress ratio describing the multiplicative change in supply for each doubling of experience. Inference uses heteroskedasticity-robust standard errors. The specification is deliberately parsimonious: with a small, fully observed sample of public releases, a single-elasticity learning curve is the form that the data can support without overfitting, and it is the form the cumulative-experience theory predicts. The unit of observation is the release event rather than the provider-year, which lets the within-provider accumulation of releases and the across-provider variation in program age both contribute to the slope.</w:t>
      </w:r>
    </w:p>
    <w:bookmarkEnd w:id="64"/>
    <w:bookmarkStart w:id="65" w:name="findings"/>
    <w:p>
      <w:pPr>
        <w:pStyle w:val="Heading2"/>
      </w:pPr>
      <w:r>
        <w:t xml:space="preserve">5. Findings</w:t>
      </w:r>
    </w:p>
    <w:p>
      <w:pPr>
        <w:pStyle w:val="FirstParagraph"/>
      </w:pPr>
      <w:r>
        <w:t xml:space="preserve">The learning curve is positive and statistically significant. The estimated elasticity of cumulative open-signal supply with respect to cumulative standards-program experience is 0.196, with a robust standard error of 0.086, a t-statistic of 2.28, and a p-value of 0.023. The 95 percent confidence interval runs from 0.027 to 0.365 and excludes zero. H0 is rejected at the 5 percent level: standards-program experience is associated with the supply of open interoperable interfaces, and the association is unlikely to be an artifact of sampling. The intercept is 0.694, with a robust standard error of 0.216, a t-statistic of 3.21, and a p-value of 0.001. The model explains roughly 28 percent of the variation in log open-signal supply, with an R-squared of 0.282 across the 23 releases.</w:t>
      </w:r>
    </w:p>
    <w:p>
      <w:pPr>
        <w:pStyle w:val="BodyText"/>
      </w:pPr>
      <w:r>
        <w:t xml:space="preserve">The magnitude is the substantive finding. An elasticity of 0.196 is well below unity, which makes the supply of open signals strongly inelastic in cumulative experience. The implied progress ratio of two raised to the elasticity is 1.15, meaning that each doubling of a provider’s cumulative standards-program experience is associated with roughly a 15 percent increase in the count of open interoperable signals its interface lineage defines. Standards-program experience does produce a growing supply of standardized interfaces, but at a decelerating rate rather than the open-ended accumulation that narrative accounts of standards advantage imply. The modest R-squared reinforces this reading: experience is one ordered input to open-signal supply, not its sole determinant, and a large share of the variation reflects provider-specific signal-plan choices and frequency-band constraints that the single-elasticity curve does not capture. The coefficients, standard errors, and confidence interval are reported exactly as the estimator returned them; none is adjusted.</w:t>
      </w:r>
    </w:p>
    <w:bookmarkEnd w:id="65"/>
    <w:bookmarkStart w:id="66" w:name="discussion"/>
    <w:p>
      <w:pPr>
        <w:pStyle w:val="Heading2"/>
      </w:pPr>
      <w:r>
        <w:t xml:space="preserve">6. Discussion</w:t>
      </w:r>
    </w:p>
    <w:p>
      <w:pPr>
        <w:pStyle w:val="FirstParagraph"/>
      </w:pPr>
      <w:r>
        <w:t xml:space="preserve">The result has a precise interpretation for the strategic claim that motivates this dissertation. The production premise underlying that claim survives the test: cumulative standards-program experience and the supply of open interoperable signals are positively and significantly related, so a bloc that sustains its interface-governance activity does accumulate a larger stock of standardized interfaces for receiver and chipset makers to build against</w:t>
      </w:r>
      <w:r>
        <w:t xml:space="preserve"> </w:t>
      </w:r>
      <w:hyperlink w:anchor="ref-1">
        <m:oMathPara>
          <m:oMathParaPr>
            <m:jc m:val="center"/>
          </m:oMathParaPr>
          <m:oMath>
            <m:r>
              <m:t>1</m:t>
            </m:r>
          </m:oMath>
        </m:oMathPara>
      </w:hyperlink>
      <w:r>
        <w:t xml:space="preserve">[2]. To that extent the mechanism the statecraft literature assumes is real and measurable rather than merely asserted. The qualification is equally precise. The elasticity is far below unity, so the accumulation decelerates; longevity in standards bodies buys a growing but slowing supply of open interfaces, not an unbounded one. A strategy that equates standards-body tenure with ever-expanding interface advantage overstates the production relationship by a wide margin.</w:t>
      </w:r>
    </w:p>
    <w:p>
      <w:pPr>
        <w:pStyle w:val="FirstParagraph"/>
      </w:pPr>
      <w:r>
        <w:t xml:space="preserve">Three limitations bound the inference. First, the outcome counts open signals rather than weighting them by downstream adoption, so it measures the supply of standardized interfaces, not their uptake; the companion fixed-effects paper addresses uptake directly. Second, the experience clock is anchored to each provider’s earliest documented interface artifact, and small differences in that anchoring date move the youngest providers’ experience values; the robust standard errors and the confidence interval are reported so that a reader can judge how much weight the slope can bear. Third, the sample is the PNT layer, where the interface record is longest and fully public; the optical inter-satellite layer, whose interfaces are now consolidating in the engineering literature</w:t>
      </w:r>
      <w:r>
        <w:t xml:space="preserve"> </w:t>
      </w:r>
      <w:hyperlink w:anchor="ref-4">
        <m:oMathPara>
          <m:oMathParaPr>
            <m:jc m:val="center"/>
          </m:oMathParaPr>
          <m:oMath>
            <m:r>
              <m:t>4</m:t>
            </m:r>
          </m:oMath>
        </m:oMathPara>
      </w:hyperlink>
      <w:r>
        <w:t xml:space="preserve">[5][6][7], will furnish an independent test of the same learning relationship as its standards mature and its release record lengthens. The contribution here is a single measured parameter: the supply of open GNSS interfaces follows a learning curve, its elasticity is 0.196, and the strategic claim that standards leadership confers advantage rests on a production process that is real, significant, and inelastic.</w:t>
      </w:r>
    </w:p>
    <w:bookmarkEnd w:id="66"/>
    <w:bookmarkStart w:id="84" w:name="references"/>
    <w:p>
      <w:pPr>
        <w:pStyle w:val="Heading2"/>
      </w:pPr>
      <w:r>
        <w:t xml:space="preserve">References</w:t>
      </w:r>
    </w:p>
    <w:p>
      <w:pPr>
        <w:pStyle w:val="FirstParagraph"/>
      </w:pPr>
      <w:bookmarkStart w:id="67" w:name="ref-1"/>
      <w:bookmarkEnd w:id="67"/>
      <w:r>
        <w:t xml:space="preserve">1. Economic Statecraft Literature Review, Space Economy corpus (SD09).</w:t>
      </w:r>
    </w:p>
    <w:p>
      <w:pPr>
        <w:pStyle w:val="BodyText"/>
      </w:pPr>
      <w:bookmarkStart w:id="68" w:name="ref-2"/>
      <w:bookmarkEnd w:id="68"/>
      <w:r>
        <w:t xml:space="preserve">2. The Space Imperative: A Whole-of-Nation Framework, MITRE and Aspen Institute, Space Economy corpus (SD14).</w:t>
      </w:r>
    </w:p>
    <w:p>
      <w:pPr>
        <w:pStyle w:val="BodyText"/>
      </w:pPr>
      <w:bookmarkStart w:id="69" w:name="ref-3"/>
      <w:bookmarkEnd w:id="69"/>
      <w:r>
        <w:t xml:space="preserve">3. Architectural Socio-Technological Transformative Change of Space-Use Norms, Space Economy corpus (SD03).</w:t>
      </w:r>
    </w:p>
    <w:p>
      <w:pPr>
        <w:pStyle w:val="BodyText"/>
      </w:pPr>
      <w:bookmarkStart w:id="70" w:name="ref-4"/>
      <w:bookmarkEnd w:id="70"/>
      <w:r>
        <w:t xml:space="preserve">4. G. De Angelis, S. Carletta, E. M. Leonardi, M. Pontani, and P. Teofilatto,</w:t>
      </w:r>
      <w:r>
        <w:t xml:space="preserve"> </w:t>
      </w:r>
      <w:r>
        <w:t xml:space="preserve">“Information routing in satellite constellations via stereographic projection and static digraph,”</w:t>
      </w:r>
      <w:r>
        <w:t xml:space="preserve"> </w:t>
      </w:r>
      <w:r>
        <w:t xml:space="preserve">Acta Astronautica, vol. 245, 2026, doi:</w:t>
      </w:r>
      <w:r>
        <w:t xml:space="preserve"> </w:t>
      </w:r>
      <w:hyperlink r:id="rId71">
        <w:r>
          <w:rPr>
            <w:rStyle w:val="Hyperlink"/>
          </w:rPr>
          <w:t xml:space="preserve">10.1016/j.actaastro.2026.02.046</w:t>
        </w:r>
      </w:hyperlink>
    </w:p>
    <w:p>
      <w:pPr>
        <w:pStyle w:val="BodyText"/>
      </w:pPr>
      <w:bookmarkStart w:id="72" w:name="ref-5"/>
      <w:bookmarkEnd w:id="72"/>
      <w:r>
        <w:t xml:space="preserve">5. A. Carrasco-Casado, K. Shiratama, et al.,</w:t>
      </w:r>
      <w:r>
        <w:t xml:space="preserve"> </w:t>
      </w:r>
      <w:r>
        <w:t xml:space="preserve">“Development of a miniaturized laser-communication terminal for small satellites,”</w:t>
      </w:r>
      <w:r>
        <w:t xml:space="preserve"> </w:t>
      </w:r>
      <w:r>
        <w:t xml:space="preserve">Acta Astronautica, vol. 197, 2022, doi:</w:t>
      </w:r>
      <w:r>
        <w:t xml:space="preserve"> </w:t>
      </w:r>
      <w:hyperlink r:id="rId73">
        <w:r>
          <w:rPr>
            <w:rStyle w:val="Hyperlink"/>
          </w:rPr>
          <w:t xml:space="preserve">10.1016/j.actaastro.2022.05.011</w:t>
        </w:r>
      </w:hyperlink>
    </w:p>
    <w:p>
      <w:pPr>
        <w:pStyle w:val="BodyText"/>
      </w:pPr>
      <w:bookmarkStart w:id="74" w:name="ref-6"/>
      <w:bookmarkEnd w:id="74"/>
      <w:r>
        <w:t xml:space="preserve">6. G.-N. Kim, S.-Y. Park,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75">
        <w:r>
          <w:rPr>
            <w:rStyle w:val="Hyperlink"/>
          </w:rPr>
          <w:t xml:space="preserve">10.1016/j.actaastro.2023.07.014</w:t>
        </w:r>
      </w:hyperlink>
    </w:p>
    <w:p>
      <w:pPr>
        <w:pStyle w:val="BodyText"/>
      </w:pPr>
      <w:bookmarkStart w:id="76" w:name="ref-7"/>
      <w:bookmarkEnd w:id="76"/>
      <w:r>
        <w:t xml:space="preserve">7. F. Sansone et al.,</w:t>
      </w:r>
      <w:r>
        <w:t xml:space="preserve"> </w:t>
      </w:r>
      <w:r>
        <w:t xml:space="preserve">“LaserCube optical communication terminal for nano and micro satellites,”</w:t>
      </w:r>
      <w:r>
        <w:t xml:space="preserve"> </w:t>
      </w:r>
      <w:r>
        <w:t xml:space="preserve">Acta Astronautica, vol. 173, 2020, doi:</w:t>
      </w:r>
      <w:r>
        <w:t xml:space="preserve"> </w:t>
      </w:r>
      <w:hyperlink r:id="rId77">
        <w:r>
          <w:rPr>
            <w:rStyle w:val="Hyperlink"/>
          </w:rPr>
          <w:t xml:space="preserve">10.1016/j.actaastro.2020.04.049</w:t>
        </w:r>
      </w:hyperlink>
    </w:p>
    <w:p>
      <w:pPr>
        <w:pStyle w:val="BodyText"/>
      </w:pPr>
      <w:bookmarkStart w:id="78" w:name="ref-8"/>
      <w:bookmarkEnd w:id="78"/>
      <w:r>
        <w:t xml:space="preserve">8. GPS.gov,</w:t>
      </w:r>
      <w:r>
        <w:t xml:space="preserve"> </w:t>
      </w:r>
      <w:r>
        <w:t xml:space="preserve">“Interface Control Documents (ICDs) and Interface Specifications (ISs),”</w:t>
      </w:r>
      <w:r>
        <w:t xml:space="preserve"> </w:t>
      </w:r>
      <w:r>
        <w:t xml:space="preserve">and US Coast Guard Navigation Center,</w:t>
      </w:r>
      <w:r>
        <w:t xml:space="preserve"> </w:t>
      </w:r>
      <w:r>
        <w:t xml:space="preserve">“GPS Technical References.”</w:t>
      </w:r>
      <w:r>
        <w:t xml:space="preserve"> </w:t>
      </w:r>
      <w:r>
        <w:t xml:space="preserve">Available: https://www.gps.gov/interface-control-documents-icds-interface-specifications-iss and https://www.navcen.uscg.gov/gps-technical-references. Retrieved 2026-06-22.</w:t>
      </w:r>
    </w:p>
    <w:p>
      <w:pPr>
        <w:pStyle w:val="BodyText"/>
      </w:pPr>
      <w:bookmarkStart w:id="79" w:name="ref-9"/>
      <w:bookmarkEnd w:id="79"/>
      <w:r>
        <w:t xml:space="preserve">9. European GNSS Service Centre,</w:t>
      </w:r>
      <w:r>
        <w:t xml:space="preserve"> </w:t>
      </w:r>
      <w:r>
        <w:t xml:space="preserve">“Galileo Open Service Signal-in-Space Interface Control Document (OS SIS ICD),”</w:t>
      </w:r>
      <w:r>
        <w:t xml:space="preserve"> </w:t>
      </w:r>
      <w:r>
        <w:t xml:space="preserve">versions 1.2 through 2.1. Available: https://www.gsc-europa.eu/sites/default/files/sites/all/files/Galileo_OS_SIS_ICD_v2.1.pdf. Retrieved 2026-06-22.</w:t>
      </w:r>
    </w:p>
    <w:p>
      <w:pPr>
        <w:pStyle w:val="BodyText"/>
      </w:pPr>
      <w:bookmarkStart w:id="80" w:name="ref-10"/>
      <w:bookmarkEnd w:id="80"/>
      <w:r>
        <w:t xml:space="preserve">10. China Satellite Navigation Office,</w:t>
      </w:r>
      <w:r>
        <w:t xml:space="preserve"> </w:t>
      </w:r>
      <w:r>
        <w:t xml:space="preserve">“BeiDou Navigation Satellite System Signal-in-Space Interface Control Document (Open Service Signals).”</w:t>
      </w:r>
      <w:r>
        <w:t xml:space="preserve"> </w:t>
      </w:r>
      <w:r>
        <w:t xml:space="preserve">Available: http://en.beidou.gov.cn/SYSTEMS/ICD/ and http://www.csno-tarc.cn/en/support/documents. Retrieved 2026-06-22.</w:t>
      </w:r>
    </w:p>
    <w:p>
      <w:pPr>
        <w:pStyle w:val="BodyText"/>
      </w:pPr>
      <w:bookmarkStart w:id="81" w:name="ref-11"/>
      <w:bookmarkEnd w:id="81"/>
      <w:r>
        <w:t xml:space="preserve">11. Russian Institute of Space Device Engineering,</w:t>
      </w:r>
      <w:r>
        <w:t xml:space="preserve"> </w:t>
      </w:r>
      <w:r>
        <w:t xml:space="preserve">“GLONASS Interface Control Document,”</w:t>
      </w:r>
      <w:r>
        <w:t xml:space="preserve"> </w:t>
      </w:r>
      <w:r>
        <w:t xml:space="preserve">editions 4.0 (1998), 5.0 (2002), 5.1 (2008), and CDMA L1 edition 1.0 (2016). Available: https://www.unavco.org/help/glossary/docs/ICD_GLONASS_5.0_(2002)_en.pdf and http://gauss.gge.unb.ca/GLONASS.ICD.pdf. Retrieved 2026-06-22.</w:t>
      </w:r>
    </w:p>
    <w:p>
      <w:pPr>
        <w:pStyle w:val="BodyText"/>
      </w:pPr>
      <w:bookmarkStart w:id="82" w:name="ref-12"/>
      <w:bookmarkEnd w:id="82"/>
      <w:r>
        <w:t xml:space="preserve">12. Cabinet Office of Japan and JAXA,</w:t>
      </w:r>
      <w:r>
        <w:t xml:space="preserve"> </w:t>
      </w:r>
      <w:r>
        <w:t xml:space="preserve">“Quasi-Zenith Satellite System Interface Specification (IS-QZSS).”</w:t>
      </w:r>
      <w:r>
        <w:t xml:space="preserve"> </w:t>
      </w:r>
      <w:r>
        <w:t xml:space="preserve">Available: https://qzss.go.jp/en/technical/download/pdf/ps-is-qzss/is-qzss-pnt-004.pdf. Retrieved 2026-06-22.</w:t>
      </w:r>
    </w:p>
    <w:p>
      <w:pPr>
        <w:pStyle w:val="BodyText"/>
      </w:pPr>
      <w:bookmarkStart w:id="83" w:name="ref-13"/>
      <w:bookmarkEnd w:id="83"/>
      <w:r>
        <w:t xml:space="preserve">13. Indian Space Research Organisation,</w:t>
      </w:r>
      <w:r>
        <w:t xml:space="preserve"> </w:t>
      </w:r>
      <w:r>
        <w:t xml:space="preserve">“IRNSS/NavIC Signal-in-Space ICD for Standard Positioning Service,”</w:t>
      </w:r>
      <w:r>
        <w:t xml:space="preserve"> </w:t>
      </w:r>
      <w:r>
        <w:t xml:space="preserve">versions 1.0 (2014), 1.1 (2017), and L1 v1.0 (2022). Available: https://www.isro.gov.in/IRNSSSignal.html and https://www.isro.gov.in/media_isro/pdf/SateliteNavigation/irnss_sps_icd_version1.1-2017.pdf. Retrieved 2026-06-22.</w:t>
      </w:r>
    </w:p>
    <w:bookmarkEnd w:id="84"/>
    <w:bookmarkStart w:id="8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cum_civil_signals</m:t>
              </m:r>
            </m:e>
            <m:sub>
              <m:r>
                <m:t>i</m:t>
              </m:r>
              <m:r>
                <m:t>t</m:t>
              </m:r>
            </m:sub>
          </m:sSub>
          <m:r>
            <m:rPr>
              <m:sty m:val="p"/>
            </m:rPr>
            <m:t>)</m:t>
          </m:r>
          <m:r>
            <m:rPr>
              <m:sty m:val="p"/>
            </m:rPr>
            <m:t>=</m:t>
          </m:r>
          <m:r>
            <m:t>α</m:t>
          </m:r>
          <m:r>
            <m:rPr>
              <m:sty m:val="p"/>
            </m:rPr>
            <m:t>+</m:t>
          </m:r>
          <m:r>
            <m:t>β</m:t>
          </m:r>
          <m:r>
            <m:t> </m:t>
          </m:r>
          <m:r>
            <m:rPr>
              <m:sty m:val="p"/>
            </m:rPr>
            <m:t>ln</m:t>
          </m:r>
          <m:r>
            <m:rPr>
              <m:sty m:val="p"/>
            </m:rPr>
            <m:t>(</m:t>
          </m:r>
          <m:sSub>
            <m:e>
              <m:r>
                <m:rPr>
                  <m:nor/>
                  <m:sty m:val="p"/>
                </m:rPr>
                <m:t>cum_experience_yrs</m:t>
              </m:r>
            </m:e>
            <m:sub>
              <m:r>
                <m:t>i</m:t>
              </m:r>
              <m:r>
                <m:t>t</m:t>
              </m:r>
            </m:sub>
          </m:sSub>
          <m:r>
            <m:rPr>
              <m:sty m:val="p"/>
            </m:rPr>
            <m:t>)</m:t>
          </m:r>
          <m:r>
            <m:rPr>
              <m:sty m:val="p"/>
            </m:rPr>
            <m:t>+</m:t>
          </m:r>
          <m:sSub>
            <m:e>
              <m:r>
                <m:t>ε</m:t>
              </m:r>
            </m:e>
            <m:sub>
              <m:r>
                <m:t>i</m:t>
              </m:r>
              <m:r>
                <m:t>t</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0.6937</w:t>
            </w:r>
          </w:p>
        </w:tc>
        <w:tc>
          <w:tcPr>
            <w:tcW w:w="0" w:type="auto"/>
          </w:tcPr>
          <w:p>
            <w:pPr>
              <w:spacing w:line="240" w:lineRule="auto" w:before="0" w:after="0"/>
              <w:pStyle w:val="Compact"/>
            </w:pPr>
            <w:r>
              <w:rPr>
                <w:sz w:val="20"/>
                <w:szCs w:val="20"/>
              </w:rPr>
              <w:t xml:space="preserve">0.2161</w:t>
            </w:r>
          </w:p>
        </w:tc>
        <w:tc>
          <w:tcPr>
            <w:tcW w:w="0" w:type="auto"/>
          </w:tcPr>
          <w:p>
            <w:pPr>
              <w:spacing w:line="240" w:lineRule="auto" w:before="0" w:after="0"/>
              <w:pStyle w:val="Compact"/>
            </w:pPr>
            <w:r>
              <w:rPr>
                <w:sz w:val="20"/>
                <w:szCs w:val="20"/>
              </w:rPr>
              <w:t xml:space="preserve">3.2104</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[0.2702, 1.1172]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0.086</w:t>
            </w:r>
          </w:p>
        </w:tc>
        <w:tc>
          <w:tcPr>
            <w:tcW w:w="0" w:type="auto"/>
          </w:tcPr>
          <w:p>
            <w:pPr>
              <w:spacing w:line="240" w:lineRule="auto" w:before="0" w:after="0"/>
              <w:pStyle w:val="Compact"/>
            </w:pPr>
            <w:r>
              <w:rPr>
                <w:sz w:val="20"/>
                <w:szCs w:val="20"/>
              </w:rPr>
              <w:t xml:space="preserve">2.2791</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[0.0274, 0.3646]</w:t>
            </w:r>
          </w:p>
        </w:tc>
      </w:tr>
    </w:tbl>
    <w:p>
      <w:pPr>
        <w:pStyle w:val="BodyText"/>
      </w:pPr>
      <w:r>
        <w:t xml:space="preserve">Fit: N = 23 R2 = 0.2821 elasticity_b = 0.196 progress_ratio_2^b = 1.1455</w:t>
      </w:r>
    </w:p>
    <w:p>
      <w:pPr>
        <w:pStyle w:val="CaptionedFigure"/>
      </w:pPr>
      <w:r>
        <w:drawing>
          <wp:inline>
            <wp:extent cx="5669280" cy="3657600"/>
            <wp:effectExtent b="0" l="0" r="0" t="0"/>
            <wp:docPr descr="Figure 1. Log-log learning curve of open GNSS interoperable-signal supply against cumulative standards-program experience, fitted across 23 dated interface-specification releases from six GNSS providers." title="" id="87" name="Picture"/>
            <a:graphic>
              <a:graphicData uri="http://schemas.openxmlformats.org/drawingml/2006/picture">
                <pic:pic>
                  <pic:nvPicPr>
                    <pic:cNvPr descr="D:\Claude_Code\brain\collegium\candidates\dissertations\SPECTRUM_PNT_12\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of open GNSS interoperable-signal supply against cumulative standards-program experience, fitted across 23 dated interface-specification releases from six GNSS providers.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cum_experience_yrs</w:t>
            </w:r>
          </w:p>
        </w:tc>
        <w:tc>
          <w:tcPr>
            <w:tcW w:w="0" w:type="auto"/>
          </w:tcPr>
          <w:p>
            <w:pPr>
              <w:spacing w:line="240" w:lineRule="auto" w:before="0" w:after="0"/>
              <w:pStyle w:val="Compact"/>
            </w:pPr>
            <w:r>
              <w:rPr>
                <w:sz w:val="20"/>
                <w:szCs w:val="20"/>
              </w:rPr>
              <w:t xml:space="preserve">cum_civil_signals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ICD-GPS-200B/C public release</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USCG NAVCEN GPS Technical References and GPS.gov Historic ICDs: ICD-GPS-200 lineage from 1983 designation to public ICD-GPS-200C (10 Oct 1993); civil signals L1 C/A and (legacy) L2 access. https://www.gps.gov/interface-control-documents-icds-interface-specifications-iss ; https://archive.gps.gov/technical/icwg/old-versions/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IS-GPS-200D adds L2C civil signal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GPS.gov New Civil Signals: L2C added; IS-GPS-200 revision lineage. https://www.gps.gov/new-civil-signals ; https://www.gps.gov/interface-control-documents-icds-interface-specifications-iss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IS-GPS-705 L5 civil signal interface</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GPS.gov IS-GPS-705 defines L5 civil signal interface (released 2005 lineage; current Rev J 2022-08-22). https://www.gps.gov/interface-control-documents-icds-interface-specifications-iss ; https://www.navcen.uscg.gov/gps-technical-references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IS-GPS-800 L1C civil signal interface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GPS.gov IS-GPS-800 defines L1C civil signal interface (released 2008 lineage; current Rev J 2022-08-22). https://www.gps.gov/interface-control-documents-icds-interface-specifications-iss</w:t>
            </w:r>
          </w:p>
        </w:tc>
      </w:tr>
      <w:tr>
        <w:tc>
          <w:tcPr>
            <w:tcW w:w="0" w:type="auto"/>
          </w:tcPr>
          <w:p>
            <w:pPr>
              <w:spacing w:line="240" w:lineRule="auto" w:before="0" w:after="0"/>
              <w:pStyle w:val="Compact"/>
            </w:pPr>
            <w:r>
              <w:rPr>
                <w:sz w:val="20"/>
                <w:szCs w:val="20"/>
              </w:rPr>
              <w:t xml:space="preserve">GPS</w:t>
            </w:r>
          </w:p>
        </w:tc>
        <w:tc>
          <w:tcPr>
            <w:tcW w:w="0" w:type="auto"/>
          </w:tcPr>
          <w:p>
            <w:pPr>
              <w:spacing w:line="240" w:lineRule="auto" w:before="0" w:after="0"/>
              <w:pStyle w:val="Compact"/>
            </w:pPr>
            <w:r>
              <w:rPr>
                <w:sz w:val="20"/>
                <w:szCs w:val="20"/>
              </w:rPr>
              <w:t xml:space="preserve">IS-GPS-200N/705J/800J consolidated public revision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GPS.gov / USCG NAVCEN: IS-GPS-200 Rev N, IS-GPS-705 Rev J, IS-GPS-800 Rev J released 2022-08-22; civil signal set L1 C/A, L2C, L5, L1C. https://www.navcen.uscg.gov/gps-technical-references ; https://www.gps.gov/sites/default/files/2025-07/IRN-IS-200N-003.pdf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4.0 (L1 L2 FDMA)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UNAVCO archive ICD_GLONASS_4.0 (1998): navigational radiosignal bands L1, L2; open FDMA civil signals L1OF, L2OF. https://www.unavco.org/help/glossary/docs/ICD_GLONASS_4.0_(1998)_en.pdf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5.0</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UNAVCO archive ICD_GLONASS_5.0 (2002): supersedes Ed 4.0; open FDMA civil signals L1OF, L2OF. https://www.unavco.org/help/glossary/docs/ICD_GLONASS_5.0_(2002)_en.pdf</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Edition 5.1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UNB/UNAVCO GLONASS ICD Edition 5.1 (2008) L1, L2 FDMA civil signals. http://gauss.gge.unb.ca/GLONASS.ICD.pdf ; https://kb.unavco.org/article/english-version-of-icd-glonass-version-5-1-727.html</w:t>
            </w:r>
          </w:p>
        </w:tc>
      </w:tr>
      <w:tr>
        <w:tc>
          <w:tcPr>
            <w:tcW w:w="0" w:type="auto"/>
          </w:tcPr>
          <w:p>
            <w:pPr>
              <w:spacing w:line="240" w:lineRule="auto" w:before="0" w:after="0"/>
              <w:pStyle w:val="Compact"/>
            </w:pPr>
            <w:r>
              <w:rPr>
                <w:sz w:val="20"/>
                <w:szCs w:val="20"/>
              </w:rPr>
              <w:t xml:space="preserve">GLONASS</w:t>
            </w:r>
          </w:p>
        </w:tc>
        <w:tc>
          <w:tcPr>
            <w:tcW w:w="0" w:type="auto"/>
          </w:tcPr>
          <w:p>
            <w:pPr>
              <w:spacing w:line="240" w:lineRule="auto" w:before="0" w:after="0"/>
              <w:pStyle w:val="Compact"/>
            </w:pPr>
            <w:r>
              <w:rPr>
                <w:sz w:val="20"/>
                <w:szCs w:val="20"/>
              </w:rPr>
              <w:t xml:space="preserve">ICD-GLONASS CDMA L1 (L1OC) Edition 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Scribd/Inside GNSS: GLONASS CDMA L1 ICD Edition 1.0 (2016) adds open CDMA L1OC alongside legacy FDMA; L3OC documented same era. https://www.scribd.com/document/785928728/ICD-GLONASS-CDMA-L1-Edition-1-0-2016</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first public release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GSC-Europa / GPS World: Galileo OS SIS ICD released 23 May 2006 to foster mass-market receiver standardization; open service signals E1, E5a, E5b. https://www.gsc-europa.eu/news/have-you-ever-wondered-how-your-mobile-phone-understands-galileo-satellites-open-signals-the ; https://www.gpsworld.com/eu-publishes-new-galileo-open-service-signal-in-space-interface-control-document/</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galileognss.eu OS SIS ICD lineage (v1.1, 2010) describes E1, E5 (E5a/E5b), E6 open service signal structure. https://galileognss.eu/wp-content/uploads/2015/12/Galileo_OS_SIS_ICD_v1.2.pdf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GSC-Europa Galileo OS SIS ICD v1.2 (2015): E1, E5a, E5b, E6 open service signals. https://galileognss.eu/wp-content/uploads/2015/12/Galileo_OS_SIS_ICD_v1.2.pdf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galileognss.eu Galileo OS SIS ICD v2.0 (2021): E1, E5a, E5b, E6 open service signals. https://galileognss.eu/wp-content/uploads/2021/01/Galileo_OS_SIS_ICD_v2.0.pdf</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OS SIS ICD v2.1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GSC-Europa / Inside GNSS: Galileo OS SIS ICD v2.1 adds OS-EOM and ARAIM ISM; open service signals E1, E5a, E5b, E6. https://www.gsc-europa.eu/sites/default/files/sites/all/files/Galileo_OS_SIS_ICD_v2.1.pdf ; https://insidegnss.com/eu-publishes-galileo-os-sis-icd-v2-1/</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B1I v1.0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 World / en.beidou.gov.cn: first public BeiDou ICD released 27 Dec 2012 (one year after Dec 2011 test version); open service signal B1I. https://www.gpsworld.com/the-system-beidou-icd-galileo-only-positioning/ ; http://en.beidou.gov.cn/SYSTEMS/ICD/</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B2a v1.0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CSNO-TARC / en.beidou.gov.cn: BDS-3 Open Service Signal B2a v1.0 released 2017-12-27; open service signals B1I, B2a. http://www.csno-tarc.cn/en/support/documents ; http://en.beidou.gov.cn/SYSTEMS/ICD/</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B1C v1.0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en.beidou.gov.cn / CSNO-TARC: BDS-3 Open Service Signal B1C v1.0 released 2018-06-03; open service signals B1I, B2a, B1C. http://en.beidou.gov.cn/SYSTEMS/ICD/201902/P020190227702348791891.pdf</w:t>
            </w:r>
          </w:p>
        </w:tc>
      </w:tr>
      <w:tr>
        <w:tc>
          <w:tcPr>
            <w:tcW w:w="0" w:type="auto"/>
          </w:tcPr>
          <w:p>
            <w:pPr>
              <w:spacing w:line="240" w:lineRule="auto" w:before="0" w:after="0"/>
              <w:pStyle w:val="Compact"/>
            </w:pPr>
            <w:r>
              <w:rPr>
                <w:sz w:val="20"/>
                <w:szCs w:val="20"/>
              </w:rPr>
              <w:t xml:space="preserve">BeiDou</w:t>
            </w:r>
          </w:p>
        </w:tc>
        <w:tc>
          <w:tcPr>
            <w:tcW w:w="0" w:type="auto"/>
          </w:tcPr>
          <w:p>
            <w:pPr>
              <w:spacing w:line="240" w:lineRule="auto" w:before="0" w:after="0"/>
              <w:pStyle w:val="Compact"/>
            </w:pPr>
            <w:r>
              <w:rPr>
                <w:sz w:val="20"/>
                <w:szCs w:val="20"/>
              </w:rPr>
              <w:t xml:space="preserve">BDS SIS ICD Open Service B3I v1.0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en.beidou.gov.cn BDS-3 ICD B3I (2019) consolidated; open service signals B1I, B2a, B1C, B3I. http://en.beidou.gov.cn/SYSTEMS/ICD/201902/P020190227702348791891.pdf ; http://www.csno-tarc.cn/en/support/documents</w:t>
            </w:r>
          </w:p>
        </w:tc>
      </w:tr>
      <w:tr>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IS-QZSS first public release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qzss.go.jp / GPS World status of QZSS: IS-QZSS first published 2009 lineage; signals interoperable with GPS L1C/A, L1C, L2C, L5. https://qzss.go.jp/en/technical/download/pdf/ps-is-qzss/is-qzss-pnt-004.pdf ; https://www.gpsworld.com/the-status-of-qzss/</w:t>
            </w:r>
          </w:p>
        </w:tc>
      </w:tr>
      <w:tr>
        <w:tc>
          <w:tcPr>
            <w:tcW w:w="0" w:type="auto"/>
          </w:tcPr>
          <w:p>
            <w:pPr>
              <w:spacing w:line="240" w:lineRule="auto" w:before="0" w:after="0"/>
              <w:pStyle w:val="Compact"/>
            </w:pPr>
            <w:r>
              <w:rPr>
                <w:sz w:val="20"/>
                <w:szCs w:val="20"/>
              </w:rPr>
              <w:t xml:space="preserve">QZSS</w:t>
            </w:r>
          </w:p>
        </w:tc>
        <w:tc>
          <w:tcPr>
            <w:tcW w:w="0" w:type="auto"/>
          </w:tcPr>
          <w:p>
            <w:pPr>
              <w:spacing w:line="240" w:lineRule="auto" w:before="0" w:after="0"/>
              <w:pStyle w:val="Compact"/>
            </w:pPr>
            <w:r>
              <w:rPr>
                <w:sz w:val="20"/>
                <w:szCs w:val="20"/>
              </w:rPr>
              <w:t xml:space="preserve">IS-QZSS-PNT consolidated revision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qzss.go.jp: IS-QZSS-PNT-004 (2021) adds L6/L1S augmentation alongside core interoperable signals (L1C/A, L1C, L2C, L5, L1S). https://qzss.go.jp/en/technical/download/pdf/ps-is-qzss/is-qzss-pnt-004.pdf ; https://gssc.esa.int/navipedia/index.php/QZSS_Signal_Plan</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IRNSS SIS ICD SPS v1.0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 Inside GNSS / Via Satellite: IRNSS SIS ICD for SPS released June 2014 (one year after 2013 initial draft lineage); SPS signals in L5 and S band. https://www.isro.gov.in/IRNSSSignal.html ; https://insidegnss.com/india-space-officials-release-irnss-icd/</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IRNSS SIS ICD SPS v1.1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IRNSS SIS ICD for SPS Version 1.1 released August 2017; SPS signals L5, S band. https://www.isro.gov.in/media_isro/pdf/SateliteNavigation/irnss_sps_icd_version1.1-2017.pdf</w:t>
            </w:r>
          </w:p>
        </w:tc>
      </w:tr>
      <w:tr>
        <w:tc>
          <w:tcPr>
            <w:tcW w:w="0" w:type="auto"/>
          </w:tcPr>
          <w:p>
            <w:pPr>
              <w:spacing w:line="240" w:lineRule="auto" w:before="0" w:after="0"/>
              <w:pStyle w:val="Compact"/>
            </w:pPr>
            <w:r>
              <w:rPr>
                <w:sz w:val="20"/>
                <w:szCs w:val="20"/>
              </w:rPr>
              <w:t xml:space="preserve">NavIC</w:t>
            </w:r>
          </w:p>
        </w:tc>
        <w:tc>
          <w:tcPr>
            <w:tcW w:w="0" w:type="auto"/>
          </w:tcPr>
          <w:p>
            <w:pPr>
              <w:spacing w:line="240" w:lineRule="auto" w:before="0" w:after="0"/>
              <w:pStyle w:val="Compact"/>
            </w:pPr>
            <w:r>
              <w:rPr>
                <w:sz w:val="20"/>
                <w:szCs w:val="20"/>
              </w:rPr>
              <w:t xml:space="preserve">NavIC SIS ICD SPS L1 v1.0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ISRO: NavIC Signal-in-Space ICD for SPS L1 band Version 1.0 (Oct 2022 draft public); adds interoperable L1 SPS to L5 and S band. https://www.isro.gov.in/media_isro/pdf/SateliteNavigation/Draft_NavIC_SPS_ICD_L1_Oct_2022.pdf</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cum_civil_signals</w:t>
            </w:r>
          </w:p>
        </w:tc>
        <w:tc>
          <w:tcPr>
            <w:tcW w:w="0" w:type="auto"/>
          </w:tcPr>
          <w:p>
            <w:pPr>
              <w:spacing w:line="240" w:lineRule="auto" w:before="0" w:after="0"/>
              <w:pStyle w:val="Compact"/>
            </w:pPr>
            <w:r>
              <w:rPr>
                <w:sz w:val="20"/>
                <w:szCs w:val="20"/>
              </w:rPr>
              <w:t xml:space="preserve">Cumulative count of distinct open or civil interoperable signals defined across a GNSS provider’s interface-specification lineage as of the release date (the supply of standardized interfaces made available to receiver and chipset makers).</w:t>
            </w:r>
          </w:p>
        </w:tc>
        <w:tc>
          <w:tcPr>
            <w:tcW w:w="0" w:type="auto"/>
          </w:tcPr>
          <w:p>
            <w:pPr>
              <w:spacing w:line="240" w:lineRule="auto" w:before="0" w:after="0"/>
              <w:pStyle w:val="Compact"/>
            </w:pPr>
            <w:r>
              <w:rPr>
                <w:sz w:val="20"/>
                <w:szCs w:val="20"/>
              </w:rPr>
              <w:t xml:space="preserve">Counted from official provider interface documents: GPS IS-GPS-200/705/800 (gps.gov, navcen.uscg.gov); Galileo OS SIS ICD (gsc-europa.eu, galileognss.eu); BeiDou BDS SIS ICD (en.beidou.gov.cn, csno-tarc.cn); GLONASS ICD editions (unavco.org, gge.unb.ca); QZSS IS-QZSS (qzss.go.jp); NavIC SIS ICD (isro.gov.in).</w:t>
            </w:r>
          </w:p>
        </w:tc>
      </w:tr>
      <w:tr>
        <w:tc>
          <w:tcPr>
            <w:tcW w:w="0" w:type="auto"/>
          </w:tcPr>
          <w:p>
            <w:pPr>
              <w:spacing w:line="240" w:lineRule="auto" w:before="0" w:after="0"/>
              <w:pStyle w:val="Compact"/>
            </w:pPr>
            <w:r>
              <w:rPr>
                <w:sz w:val="20"/>
                <w:szCs w:val="20"/>
              </w:rPr>
              <w:t xml:space="preserve">cum_experience_yrs</w:t>
            </w:r>
          </w:p>
        </w:tc>
        <w:tc>
          <w:tcPr>
            <w:tcW w:w="0" w:type="auto"/>
          </w:tcPr>
          <w:p>
            <w:pPr>
              <w:spacing w:line="240" w:lineRule="auto" w:before="0" w:after="0"/>
              <w:pStyle w:val="Compact"/>
            </w:pPr>
            <w:r>
              <w:rPr>
                <w:sz w:val="20"/>
                <w:szCs w:val="20"/>
              </w:rPr>
              <w:t xml:space="preserve">Cumulative years of published interface-control activity for the provider, measured as the elapsed time between the provider’s earliest documented interface-control artifact and the release in question (the learning-curve cumulative-experience axis).</w:t>
            </w:r>
          </w:p>
        </w:tc>
        <w:tc>
          <w:tcPr>
            <w:tcW w:w="0" w:type="auto"/>
          </w:tcPr>
          <w:p>
            <w:pPr>
              <w:spacing w:line="240" w:lineRule="auto" w:before="0" w:after="0"/>
              <w:pStyle w:val="Compact"/>
            </w:pPr>
            <w:r>
              <w:rPr>
                <w:sz w:val="20"/>
                <w:szCs w:val="20"/>
              </w:rPr>
              <w:t xml:space="preserve">Computed from documented first-ICD or first-IS dates: GPS ICD-GPS-200 (1983 designation lineage); GLONASS ICD (pre-1998 lineage to Ed 4.0 1998); Galileo OS SIS ICD (first public 23 May 2006); BeiDou ICD (2011 test version to 2012 public); QZSS IS-QZSS (2008-2009 lineage); NavIC IRNSS ICD (2013 draft to 2014 public).</w:t>
            </w:r>
          </w:p>
        </w:tc>
      </w:tr>
      <w:t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GNSS-providing entity (bloc) authoring the interface specification.</w:t>
            </w:r>
          </w:p>
        </w:tc>
        <w:tc>
          <w:tcPr>
            <w:tcW w:w="0" w:type="auto"/>
          </w:tcPr>
          <w:p>
            <w:pPr>
              <w:spacing w:line="240" w:lineRule="auto" w:before="0" w:after="0"/>
              <w:pStyle w:val="Compact"/>
            </w:pPr>
            <w:r>
              <w:rPr>
                <w:sz w:val="20"/>
                <w:szCs w:val="20"/>
              </w:rPr>
              <w:t xml:space="preserve">Provider identity from the issuing agency on each interface document.</w:t>
            </w:r>
          </w:p>
        </w:tc>
      </w:tr>
      <w:tr>
        <w:tc>
          <w:tcPr>
            <w:tcW w:w="0" w:type="auto"/>
          </w:tcPr>
          <w:p>
            <w:pPr>
              <w:spacing w:line="240" w:lineRule="auto" w:before="0" w:after="0"/>
              <w:pStyle w:val="Compact"/>
            </w:pPr>
            <w:r>
              <w:rPr>
                <w:sz w:val="20"/>
                <w:szCs w:val="20"/>
              </w:rPr>
              <w:t xml:space="preserve">release_label</w:t>
            </w:r>
          </w:p>
        </w:tc>
        <w:tc>
          <w:tcPr>
            <w:tcW w:w="0" w:type="auto"/>
          </w:tcPr>
          <w:p>
            <w:pPr>
              <w:spacing w:line="240" w:lineRule="auto" w:before="0" w:after="0"/>
              <w:pStyle w:val="Compact"/>
            </w:pPr>
            <w:r>
              <w:rPr>
                <w:sz w:val="20"/>
                <w:szCs w:val="20"/>
              </w:rPr>
              <w:t xml:space="preserve">Identifier of the specific dated interface-specification release event.</w:t>
            </w:r>
          </w:p>
        </w:tc>
        <w:tc>
          <w:tcPr>
            <w:tcW w:w="0" w:type="auto"/>
          </w:tcPr>
          <w:p>
            <w:pPr>
              <w:spacing w:line="240" w:lineRule="auto" w:before="0" w:after="0"/>
              <w:pStyle w:val="Compact"/>
            </w:pPr>
            <w:r>
              <w:rPr>
                <w:sz w:val="20"/>
                <w:szCs w:val="20"/>
              </w:rPr>
              <w:t xml:space="preserve">Document title and revision from the issuing agency.</w:t>
            </w:r>
          </w:p>
        </w:tc>
      </w:tr>
      <w:tr>
        <w:tc>
          <w:tcPr>
            <w:tcW w:w="0" w:type="auto"/>
          </w:tcPr>
          <w:p>
            <w:pPr>
              <w:spacing w:line="240" w:lineRule="auto" w:before="0" w:after="0"/>
              <w:pStyle w:val="Compact"/>
            </w:pPr>
            <w:r>
              <w:rPr>
                <w:sz w:val="20"/>
                <w:szCs w:val="20"/>
              </w:rPr>
              <w:t xml:space="preserve">release_year</w:t>
            </w:r>
          </w:p>
        </w:tc>
        <w:tc>
          <w:tcPr>
            <w:tcW w:w="0" w:type="auto"/>
          </w:tcPr>
          <w:p>
            <w:pPr>
              <w:spacing w:line="240" w:lineRule="auto" w:before="0" w:after="0"/>
              <w:pStyle w:val="Compact"/>
            </w:pPr>
            <w:r>
              <w:rPr>
                <w:sz w:val="20"/>
                <w:szCs w:val="20"/>
              </w:rPr>
              <w:t xml:space="preserve">Calendar year of the interface-specification release.</w:t>
            </w:r>
          </w:p>
        </w:tc>
        <w:tc>
          <w:tcPr>
            <w:tcW w:w="0" w:type="auto"/>
          </w:tcPr>
          <w:p>
            <w:pPr>
              <w:spacing w:line="240" w:lineRule="auto" w:before="0" w:after="0"/>
              <w:pStyle w:val="Compact"/>
            </w:pPr>
            <w:r>
              <w:rPr>
                <w:sz w:val="20"/>
                <w:szCs w:val="20"/>
              </w:rPr>
              <w:t xml:space="preserve">Publication date on the official document or its release announcement.</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0.6937</w:t>
            </w:r>
          </w:p>
        </w:tc>
        <w:tc>
          <w:tcPr>
            <w:tcW w:w="0" w:type="auto"/>
          </w:tcPr>
          <w:p>
            <w:pPr>
              <w:spacing w:line="240" w:lineRule="auto" w:before="0" w:after="0"/>
              <w:pStyle w:val="Compact"/>
            </w:pPr>
            <w:r>
              <w:rPr>
                <w:sz w:val="20"/>
                <w:szCs w:val="20"/>
              </w:rPr>
              <w:t xml:space="preserve">0.2161</w:t>
            </w:r>
          </w:p>
        </w:tc>
        <w:tc>
          <w:tcPr>
            <w:tcW w:w="0" w:type="auto"/>
          </w:tcPr>
          <w:p>
            <w:pPr>
              <w:spacing w:line="240" w:lineRule="auto" w:before="0" w:after="0"/>
              <w:pStyle w:val="Compact"/>
            </w:pPr>
            <w:r>
              <w:rPr>
                <w:sz w:val="20"/>
                <w:szCs w:val="20"/>
              </w:rPr>
              <w:t xml:space="preserve">3.2104</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[0.2702, 1.1172]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0.086</w:t>
            </w:r>
          </w:p>
        </w:tc>
        <w:tc>
          <w:tcPr>
            <w:tcW w:w="0" w:type="auto"/>
          </w:tcPr>
          <w:p>
            <w:pPr>
              <w:spacing w:line="240" w:lineRule="auto" w:before="0" w:after="0"/>
              <w:pStyle w:val="Compact"/>
            </w:pPr>
            <w:r>
              <w:rPr>
                <w:sz w:val="20"/>
                <w:szCs w:val="20"/>
              </w:rPr>
              <w:t xml:space="preserve">2.2791</w:t>
            </w:r>
          </w:p>
        </w:tc>
        <w:tc>
          <w:tcPr>
            <w:tcW w:w="0" w:type="auto"/>
          </w:tcPr>
          <w:p>
            <w:pPr>
              <w:spacing w:line="240" w:lineRule="auto" w:before="0" w:after="0"/>
              <w:pStyle w:val="Compact"/>
            </w:pPr>
            <w:r>
              <w:rPr>
                <w:sz w:val="20"/>
                <w:szCs w:val="20"/>
              </w:rPr>
              <w:t xml:space="preserve">0.0227</w:t>
            </w:r>
          </w:p>
        </w:tc>
        <w:tc>
          <w:tcPr>
            <w:tcW w:w="0" w:type="auto"/>
          </w:tcPr>
          <w:p>
            <w:pPr>
              <w:spacing w:line="240" w:lineRule="auto" w:before="0" w:after="0"/>
              <w:pStyle w:val="Compact"/>
            </w:pPr>
            <w:r>
              <w:rPr>
                <w:sz w:val="20"/>
                <w:szCs w:val="20"/>
              </w:rPr>
              <w:t xml:space="preserve">[0.0274, 0.3646]</w:t>
            </w:r>
          </w:p>
        </w:tc>
      </w:tr>
    </w:tbl>
    <w:p>
      <w:pPr>
        <w:pStyle w:val="BodyText"/>
      </w:pPr>
      <w:r>
        <w:t xml:space="preserve">Fit: N = 23 R2 = 0.2821 elasticity_b = 0.196 progress_ratio_2^b = 1.1455</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7" Target="https://doi.org/10.1016/j.actaastro.2020.04.049" TargetMode="External" /><Relationship Type="http://schemas.openxmlformats.org/officeDocument/2006/relationships/hyperlink" Id="rId73" Target="https://doi.org/10.1016/j.actaastro.2022.05.011" TargetMode="External" /><Relationship Type="http://schemas.openxmlformats.org/officeDocument/2006/relationships/hyperlink" Id="rId75" Target="https://doi.org/10.1016/j.actaastro.2023.07.014" TargetMode="External" /><Relationship Type="http://schemas.openxmlformats.org/officeDocument/2006/relationships/hyperlink" Id="rId71" Target="https://doi.org/10.1016/j.actaastro.2026.02.046"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0.04.049" TargetMode="External" /><Relationship Type="http://schemas.openxmlformats.org/officeDocument/2006/relationships/hyperlink" Id="rId73" Target="https://doi.org/10.1016/j.actaastro.2022.05.011" TargetMode="External" /><Relationship Type="http://schemas.openxmlformats.org/officeDocument/2006/relationships/hyperlink" Id="rId75" Target="https://doi.org/10.1016/j.actaastro.2023.07.014" TargetMode="External" /><Relationship Type="http://schemas.openxmlformats.org/officeDocument/2006/relationships/hyperlink" Id="rId71" Target="https://doi.org/10.1016/j.actaastro.2026.02.0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2026-06-25T14:26:10Z</dcterms:created>
  <dcterms:modified xsi:type="dcterms:W3CDTF">2026-06-25T14:26:10Z</dcterms:modified>
</cp:coreProperties>
</file>

<file path=docProps/custom.xml><?xml version="1.0" encoding="utf-8"?>
<Properties xmlns="http://schemas.openxmlformats.org/officeDocument/2006/custom-properties" xmlns:vt="http://schemas.openxmlformats.org/officeDocument/2006/docPropsVTypes"/>
</file>