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6b9e88c4b59d7cc804aefb2550c65719211ace7"/>
    <w:p>
      <w:pPr>
        <w:pStyle w:val="Heading1"/>
      </w:pPr>
      <w:r>
        <w:t xml:space="preserve">Open Interfaces and the Speed of Adoption: A Survival Analysis of Standards Leadership in GNSS Receiver Interoperability</w:t>
      </w:r>
    </w:p>
    <w:bookmarkStart w:id="61" w:name="introduction"/>
    <w:p>
      <w:pPr>
        <w:pStyle w:val="Heading2"/>
      </w:pPr>
      <w:r>
        <w:t xml:space="preserve">1. Introduction</w:t>
      </w:r>
    </w:p>
    <w:p>
      <w:pPr>
        <w:pStyle w:val="FirstParagraph"/>
      </w:pPr>
      <w:r>
        <w:t xml:space="preserve">The strategic argument for standards leadership rests on a temporal premise that is rarely tested directly. The claim is not only that the bloc which authors a dominant interface captures advantage, but that it does so by becoming the reference frame the rest of the market must follow, and that downstream actors converge on the authored interface quickly because doing otherwise strands their investment</w:t>
      </w:r>
      <w:r>
        <w:t xml:space="preserve"> </w:t>
      </w:r>
      <w:hyperlink w:anchor="ref-1">
        <m:oMathPara>
          <m:oMathParaPr>
            <m:jc m:val="center"/>
          </m:oMathParaPr>
          <m:oMath>
            <m:r>
              <m:t>1</m:t>
            </m:r>
          </m:oMath>
        </m:oMathPara>
      </w:hyperlink>
      <w:r>
        <w:t xml:space="preserve">[4]. Speed of downstream convergence is therefore the observable signature of the mechanism. If authoring an open interface genuinely confers strategic advantage through adoption, the systems that publish open interfaces early should be absorbed into the downstream receiver industry faster than systems that do not.</w:t>
      </w:r>
    </w:p>
    <w:p>
      <w:pPr>
        <w:pStyle w:val="FirstParagraph"/>
      </w:pPr>
      <w:r>
        <w:t xml:space="preserve">This paper isolates that temporal premise and tests it on the positioning, navigation, and timing layer, where the relevant interface is the open civil signal-in-space interface specification that each Global Navigation Satellite System (GNSS) provider publishes, and where the relevant downstream actor is the receiver-chipset industry that decides whether and when to add support for a given constellation. The question is whether early publication of an open civil interface specification is associated with a higher instantaneous rate of chipset adoption. The contribution is a survival estimate of standards-leadership timing rather than a narrative assertion that leadership matters. A result in either direction is informative: a positive association supports the adoption mechanism behind the statecraft claim, and a null or negative association indicates that, for the GNSS receiver market, interface openness does not by itself accelerate uptake and the advantage story must rest on some other channel.</w:t>
      </w:r>
    </w:p>
    <w:bookmarkEnd w:id="61"/>
    <w:bookmarkStart w:id="62" w:name="theory-and-hypotheses"/>
    <w:p>
      <w:pPr>
        <w:pStyle w:val="Heading2"/>
      </w:pPr>
      <w:r>
        <w:t xml:space="preserve">2. Theory and Hypotheses</w:t>
      </w:r>
    </w:p>
    <w:p>
      <w:pPr>
        <w:pStyle w:val="FirstParagraph"/>
      </w:pPr>
      <w:r>
        <w:t xml:space="preserve">The economic-statecraft literature treats leadership in technical practice as a channel through which a state exercises indirect leverage, and it identifies the authoring of interoperability standards as one such channel</w:t>
      </w:r>
      <w:r>
        <w:t xml:space="preserve"> </w:t>
      </w:r>
      <w:hyperlink w:anchor="ref-1">
        <m:oMathPara>
          <m:oMathParaPr>
            <m:jc m:val="center"/>
          </m:oMathParaPr>
          <m:oMath>
            <m:r>
              <m:t>1</m:t>
            </m:r>
          </m:oMath>
        </m:oMathPara>
      </w:hyperlink>
      <w:r>
        <w:t xml:space="preserve">. The space-industrial-base literature is more specific, framing the development of interoperability standards for automated space coordination as an explicit action item of whole-of-nation advantage</w:t>
      </w:r>
      <w:r>
        <w:t xml:space="preserve"> </w:t>
      </w:r>
      <w:hyperlink w:anchor="ref-4">
        <m:oMathPara>
          <m:oMathParaPr>
            <m:jc m:val="center"/>
          </m:oMathParaPr>
          <m:oMath>
            <m:r>
              <m:t>4</m:t>
            </m:r>
          </m:oMath>
        </m:oMathPara>
      </w:hyperlink>
      <w:r>
        <w:t xml:space="preserve">. The norms literature adds that the transformation of space-use practice is architectural and standards-mediated rather than purely capability-driven</w:t>
      </w:r>
      <w:r>
        <w:t xml:space="preserve"> </w:t>
      </w:r>
      <w:hyperlink w:anchor="ref-5">
        <m:oMathPara>
          <m:oMathParaPr>
            <m:jc m:val="center"/>
          </m:oMathParaPr>
          <m:oMath>
            <m:r>
              <m:t>5</m:t>
            </m:r>
          </m:oMath>
        </m:oMathPara>
      </w:hyperlink>
      <w:r>
        <w:t xml:space="preserve">, and the sustainability-and-development literature observes that technological competition has historically been driven by national-security interests</w:t>
      </w:r>
      <w:r>
        <w:t xml:space="preserve"> </w:t>
      </w:r>
      <w:hyperlink w:anchor="ref-3">
        <m:oMathPara>
          <m:oMathParaPr>
            <m:jc m:val="center"/>
          </m:oMathParaPr>
          <m:oMath>
            <m:r>
              <m:t>3</m:t>
            </m:r>
          </m:oMath>
        </m:oMathPara>
      </w:hyperlink>
      <w:r>
        <w:t xml:space="preserve">. Across these sources the asserted advantage operates through adoption: an authored interface is valuable because others build to it.</w:t>
      </w:r>
    </w:p>
    <w:p>
      <w:pPr>
        <w:pStyle w:val="FirstParagraph"/>
      </w:pPr>
      <w:r>
        <w:t xml:space="preserve">The engineering literature supplies the adoption substrate. Multi-constellation receiver design is now standard practice, and the technical capacity to fuse signals across constellations depends on the published interface for each system being open and stable enough to implement</w:t>
      </w:r>
      <w:r>
        <w:t xml:space="preserve"> </w:t>
      </w:r>
      <w:hyperlink w:anchor="ref-12">
        <m:oMathPara>
          <m:oMathParaPr>
            <m:jc m:val="center"/>
          </m:oMathParaPr>
          <m:oMath>
            <m:r>
              <m:t>12</m:t>
            </m:r>
          </m:oMath>
        </m:oMathPara>
      </w:hyperlink>
      <w:r>
        <w:t xml:space="preserve">. The optical and inter-satellite link layers display the same logic, where terminal interoperability and constellation routing depend on a shared, implementable interface</w:t>
      </w:r>
      <w:r>
        <w:t xml:space="preserve"> </w:t>
      </w:r>
      <w:hyperlink w:anchor="ref-6">
        <m:oMathPara>
          <m:oMathParaPr>
            <m:jc m:val="center"/>
          </m:oMathParaPr>
          <m:oMath>
            <m:r>
              <m:t>6</m:t>
            </m:r>
          </m:oMath>
        </m:oMathPara>
      </w:hyperlink>
      <w:r>
        <w:t xml:space="preserve">[7][8]. In both layers the published interface is the precondition for a third party to build compatible hardware.</w:t>
      </w:r>
    </w:p>
    <w:p>
      <w:pPr>
        <w:pStyle w:val="FirstParagraph"/>
      </w:pPr>
      <w:r>
        <w:t xml:space="preserve">These literatures motivate a single directional hypothesis. If the adoption mechanism behind the statecraft claim operates, then standards leadership, measured as early publication of an open civil interface specification, should raise the instantaneous hazard of chipset adoption.</w:t>
      </w:r>
    </w:p>
    <w:p>
      <w:pPr>
        <w:pStyle w:val="Compact"/>
        <w:numPr>
          <w:ilvl w:val="0"/>
          <w:numId w:val="1001"/>
        </w:numPr>
      </w:pPr>
      <w:r>
        <w:t xml:space="preserve">H0: Early open-interface publication has no association with the hazard of chipset adoption; the coefficient is statistically indistinguishable from zero.</w:t>
      </w:r>
    </w:p>
    <w:p>
      <w:pPr>
        <w:pStyle w:val="Compact"/>
        <w:numPr>
          <w:ilvl w:val="0"/>
          <w:numId w:val="1001"/>
        </w:numPr>
      </w:pPr>
      <w:r>
        <w:t xml:space="preserve">H1: Early open-interface publication raises the hazard of chipset adoption, yielding a hazard ratio greater than one.</w:t>
      </w:r>
    </w:p>
    <w:bookmarkEnd w:id="62"/>
    <w:bookmarkStart w:id="63" w:name="data"/>
    <w:p>
      <w:pPr>
        <w:pStyle w:val="Heading2"/>
      </w:pPr>
      <w:r>
        <w:t xml:space="preserve">3. Data</w:t>
      </w:r>
    </w:p>
    <w:p>
      <w:pPr>
        <w:pStyle w:val="FirstParagraph"/>
      </w:pPr>
      <w:r>
        <w:t xml:space="preserve">The unit of observation is the constellation-chipset family pair. Six GNSS constellations are included: the four global systems (GPS, GLONASS, Galileo, BeiDou) and two regional systems (QZSS, NavIC). Each is paired with up to five major receiver-chipset families (MediaTek, Broadcom, Qualcomm, u-blox, and a professional-grade Trimble category), yielding thirty observations of which twenty-five are adoption events and five are right-censored at the 2024 observation cutoff.</w:t>
      </w:r>
    </w:p>
    <w:p>
      <w:pPr>
        <w:pStyle w:val="BodyText"/>
      </w:pPr>
      <w:r>
        <w:t xml:space="preserve">For each pair the duration is the number of years from the constellation’s open civil-signal baseline, defined as operational service or open interface-specification publication, to the year the chipset family added support. The baseline dates are documented provider milestones: GPS open Standard Positioning Service from 1995 full operational capability; GLONASS restored full operational capability in 2011 with its English-language civil interface document lagging service; the Galileo Open Service Signal-In-Space Interface Control Document at Issue 1.4 in September 2010; the BeiDou open B1I interface specification version 1.0 in December 2012; the QZSS interface specification published before service in 2010; and the NavIC Standard Positioning Service interface document in 2017. Adoption years are taken from documented chipset and module releases, including the MediaTek MT3339 supporting QZSS in 2011 and the MT3332/MT3333 five-in-one multi-GNSS system-on-chip in 2013, the Broadcom BCM47755 dual-frequency device presented in 2017, the u-blox M8 multi-GNSS family and the NavIC-capable NEO-F10N module of 2023, and the QZSS compatible-products registry. The treatment variable, early open-interface publication, distinguishes systems that published an open civil interface specification at or near first service from GLONASS, whose open civil interface materially lagged operational service. Two further covariates record whether the provider made an explicit multi-GNSS interoperability commitment and whether the system is global or regional. Every row carries its source in the data file, and the small number of adoption years that could not be pinned to a specific dated release, under fifteen percent of observations, are marked as illustrative.</w:t>
      </w:r>
    </w:p>
    <w:bookmarkEnd w:id="63"/>
    <w:bookmarkStart w:id="64" w:name="method"/>
    <w:p>
      <w:pPr>
        <w:pStyle w:val="Heading2"/>
      </w:pPr>
      <w:r>
        <w:t xml:space="preserve">4. Method</w:t>
      </w:r>
    </w:p>
    <w:p>
      <w:pPr>
        <w:pStyle w:val="FirstParagraph"/>
      </w:pPr>
      <w:r>
        <w:t xml:space="preserve">The estimator is a Cox proportional-hazards model. The Cox specification is appropriate because the outcome is a time to an event with right-censoring, because it makes no parametric assumption about the shape of the baseline adoption hazard, and because the quantity of interest, the hazard ratio on early open-interface publication, maps directly onto the theoretical claim about speed of adoption. The model regresses the adoption hazard on three covariates: early open-interface publication, the interoperability commitment indicator, and the global-versus-regional indicator. A hazard ratio above one on the leadership variable indicates faster adoption and supports H1; a ratio at or below one fails to support it. The model was estimated on all thirty observations with twenty-five events.</w:t>
      </w:r>
    </w:p>
    <w:bookmarkEnd w:id="64"/>
    <w:bookmarkStart w:id="65" w:name="findings"/>
    <w:p>
      <w:pPr>
        <w:pStyle w:val="Heading2"/>
      </w:pPr>
      <w:r>
        <w:t xml:space="preserve">5. Findings</w:t>
      </w:r>
    </w:p>
    <w:p>
      <w:pPr>
        <w:pStyle w:val="FirstParagraph"/>
      </w:pPr>
      <w:r>
        <w:t xml:space="preserve">The estimates do not support the adoption mechanism in the form H1 predicts. On the central variable, early open-interface publication, the coefficient is negative at -1.194 with a standard error of 0.626, a z-statistic of -1.91, and a p-value of 0.0563, with a hazard ratio of 0.303. The point estimate therefore runs in the opposite direction from the hypothesis: constellations that published an open civil interface early are associated with a lower, not higher, instantaneous hazard of chipset adoption, and the estimate is only marginally distinguishable from zero at conventional thresholds. The ninety-five percent confidence interval on the coefficient runs from -2.420 to 0.032, so it includes zero by a narrow margin. H0 is therefore not rejected at the five percent level, and the directional prediction of H1, a hazard ratio above one, is contradicted by the sign of the estimate.</w:t>
      </w:r>
    </w:p>
    <w:p>
      <w:pPr>
        <w:pStyle w:val="BodyText"/>
      </w:pPr>
      <w:r>
        <w:t xml:space="preserve">The interoperability commitment indicator carries a positive coefficient of 1.600 with a standard error of 1.122, a z-statistic of 1.43, and a p-value of 0.154, a hazard ratio of 4.953. This runs in the direction the adoption story would predict, since systems with an explicit interoperability commitment are associated with faster uptake, but the estimate is not statistically significant and its confidence interval, from -0.598 to 3.798 on the coefficient, is wide. The global-versus-regional indicator is effectively null, with a coefficient of -0.082, a standard error of 0.594, a p-value of 0.890, and a hazard ratio of 0.921.</w:t>
      </w:r>
    </w:p>
    <w:p>
      <w:pPr>
        <w:pStyle w:val="BodyText"/>
      </w:pPr>
      <w:r>
        <w:t xml:space="preserve">Read together, the three estimates tell a consistent story. The variable that most directly encodes standards-leadership timing does not predict faster adoption, and where its sign points it points the wrong way. The variable that encodes the breadth of the interoperability commitment points the predicted way but cannot be distinguished from zero in a sample of this size. The structural global-regional distinction carries no information about adoption speed once the interface variables are included.</w:t>
      </w:r>
    </w:p>
    <w:bookmarkEnd w:id="65"/>
    <w:bookmarkStart w:id="66" w:name="discussion"/>
    <w:p>
      <w:pPr>
        <w:pStyle w:val="Heading2"/>
      </w:pPr>
      <w:r>
        <w:t xml:space="preserve">6. Discussion</w:t>
      </w:r>
    </w:p>
    <w:p>
      <w:pPr>
        <w:pStyle w:val="FirstParagraph"/>
      </w:pPr>
      <w:r>
        <w:t xml:space="preserve">The headline result is a measured contradiction of the naive adoption mechanism for the GNSS receiver market over the observed period. Authoring an open interface early is not associated with faster absorption into the chipset industry; in this sample the association is mildly negative and only marginally short of conventional significance. The most plausible reading is that the receiver industry adopts on its own schedule, set by silicon-generation cycles and multi-constellation system-on-chip economics, rather than on the publication schedule of any single provider</w:t>
      </w:r>
      <w:r>
        <w:t xml:space="preserve"> </w:t>
      </w:r>
      <w:hyperlink w:anchor="ref-12">
        <m:oMathPara>
          <m:oMathParaPr>
            <m:jc m:val="center"/>
          </m:oMathParaPr>
          <m:oMath>
            <m:r>
              <m:t>12</m:t>
            </m:r>
          </m:oMath>
        </m:oMathPara>
      </w:hyperlink>
      <w:r>
        <w:t xml:space="preserve">. The clearest illustration is GLONASS, coded as a late open-interface system yet adopted rapidly once chipsets were already multi-GNSS by design, while GPS, coded as the earliest open system, shows long durations precisely because consumer multi-constellation silicon did not exist for most of its early life. Early openness and fast adoption are therefore confounded by the maturation of the receiver market itself, and a survival model that conditions only on interface variables recovers that confound as a negative sign.</w:t>
      </w:r>
    </w:p>
    <w:p>
      <w:pPr>
        <w:pStyle w:val="FirstParagraph"/>
      </w:pPr>
      <w:r>
        <w:t xml:space="preserve">This does not refute the broader statecraft claim that standards leadership confers advantage; it narrows it. The result indicates that, if standards leadership produces advantage, it does not do so through the simple channel of accelerating third-party hardware adoption in this market. The interoperability-commitment estimate, positive but imprecise, is the more promising thread and motivates the dissertation’s larger panel design, which can separate the breadth of commitment from the timing of publication and can absorb the receiver-market maturation effect through time fixed effects. The limitations are the modest sample, the binary coding of a continuous leadership construct, and the confounding of interface timing with market readiness. Each is addressed in the dissertation by widening the panel, refining the leadership index, and adding the temporal controls that a single survival cross-section cannot carry. For an information-infrastructure program the operational implication is specific: steering investment toward early interface publication, taken alone, is not supported as a route to faster downstream adoption, and the case for standards participation must be made through a more carefully identified channel.</w:t>
      </w:r>
    </w:p>
    <w:bookmarkEnd w:id="66"/>
    <w:bookmarkStart w:id="79" w:name="references"/>
    <w:p>
      <w:pPr>
        <w:pStyle w:val="Heading2"/>
      </w:pPr>
      <w:r>
        <w:t xml:space="preserve">References</w:t>
      </w:r>
    </w:p>
    <w:p>
      <w:pPr>
        <w:pStyle w:val="FirstParagraph"/>
      </w:pPr>
      <w:bookmarkStart w:id="67" w:name="ref-1"/>
      <w:bookmarkEnd w:id="67"/>
      <w:r>
        <w:t xml:space="preserve">1. Economic Statecraft Literature Review, Space Economy corpus (SD09).</w:t>
      </w:r>
    </w:p>
    <w:p>
      <w:pPr>
        <w:pStyle w:val="BodyText"/>
      </w:pPr>
      <w:bookmarkStart w:id="68" w:name="ref-3"/>
      <w:bookmarkEnd w:id="68"/>
      <w:r>
        <w:t xml:space="preserve">3. The Role of Space in Driving Sustainability, Security, and Development, Space Economy corpus (SD13).</w:t>
      </w:r>
    </w:p>
    <w:p>
      <w:pPr>
        <w:pStyle w:val="BodyText"/>
      </w:pPr>
      <w:bookmarkStart w:id="69" w:name="ref-4"/>
      <w:bookmarkEnd w:id="69"/>
      <w:r>
        <w:t xml:space="preserve">4. The Space Imperative (Whole-of-Nation), Space Economy corpus (SD14).</w:t>
      </w:r>
    </w:p>
    <w:p>
      <w:pPr>
        <w:pStyle w:val="BodyText"/>
      </w:pPr>
      <w:bookmarkStart w:id="70" w:name="ref-5"/>
      <w:bookmarkEnd w:id="70"/>
      <w:r>
        <w:t xml:space="preserve">5. Architectural Socio-Technological Transformative Change of Space-Use Norms, Space Economy corpus (SD03).</w:t>
      </w:r>
    </w:p>
    <w:p>
      <w:pPr>
        <w:pStyle w:val="BodyText"/>
      </w:pPr>
      <w:bookmarkStart w:id="71" w:name="ref-6"/>
      <w:bookmarkEnd w:id="71"/>
      <w:r>
        <w:t xml:space="preserve">6. G. De Angelis, S. Carletta, E. M. Leonardi, M. Pontani, and P. Teofilatto,</w:t>
      </w:r>
      <w:r>
        <w:t xml:space="preserve"> </w:t>
      </w:r>
      <w:r>
        <w:t xml:space="preserve">“Information routing in satellite constellations via stereographic projection and static digraph,”</w:t>
      </w:r>
      <w:r>
        <w:t xml:space="preserve"> </w:t>
      </w:r>
      <w:r>
        <w:t xml:space="preserve">Acta Astronautica, vol. 245, 2026, doi:</w:t>
      </w:r>
      <w:r>
        <w:t xml:space="preserve"> </w:t>
      </w:r>
      <w:hyperlink r:id="rId72">
        <w:r>
          <w:rPr>
            <w:rStyle w:val="Hyperlink"/>
          </w:rPr>
          <w:t xml:space="preserve">10.1016/j.actaastro.2026.02.046</w:t>
        </w:r>
      </w:hyperlink>
    </w:p>
    <w:p>
      <w:pPr>
        <w:pStyle w:val="BodyText"/>
      </w:pPr>
      <w:bookmarkStart w:id="73" w:name="ref-7"/>
      <w:bookmarkEnd w:id="73"/>
      <w:r>
        <w:t xml:space="preserve">7. F. Sansone et al.,</w:t>
      </w:r>
      <w:r>
        <w:t xml:space="preserve"> </w:t>
      </w:r>
      <w:r>
        <w:t xml:space="preserve">“LaserCube optical communication terminal for nano and micro satellites,”</w:t>
      </w:r>
      <w:r>
        <w:t xml:space="preserve"> </w:t>
      </w:r>
      <w:r>
        <w:t xml:space="preserve">Acta Astronautica, vol. 173, 2020, doi:</w:t>
      </w:r>
      <w:r>
        <w:t xml:space="preserve"> </w:t>
      </w:r>
      <w:hyperlink r:id="rId74">
        <w:r>
          <w:rPr>
            <w:rStyle w:val="Hyperlink"/>
          </w:rPr>
          <w:t xml:space="preserve">10.1016/j.actaastro.2020.04.049</w:t>
        </w:r>
      </w:hyperlink>
    </w:p>
    <w:p>
      <w:pPr>
        <w:pStyle w:val="BodyText"/>
      </w:pPr>
      <w:bookmarkStart w:id="75" w:name="ref-8"/>
      <w:bookmarkEnd w:id="75"/>
      <w:r>
        <w:t xml:space="preserve">8. G.-N. Kim et al.,</w:t>
      </w:r>
      <w:r>
        <w:t xml:space="preserve"> </w:t>
      </w:r>
      <w:r>
        <w:t xml:space="preserve">“The VISION, Concept of laser crosslink systems using nanosatellites in formation flying,”</w:t>
      </w:r>
      <w:r>
        <w:t xml:space="preserve"> </w:t>
      </w:r>
      <w:r>
        <w:t xml:space="preserve">Acta Astronautica, vol. 211, 2023, doi:</w:t>
      </w:r>
      <w:r>
        <w:t xml:space="preserve"> </w:t>
      </w:r>
      <w:hyperlink r:id="rId76">
        <w:r>
          <w:rPr>
            <w:rStyle w:val="Hyperlink"/>
          </w:rPr>
          <w:t xml:space="preserve">10.1016/j.actaastro.2023.07.014</w:t>
        </w:r>
      </w:hyperlink>
    </w:p>
    <w:p>
      <w:pPr>
        <w:pStyle w:val="BodyText"/>
      </w:pPr>
      <w:bookmarkStart w:id="77" w:name="ref-12"/>
      <w:bookmarkEnd w:id="77"/>
      <w:r>
        <w:t xml:space="preserve">12. J. R. Schmidt et al.,</w:t>
      </w:r>
      <w:r>
        <w:t xml:space="preserve"> </w:t>
      </w:r>
      <w:r>
        <w:t xml:space="preserve">“Fundamentals of the route theory for satellite constellation design for Earth observation,”</w:t>
      </w:r>
      <w:r>
        <w:t xml:space="preserve"> </w:t>
      </w:r>
      <w:r>
        <w:t xml:space="preserve">Acta Astronautica, vol. 128, 2016, doi:</w:t>
      </w:r>
      <w:r>
        <w:t xml:space="preserve"> </w:t>
      </w:r>
      <w:hyperlink r:id="rId78">
        <w:r>
          <w:rPr>
            <w:rStyle w:val="Hyperlink"/>
          </w:rPr>
          <w:t xml:space="preserve">10.1016/j.actaastro.2016.07.016</w:t>
        </w:r>
      </w:hyperlink>
    </w:p>
    <w:bookmarkEnd w:id="79"/>
    <w:bookmarkStart w:id="80"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sty m:val="p"/>
                </m:rPr>
                <m:t>o</m:t>
              </m:r>
              <m:r>
                <m:rPr>
                  <m:sty m:val="p"/>
                </m:rPr>
                <m:t>p</m:t>
              </m:r>
              <m:r>
                <m:rPr>
                  <m:sty m:val="p"/>
                </m:rPr>
                <m:t>e</m:t>
              </m:r>
              <m:r>
                <m:rPr>
                  <m:sty m:val="p"/>
                </m:rPr>
                <m:t>n</m:t>
              </m:r>
              <m:r>
                <m:rPr>
                  <m:sty m:val="p"/>
                </m:rPr>
                <m:t>_</m:t>
              </m:r>
              <m:r>
                <m:rPr>
                  <m:sty m:val="p"/>
                </m:rPr>
                <m:t>i</m:t>
              </m:r>
              <m:r>
                <m:rPr>
                  <m:sty m:val="p"/>
                </m:rPr>
                <m:t>c</m:t>
              </m:r>
              <m:r>
                <m:rPr>
                  <m:sty m:val="p"/>
                </m:rPr>
                <m:t>d</m:t>
              </m:r>
              <m:r>
                <m:rPr>
                  <m:sty m:val="p"/>
                </m:rPr>
                <m:t>_</m:t>
              </m:r>
              <m:r>
                <m:rPr>
                  <m:sty m:val="p"/>
                </m:rPr>
                <m:t>e</m:t>
              </m:r>
              <m:r>
                <m:rPr>
                  <m:sty m:val="p"/>
                </m:rPr>
                <m:t>a</m:t>
              </m:r>
              <m:r>
                <m:rPr>
                  <m:sty m:val="p"/>
                </m:rPr>
                <m:t>r</m:t>
              </m:r>
              <m:r>
                <m:rPr>
                  <m:sty m:val="p"/>
                </m:rPr>
                <m:t>l</m:t>
              </m:r>
              <m:r>
                <m:rPr>
                  <m:sty m:val="p"/>
                </m:rPr>
                <m:t>y</m:t>
              </m:r>
              <m:r>
                <m:rPr>
                  <m:sty m:val="p"/>
                </m:rPr>
                <m:t>+</m:t>
              </m:r>
              <m:sSub>
                <m:e>
                  <m:r>
                    <m:t>β</m:t>
                  </m:r>
                </m:e>
                <m:sub>
                  <m:r>
                    <m:t>2</m:t>
                  </m:r>
                </m:sub>
              </m:sSub>
              <m:r>
                <m:t> </m:t>
              </m:r>
              <m:r>
                <m:rPr>
                  <m:sty m:val="p"/>
                </m:rPr>
                <m:t>i</m:t>
              </m:r>
              <m:r>
                <m:rPr>
                  <m:sty m:val="p"/>
                </m:rPr>
                <m:t>n</m:t>
              </m:r>
              <m:r>
                <m:rPr>
                  <m:sty m:val="p"/>
                </m:rPr>
                <m:t>t</m:t>
              </m:r>
              <m:r>
                <m:rPr>
                  <m:sty m:val="p"/>
                </m:rPr>
                <m:t>e</m:t>
              </m:r>
              <m:r>
                <m:rPr>
                  <m:sty m:val="p"/>
                </m:rPr>
                <m:t>r</m:t>
              </m:r>
              <m:r>
                <m:rPr>
                  <m:sty m:val="p"/>
                </m:rPr>
                <m:t>o</m:t>
              </m:r>
              <m:r>
                <m:rPr>
                  <m:sty m:val="p"/>
                </m:rPr>
                <m:t>p</m:t>
              </m:r>
              <m:r>
                <m:rPr>
                  <m:sty m:val="p"/>
                </m:rPr>
                <m:t>_</m:t>
              </m:r>
              <m:r>
                <m:rPr>
                  <m:sty m:val="p"/>
                </m:rPr>
                <m:t>c</m:t>
              </m:r>
              <m:r>
                <m:rPr>
                  <m:sty m:val="p"/>
                </m:rPr>
                <m:t>o</m:t>
              </m:r>
              <m:r>
                <m:rPr>
                  <m:sty m:val="p"/>
                </m:rPr>
                <m:t>m</m:t>
              </m:r>
              <m:r>
                <m:rPr>
                  <m:sty m:val="p"/>
                </m:rPr>
                <m:t>m</m:t>
              </m:r>
              <m:r>
                <m:rPr>
                  <m:sty m:val="p"/>
                </m:rPr>
                <m:t>i</m:t>
              </m:r>
              <m:r>
                <m:rPr>
                  <m:sty m:val="p"/>
                </m:rPr>
                <m:t>t</m:t>
              </m:r>
              <m:r>
                <m:rPr>
                  <m:sty m:val="p"/>
                </m:rPr>
                <m:t>t</m:t>
              </m:r>
              <m:r>
                <m:rPr>
                  <m:sty m:val="p"/>
                </m:rPr>
                <m:t>e</m:t>
              </m:r>
              <m:r>
                <m:rPr>
                  <m:sty m:val="p"/>
                </m:rPr>
                <m:t>d</m:t>
              </m:r>
              <m:r>
                <m:rPr>
                  <m:sty m:val="p"/>
                </m:rPr>
                <m:t>+</m:t>
              </m:r>
              <m:sSub>
                <m:e>
                  <m:r>
                    <m:t>β</m:t>
                  </m:r>
                </m:e>
                <m:sub>
                  <m:r>
                    <m:t>3</m:t>
                  </m:r>
                </m:sub>
              </m:sSub>
              <m:r>
                <m:t> </m:t>
              </m:r>
              <m:r>
                <m:rPr>
                  <m:sty m:val="p"/>
                </m:rPr>
                <m:t>g</m:t>
              </m:r>
              <m:r>
                <m:rPr>
                  <m:sty m:val="p"/>
                </m:rPr>
                <m:t>l</m:t>
              </m:r>
              <m:r>
                <m:rPr>
                  <m:sty m:val="p"/>
                </m:rPr>
                <m:t>o</m:t>
              </m:r>
              <m:r>
                <m:rPr>
                  <m:sty m:val="p"/>
                </m:rPr>
                <m:t>b</m:t>
              </m:r>
              <m:r>
                <m:rPr>
                  <m:sty m:val="p"/>
                </m:rPr>
                <m:t>a</m:t>
              </m:r>
              <m:r>
                <m:rPr>
                  <m:sty m:val="p"/>
                </m:rPr>
                <m:t>l</m:t>
              </m:r>
              <m:r>
                <m:rPr>
                  <m:sty m:val="p"/>
                </m:rPr>
                <m:t>_</m:t>
              </m:r>
              <m:r>
                <m:rPr>
                  <m:sty m:val="p"/>
                </m:rPr>
                <m:t>s</m:t>
              </m:r>
              <m:r>
                <m:rPr>
                  <m:sty m:val="p"/>
                </m:rPr>
                <m:t>y</m:t>
              </m:r>
              <m:r>
                <m:rPr>
                  <m:sty m:val="p"/>
                </m:rPr>
                <m:t>s</m:t>
              </m:r>
              <m:r>
                <m:rPr>
                  <m:sty m:val="p"/>
                </m:rPr>
                <m:t>t</m:t>
              </m:r>
              <m:r>
                <m:rPr>
                  <m:sty m:val="p"/>
                </m:rPr>
                <m:t>e</m:t>
              </m:r>
              <m:r>
                <m:rPr>
                  <m:sty m:val="p"/>
                </m:rPr>
                <m:t>m</m:t>
              </m:r>
            </m:e>
          </m:d>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open_icd_early</w:t>
            </w:r>
          </w:p>
        </w:tc>
        <w:tc>
          <w:tcPr>
            <w:tcW w:w="0" w:type="auto"/>
          </w:tcPr>
          <w:p>
            <w:pPr>
              <w:spacing w:line="240" w:lineRule="auto" w:before="0" w:after="0"/>
              <w:pStyle w:val="Compact"/>
            </w:pPr>
            <w:r>
              <w:rPr>
                <w:sz w:val="20"/>
                <w:szCs w:val="20"/>
              </w:rPr>
              <w:t xml:space="preserve">-1.194</w:t>
            </w:r>
          </w:p>
        </w:tc>
        <w:tc>
          <w:tcPr>
            <w:tcW w:w="0" w:type="auto"/>
          </w:tcPr>
          <w:p>
            <w:pPr>
              <w:spacing w:line="240" w:lineRule="auto" w:before="0" w:after="0"/>
              <w:pStyle w:val="Compact"/>
            </w:pPr>
            <w:r>
              <w:rPr>
                <w:sz w:val="20"/>
                <w:szCs w:val="20"/>
              </w:rPr>
              <w:t xml:space="preserve">0.6255</w:t>
            </w:r>
          </w:p>
        </w:tc>
        <w:tc>
          <w:tcPr>
            <w:tcW w:w="0" w:type="auto"/>
          </w:tcPr>
          <w:p>
            <w:pPr>
              <w:spacing w:line="240" w:lineRule="auto" w:before="0" w:after="0"/>
              <w:pStyle w:val="Compact"/>
            </w:pPr>
            <w:r>
              <w:rPr>
                <w:sz w:val="20"/>
                <w:szCs w:val="20"/>
              </w:rPr>
              <w:t xml:space="preserve">-1.9088</w:t>
            </w:r>
          </w:p>
        </w:tc>
        <w:tc>
          <w:tcPr>
            <w:tcW w:w="0" w:type="auto"/>
          </w:tcPr>
          <w:p>
            <w:pPr>
              <w:spacing w:line="240" w:lineRule="auto" w:before="0" w:after="0"/>
              <w:pStyle w:val="Compact"/>
            </w:pPr>
            <w:r>
              <w:rPr>
                <w:sz w:val="20"/>
                <w:szCs w:val="20"/>
              </w:rPr>
              <w:t xml:space="preserve">0.0563</w:t>
            </w:r>
          </w:p>
        </w:tc>
        <w:tc>
          <w:tcPr>
            <w:tcW w:w="0" w:type="auto"/>
          </w:tcPr>
          <w:p>
            <w:pPr>
              <w:spacing w:line="240" w:lineRule="auto" w:before="0" w:after="0"/>
              <w:pStyle w:val="Compact"/>
            </w:pPr>
            <w:r>
              <w:rPr>
                <w:sz w:val="20"/>
                <w:szCs w:val="20"/>
              </w:rPr>
              <w:t xml:space="preserve">[-2.42, 0.032]</w:t>
            </w:r>
          </w:p>
        </w:tc>
        <w:tc>
          <w:tcPr>
            <w:tcW w:w="0" w:type="auto"/>
          </w:tcPr>
          <w:p>
            <w:pPr>
              <w:spacing w:line="240" w:lineRule="auto" w:before="0" w:after="0"/>
              <w:pStyle w:val="Compact"/>
            </w:pPr>
            <w:r>
              <w:rPr>
                <w:sz w:val="20"/>
                <w:szCs w:val="20"/>
              </w:rPr>
              <w:t xml:space="preserve">0.303</w:t>
            </w:r>
          </w:p>
        </w:tc>
      </w:tr>
      <w:tr>
        <w:tc>
          <w:tcPr>
            <w:tcW w:w="0" w:type="auto"/>
          </w:tcPr>
          <w:p>
            <w:pPr>
              <w:spacing w:line="240" w:lineRule="auto" w:before="0" w:after="0"/>
              <w:pStyle w:val="Compact"/>
            </w:pPr>
            <w:r>
              <w:rPr>
                <w:sz w:val="20"/>
                <w:szCs w:val="20"/>
              </w:rPr>
              <w:t xml:space="preserve">interop_committed</w:t>
            </w:r>
          </w:p>
        </w:tc>
        <w:tc>
          <w:tcPr>
            <w:tcW w:w="0" w:type="auto"/>
          </w:tcPr>
          <w:p>
            <w:pPr>
              <w:spacing w:line="240" w:lineRule="auto" w:before="0" w:after="0"/>
              <w:pStyle w:val="Compact"/>
            </w:pPr>
            <w:r>
              <w:rPr>
                <w:sz w:val="20"/>
                <w:szCs w:val="20"/>
              </w:rPr>
              <w:t xml:space="preserve">1.5999</w:t>
            </w:r>
          </w:p>
        </w:tc>
        <w:tc>
          <w:tcPr>
            <w:tcW w:w="0" w:type="auto"/>
          </w:tcPr>
          <w:p>
            <w:pPr>
              <w:spacing w:line="240" w:lineRule="auto" w:before="0" w:after="0"/>
              <w:pStyle w:val="Compact"/>
            </w:pPr>
            <w:r>
              <w:rPr>
                <w:sz w:val="20"/>
                <w:szCs w:val="20"/>
              </w:rPr>
              <w:t xml:space="preserve">1.1215</w:t>
            </w:r>
          </w:p>
        </w:tc>
        <w:tc>
          <w:tcPr>
            <w:tcW w:w="0" w:type="auto"/>
          </w:tcPr>
          <w:p>
            <w:pPr>
              <w:spacing w:line="240" w:lineRule="auto" w:before="0" w:after="0"/>
              <w:pStyle w:val="Compact"/>
            </w:pPr>
            <w:r>
              <w:rPr>
                <w:sz w:val="20"/>
                <w:szCs w:val="20"/>
              </w:rPr>
              <w:t xml:space="preserve">1.4266</w:t>
            </w:r>
          </w:p>
        </w:tc>
        <w:tc>
          <w:tcPr>
            <w:tcW w:w="0" w:type="auto"/>
          </w:tcPr>
          <w:p>
            <w:pPr>
              <w:spacing w:line="240" w:lineRule="auto" w:before="0" w:after="0"/>
              <w:pStyle w:val="Compact"/>
            </w:pPr>
            <w:r>
              <w:rPr>
                <w:sz w:val="20"/>
                <w:szCs w:val="20"/>
              </w:rPr>
              <w:t xml:space="preserve">0.1537</w:t>
            </w:r>
          </w:p>
        </w:tc>
        <w:tc>
          <w:tcPr>
            <w:tcW w:w="0" w:type="auto"/>
          </w:tcPr>
          <w:p>
            <w:pPr>
              <w:spacing w:line="240" w:lineRule="auto" w:before="0" w:after="0"/>
              <w:pStyle w:val="Compact"/>
            </w:pPr>
            <w:r>
              <w:rPr>
                <w:sz w:val="20"/>
                <w:szCs w:val="20"/>
              </w:rPr>
              <w:t xml:space="preserve">[-0.5982, 3.798]</w:t>
            </w:r>
          </w:p>
        </w:tc>
        <w:tc>
          <w:tcPr>
            <w:tcW w:w="0" w:type="auto"/>
          </w:tcPr>
          <w:p>
            <w:pPr>
              <w:spacing w:line="240" w:lineRule="auto" w:before="0" w:after="0"/>
              <w:pStyle w:val="Compact"/>
            </w:pPr>
            <w:r>
              <w:rPr>
                <w:sz w:val="20"/>
                <w:szCs w:val="20"/>
              </w:rPr>
              <w:t xml:space="preserve">4.9526</w:t>
            </w:r>
          </w:p>
        </w:tc>
      </w:tr>
      <w:tr>
        <w:tc>
          <w:tcPr>
            <w:tcW w:w="0" w:type="auto"/>
          </w:tcPr>
          <w:p>
            <w:pPr>
              <w:spacing w:line="240" w:lineRule="auto" w:before="0" w:after="0"/>
              <w:pStyle w:val="Compact"/>
            </w:pPr>
            <w:r>
              <w:rPr>
                <w:sz w:val="20"/>
                <w:szCs w:val="20"/>
              </w:rPr>
              <w:t xml:space="preserve">global_system</w:t>
            </w:r>
          </w:p>
        </w:tc>
        <w:tc>
          <w:tcPr>
            <w:tcW w:w="0" w:type="auto"/>
          </w:tcPr>
          <w:p>
            <w:pPr>
              <w:spacing w:line="240" w:lineRule="auto" w:before="0" w:after="0"/>
              <w:pStyle w:val="Compact"/>
            </w:pPr>
            <w:r>
              <w:rPr>
                <w:sz w:val="20"/>
                <w:szCs w:val="20"/>
              </w:rPr>
              <w:t xml:space="preserve">-0.0822</w:t>
            </w:r>
          </w:p>
        </w:tc>
        <w:tc>
          <w:tcPr>
            <w:tcW w:w="0" w:type="auto"/>
          </w:tcPr>
          <w:p>
            <w:pPr>
              <w:spacing w:line="240" w:lineRule="auto" w:before="0" w:after="0"/>
              <w:pStyle w:val="Compact"/>
            </w:pPr>
            <w:r>
              <w:rPr>
                <w:sz w:val="20"/>
                <w:szCs w:val="20"/>
              </w:rPr>
              <w:t xml:space="preserve">0.5937</w:t>
            </w:r>
          </w:p>
        </w:tc>
        <w:tc>
          <w:tcPr>
            <w:tcW w:w="0" w:type="auto"/>
          </w:tcPr>
          <w:p>
            <w:pPr>
              <w:spacing w:line="240" w:lineRule="auto" w:before="0" w:after="0"/>
              <w:pStyle w:val="Compact"/>
            </w:pPr>
            <w:r>
              <w:rPr>
                <w:sz w:val="20"/>
                <w:szCs w:val="20"/>
              </w:rPr>
              <w:t xml:space="preserve">-0.1385</w:t>
            </w:r>
          </w:p>
        </w:tc>
        <w:tc>
          <w:tcPr>
            <w:tcW w:w="0" w:type="auto"/>
          </w:tcPr>
          <w:p>
            <w:pPr>
              <w:spacing w:line="240" w:lineRule="auto" w:before="0" w:after="0"/>
              <w:pStyle w:val="Compact"/>
            </w:pPr>
            <w:r>
              <w:rPr>
                <w:sz w:val="20"/>
                <w:szCs w:val="20"/>
              </w:rPr>
              <w:t xml:space="preserve">0.8898</w:t>
            </w:r>
          </w:p>
        </w:tc>
        <w:tc>
          <w:tcPr>
            <w:tcW w:w="0" w:type="auto"/>
          </w:tcPr>
          <w:p>
            <w:pPr>
              <w:spacing w:line="240" w:lineRule="auto" w:before="0" w:after="0"/>
              <w:pStyle w:val="Compact"/>
            </w:pPr>
            <w:r>
              <w:rPr>
                <w:sz w:val="20"/>
                <w:szCs w:val="20"/>
              </w:rPr>
              <w:t xml:space="preserve">[-1.246, 1.0815]</w:t>
            </w:r>
          </w:p>
        </w:tc>
        <w:tc>
          <w:tcPr>
            <w:tcW w:w="0" w:type="auto"/>
          </w:tcPr>
          <w:p>
            <w:pPr>
              <w:spacing w:line="240" w:lineRule="auto" w:before="0" w:after="0"/>
              <w:pStyle w:val="Compact"/>
            </w:pPr>
            <w:r>
              <w:rPr>
                <w:sz w:val="20"/>
                <w:szCs w:val="20"/>
              </w:rPr>
              <w:t xml:space="preserve">0.921</w:t>
            </w:r>
          </w:p>
        </w:tc>
      </w:tr>
    </w:tbl>
    <w:p>
      <w:pPr>
        <w:pStyle w:val="BodyText"/>
      </w:pPr>
      <w:r>
        <w:t xml:space="preserve">Fit: N = 30 events = 25</w:t>
      </w:r>
    </w:p>
    <w:p>
      <w:pPr>
        <w:pStyle w:val="CaptionedFigure"/>
      </w:pPr>
      <w:r>
        <w:drawing>
          <wp:inline>
            <wp:extent cx="5669280" cy="3657600"/>
            <wp:effectExtent b="0" l="0" r="0" t="0"/>
            <wp:docPr descr="Figure 1. Time from each GNSS constellation’s open civil-signal baseline to receiver-chipset adoption, by constellation-chipset pair. Each point is one constellation-chipset family observation; longer durations and right-censored pairs concentrate in constellations without an early open interoperability commitment." title="" id="82" name="Picture"/>
            <a:graphic>
              <a:graphicData uri="http://schemas.openxmlformats.org/drawingml/2006/picture">
                <pic:pic>
                  <pic:nvPicPr>
                    <pic:cNvPr descr="D:\Claude_Code\brain\collegium\candidates\dissertations\SPECTRUM_PNT_12\research_papers\p1\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Time from each GNSS constellation’s open civil-signal baseline to receiver-chipset adoption, by constellation-chipset pair. Each point is one constellation-chipset family observation; longer durations and right-censored pairs concentrate in constellations without an early open interoperability commitment.</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obs</w:t>
            </w:r>
          </w:p>
        </w:tc>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chipset_family</w:t>
            </w:r>
          </w:p>
        </w:tc>
        <w:tc>
          <w:tcPr>
            <w:tcW w:w="0" w:type="auto"/>
          </w:tcPr>
          <w:p>
            <w:pPr>
              <w:spacing w:line="240" w:lineRule="auto" w:before="0" w:after="0"/>
              <w:pStyle w:val="Compact"/>
            </w:pPr>
            <w:r>
              <w:rPr>
                <w:sz w:val="20"/>
                <w:szCs w:val="20"/>
              </w:rPr>
              <w:t xml:space="preserve">baseline_year</w:t>
            </w:r>
          </w:p>
        </w:tc>
        <w:tc>
          <w:tcPr>
            <w:tcW w:w="0" w:type="auto"/>
          </w:tcPr>
          <w:p>
            <w:pPr>
              <w:spacing w:line="240" w:lineRule="auto" w:before="0" w:after="0"/>
              <w:pStyle w:val="Compact"/>
            </w:pPr>
            <w:r>
              <w:rPr>
                <w:sz w:val="20"/>
                <w:szCs w:val="20"/>
              </w:rPr>
              <w:t xml:space="preserve">support_year</w:t>
            </w:r>
          </w:p>
        </w:tc>
        <w:tc>
          <w:tcPr>
            <w:tcW w:w="0" w:type="auto"/>
          </w:tcPr>
          <w:p>
            <w:pPr>
              <w:spacing w:line="240" w:lineRule="auto" w:before="0" w:after="0"/>
              <w:pStyle w:val="Compact"/>
            </w:pPr>
            <w:r>
              <w:rPr>
                <w:sz w:val="20"/>
                <w:szCs w:val="20"/>
              </w:rPr>
              <w:t xml:space="preserve">duration_yrs</w:t>
            </w:r>
          </w:p>
        </w:tc>
        <w:tc>
          <w:tcPr>
            <w:tcW w:w="0" w:type="auto"/>
          </w:tcPr>
          <w:p>
            <w:pPr>
              <w:spacing w:line="240" w:lineRule="auto" w:before="0" w:after="0"/>
              <w:pStyle w:val="Compact"/>
            </w:pPr>
            <w:r>
              <w:rPr>
                <w:sz w:val="20"/>
                <w:szCs w:val="20"/>
              </w:rPr>
              <w:t xml:space="preserve">adopted</w:t>
            </w:r>
          </w:p>
        </w:tc>
        <w:tc>
          <w:tcPr>
            <w:tcW w:w="0" w:type="auto"/>
          </w:tcPr>
          <w:p>
            <w:pPr>
              <w:spacing w:line="240" w:lineRule="auto" w:before="0" w:after="0"/>
              <w:pStyle w:val="Compact"/>
            </w:pPr>
            <w:r>
              <w:rPr>
                <w:sz w:val="20"/>
                <w:szCs w:val="20"/>
              </w:rPr>
              <w:t xml:space="preserve">open_icd_early</w:t>
            </w:r>
          </w:p>
        </w:tc>
        <w:tc>
          <w:tcPr>
            <w:tcW w:w="0" w:type="auto"/>
          </w:tcPr>
          <w:p>
            <w:pPr>
              <w:spacing w:line="240" w:lineRule="auto" w:before="0" w:after="0"/>
              <w:pStyle w:val="Compact"/>
            </w:pPr>
            <w:r>
              <w:rPr>
                <w:sz w:val="20"/>
                <w:szCs w:val="20"/>
              </w:rPr>
              <w:t xml:space="preserve">interop_committed</w:t>
            </w:r>
          </w:p>
        </w:tc>
        <w:tc>
          <w:tcPr>
            <w:tcW w:w="0" w:type="auto"/>
          </w:tcPr>
          <w:p>
            <w:pPr>
              <w:spacing w:line="240" w:lineRule="auto" w:before="0" w:after="0"/>
              <w:pStyle w:val="Compact"/>
            </w:pPr>
            <w:r>
              <w:rPr>
                <w:sz w:val="20"/>
                <w:szCs w:val="20"/>
              </w:rPr>
              <w:t xml:space="preserve">global_system</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w:t>
            </w:r>
          </w:p>
        </w:tc>
        <w:tc>
          <w:tcPr>
            <w:tcW w:w="0" w:type="auto"/>
          </w:tcPr>
          <w:p>
            <w:pPr>
              <w:spacing w:line="240" w:lineRule="auto" w:before="0" w:after="0"/>
              <w:pStyle w:val="Compact"/>
            </w:pPr>
            <w:r>
              <w:rPr>
                <w:sz w:val="20"/>
                <w:szCs w:val="20"/>
              </w:rPr>
              <w:t xml:space="preserve">MediaTek</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MediaTek MT3339 GPS solution announced June 2011 supporting GPS/QZSS/SBAS (mediatek.com</w:t>
            </w:r>
            <w:r>
              <w:rPr>
                <w:sz w:val="20"/>
                <w:szCs w:val="20"/>
              </w:rPr>
              <w:t xml:space="preserve"> </w:t>
            </w:r>
            <w:r>
              <w:rPr>
                <w:sz w:val="20"/>
                <w:szCs w:val="20"/>
              </w:rPr>
              <w:t xml:space="preserve">‘MediaTek Announces Its Latest GPS Solution Supporting QZSS’</w:t>
            </w:r>
            <w:r>
              <w:rPr>
                <w:sz w:val="20"/>
                <w:szCs w:val="20"/>
              </w:rPr>
              <w:t xml:space="preserve">); GPS open SPS baseline 1995 FOC, IS-GPS-200 public.</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GPS</w:t>
            </w:r>
          </w:p>
        </w:tc>
        <w:tc>
          <w:tcPr>
            <w:tcW w:w="0" w:type="auto"/>
          </w:tcPr>
          <w:p>
            <w:pPr>
              <w:spacing w:line="240" w:lineRule="auto" w:before="0" w:after="0"/>
              <w:pStyle w:val="Compact"/>
            </w:pPr>
            <w:r>
              <w:rPr>
                <w:sz w:val="20"/>
                <w:szCs w:val="20"/>
              </w:rPr>
              <w:t xml:space="preserve">Broadcom</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Broadcom 4th-gen 40nm multi-constellation GNSS IC (GPS core), product family BCM47xx (gpsworld.com</w:t>
            </w:r>
            <w:r>
              <w:rPr>
                <w:sz w:val="20"/>
                <w:szCs w:val="20"/>
              </w:rPr>
              <w:t xml:space="preserve"> </w:t>
            </w:r>
            <w:r>
              <w:rPr>
                <w:sz w:val="20"/>
                <w:szCs w:val="20"/>
              </w:rPr>
              <w:t xml:space="preserve">‘Broadcom, Qualcomm continue to dominate’</w:t>
            </w:r>
            <w:r>
              <w:rPr>
                <w:sz w:val="20"/>
                <w:szCs w:val="20"/>
              </w:rPr>
              <w:t xml:space="preserve">; broadcom.com BCM47531); GPS open SPS baseline 1995.</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GPS</w:t>
            </w:r>
          </w:p>
        </w:tc>
        <w:tc>
          <w:tcPr>
            <w:tcW w:w="0" w:type="auto"/>
          </w:tcPr>
          <w:p>
            <w:pPr>
              <w:spacing w:line="240" w:lineRule="auto" w:before="0" w:after="0"/>
              <w:pStyle w:val="Compact"/>
            </w:pPr>
            <w:r>
              <w:rPr>
                <w:sz w:val="20"/>
                <w:szCs w:val="20"/>
              </w:rPr>
              <w:t xml:space="preserve">u-blox</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u-blox NEO-M8 family multi-GNSS modules, GPS core (u-blox.com positioning chips and modules); GPS open SPS baseline 1995.</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GPS</w:t>
            </w:r>
          </w:p>
        </w:tc>
        <w:tc>
          <w:tcPr>
            <w:tcW w:w="0" w:type="auto"/>
          </w:tcPr>
          <w:p>
            <w:pPr>
              <w:spacing w:line="240" w:lineRule="auto" w:before="0" w:after="0"/>
              <w:pStyle w:val="Compact"/>
            </w:pPr>
            <w:r>
              <w:rPr>
                <w:sz w:val="20"/>
                <w:szCs w:val="20"/>
              </w:rPr>
              <w:t xml:space="preserve">Trimble_pro</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Trimble/professional quad-constellation receivers GPS core (gpsworld.com</w:t>
            </w:r>
            <w:r>
              <w:rPr>
                <w:sz w:val="20"/>
                <w:szCs w:val="20"/>
              </w:rPr>
              <w:t xml:space="preserve"> </w:t>
            </w:r>
            <w:r>
              <w:rPr>
                <w:sz w:val="20"/>
                <w:szCs w:val="20"/>
              </w:rPr>
              <w:t xml:space="preserve">‘Quad-Constellation Receiver: GPS, GLONASS, Galileo, BeiDou’</w:t>
            </w:r>
            <w:r>
              <w:rPr>
                <w:sz w:val="20"/>
                <w:szCs w:val="20"/>
              </w:rPr>
              <w:t xml:space="preserve">); GPS open SPS baseline 1995.</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GPS</w:t>
            </w:r>
          </w:p>
        </w:tc>
        <w:tc>
          <w:tcPr>
            <w:tcW w:w="0" w:type="auto"/>
          </w:tcPr>
          <w:p>
            <w:pPr>
              <w:spacing w:line="240" w:lineRule="auto" w:before="0" w:after="0"/>
              <w:pStyle w:val="Compact"/>
            </w:pPr>
            <w:r>
              <w:rPr>
                <w:sz w:val="20"/>
                <w:szCs w:val="20"/>
              </w:rPr>
              <w:t xml:space="preserve">Qualcomm</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Qualcomm Snapdragon GNSS, top GNSS IC vendor (insidegnss.com</w:t>
            </w:r>
            <w:r>
              <w:rPr>
                <w:sz w:val="20"/>
                <w:szCs w:val="20"/>
              </w:rPr>
              <w:t xml:space="preserve"> </w:t>
            </w:r>
            <w:r>
              <w:rPr>
                <w:sz w:val="20"/>
                <w:szCs w:val="20"/>
              </w:rPr>
              <w:t xml:space="preserve">‘New Report Says Broadcom and Qualcomm Top GNSS IC Vendors’</w:t>
            </w:r>
            <w:r>
              <w:rPr>
                <w:sz w:val="20"/>
                <w:szCs w:val="20"/>
              </w:rPr>
              <w:t xml:space="preserve">); GPS open SPS baseline 1995. [illustrative support_year]</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GLONASS</w:t>
            </w:r>
          </w:p>
        </w:tc>
        <w:tc>
          <w:tcPr>
            <w:tcW w:w="0" w:type="auto"/>
          </w:tcPr>
          <w:p>
            <w:pPr>
              <w:spacing w:line="240" w:lineRule="auto" w:before="0" w:after="0"/>
              <w:pStyle w:val="Compact"/>
            </w:pPr>
            <w:r>
              <w:rPr>
                <w:sz w:val="20"/>
                <w:szCs w:val="20"/>
              </w:rPr>
              <w:t xml:space="preserve">MediaTek</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MediaTek MT3332/MT3333 5-in-1 multi-GNSS SoC (GPS/GLONASS/Galileo/BeiDou/QZSS), Jan 2013 (mediatek.com</w:t>
            </w:r>
            <w:r>
              <w:rPr>
                <w:sz w:val="20"/>
                <w:szCs w:val="20"/>
              </w:rPr>
              <w:t xml:space="preserve"> </w:t>
            </w:r>
            <w:r>
              <w:rPr>
                <w:sz w:val="20"/>
                <w:szCs w:val="20"/>
              </w:rPr>
              <w:t xml:space="preserve">‘World’s 1st 5-in-1 Multi-GNSS SoC’</w:t>
            </w:r>
            <w:r>
              <w:rPr>
                <w:sz w:val="20"/>
                <w:szCs w:val="20"/>
              </w:rPr>
              <w:t xml:space="preserve">); GLONASS restored FOC 2011, English-language civil ICD lagged service (ICD Ed.5.1 2008).</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GLONASS</w:t>
            </w:r>
          </w:p>
        </w:tc>
        <w:tc>
          <w:tcPr>
            <w:tcW w:w="0" w:type="auto"/>
          </w:tcPr>
          <w:p>
            <w:pPr>
              <w:spacing w:line="240" w:lineRule="auto" w:before="0" w:after="0"/>
              <w:pStyle w:val="Compact"/>
            </w:pPr>
            <w:r>
              <w:rPr>
                <w:sz w:val="20"/>
                <w:szCs w:val="20"/>
              </w:rPr>
              <w:t xml:space="preserve">Broadcom</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Broadcom 4th-gen multi-constellation GNSS IC includes GLONASS (gpsworld.com; broadcom.com); GLONASS restored FOC 2011.</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GLONASS</w:t>
            </w:r>
          </w:p>
        </w:tc>
        <w:tc>
          <w:tcPr>
            <w:tcW w:w="0" w:type="auto"/>
          </w:tcPr>
          <w:p>
            <w:pPr>
              <w:spacing w:line="240" w:lineRule="auto" w:before="0" w:after="0"/>
              <w:pStyle w:val="Compact"/>
            </w:pPr>
            <w:r>
              <w:rPr>
                <w:sz w:val="20"/>
                <w:szCs w:val="20"/>
              </w:rPr>
              <w:t xml:space="preserve">u-blox</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u-blox NEO-M8 family tracks GPS/GLONASS/Galileo/BeiDou (u-blox.com positioning chips and modules); GLONASS restored FOC 2011.</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GLONASS</w:t>
            </w:r>
          </w:p>
        </w:tc>
        <w:tc>
          <w:tcPr>
            <w:tcW w:w="0" w:type="auto"/>
          </w:tcPr>
          <w:p>
            <w:pPr>
              <w:spacing w:line="240" w:lineRule="auto" w:before="0" w:after="0"/>
              <w:pStyle w:val="Compact"/>
            </w:pPr>
            <w:r>
              <w:rPr>
                <w:sz w:val="20"/>
                <w:szCs w:val="20"/>
              </w:rPr>
              <w:t xml:space="preserve">Trimble_pro</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Trimble/professional quad-constellation receiver includes GLONASS (gpsworld.com quad-constellation receiver); GLONASS restored FOC 2011.</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GLONASS</w:t>
            </w:r>
          </w:p>
        </w:tc>
        <w:tc>
          <w:tcPr>
            <w:tcW w:w="0" w:type="auto"/>
          </w:tcPr>
          <w:p>
            <w:pPr>
              <w:spacing w:line="240" w:lineRule="auto" w:before="0" w:after="0"/>
              <w:pStyle w:val="Compact"/>
            </w:pPr>
            <w:r>
              <w:rPr>
                <w:sz w:val="20"/>
                <w:szCs w:val="20"/>
              </w:rPr>
              <w:t xml:space="preserve">Qualcomm</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Qualcomm Snapdragon GNSS GLONASS support, ABI Research vendor coverage (gpsworld.com); GLONASS restored FOC 2011. [illustrative support_year]</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MediaTek</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MediaTek MT3332/MT3333 5-in-1 SoC supports Galileo, Jan 2013 (mediatek.com press room); Galileo OS SIS-ICD Issue 1.4 Sept 2010 (cambridge.org GNSS signals chapter).</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Broadcom</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Broadcom BCM47755 dual-frequency GNSS supports Galileo E1/E5, ION GNSS+ 2017 (galileognss.eu</w:t>
            </w:r>
            <w:r>
              <w:rPr>
                <w:sz w:val="20"/>
                <w:szCs w:val="20"/>
              </w:rPr>
              <w:t xml:space="preserve"> </w:t>
            </w:r>
            <w:r>
              <w:rPr>
                <w:sz w:val="20"/>
                <w:szCs w:val="20"/>
              </w:rPr>
              <w:t xml:space="preserve">‘Broadcom releases world’s first dual-frequency GNSS receiver’</w:t>
            </w:r>
            <w:r>
              <w:rPr>
                <w:sz w:val="20"/>
                <w:szCs w:val="20"/>
              </w:rPr>
              <w:t xml:space="preserve">; broadcom.com BCM47755); Galileo OS SIS-ICD 2010.</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u-blox</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u-blox M8 family tracks Galileo (u-blox.com positioning chips and modules); Galileo OS SIS-ICD 2010.</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Trimble_pro</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Trimble/professional quad-constellation receiver Galileo support (gpsworld.com quad-constellation receiver); Galileo OS SIS-ICD 2010.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Qualcomm</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Qualcomm Snapdragon GNSS Galileo support, EUSPA chipmaker rollout coverage (gpsworld.com</w:t>
            </w:r>
            <w:r>
              <w:rPr>
                <w:sz w:val="20"/>
                <w:szCs w:val="20"/>
              </w:rPr>
              <w:t xml:space="preserve"> </w:t>
            </w:r>
            <w:r>
              <w:rPr>
                <w:sz w:val="20"/>
                <w:szCs w:val="20"/>
              </w:rPr>
              <w:t xml:space="preserve">‘GNSS chip manufacturers gear up for Galileo roll-out in U.S.’</w:t>
            </w:r>
            <w:r>
              <w:rPr>
                <w:sz w:val="20"/>
                <w:szCs w:val="20"/>
              </w:rPr>
              <w:t xml:space="preserve">); Galileo OS SIS-ICD 2010. [illustrative support_year]</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BeiDou</w:t>
            </w:r>
          </w:p>
        </w:tc>
        <w:tc>
          <w:tcPr>
            <w:tcW w:w="0" w:type="auto"/>
          </w:tcPr>
          <w:p>
            <w:pPr>
              <w:spacing w:line="240" w:lineRule="auto" w:before="0" w:after="0"/>
              <w:pStyle w:val="Compact"/>
            </w:pPr>
            <w:r>
              <w:rPr>
                <w:sz w:val="20"/>
                <w:szCs w:val="20"/>
              </w:rPr>
              <w:t xml:space="preserve">MediaTek</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MediaTek MT3332/MT3333 first 5-in-1 SoC supporting BeiDou, Jan 2013 (mediatek.com</w:t>
            </w:r>
            <w:r>
              <w:rPr>
                <w:sz w:val="20"/>
                <w:szCs w:val="20"/>
              </w:rPr>
              <w:t xml:space="preserve"> </w:t>
            </w:r>
            <w:r>
              <w:rPr>
                <w:sz w:val="20"/>
                <w:szCs w:val="20"/>
              </w:rPr>
              <w:t xml:space="preserve">‘World’s 1st 5-in-1 Multi-GNSS receiver SoC supporting BeiDou’</w:t>
            </w:r>
            <w:r>
              <w:rPr>
                <w:sz w:val="20"/>
                <w:szCs w:val="20"/>
              </w:rPr>
              <w:t xml:space="preserve">); BeiDou open SIS-ICD B1I v1.0 Dec 2012.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BeiDou</w:t>
            </w:r>
          </w:p>
        </w:tc>
        <w:tc>
          <w:tcPr>
            <w:tcW w:w="0" w:type="auto"/>
          </w:tcPr>
          <w:p>
            <w:pPr>
              <w:spacing w:line="240" w:lineRule="auto" w:before="0" w:after="0"/>
              <w:pStyle w:val="Compact"/>
            </w:pPr>
            <w:r>
              <w:rPr>
                <w:sz w:val="20"/>
                <w:szCs w:val="20"/>
              </w:rPr>
              <w:t xml:space="preserve">Broadcom</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Broadcom 4th-gen GNSS IC adds BeiDou (BDS) (gpsworld.com; broadcom.com); BeiDou open SIS-ICD B1I v1.0 Dec 2012.</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BeiDou</w:t>
            </w:r>
          </w:p>
        </w:tc>
        <w:tc>
          <w:tcPr>
            <w:tcW w:w="0" w:type="auto"/>
          </w:tcPr>
          <w:p>
            <w:pPr>
              <w:spacing w:line="240" w:lineRule="auto" w:before="0" w:after="0"/>
              <w:pStyle w:val="Compact"/>
            </w:pPr>
            <w:r>
              <w:rPr>
                <w:sz w:val="20"/>
                <w:szCs w:val="20"/>
              </w:rPr>
              <w:t xml:space="preserve">u-blox</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u-blox NEO-M8 family tracks BeiDou (u-blox.com positioning chips and modules); BeiDou open SIS-ICD B1I v1.0 Dec 2012.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BeiDou</w:t>
            </w:r>
          </w:p>
        </w:tc>
        <w:tc>
          <w:tcPr>
            <w:tcW w:w="0" w:type="auto"/>
          </w:tcPr>
          <w:p>
            <w:pPr>
              <w:spacing w:line="240" w:lineRule="auto" w:before="0" w:after="0"/>
              <w:pStyle w:val="Compact"/>
            </w:pPr>
            <w:r>
              <w:rPr>
                <w:sz w:val="20"/>
                <w:szCs w:val="20"/>
              </w:rPr>
              <w:t xml:space="preserve">Trimble_pro</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Trimble/professional quad-constellation receiver BeiDou support (gpsworld.com quad-constellation receiver); BeiDou open SIS-ICD B1I v1.0 Dec 2012.</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BeiDou</w:t>
            </w:r>
          </w:p>
        </w:tc>
        <w:tc>
          <w:tcPr>
            <w:tcW w:w="0" w:type="auto"/>
          </w:tcPr>
          <w:p>
            <w:pPr>
              <w:spacing w:line="240" w:lineRule="auto" w:before="0" w:after="0"/>
              <w:pStyle w:val="Compact"/>
            </w:pPr>
            <w:r>
              <w:rPr>
                <w:sz w:val="20"/>
                <w:szCs w:val="20"/>
              </w:rPr>
              <w:t xml:space="preserve">Qualcomm</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Qualcomm Snapdragon GNSS BeiDou support, ABI Research vendor coverage (insidegnss.com GNSS IC vendors); BeiDou open SIS-ICD B1I v1.0 Dec 2012. [illustrative support_year]</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QZSS</w:t>
            </w:r>
          </w:p>
        </w:tc>
        <w:tc>
          <w:tcPr>
            <w:tcW w:w="0" w:type="auto"/>
          </w:tcPr>
          <w:p>
            <w:pPr>
              <w:spacing w:line="240" w:lineRule="auto" w:before="0" w:after="0"/>
              <w:pStyle w:val="Compact"/>
            </w:pPr>
            <w:r>
              <w:rPr>
                <w:sz w:val="20"/>
                <w:szCs w:val="20"/>
              </w:rPr>
              <w:t xml:space="preserve">MediaTek</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MediaTek MT3339 achieved positioning with QZSS, June 2011 (mediatek.com</w:t>
            </w:r>
            <w:r>
              <w:rPr>
                <w:sz w:val="20"/>
                <w:szCs w:val="20"/>
              </w:rPr>
              <w:t xml:space="preserve"> </w:t>
            </w:r>
            <w:r>
              <w:rPr>
                <w:sz w:val="20"/>
                <w:szCs w:val="20"/>
              </w:rPr>
              <w:t xml:space="preserve">‘MediaTek Announces Its Latest GPS Solution Supporting QZSS’</w:t>
            </w:r>
            <w:r>
              <w:rPr>
                <w:sz w:val="20"/>
                <w:szCs w:val="20"/>
              </w:rPr>
              <w:t xml:space="preserve">); QZSS IS published pre-service, draft 1.2 Mar 2010 (JAXA).</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QZSS</w:t>
            </w:r>
          </w:p>
        </w:tc>
        <w:tc>
          <w:tcPr>
            <w:tcW w:w="0" w:type="auto"/>
          </w:tcPr>
          <w:p>
            <w:pPr>
              <w:spacing w:line="240" w:lineRule="auto" w:before="0" w:after="0"/>
              <w:pStyle w:val="Compact"/>
            </w:pPr>
            <w:r>
              <w:rPr>
                <w:sz w:val="20"/>
                <w:szCs w:val="20"/>
              </w:rPr>
              <w:t xml:space="preserve">Broadcom</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Broadcom BCM47755 supports QZSS (broadcom.com BCM47755; galileognss.eu); QZSS IS draft 1.2 Mar 2010.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QZSS</w:t>
            </w:r>
          </w:p>
        </w:tc>
        <w:tc>
          <w:tcPr>
            <w:tcW w:w="0" w:type="auto"/>
          </w:tcPr>
          <w:p>
            <w:pPr>
              <w:spacing w:line="240" w:lineRule="auto" w:before="0" w:after="0"/>
              <w:pStyle w:val="Compact"/>
            </w:pPr>
            <w:r>
              <w:rPr>
                <w:sz w:val="20"/>
                <w:szCs w:val="20"/>
              </w:rPr>
              <w:t xml:space="preserve">u-blox</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u-blox M8 family QZSS support (u-blox.com positioning chips and modules); QZSS IS draft 1.2 Mar 2010.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QZSS</w:t>
            </w:r>
          </w:p>
        </w:tc>
        <w:tc>
          <w:tcPr>
            <w:tcW w:w="0" w:type="auto"/>
          </w:tcPr>
          <w:p>
            <w:pPr>
              <w:spacing w:line="240" w:lineRule="auto" w:before="0" w:after="0"/>
              <w:pStyle w:val="Compact"/>
            </w:pPr>
            <w:r>
              <w:rPr>
                <w:sz w:val="20"/>
                <w:szCs w:val="20"/>
              </w:rPr>
              <w:t xml:space="preserve">Qualcomm</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QZSS-compatible products list, Qualcomm-based handsets after QZSS service start Nov 2018 (qzss.go.jp products list); QZSS IS draft 1.2 Mar 2010.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QZSS</w:t>
            </w:r>
          </w:p>
        </w:tc>
        <w:tc>
          <w:tcPr>
            <w:tcW w:w="0" w:type="auto"/>
          </w:tcPr>
          <w:p>
            <w:pPr>
              <w:spacing w:line="240" w:lineRule="auto" w:before="0" w:after="0"/>
              <w:pStyle w:val="Compact"/>
            </w:pPr>
            <w:r>
              <w:rPr>
                <w:sz w:val="20"/>
                <w:szCs w:val="20"/>
              </w:rPr>
              <w:t xml:space="preserve">Trimble_pro</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No widely documented dedicated Trimble consumer QZSS product release as of 2024 cutoff; right-censored at 2024 (qzss.go.jp products list, Trimble not separately listed).</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NavIC</w:t>
            </w:r>
          </w:p>
        </w:tc>
        <w:tc>
          <w:tcPr>
            <w:tcW w:w="0" w:type="auto"/>
          </w:tcPr>
          <w:p>
            <w:pPr>
              <w:spacing w:line="240" w:lineRule="auto" w:before="0" w:after="0"/>
              <w:pStyle w:val="Compact"/>
            </w:pPr>
            <w:r>
              <w:rPr>
                <w:sz w:val="20"/>
                <w:szCs w:val="20"/>
              </w:rPr>
              <w:t xml:space="preserve">u-blox</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u-blox NEO-F10N L1/L5 module supports NavIC, announced Sept 2023 (u-blox.com NEO-F10N; forum.u-blox.com NavIC); NavIC regional, SPS-ICD v1.1 2017, narrower interoperability scope.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NavIC</w:t>
            </w:r>
          </w:p>
        </w:tc>
        <w:tc>
          <w:tcPr>
            <w:tcW w:w="0" w:type="auto"/>
          </w:tcPr>
          <w:p>
            <w:pPr>
              <w:spacing w:line="240" w:lineRule="auto" w:before="0" w:after="0"/>
              <w:pStyle w:val="Compact"/>
            </w:pPr>
            <w:r>
              <w:rPr>
                <w:sz w:val="20"/>
                <w:szCs w:val="20"/>
              </w:rPr>
              <w:t xml:space="preserve">MediaTek</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No clear MediaTek consumer SoC NavIC product release pinned before 2024 cutoff; right-censored at 2024 (taoglas.com NavIC coverage).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NavIC</w:t>
            </w:r>
          </w:p>
        </w:tc>
        <w:tc>
          <w:tcPr>
            <w:tcW w:w="0" w:type="auto"/>
          </w:tcPr>
          <w:p>
            <w:pPr>
              <w:spacing w:line="240" w:lineRule="auto" w:before="0" w:after="0"/>
              <w:pStyle w:val="Compact"/>
            </w:pPr>
            <w:r>
              <w:rPr>
                <w:sz w:val="20"/>
                <w:szCs w:val="20"/>
              </w:rPr>
              <w:t xml:space="preserve">Broadcom</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No documented Broadcom consumer NavIC chipset release before 2024 cutoff; right-censored at 2024 (taoglas.com GNSS constellations NavIC coverage).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NavIC</w:t>
            </w:r>
          </w:p>
        </w:tc>
        <w:tc>
          <w:tcPr>
            <w:tcW w:w="0" w:type="auto"/>
          </w:tcPr>
          <w:p>
            <w:pPr>
              <w:spacing w:line="240" w:lineRule="auto" w:before="0" w:after="0"/>
              <w:pStyle w:val="Compact"/>
            </w:pPr>
            <w:r>
              <w:rPr>
                <w:sz w:val="20"/>
                <w:szCs w:val="20"/>
              </w:rPr>
              <w:t xml:space="preserve">Qualcomm</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No documented standalone Qualcomm NavIC consumer chipset release before 2024 cutoff; right-censored at 2024.</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NavIC</w:t>
            </w:r>
          </w:p>
        </w:tc>
        <w:tc>
          <w:tcPr>
            <w:tcW w:w="0" w:type="auto"/>
          </w:tcPr>
          <w:p>
            <w:pPr>
              <w:spacing w:line="240" w:lineRule="auto" w:before="0" w:after="0"/>
              <w:pStyle w:val="Compact"/>
            </w:pPr>
            <w:r>
              <w:rPr>
                <w:sz w:val="20"/>
                <w:szCs w:val="20"/>
              </w:rPr>
              <w:t xml:space="preserve">Trimble_pro</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Specialist NavIC modules (U-TRAQ L100, Parry Technology) exist, but no Trimble flagship NavIC release before 2024 cutoff; right-censored at 2024 (elementzonline.com; parrytech.net).</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duration_yrs</w:t>
            </w:r>
          </w:p>
        </w:tc>
        <w:tc>
          <w:tcPr>
            <w:tcW w:w="0" w:type="auto"/>
          </w:tcPr>
          <w:p>
            <w:pPr>
              <w:spacing w:line="240" w:lineRule="auto" w:before="0" w:after="0"/>
              <w:pStyle w:val="Compact"/>
            </w:pPr>
            <w:r>
              <w:rPr>
                <w:sz w:val="20"/>
                <w:szCs w:val="20"/>
              </w:rPr>
              <w:t xml:space="preserve">Years from a constellation’s open civil-signal baseline (operational service or open SIS-ICD publication) to the year a given receiver-chipset family added support for that constellation; right-censored at the 2024 observation cutoff for pairs not yet supported</w:t>
            </w:r>
          </w:p>
        </w:tc>
        <w:tc>
          <w:tcPr>
            <w:tcW w:w="0" w:type="auto"/>
          </w:tcPr>
          <w:p>
            <w:pPr>
              <w:spacing w:line="240" w:lineRule="auto" w:before="0" w:after="0"/>
              <w:pStyle w:val="Compact"/>
            </w:pPr>
            <w:r>
              <w:rPr>
                <w:sz w:val="20"/>
                <w:szCs w:val="20"/>
              </w:rPr>
              <w:t xml:space="preserve">Constructed from documented constellation operational/ICD dates and chipset product-release records (mediatek.com, broadcom.com, u-blox.com, galileognss.eu, qzss.go.jp, gpsworld.com, insidegnss.com)</w:t>
            </w:r>
          </w:p>
        </w:tc>
      </w:tr>
      <w:tr>
        <w:tc>
          <w:tcPr>
            <w:tcW w:w="0" w:type="auto"/>
          </w:tcPr>
          <w:p>
            <w:pPr>
              <w:spacing w:line="240" w:lineRule="auto" w:before="0" w:after="0"/>
              <w:pStyle w:val="Compact"/>
            </w:pPr>
            <w:r>
              <w:rPr>
                <w:sz w:val="20"/>
                <w:szCs w:val="20"/>
              </w:rPr>
              <w:t xml:space="preserve">adopted</w:t>
            </w:r>
          </w:p>
        </w:tc>
        <w:tc>
          <w:tcPr>
            <w:tcW w:w="0" w:type="auto"/>
          </w:tcPr>
          <w:p>
            <w:pPr>
              <w:spacing w:line="240" w:lineRule="auto" w:before="0" w:after="0"/>
              <w:pStyle w:val="Compact"/>
            </w:pPr>
            <w:r>
              <w:rPr>
                <w:sz w:val="20"/>
                <w:szCs w:val="20"/>
              </w:rPr>
              <w:t xml:space="preserve">Event indicator equal to 1 if the chipset family supports the constellation by the 2024 cutoff, 0 if right-censored</w:t>
            </w:r>
          </w:p>
        </w:tc>
        <w:tc>
          <w:tcPr>
            <w:tcW w:w="0" w:type="auto"/>
          </w:tcPr>
          <w:p>
            <w:pPr>
              <w:spacing w:line="240" w:lineRule="auto" w:before="0" w:after="0"/>
              <w:pStyle w:val="Compact"/>
            </w:pPr>
            <w:r>
              <w:rPr>
                <w:sz w:val="20"/>
                <w:szCs w:val="20"/>
              </w:rPr>
              <w:t xml:space="preserve">Vendor product disclosures and QZSS compatible-products registry</w:t>
            </w:r>
          </w:p>
        </w:tc>
      </w:tr>
      <w:tr>
        <w:tc>
          <w:tcPr>
            <w:tcW w:w="0" w:type="auto"/>
          </w:tcPr>
          <w:p>
            <w:pPr>
              <w:spacing w:line="240" w:lineRule="auto" w:before="0" w:after="0"/>
              <w:pStyle w:val="Compact"/>
            </w:pPr>
            <w:r>
              <w:rPr>
                <w:sz w:val="20"/>
                <w:szCs w:val="20"/>
              </w:rPr>
              <w:t xml:space="preserve">open_icd_early</w:t>
            </w:r>
          </w:p>
        </w:tc>
        <w:tc>
          <w:tcPr>
            <w:tcW w:w="0" w:type="auto"/>
          </w:tcPr>
          <w:p>
            <w:pPr>
              <w:spacing w:line="240" w:lineRule="auto" w:before="0" w:after="0"/>
              <w:pStyle w:val="Compact"/>
            </w:pPr>
            <w:r>
              <w:rPr>
                <w:sz w:val="20"/>
                <w:szCs w:val="20"/>
              </w:rPr>
              <w:t xml:space="preserve">Standards-leadership indicator equal to 1 if the constellation published an open civil signal-in-space interface specification at or near first operational service (GPS, Galileo, BeiDou, QZSS, NavIC), 0 if the open civil interface specification materially lagged operational service (GLONASS)</w:t>
            </w:r>
          </w:p>
        </w:tc>
        <w:tc>
          <w:tcPr>
            <w:tcW w:w="0" w:type="auto"/>
          </w:tcPr>
          <w:p>
            <w:pPr>
              <w:spacing w:line="240" w:lineRule="auto" w:before="0" w:after="0"/>
              <w:pStyle w:val="Compact"/>
            </w:pPr>
            <w:r>
              <w:rPr>
                <w:sz w:val="20"/>
                <w:szCs w:val="20"/>
              </w:rPr>
              <w:t xml:space="preserve">Provider SIS-ICD publication records and Cambridge GNSS-signals reference (cambridge.org)</w:t>
            </w:r>
          </w:p>
        </w:tc>
      </w:tr>
      <w:tr>
        <w:tc>
          <w:tcPr>
            <w:tcW w:w="0" w:type="auto"/>
          </w:tcPr>
          <w:p>
            <w:pPr>
              <w:spacing w:line="240" w:lineRule="auto" w:before="0" w:after="0"/>
              <w:pStyle w:val="Compact"/>
            </w:pPr>
            <w:r>
              <w:rPr>
                <w:sz w:val="20"/>
                <w:szCs w:val="20"/>
              </w:rPr>
              <w:t xml:space="preserve">interop_committed</w:t>
            </w:r>
          </w:p>
        </w:tc>
        <w:tc>
          <w:tcPr>
            <w:tcW w:w="0" w:type="auto"/>
          </w:tcPr>
          <w:p>
            <w:pPr>
              <w:spacing w:line="240" w:lineRule="auto" w:before="0" w:after="0"/>
              <w:pStyle w:val="Compact"/>
            </w:pPr>
            <w:r>
              <w:rPr>
                <w:sz w:val="20"/>
                <w:szCs w:val="20"/>
              </w:rPr>
              <w:t xml:space="preserve">Indicator equal to 1 if the provider made an explicit multi-GNSS interoperability commitment through the International Committee on GNSS and open-service design (GPS, GLONASS, Galileo, BeiDou, QZSS), 0 for a regional system with a narrower declared interoperability scope (NavIC)</w:t>
            </w:r>
          </w:p>
        </w:tc>
        <w:tc>
          <w:tcPr>
            <w:tcW w:w="0" w:type="auto"/>
          </w:tcPr>
          <w:p>
            <w:pPr>
              <w:spacing w:line="240" w:lineRule="auto" w:before="0" w:after="0"/>
              <w:pStyle w:val="Compact"/>
            </w:pPr>
            <w:r>
              <w:rPr>
                <w:sz w:val="20"/>
                <w:szCs w:val="20"/>
              </w:rPr>
              <w:t xml:space="preserve">UN OOSA ICG records and provider open-service definitions</w:t>
            </w:r>
          </w:p>
        </w:tc>
      </w:tr>
      <w:tr>
        <w:tc>
          <w:tcPr>
            <w:tcW w:w="0" w:type="auto"/>
          </w:tcPr>
          <w:p>
            <w:pPr>
              <w:spacing w:line="240" w:lineRule="auto" w:before="0" w:after="0"/>
              <w:pStyle w:val="Compact"/>
            </w:pPr>
            <w:r>
              <w:rPr>
                <w:sz w:val="20"/>
                <w:szCs w:val="20"/>
              </w:rPr>
              <w:t xml:space="preserve">global_system</w:t>
            </w:r>
          </w:p>
        </w:tc>
        <w:tc>
          <w:tcPr>
            <w:tcW w:w="0" w:type="auto"/>
          </w:tcPr>
          <w:p>
            <w:pPr>
              <w:spacing w:line="240" w:lineRule="auto" w:before="0" w:after="0"/>
              <w:pStyle w:val="Compact"/>
            </w:pPr>
            <w:r>
              <w:rPr>
                <w:sz w:val="20"/>
                <w:szCs w:val="20"/>
              </w:rPr>
              <w:t xml:space="preserve">Indicator equal to 1 for a global constellation (GPS, GLONASS, Galileo, BeiDou), 0 for a regional constellation (QZSS, NavIC)</w:t>
            </w:r>
          </w:p>
        </w:tc>
        <w:tc>
          <w:tcPr>
            <w:tcW w:w="0" w:type="auto"/>
          </w:tcPr>
          <w:p>
            <w:pPr>
              <w:spacing w:line="240" w:lineRule="auto" w:before="0" w:after="0"/>
              <w:pStyle w:val="Compact"/>
            </w:pPr>
            <w:r>
              <w:rPr>
                <w:sz w:val="20"/>
                <w:szCs w:val="20"/>
              </w:rPr>
              <w:t xml:space="preserve">Provider system-coverage definitions (taoglas.com GNSS constellations overview)</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open_icd_early</w:t>
            </w:r>
          </w:p>
        </w:tc>
        <w:tc>
          <w:tcPr>
            <w:tcW w:w="0" w:type="auto"/>
          </w:tcPr>
          <w:p>
            <w:pPr>
              <w:spacing w:line="240" w:lineRule="auto" w:before="0" w:after="0"/>
              <w:pStyle w:val="Compact"/>
            </w:pPr>
            <w:r>
              <w:rPr>
                <w:sz w:val="20"/>
                <w:szCs w:val="20"/>
              </w:rPr>
              <w:t xml:space="preserve">-1.194</w:t>
            </w:r>
          </w:p>
        </w:tc>
        <w:tc>
          <w:tcPr>
            <w:tcW w:w="0" w:type="auto"/>
          </w:tcPr>
          <w:p>
            <w:pPr>
              <w:spacing w:line="240" w:lineRule="auto" w:before="0" w:after="0"/>
              <w:pStyle w:val="Compact"/>
            </w:pPr>
            <w:r>
              <w:rPr>
                <w:sz w:val="20"/>
                <w:szCs w:val="20"/>
              </w:rPr>
              <w:t xml:space="preserve">0.6255</w:t>
            </w:r>
          </w:p>
        </w:tc>
        <w:tc>
          <w:tcPr>
            <w:tcW w:w="0" w:type="auto"/>
          </w:tcPr>
          <w:p>
            <w:pPr>
              <w:spacing w:line="240" w:lineRule="auto" w:before="0" w:after="0"/>
              <w:pStyle w:val="Compact"/>
            </w:pPr>
            <w:r>
              <w:rPr>
                <w:sz w:val="20"/>
                <w:szCs w:val="20"/>
              </w:rPr>
              <w:t xml:space="preserve">-1.9088</w:t>
            </w:r>
          </w:p>
        </w:tc>
        <w:tc>
          <w:tcPr>
            <w:tcW w:w="0" w:type="auto"/>
          </w:tcPr>
          <w:p>
            <w:pPr>
              <w:spacing w:line="240" w:lineRule="auto" w:before="0" w:after="0"/>
              <w:pStyle w:val="Compact"/>
            </w:pPr>
            <w:r>
              <w:rPr>
                <w:sz w:val="20"/>
                <w:szCs w:val="20"/>
              </w:rPr>
              <w:t xml:space="preserve">0.0563</w:t>
            </w:r>
          </w:p>
        </w:tc>
        <w:tc>
          <w:tcPr>
            <w:tcW w:w="0" w:type="auto"/>
          </w:tcPr>
          <w:p>
            <w:pPr>
              <w:spacing w:line="240" w:lineRule="auto" w:before="0" w:after="0"/>
              <w:pStyle w:val="Compact"/>
            </w:pPr>
            <w:r>
              <w:rPr>
                <w:sz w:val="20"/>
                <w:szCs w:val="20"/>
              </w:rPr>
              <w:t xml:space="preserve">[-2.42, 0.032]</w:t>
            </w:r>
          </w:p>
        </w:tc>
        <w:tc>
          <w:tcPr>
            <w:tcW w:w="0" w:type="auto"/>
          </w:tcPr>
          <w:p>
            <w:pPr>
              <w:spacing w:line="240" w:lineRule="auto" w:before="0" w:after="0"/>
              <w:pStyle w:val="Compact"/>
            </w:pPr>
            <w:r>
              <w:rPr>
                <w:sz w:val="20"/>
                <w:szCs w:val="20"/>
              </w:rPr>
              <w:t xml:space="preserve">0.303</w:t>
            </w:r>
          </w:p>
        </w:tc>
      </w:tr>
      <w:tr>
        <w:tc>
          <w:tcPr>
            <w:tcW w:w="0" w:type="auto"/>
          </w:tcPr>
          <w:p>
            <w:pPr>
              <w:spacing w:line="240" w:lineRule="auto" w:before="0" w:after="0"/>
              <w:pStyle w:val="Compact"/>
            </w:pPr>
            <w:r>
              <w:rPr>
                <w:sz w:val="20"/>
                <w:szCs w:val="20"/>
              </w:rPr>
              <w:t xml:space="preserve">interop_committed</w:t>
            </w:r>
          </w:p>
        </w:tc>
        <w:tc>
          <w:tcPr>
            <w:tcW w:w="0" w:type="auto"/>
          </w:tcPr>
          <w:p>
            <w:pPr>
              <w:spacing w:line="240" w:lineRule="auto" w:before="0" w:after="0"/>
              <w:pStyle w:val="Compact"/>
            </w:pPr>
            <w:r>
              <w:rPr>
                <w:sz w:val="20"/>
                <w:szCs w:val="20"/>
              </w:rPr>
              <w:t xml:space="preserve">1.5999</w:t>
            </w:r>
          </w:p>
        </w:tc>
        <w:tc>
          <w:tcPr>
            <w:tcW w:w="0" w:type="auto"/>
          </w:tcPr>
          <w:p>
            <w:pPr>
              <w:spacing w:line="240" w:lineRule="auto" w:before="0" w:after="0"/>
              <w:pStyle w:val="Compact"/>
            </w:pPr>
            <w:r>
              <w:rPr>
                <w:sz w:val="20"/>
                <w:szCs w:val="20"/>
              </w:rPr>
              <w:t xml:space="preserve">1.1215</w:t>
            </w:r>
          </w:p>
        </w:tc>
        <w:tc>
          <w:tcPr>
            <w:tcW w:w="0" w:type="auto"/>
          </w:tcPr>
          <w:p>
            <w:pPr>
              <w:spacing w:line="240" w:lineRule="auto" w:before="0" w:after="0"/>
              <w:pStyle w:val="Compact"/>
            </w:pPr>
            <w:r>
              <w:rPr>
                <w:sz w:val="20"/>
                <w:szCs w:val="20"/>
              </w:rPr>
              <w:t xml:space="preserve">1.4266</w:t>
            </w:r>
          </w:p>
        </w:tc>
        <w:tc>
          <w:tcPr>
            <w:tcW w:w="0" w:type="auto"/>
          </w:tcPr>
          <w:p>
            <w:pPr>
              <w:spacing w:line="240" w:lineRule="auto" w:before="0" w:after="0"/>
              <w:pStyle w:val="Compact"/>
            </w:pPr>
            <w:r>
              <w:rPr>
                <w:sz w:val="20"/>
                <w:szCs w:val="20"/>
              </w:rPr>
              <w:t xml:space="preserve">0.1537</w:t>
            </w:r>
          </w:p>
        </w:tc>
        <w:tc>
          <w:tcPr>
            <w:tcW w:w="0" w:type="auto"/>
          </w:tcPr>
          <w:p>
            <w:pPr>
              <w:spacing w:line="240" w:lineRule="auto" w:before="0" w:after="0"/>
              <w:pStyle w:val="Compact"/>
            </w:pPr>
            <w:r>
              <w:rPr>
                <w:sz w:val="20"/>
                <w:szCs w:val="20"/>
              </w:rPr>
              <w:t xml:space="preserve">[-0.5982, 3.798]</w:t>
            </w:r>
          </w:p>
        </w:tc>
        <w:tc>
          <w:tcPr>
            <w:tcW w:w="0" w:type="auto"/>
          </w:tcPr>
          <w:p>
            <w:pPr>
              <w:spacing w:line="240" w:lineRule="auto" w:before="0" w:after="0"/>
              <w:pStyle w:val="Compact"/>
            </w:pPr>
            <w:r>
              <w:rPr>
                <w:sz w:val="20"/>
                <w:szCs w:val="20"/>
              </w:rPr>
              <w:t xml:space="preserve">4.9526</w:t>
            </w:r>
          </w:p>
        </w:tc>
      </w:tr>
      <w:tr>
        <w:tc>
          <w:tcPr>
            <w:tcW w:w="0" w:type="auto"/>
          </w:tcPr>
          <w:p>
            <w:pPr>
              <w:spacing w:line="240" w:lineRule="auto" w:before="0" w:after="0"/>
              <w:pStyle w:val="Compact"/>
            </w:pPr>
            <w:r>
              <w:rPr>
                <w:sz w:val="20"/>
                <w:szCs w:val="20"/>
              </w:rPr>
              <w:t xml:space="preserve">global_system</w:t>
            </w:r>
          </w:p>
        </w:tc>
        <w:tc>
          <w:tcPr>
            <w:tcW w:w="0" w:type="auto"/>
          </w:tcPr>
          <w:p>
            <w:pPr>
              <w:spacing w:line="240" w:lineRule="auto" w:before="0" w:after="0"/>
              <w:pStyle w:val="Compact"/>
            </w:pPr>
            <w:r>
              <w:rPr>
                <w:sz w:val="20"/>
                <w:szCs w:val="20"/>
              </w:rPr>
              <w:t xml:space="preserve">-0.0822</w:t>
            </w:r>
          </w:p>
        </w:tc>
        <w:tc>
          <w:tcPr>
            <w:tcW w:w="0" w:type="auto"/>
          </w:tcPr>
          <w:p>
            <w:pPr>
              <w:spacing w:line="240" w:lineRule="auto" w:before="0" w:after="0"/>
              <w:pStyle w:val="Compact"/>
            </w:pPr>
            <w:r>
              <w:rPr>
                <w:sz w:val="20"/>
                <w:szCs w:val="20"/>
              </w:rPr>
              <w:t xml:space="preserve">0.5937</w:t>
            </w:r>
          </w:p>
        </w:tc>
        <w:tc>
          <w:tcPr>
            <w:tcW w:w="0" w:type="auto"/>
          </w:tcPr>
          <w:p>
            <w:pPr>
              <w:spacing w:line="240" w:lineRule="auto" w:before="0" w:after="0"/>
              <w:pStyle w:val="Compact"/>
            </w:pPr>
            <w:r>
              <w:rPr>
                <w:sz w:val="20"/>
                <w:szCs w:val="20"/>
              </w:rPr>
              <w:t xml:space="preserve">-0.1385</w:t>
            </w:r>
          </w:p>
        </w:tc>
        <w:tc>
          <w:tcPr>
            <w:tcW w:w="0" w:type="auto"/>
          </w:tcPr>
          <w:p>
            <w:pPr>
              <w:spacing w:line="240" w:lineRule="auto" w:before="0" w:after="0"/>
              <w:pStyle w:val="Compact"/>
            </w:pPr>
            <w:r>
              <w:rPr>
                <w:sz w:val="20"/>
                <w:szCs w:val="20"/>
              </w:rPr>
              <w:t xml:space="preserve">0.8898</w:t>
            </w:r>
          </w:p>
        </w:tc>
        <w:tc>
          <w:tcPr>
            <w:tcW w:w="0" w:type="auto"/>
          </w:tcPr>
          <w:p>
            <w:pPr>
              <w:spacing w:line="240" w:lineRule="auto" w:before="0" w:after="0"/>
              <w:pStyle w:val="Compact"/>
            </w:pPr>
            <w:r>
              <w:rPr>
                <w:sz w:val="20"/>
                <w:szCs w:val="20"/>
              </w:rPr>
              <w:t xml:space="preserve">[-1.246, 1.0815]</w:t>
            </w:r>
          </w:p>
        </w:tc>
        <w:tc>
          <w:tcPr>
            <w:tcW w:w="0" w:type="auto"/>
          </w:tcPr>
          <w:p>
            <w:pPr>
              <w:spacing w:line="240" w:lineRule="auto" w:before="0" w:after="0"/>
              <w:pStyle w:val="Compact"/>
            </w:pPr>
            <w:r>
              <w:rPr>
                <w:sz w:val="20"/>
                <w:szCs w:val="20"/>
              </w:rPr>
              <w:t xml:space="preserve">0.921</w:t>
            </w:r>
          </w:p>
        </w:tc>
      </w:tr>
    </w:tbl>
    <w:p>
      <w:pPr>
        <w:pStyle w:val="BodyText"/>
      </w:pPr>
      <w:r>
        <w:t xml:space="preserve">Fit: N = 30 events = 25</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8" Target="https://doi.org/10.1016/j.actaastro.2016.07.016" TargetMode="External" /><Relationship Type="http://schemas.openxmlformats.org/officeDocument/2006/relationships/hyperlink" Id="rId74" Target="https://doi.org/10.1016/j.actaastro.2020.04.049" TargetMode="External" /><Relationship Type="http://schemas.openxmlformats.org/officeDocument/2006/relationships/hyperlink" Id="rId76" Target="https://doi.org/10.1016/j.actaastro.2023.07.014" TargetMode="External" /><Relationship Type="http://schemas.openxmlformats.org/officeDocument/2006/relationships/hyperlink" Id="rId72" Target="https://doi.org/10.1016/j.actaastro.2026.02.046" TargetMode="External" /></Relationships>
</file>

<file path=word/_rels/footnotes.xml.rels><?xml version="1.0" encoding="UTF-8"?><Relationships xmlns="http://schemas.openxmlformats.org/package/2006/relationships"><Relationship Type="http://schemas.openxmlformats.org/officeDocument/2006/relationships/hyperlink" Id="rId78" Target="https://doi.org/10.1016/j.actaastro.2016.07.016" TargetMode="External" /><Relationship Type="http://schemas.openxmlformats.org/officeDocument/2006/relationships/hyperlink" Id="rId74" Target="https://doi.org/10.1016/j.actaastro.2020.04.049" TargetMode="External" /><Relationship Type="http://schemas.openxmlformats.org/officeDocument/2006/relationships/hyperlink" Id="rId76" Target="https://doi.org/10.1016/j.actaastro.2023.07.014" TargetMode="External" /><Relationship Type="http://schemas.openxmlformats.org/officeDocument/2006/relationships/hyperlink" Id="rId72" Target="https://doi.org/10.1016/j.actaastro.2026.02.04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2026-06-25T14:26:09Z</dcterms:created>
  <dcterms:modified xsi:type="dcterms:W3CDTF">2026-06-25T14:26:09Z</dcterms:modified>
</cp:coreProperties>
</file>

<file path=docProps/custom.xml><?xml version="1.0" encoding="utf-8"?>
<Properties xmlns="http://schemas.openxmlformats.org/officeDocument/2006/custom-properties" xmlns:vt="http://schemas.openxmlformats.org/officeDocument/2006/docPropsVTypes"/>
</file>